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cs="宋体" w:asciiTheme="minorEastAsia" w:hAnsiTheme="minorEastAsia" w:eastAsiaTheme="minorEastAsia"/>
          <w:b/>
          <w:bCs/>
        </w:rPr>
      </w:pPr>
      <w:r>
        <w:rPr>
          <w:rFonts w:hint="eastAsia" w:cs="宋体" w:asciiTheme="minorEastAsia" w:hAnsiTheme="minorEastAsia" w:eastAsiaTheme="minorEastAsia"/>
          <w:b/>
          <w:bCs/>
        </w:rPr>
        <w:t>项目编号：ZMZB2023ZXYY-74</w:t>
      </w:r>
    </w:p>
    <w:p>
      <w:pPr>
        <w:jc w:val="center"/>
        <w:rPr>
          <w:rFonts w:cs="宋体" w:asciiTheme="minorEastAsia" w:hAnsiTheme="minorEastAsia" w:eastAsiaTheme="minorEastAsia"/>
        </w:rPr>
      </w:pPr>
    </w:p>
    <w:p>
      <w:pPr>
        <w:jc w:val="both"/>
        <w:rPr>
          <w:rFonts w:cs="宋体" w:asciiTheme="minorEastAsia" w:hAnsiTheme="minorEastAsia" w:eastAsiaTheme="minorEastAsia"/>
        </w:rPr>
      </w:pPr>
    </w:p>
    <w:p>
      <w:pPr>
        <w:spacing w:line="360" w:lineRule="auto"/>
        <w:jc w:val="center"/>
        <w:rPr>
          <w:rFonts w:cs="宋体" w:asciiTheme="minorEastAsia" w:hAnsiTheme="minorEastAsia" w:eastAsiaTheme="minorEastAsia"/>
          <w:b/>
          <w:bCs/>
        </w:rPr>
      </w:pPr>
      <w:r>
        <w:rPr>
          <w:rFonts w:hint="eastAsia" w:cs="宋体" w:asciiTheme="minorEastAsia" w:hAnsiTheme="minorEastAsia" w:eastAsiaTheme="minorEastAsia"/>
          <w:b/>
          <w:bCs/>
        </w:rPr>
        <w:t>西安市中心医院经开院区智能化及物联网系统项目</w:t>
      </w: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招标文件</w:t>
      </w:r>
    </w:p>
    <w:p>
      <w:pPr>
        <w:spacing w:line="560" w:lineRule="exact"/>
        <w:ind w:firstLine="496" w:firstLineChars="200"/>
        <w:jc w:val="both"/>
        <w:rPr>
          <w:rFonts w:cs="宋体" w:asciiTheme="minorEastAsia" w:hAnsiTheme="minorEastAsia" w:eastAsiaTheme="minorEastAsia"/>
          <w:b/>
          <w:bCs/>
        </w:rPr>
      </w:pPr>
    </w:p>
    <w:p>
      <w:pPr>
        <w:spacing w:line="560" w:lineRule="exact"/>
        <w:jc w:val="both"/>
        <w:rPr>
          <w:rFonts w:cs="宋体" w:asciiTheme="minorEastAsia" w:hAnsiTheme="minorEastAsia" w:eastAsiaTheme="minorEastAsia"/>
          <w:b/>
          <w:bCs/>
        </w:rPr>
      </w:pPr>
    </w:p>
    <w:p>
      <w:pPr>
        <w:spacing w:line="560" w:lineRule="exact"/>
        <w:ind w:firstLine="496" w:firstLineChars="200"/>
        <w:jc w:val="both"/>
        <w:rPr>
          <w:rFonts w:cs="宋体" w:asciiTheme="minorEastAsia" w:hAnsiTheme="minorEastAsia" w:eastAsiaTheme="minorEastAsia"/>
          <w:b/>
          <w:bCs/>
        </w:rPr>
      </w:pPr>
    </w:p>
    <w:p>
      <w:pPr>
        <w:spacing w:line="560" w:lineRule="exact"/>
        <w:ind w:firstLine="496" w:firstLineChars="200"/>
        <w:jc w:val="both"/>
        <w:rPr>
          <w:rFonts w:cs="宋体" w:asciiTheme="minorEastAsia" w:hAnsiTheme="minorEastAsia" w:eastAsiaTheme="minorEastAsia"/>
          <w:b/>
          <w:bCs/>
        </w:rPr>
      </w:pPr>
    </w:p>
    <w:p>
      <w:pPr>
        <w:spacing w:line="560" w:lineRule="exact"/>
        <w:ind w:firstLine="496" w:firstLineChars="200"/>
        <w:jc w:val="both"/>
        <w:rPr>
          <w:rFonts w:cs="宋体" w:asciiTheme="minorEastAsia" w:hAnsiTheme="minorEastAsia" w:eastAsiaTheme="minorEastAsia"/>
          <w:b/>
          <w:bCs/>
        </w:rPr>
      </w:pPr>
    </w:p>
    <w:p>
      <w:pPr>
        <w:spacing w:line="560" w:lineRule="exact"/>
        <w:ind w:firstLine="496" w:firstLineChars="200"/>
        <w:jc w:val="both"/>
        <w:rPr>
          <w:rFonts w:cs="宋体" w:asciiTheme="minorEastAsia" w:hAnsiTheme="minorEastAsia" w:eastAsiaTheme="minorEastAsia"/>
          <w:b/>
          <w:bCs/>
        </w:rPr>
      </w:pPr>
    </w:p>
    <w:p>
      <w:pPr>
        <w:spacing w:line="560" w:lineRule="exact"/>
        <w:ind w:firstLine="496" w:firstLineChars="200"/>
        <w:jc w:val="center"/>
        <w:rPr>
          <w:rFonts w:cs="宋体" w:asciiTheme="minorEastAsia" w:hAnsiTheme="minorEastAsia" w:eastAsiaTheme="minorEastAsia"/>
        </w:rPr>
      </w:pPr>
    </w:p>
    <w:p>
      <w:pPr>
        <w:spacing w:line="560" w:lineRule="exact"/>
        <w:ind w:firstLine="496" w:firstLineChars="200"/>
        <w:jc w:val="center"/>
        <w:rPr>
          <w:rFonts w:cs="宋体" w:asciiTheme="minorEastAsia" w:hAnsiTheme="minorEastAsia" w:eastAsiaTheme="minorEastAsia"/>
        </w:rPr>
      </w:pPr>
    </w:p>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陕西卓佲项目管理有限公司</w:t>
      </w:r>
    </w:p>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TIME \@ "yyyy年M月"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2023年5月</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br w:type="page"/>
      </w:r>
    </w:p>
    <w:p>
      <w:pPr>
        <w:jc w:val="center"/>
        <w:rPr>
          <w:rFonts w:asciiTheme="minorEastAsia" w:hAnsiTheme="minorEastAsia" w:eastAsiaTheme="minorEastAsia"/>
        </w:rPr>
      </w:pPr>
      <w:bookmarkStart w:id="0" w:name="_Toc100219612"/>
      <w:r>
        <w:rPr>
          <w:rFonts w:asciiTheme="minorEastAsia" w:hAnsiTheme="minorEastAsia" w:eastAsiaTheme="minorEastAsia"/>
        </w:rPr>
        <w:t>目录</w:t>
      </w:r>
    </w:p>
    <w:p>
      <w:pPr>
        <w:pStyle w:val="26"/>
        <w:tabs>
          <w:tab w:val="right" w:leader="dot" w:pos="8290"/>
        </w:tabs>
        <w:spacing w:before="0" w:beforeLines="0" w:after="0" w:afterLines="0"/>
        <w:rPr>
          <w:rFonts w:ascii="宋体" w:hAnsi="宋体" w:cstheme="minorBidi"/>
          <w:kern w:val="2"/>
          <w:sz w:val="24"/>
          <w14:ligatures w14:val="standardContextual"/>
        </w:rPr>
      </w:pPr>
      <w:r>
        <w:rPr>
          <w:rFonts w:hint="eastAsia" w:ascii="宋体" w:hAnsi="宋体" w:cs="宋体"/>
          <w:sz w:val="24"/>
        </w:rPr>
        <w:fldChar w:fldCharType="begin"/>
      </w:r>
      <w:r>
        <w:rPr>
          <w:rFonts w:hint="eastAsia" w:ascii="宋体" w:hAnsi="宋体" w:cs="宋体"/>
          <w:sz w:val="24"/>
        </w:rPr>
        <w:instrText xml:space="preserve">TOC \o "1-3" \h \u </w:instrText>
      </w:r>
      <w:r>
        <w:rPr>
          <w:rFonts w:hint="eastAsia" w:ascii="宋体" w:hAnsi="宋体" w:cs="宋体"/>
          <w:sz w:val="24"/>
        </w:rPr>
        <w:fldChar w:fldCharType="separate"/>
      </w:r>
      <w:r>
        <w:fldChar w:fldCharType="begin"/>
      </w:r>
      <w:r>
        <w:instrText xml:space="preserve"> HYPERLINK \l "_Toc135129520" </w:instrText>
      </w:r>
      <w:r>
        <w:fldChar w:fldCharType="separate"/>
      </w:r>
      <w:r>
        <w:rPr>
          <w:rStyle w:val="47"/>
          <w:rFonts w:ascii="宋体" w:hAnsi="宋体" w:cs="宋体"/>
          <w:sz w:val="24"/>
        </w:rPr>
        <w:t>第一章  投标邀请函</w:t>
      </w:r>
      <w:r>
        <w:rPr>
          <w:rFonts w:ascii="宋体" w:hAnsi="宋体"/>
          <w:sz w:val="24"/>
        </w:rPr>
        <w:tab/>
      </w:r>
      <w:r>
        <w:rPr>
          <w:rFonts w:ascii="宋体" w:hAnsi="宋体"/>
          <w:sz w:val="24"/>
        </w:rPr>
        <w:fldChar w:fldCharType="begin"/>
      </w:r>
      <w:r>
        <w:rPr>
          <w:rFonts w:ascii="宋体" w:hAnsi="宋体"/>
          <w:sz w:val="24"/>
        </w:rPr>
        <w:instrText xml:space="preserve"> PAGEREF _Toc135129520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p>
    <w:p>
      <w:pPr>
        <w:pStyle w:val="26"/>
        <w:tabs>
          <w:tab w:val="right" w:leader="dot" w:pos="8290"/>
        </w:tabs>
        <w:spacing w:before="0" w:beforeLines="0" w:after="0" w:afterLines="0"/>
        <w:rPr>
          <w:rFonts w:ascii="宋体" w:hAnsi="宋体" w:cstheme="minorBidi"/>
          <w:kern w:val="2"/>
          <w:sz w:val="24"/>
          <w14:ligatures w14:val="standardContextual"/>
        </w:rPr>
      </w:pPr>
      <w:r>
        <w:fldChar w:fldCharType="begin"/>
      </w:r>
      <w:r>
        <w:instrText xml:space="preserve"> HYPERLINK \l "_Toc135129521" </w:instrText>
      </w:r>
      <w:r>
        <w:fldChar w:fldCharType="separate"/>
      </w:r>
      <w:r>
        <w:rPr>
          <w:rStyle w:val="47"/>
          <w:rFonts w:ascii="宋体" w:hAnsi="宋体" w:cs="宋体"/>
          <w:sz w:val="24"/>
        </w:rPr>
        <w:t>第二章  供应商须知</w:t>
      </w:r>
      <w:r>
        <w:rPr>
          <w:rFonts w:ascii="宋体" w:hAnsi="宋体"/>
          <w:sz w:val="24"/>
        </w:rPr>
        <w:tab/>
      </w:r>
      <w:r>
        <w:rPr>
          <w:rFonts w:ascii="宋体" w:hAnsi="宋体"/>
          <w:sz w:val="24"/>
        </w:rPr>
        <w:fldChar w:fldCharType="begin"/>
      </w:r>
      <w:r>
        <w:rPr>
          <w:rFonts w:ascii="宋体" w:hAnsi="宋体"/>
          <w:sz w:val="24"/>
        </w:rPr>
        <w:instrText xml:space="preserve"> PAGEREF _Toc135129521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"_Toc135129522" </w:instrText>
      </w:r>
      <w:r>
        <w:fldChar w:fldCharType="separate"/>
      </w:r>
      <w:r>
        <w:rPr>
          <w:rStyle w:val="47"/>
          <w:rFonts w:ascii="宋体" w:hAnsi="宋体" w:cs="宋体"/>
        </w:rPr>
        <w:t>〖前附表〗</w:t>
      </w:r>
      <w:r>
        <w:rPr>
          <w:rFonts w:ascii="宋体" w:hAnsi="宋体"/>
        </w:rPr>
        <w:tab/>
      </w:r>
      <w:r>
        <w:rPr>
          <w:rFonts w:ascii="宋体" w:hAnsi="宋体"/>
        </w:rPr>
        <w:fldChar w:fldCharType="begin"/>
      </w:r>
      <w:r>
        <w:rPr>
          <w:rFonts w:ascii="宋体" w:hAnsi="宋体"/>
        </w:rPr>
        <w:instrText xml:space="preserve"> PAGEREF _Toc135129522 \h </w:instrText>
      </w:r>
      <w:r>
        <w:rPr>
          <w:rFonts w:ascii="宋体" w:hAnsi="宋体"/>
        </w:rPr>
        <w:fldChar w:fldCharType="separate"/>
      </w:r>
      <w:r>
        <w:rPr>
          <w:rFonts w:ascii="宋体" w:hAnsi="宋体"/>
        </w:rPr>
        <w:t>7</w:t>
      </w:r>
      <w:r>
        <w:rPr>
          <w:rFonts w:ascii="宋体" w:hAnsi="宋体"/>
        </w:rPr>
        <w:fldChar w:fldCharType="end"/>
      </w:r>
      <w:r>
        <w:rPr>
          <w:rFonts w:ascii="宋体" w:hAnsi="宋体"/>
        </w:rPr>
        <w:fldChar w:fldCharType="end"/>
      </w:r>
    </w:p>
    <w:p>
      <w:pPr>
        <w:pStyle w:val="20"/>
        <w:tabs>
          <w:tab w:val="right" w:leader="dot" w:pos="8290"/>
        </w:tabs>
        <w:ind w:left="994"/>
        <w:rPr>
          <w:rFonts w:ascii="宋体" w:hAnsi="宋体" w:cstheme="minorBidi"/>
          <w:kern w:val="2"/>
          <w14:ligatures w14:val="standardContextual"/>
        </w:rPr>
      </w:pPr>
      <w:r>
        <w:fldChar w:fldCharType="begin"/>
      </w:r>
      <w:r>
        <w:instrText xml:space="preserve"> HYPERLINK \l "_Toc135129523" </w:instrText>
      </w:r>
      <w:r>
        <w:fldChar w:fldCharType="separate"/>
      </w:r>
      <w:r>
        <w:rPr>
          <w:rStyle w:val="47"/>
          <w:rFonts w:ascii="宋体" w:hAnsi="宋体" w:cs="宋体"/>
        </w:rPr>
        <w:t>一、有关定义</w:t>
      </w:r>
      <w:r>
        <w:rPr>
          <w:rFonts w:ascii="宋体" w:hAnsi="宋体"/>
        </w:rPr>
        <w:tab/>
      </w:r>
      <w:r>
        <w:rPr>
          <w:rFonts w:ascii="宋体" w:hAnsi="宋体"/>
        </w:rPr>
        <w:fldChar w:fldCharType="begin"/>
      </w:r>
      <w:r>
        <w:rPr>
          <w:rFonts w:ascii="宋体" w:hAnsi="宋体"/>
        </w:rPr>
        <w:instrText xml:space="preserve"> PAGEREF _Toc135129523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20"/>
        <w:tabs>
          <w:tab w:val="right" w:leader="dot" w:pos="8290"/>
        </w:tabs>
        <w:ind w:left="994"/>
        <w:rPr>
          <w:rFonts w:ascii="宋体" w:hAnsi="宋体" w:cstheme="minorBidi"/>
          <w:kern w:val="2"/>
          <w14:ligatures w14:val="standardContextual"/>
        </w:rPr>
      </w:pPr>
      <w:r>
        <w:fldChar w:fldCharType="begin"/>
      </w:r>
      <w:r>
        <w:instrText xml:space="preserve"> HYPERLINK \l "_Toc135129524" </w:instrText>
      </w:r>
      <w:r>
        <w:fldChar w:fldCharType="separate"/>
      </w:r>
      <w:r>
        <w:rPr>
          <w:rStyle w:val="47"/>
          <w:rFonts w:ascii="宋体" w:hAnsi="宋体" w:cs="宋体"/>
        </w:rPr>
        <w:t>二、供应商注意事项</w:t>
      </w:r>
      <w:r>
        <w:rPr>
          <w:rFonts w:ascii="宋体" w:hAnsi="宋体"/>
        </w:rPr>
        <w:tab/>
      </w:r>
      <w:r>
        <w:rPr>
          <w:rFonts w:ascii="宋体" w:hAnsi="宋体"/>
        </w:rPr>
        <w:fldChar w:fldCharType="begin"/>
      </w:r>
      <w:r>
        <w:rPr>
          <w:rFonts w:ascii="宋体" w:hAnsi="宋体"/>
        </w:rPr>
        <w:instrText xml:space="preserve"> PAGEREF _Toc135129524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20"/>
        <w:tabs>
          <w:tab w:val="right" w:leader="dot" w:pos="8290"/>
        </w:tabs>
        <w:ind w:left="994"/>
        <w:rPr>
          <w:rFonts w:ascii="宋体" w:hAnsi="宋体" w:cstheme="minorBidi"/>
          <w:kern w:val="2"/>
          <w14:ligatures w14:val="standardContextual"/>
        </w:rPr>
      </w:pPr>
      <w:r>
        <w:fldChar w:fldCharType="begin"/>
      </w:r>
      <w:r>
        <w:instrText xml:space="preserve"> HYPERLINK \l "_Toc135129525" </w:instrText>
      </w:r>
      <w:r>
        <w:fldChar w:fldCharType="separate"/>
      </w:r>
      <w:r>
        <w:rPr>
          <w:rStyle w:val="47"/>
          <w:rFonts w:ascii="宋体" w:hAnsi="宋体" w:cs="宋体"/>
        </w:rPr>
        <w:t>三、招标文件</w:t>
      </w:r>
      <w:r>
        <w:rPr>
          <w:rFonts w:ascii="宋体" w:hAnsi="宋体"/>
        </w:rPr>
        <w:tab/>
      </w:r>
      <w:r>
        <w:rPr>
          <w:rFonts w:ascii="宋体" w:hAnsi="宋体"/>
        </w:rPr>
        <w:fldChar w:fldCharType="begin"/>
      </w:r>
      <w:r>
        <w:rPr>
          <w:rFonts w:ascii="宋体" w:hAnsi="宋体"/>
        </w:rPr>
        <w:instrText xml:space="preserve"> PAGEREF _Toc135129525 \h </w:instrText>
      </w:r>
      <w:r>
        <w:rPr>
          <w:rFonts w:ascii="宋体" w:hAnsi="宋体"/>
        </w:rPr>
        <w:fldChar w:fldCharType="separate"/>
      </w:r>
      <w:r>
        <w:rPr>
          <w:rFonts w:ascii="宋体" w:hAnsi="宋体"/>
        </w:rPr>
        <w:t>21</w:t>
      </w:r>
      <w:r>
        <w:rPr>
          <w:rFonts w:ascii="宋体" w:hAnsi="宋体"/>
        </w:rPr>
        <w:fldChar w:fldCharType="end"/>
      </w:r>
      <w:r>
        <w:rPr>
          <w:rFonts w:ascii="宋体" w:hAnsi="宋体"/>
        </w:rPr>
        <w:fldChar w:fldCharType="end"/>
      </w:r>
    </w:p>
    <w:p>
      <w:pPr>
        <w:pStyle w:val="20"/>
        <w:tabs>
          <w:tab w:val="right" w:leader="dot" w:pos="8290"/>
        </w:tabs>
        <w:ind w:left="994"/>
        <w:rPr>
          <w:rFonts w:ascii="宋体" w:hAnsi="宋体" w:cstheme="minorBidi"/>
          <w:kern w:val="2"/>
          <w14:ligatures w14:val="standardContextual"/>
        </w:rPr>
      </w:pPr>
      <w:r>
        <w:fldChar w:fldCharType="begin"/>
      </w:r>
      <w:r>
        <w:instrText xml:space="preserve"> HYPERLINK \l "_Toc135129526" </w:instrText>
      </w:r>
      <w:r>
        <w:fldChar w:fldCharType="separate"/>
      </w:r>
      <w:r>
        <w:rPr>
          <w:rStyle w:val="47"/>
          <w:rFonts w:ascii="宋体" w:hAnsi="宋体" w:cs="宋体"/>
        </w:rPr>
        <w:t>四、投标文件</w:t>
      </w:r>
      <w:r>
        <w:rPr>
          <w:rFonts w:ascii="宋体" w:hAnsi="宋体"/>
        </w:rPr>
        <w:tab/>
      </w:r>
      <w:r>
        <w:rPr>
          <w:rFonts w:ascii="宋体" w:hAnsi="宋体"/>
        </w:rPr>
        <w:fldChar w:fldCharType="begin"/>
      </w:r>
      <w:r>
        <w:rPr>
          <w:rFonts w:ascii="宋体" w:hAnsi="宋体"/>
        </w:rPr>
        <w:instrText xml:space="preserve"> PAGEREF _Toc135129526 \h </w:instrText>
      </w:r>
      <w:r>
        <w:rPr>
          <w:rFonts w:ascii="宋体" w:hAnsi="宋体"/>
        </w:rPr>
        <w:fldChar w:fldCharType="separate"/>
      </w:r>
      <w:r>
        <w:rPr>
          <w:rFonts w:ascii="宋体" w:hAnsi="宋体"/>
        </w:rPr>
        <w:t>23</w:t>
      </w:r>
      <w:r>
        <w:rPr>
          <w:rFonts w:ascii="宋体" w:hAnsi="宋体"/>
        </w:rPr>
        <w:fldChar w:fldCharType="end"/>
      </w:r>
      <w:r>
        <w:rPr>
          <w:rFonts w:ascii="宋体" w:hAnsi="宋体"/>
        </w:rPr>
        <w:fldChar w:fldCharType="end"/>
      </w:r>
    </w:p>
    <w:p>
      <w:pPr>
        <w:pStyle w:val="20"/>
        <w:tabs>
          <w:tab w:val="right" w:leader="dot" w:pos="8290"/>
        </w:tabs>
        <w:ind w:left="994"/>
        <w:rPr>
          <w:rFonts w:ascii="宋体" w:hAnsi="宋体" w:cstheme="minorBidi"/>
          <w:kern w:val="2"/>
          <w14:ligatures w14:val="standardContextual"/>
        </w:rPr>
      </w:pPr>
      <w:r>
        <w:fldChar w:fldCharType="begin"/>
      </w:r>
      <w:r>
        <w:instrText xml:space="preserve"> HYPERLINK \l "_Toc135129527" </w:instrText>
      </w:r>
      <w:r>
        <w:fldChar w:fldCharType="separate"/>
      </w:r>
      <w:r>
        <w:rPr>
          <w:rStyle w:val="47"/>
          <w:rFonts w:ascii="宋体" w:hAnsi="宋体" w:cs="宋体"/>
        </w:rPr>
        <w:t>五、开标程序</w:t>
      </w:r>
      <w:r>
        <w:rPr>
          <w:rFonts w:ascii="宋体" w:hAnsi="宋体"/>
        </w:rPr>
        <w:tab/>
      </w:r>
      <w:r>
        <w:rPr>
          <w:rFonts w:ascii="宋体" w:hAnsi="宋体"/>
        </w:rPr>
        <w:fldChar w:fldCharType="begin"/>
      </w:r>
      <w:r>
        <w:rPr>
          <w:rFonts w:ascii="宋体" w:hAnsi="宋体"/>
        </w:rPr>
        <w:instrText xml:space="preserve"> PAGEREF _Toc135129527 \h </w:instrText>
      </w:r>
      <w:r>
        <w:rPr>
          <w:rFonts w:ascii="宋体" w:hAnsi="宋体"/>
        </w:rPr>
        <w:fldChar w:fldCharType="separate"/>
      </w:r>
      <w:r>
        <w:rPr>
          <w:rFonts w:ascii="宋体" w:hAnsi="宋体"/>
        </w:rPr>
        <w:t>27</w:t>
      </w:r>
      <w:r>
        <w:rPr>
          <w:rFonts w:ascii="宋体" w:hAnsi="宋体"/>
        </w:rPr>
        <w:fldChar w:fldCharType="end"/>
      </w:r>
      <w:r>
        <w:rPr>
          <w:rFonts w:ascii="宋体" w:hAnsi="宋体"/>
        </w:rPr>
        <w:fldChar w:fldCharType="end"/>
      </w:r>
    </w:p>
    <w:p>
      <w:pPr>
        <w:pStyle w:val="20"/>
        <w:tabs>
          <w:tab w:val="right" w:leader="dot" w:pos="8290"/>
        </w:tabs>
        <w:ind w:left="994"/>
        <w:rPr>
          <w:rFonts w:ascii="宋体" w:hAnsi="宋体" w:cstheme="minorBidi"/>
          <w:kern w:val="2"/>
          <w14:ligatures w14:val="standardContextual"/>
        </w:rPr>
      </w:pPr>
      <w:r>
        <w:fldChar w:fldCharType="begin"/>
      </w:r>
      <w:r>
        <w:instrText xml:space="preserve"> HYPERLINK \l "_Toc135129528" </w:instrText>
      </w:r>
      <w:r>
        <w:fldChar w:fldCharType="separate"/>
      </w:r>
      <w:r>
        <w:rPr>
          <w:rStyle w:val="47"/>
          <w:rFonts w:ascii="宋体" w:hAnsi="宋体" w:cs="宋体"/>
        </w:rPr>
        <w:t>六、资格审查</w:t>
      </w:r>
      <w:r>
        <w:rPr>
          <w:rFonts w:ascii="宋体" w:hAnsi="宋体"/>
        </w:rPr>
        <w:tab/>
      </w:r>
      <w:r>
        <w:rPr>
          <w:rFonts w:ascii="宋体" w:hAnsi="宋体"/>
        </w:rPr>
        <w:fldChar w:fldCharType="begin"/>
      </w:r>
      <w:r>
        <w:rPr>
          <w:rFonts w:ascii="宋体" w:hAnsi="宋体"/>
        </w:rPr>
        <w:instrText xml:space="preserve"> PAGEREF _Toc135129528 \h </w:instrText>
      </w:r>
      <w:r>
        <w:rPr>
          <w:rFonts w:ascii="宋体" w:hAnsi="宋体"/>
        </w:rPr>
        <w:fldChar w:fldCharType="separate"/>
      </w:r>
      <w:r>
        <w:rPr>
          <w:rFonts w:ascii="宋体" w:hAnsi="宋体"/>
        </w:rPr>
        <w:t>28</w:t>
      </w:r>
      <w:r>
        <w:rPr>
          <w:rFonts w:ascii="宋体" w:hAnsi="宋体"/>
        </w:rPr>
        <w:fldChar w:fldCharType="end"/>
      </w:r>
      <w:r>
        <w:rPr>
          <w:rFonts w:ascii="宋体" w:hAnsi="宋体"/>
        </w:rPr>
        <w:fldChar w:fldCharType="end"/>
      </w:r>
    </w:p>
    <w:p>
      <w:pPr>
        <w:pStyle w:val="20"/>
        <w:tabs>
          <w:tab w:val="right" w:leader="dot" w:pos="8290"/>
        </w:tabs>
        <w:ind w:left="994"/>
        <w:rPr>
          <w:rFonts w:ascii="宋体" w:hAnsi="宋体" w:cstheme="minorBidi"/>
          <w:kern w:val="2"/>
          <w14:ligatures w14:val="standardContextual"/>
        </w:rPr>
      </w:pPr>
      <w:r>
        <w:fldChar w:fldCharType="begin"/>
      </w:r>
      <w:r>
        <w:instrText xml:space="preserve"> HYPERLINK \l "_Toc135129529" </w:instrText>
      </w:r>
      <w:r>
        <w:fldChar w:fldCharType="separate"/>
      </w:r>
      <w:r>
        <w:rPr>
          <w:rStyle w:val="47"/>
          <w:rFonts w:ascii="宋体" w:hAnsi="宋体" w:cs="宋体"/>
        </w:rPr>
        <w:t>七、评审方法和程序</w:t>
      </w:r>
      <w:r>
        <w:rPr>
          <w:rFonts w:ascii="宋体" w:hAnsi="宋体"/>
        </w:rPr>
        <w:tab/>
      </w:r>
      <w:r>
        <w:rPr>
          <w:rFonts w:ascii="宋体" w:hAnsi="宋体"/>
        </w:rPr>
        <w:fldChar w:fldCharType="begin"/>
      </w:r>
      <w:r>
        <w:rPr>
          <w:rFonts w:ascii="宋体" w:hAnsi="宋体"/>
        </w:rPr>
        <w:instrText xml:space="preserve"> PAGEREF _Toc135129529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20"/>
        <w:tabs>
          <w:tab w:val="right" w:leader="dot" w:pos="8290"/>
        </w:tabs>
        <w:ind w:left="994"/>
        <w:rPr>
          <w:rFonts w:ascii="宋体" w:hAnsi="宋体" w:cstheme="minorBidi"/>
          <w:kern w:val="2"/>
          <w14:ligatures w14:val="standardContextual"/>
        </w:rPr>
      </w:pPr>
      <w:r>
        <w:fldChar w:fldCharType="begin"/>
      </w:r>
      <w:r>
        <w:instrText xml:space="preserve"> HYPERLINK \l "_Toc135129530" </w:instrText>
      </w:r>
      <w:r>
        <w:fldChar w:fldCharType="separate"/>
      </w:r>
      <w:r>
        <w:rPr>
          <w:rStyle w:val="47"/>
          <w:rFonts w:ascii="宋体" w:hAnsi="宋体" w:cs="宋体"/>
        </w:rPr>
        <w:t>八、中标</w:t>
      </w:r>
      <w:r>
        <w:rPr>
          <w:rFonts w:ascii="宋体" w:hAnsi="宋体"/>
        </w:rPr>
        <w:tab/>
      </w:r>
      <w:r>
        <w:rPr>
          <w:rFonts w:ascii="宋体" w:hAnsi="宋体"/>
        </w:rPr>
        <w:fldChar w:fldCharType="begin"/>
      </w:r>
      <w:r>
        <w:rPr>
          <w:rFonts w:ascii="宋体" w:hAnsi="宋体"/>
        </w:rPr>
        <w:instrText xml:space="preserve"> PAGEREF _Toc135129530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pPr>
        <w:pStyle w:val="20"/>
        <w:tabs>
          <w:tab w:val="right" w:leader="dot" w:pos="8290"/>
        </w:tabs>
        <w:ind w:left="994"/>
        <w:rPr>
          <w:rFonts w:ascii="宋体" w:hAnsi="宋体" w:cstheme="minorBidi"/>
          <w:kern w:val="2"/>
          <w14:ligatures w14:val="standardContextual"/>
        </w:rPr>
      </w:pPr>
      <w:r>
        <w:fldChar w:fldCharType="begin"/>
      </w:r>
      <w:r>
        <w:instrText xml:space="preserve"> HYPERLINK \l "_Toc135129531" </w:instrText>
      </w:r>
      <w:r>
        <w:fldChar w:fldCharType="separate"/>
      </w:r>
      <w:r>
        <w:rPr>
          <w:rStyle w:val="47"/>
          <w:rFonts w:ascii="宋体" w:hAnsi="宋体" w:cs="宋体"/>
        </w:rPr>
        <w:t>九、合同签订、履行及验收</w:t>
      </w:r>
      <w:r>
        <w:rPr>
          <w:rFonts w:ascii="宋体" w:hAnsi="宋体"/>
        </w:rPr>
        <w:tab/>
      </w:r>
      <w:r>
        <w:rPr>
          <w:rFonts w:ascii="宋体" w:hAnsi="宋体"/>
        </w:rPr>
        <w:fldChar w:fldCharType="begin"/>
      </w:r>
      <w:r>
        <w:rPr>
          <w:rFonts w:ascii="宋体" w:hAnsi="宋体"/>
        </w:rPr>
        <w:instrText xml:space="preserve"> PAGEREF _Toc135129531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pPr>
        <w:pStyle w:val="20"/>
        <w:tabs>
          <w:tab w:val="right" w:leader="dot" w:pos="8290"/>
        </w:tabs>
        <w:ind w:left="994"/>
        <w:rPr>
          <w:rFonts w:ascii="宋体" w:hAnsi="宋体" w:cstheme="minorBidi"/>
          <w:kern w:val="2"/>
          <w14:ligatures w14:val="standardContextual"/>
        </w:rPr>
      </w:pPr>
      <w:r>
        <w:fldChar w:fldCharType="begin"/>
      </w:r>
      <w:r>
        <w:instrText xml:space="preserve"> HYPERLINK \l "_Toc135129532" </w:instrText>
      </w:r>
      <w:r>
        <w:fldChar w:fldCharType="separate"/>
      </w:r>
      <w:r>
        <w:rPr>
          <w:rStyle w:val="47"/>
          <w:rFonts w:ascii="宋体" w:hAnsi="宋体" w:cs="宋体"/>
        </w:rPr>
        <w:t>十、废标及重新招标</w:t>
      </w:r>
      <w:r>
        <w:rPr>
          <w:rFonts w:ascii="宋体" w:hAnsi="宋体"/>
        </w:rPr>
        <w:tab/>
      </w:r>
      <w:r>
        <w:rPr>
          <w:rFonts w:ascii="宋体" w:hAnsi="宋体"/>
        </w:rPr>
        <w:fldChar w:fldCharType="begin"/>
      </w:r>
      <w:r>
        <w:rPr>
          <w:rFonts w:ascii="宋体" w:hAnsi="宋体"/>
        </w:rPr>
        <w:instrText xml:space="preserve"> PAGEREF _Toc135129532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26"/>
        <w:tabs>
          <w:tab w:val="right" w:leader="dot" w:pos="8290"/>
        </w:tabs>
        <w:spacing w:before="0" w:beforeLines="0" w:after="0" w:afterLines="0"/>
        <w:rPr>
          <w:rFonts w:ascii="宋体" w:hAnsi="宋体" w:cstheme="minorBidi"/>
          <w:kern w:val="2"/>
          <w:sz w:val="24"/>
          <w14:ligatures w14:val="standardContextual"/>
        </w:rPr>
      </w:pPr>
      <w:r>
        <w:fldChar w:fldCharType="begin"/>
      </w:r>
      <w:r>
        <w:instrText xml:space="preserve"> HYPERLINK \l "_Toc135129533" </w:instrText>
      </w:r>
      <w:r>
        <w:fldChar w:fldCharType="separate"/>
      </w:r>
      <w:r>
        <w:rPr>
          <w:rStyle w:val="47"/>
          <w:rFonts w:ascii="宋体" w:hAnsi="宋体" w:cs="宋体"/>
          <w:sz w:val="24"/>
        </w:rPr>
        <w:t>第三章 招标内容及要求</w:t>
      </w:r>
      <w:r>
        <w:rPr>
          <w:rFonts w:ascii="宋体" w:hAnsi="宋体"/>
          <w:sz w:val="24"/>
        </w:rPr>
        <w:tab/>
      </w:r>
      <w:r>
        <w:rPr>
          <w:rFonts w:ascii="宋体" w:hAnsi="宋体"/>
          <w:sz w:val="24"/>
        </w:rPr>
        <w:fldChar w:fldCharType="begin"/>
      </w:r>
      <w:r>
        <w:rPr>
          <w:rFonts w:ascii="宋体" w:hAnsi="宋体"/>
          <w:sz w:val="24"/>
        </w:rPr>
        <w:instrText xml:space="preserve"> PAGEREF _Toc135129533 \h </w:instrText>
      </w:r>
      <w:r>
        <w:rPr>
          <w:rFonts w:ascii="宋体" w:hAnsi="宋体"/>
          <w:sz w:val="24"/>
        </w:rPr>
        <w:fldChar w:fldCharType="separate"/>
      </w:r>
      <w:r>
        <w:rPr>
          <w:rFonts w:ascii="宋体" w:hAnsi="宋体"/>
          <w:sz w:val="24"/>
        </w:rPr>
        <w:t>43</w:t>
      </w:r>
      <w:r>
        <w:rPr>
          <w:rFonts w:ascii="宋体" w:hAnsi="宋体"/>
          <w:sz w:val="24"/>
        </w:rPr>
        <w:fldChar w:fldCharType="end"/>
      </w:r>
      <w:r>
        <w:rPr>
          <w:rFonts w:ascii="宋体" w:hAnsi="宋体"/>
          <w:sz w:val="24"/>
        </w:rPr>
        <w:fldChar w:fldCharType="end"/>
      </w:r>
    </w:p>
    <w:p>
      <w:pPr>
        <w:pStyle w:val="26"/>
        <w:tabs>
          <w:tab w:val="right" w:leader="dot" w:pos="8290"/>
        </w:tabs>
        <w:spacing w:before="0" w:beforeLines="0" w:after="0" w:afterLines="0"/>
        <w:rPr>
          <w:rFonts w:ascii="宋体" w:hAnsi="宋体" w:cstheme="minorBidi"/>
          <w:kern w:val="2"/>
          <w:sz w:val="24"/>
          <w14:ligatures w14:val="standardContextual"/>
        </w:rPr>
      </w:pPr>
      <w:r>
        <w:fldChar w:fldCharType="begin"/>
      </w:r>
      <w:r>
        <w:instrText xml:space="preserve"> HYPERLINK \l "_Toc135129534" </w:instrText>
      </w:r>
      <w:r>
        <w:fldChar w:fldCharType="separate"/>
      </w:r>
      <w:r>
        <w:rPr>
          <w:rStyle w:val="47"/>
          <w:rFonts w:ascii="宋体" w:hAnsi="宋体" w:cs="宋体"/>
          <w:sz w:val="24"/>
        </w:rPr>
        <w:t>第四章 合同范本（仅供参考）</w:t>
      </w:r>
      <w:r>
        <w:rPr>
          <w:rFonts w:ascii="宋体" w:hAnsi="宋体"/>
          <w:sz w:val="24"/>
        </w:rPr>
        <w:tab/>
      </w:r>
      <w:r>
        <w:rPr>
          <w:rFonts w:ascii="宋体" w:hAnsi="宋体"/>
          <w:sz w:val="24"/>
        </w:rPr>
        <w:fldChar w:fldCharType="begin"/>
      </w:r>
      <w:r>
        <w:rPr>
          <w:rFonts w:ascii="宋体" w:hAnsi="宋体"/>
          <w:sz w:val="24"/>
        </w:rPr>
        <w:instrText xml:space="preserve"> PAGEREF _Toc135129534 \h </w:instrText>
      </w:r>
      <w:r>
        <w:rPr>
          <w:rFonts w:ascii="宋体" w:hAnsi="宋体"/>
          <w:sz w:val="24"/>
        </w:rPr>
        <w:fldChar w:fldCharType="separate"/>
      </w:r>
      <w:r>
        <w:rPr>
          <w:rFonts w:ascii="宋体" w:hAnsi="宋体"/>
          <w:sz w:val="24"/>
        </w:rPr>
        <w:t>151</w:t>
      </w:r>
      <w:r>
        <w:rPr>
          <w:rFonts w:ascii="宋体" w:hAnsi="宋体"/>
          <w:sz w:val="24"/>
        </w:rPr>
        <w:fldChar w:fldCharType="end"/>
      </w:r>
      <w:r>
        <w:rPr>
          <w:rFonts w:ascii="宋体" w:hAnsi="宋体"/>
          <w:sz w:val="24"/>
        </w:rPr>
        <w:fldChar w:fldCharType="end"/>
      </w:r>
    </w:p>
    <w:p>
      <w:pPr>
        <w:pStyle w:val="26"/>
        <w:tabs>
          <w:tab w:val="right" w:leader="dot" w:pos="8290"/>
        </w:tabs>
        <w:spacing w:before="0" w:beforeLines="0" w:after="0" w:afterLines="0"/>
        <w:rPr>
          <w:rFonts w:ascii="宋体" w:hAnsi="宋体" w:cstheme="minorBidi"/>
          <w:kern w:val="2"/>
          <w:sz w:val="24"/>
          <w14:ligatures w14:val="standardContextual"/>
        </w:rPr>
      </w:pPr>
      <w:r>
        <w:fldChar w:fldCharType="begin"/>
      </w:r>
      <w:r>
        <w:instrText xml:space="preserve"> HYPERLINK \l "_Toc135129535" </w:instrText>
      </w:r>
      <w:r>
        <w:fldChar w:fldCharType="separate"/>
      </w:r>
      <w:r>
        <w:rPr>
          <w:rStyle w:val="47"/>
          <w:rFonts w:ascii="宋体" w:hAnsi="宋体" w:cs="宋体"/>
          <w:sz w:val="24"/>
        </w:rPr>
        <w:t>第五章  投标文件构成及格式</w:t>
      </w:r>
      <w:r>
        <w:rPr>
          <w:rFonts w:ascii="宋体" w:hAnsi="宋体"/>
          <w:sz w:val="24"/>
        </w:rPr>
        <w:tab/>
      </w:r>
      <w:r>
        <w:rPr>
          <w:rFonts w:ascii="宋体" w:hAnsi="宋体"/>
          <w:sz w:val="24"/>
        </w:rPr>
        <w:fldChar w:fldCharType="begin"/>
      </w:r>
      <w:r>
        <w:rPr>
          <w:rFonts w:ascii="宋体" w:hAnsi="宋体"/>
          <w:sz w:val="24"/>
        </w:rPr>
        <w:instrText xml:space="preserve"> PAGEREF _Toc135129535 \h </w:instrText>
      </w:r>
      <w:r>
        <w:rPr>
          <w:rFonts w:ascii="宋体" w:hAnsi="宋体"/>
          <w:sz w:val="24"/>
        </w:rPr>
        <w:fldChar w:fldCharType="separate"/>
      </w:r>
      <w:r>
        <w:rPr>
          <w:rFonts w:ascii="宋体" w:hAnsi="宋体"/>
          <w:sz w:val="24"/>
        </w:rPr>
        <w:t>159</w:t>
      </w:r>
      <w:r>
        <w:rPr>
          <w:rFonts w:ascii="宋体" w:hAnsi="宋体"/>
          <w:sz w:val="24"/>
        </w:rPr>
        <w:fldChar w:fldCharType="end"/>
      </w:r>
      <w:r>
        <w:rPr>
          <w:rFonts w:ascii="宋体" w:hAnsi="宋体"/>
          <w:sz w:val="24"/>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"_Toc135129536" </w:instrText>
      </w:r>
      <w:r>
        <w:fldChar w:fldCharType="separate"/>
      </w:r>
      <w:r>
        <w:rPr>
          <w:rStyle w:val="47"/>
          <w:rFonts w:ascii="宋体" w:hAnsi="宋体" w:cs="宋体"/>
        </w:rPr>
        <w:t>第一部分  投标函</w:t>
      </w:r>
      <w:r>
        <w:rPr>
          <w:rFonts w:ascii="宋体" w:hAnsi="宋体"/>
        </w:rPr>
        <w:tab/>
      </w:r>
      <w:r>
        <w:rPr>
          <w:rFonts w:ascii="宋体" w:hAnsi="宋体"/>
        </w:rPr>
        <w:fldChar w:fldCharType="begin"/>
      </w:r>
      <w:r>
        <w:rPr>
          <w:rFonts w:ascii="宋体" w:hAnsi="宋体"/>
        </w:rPr>
        <w:instrText xml:space="preserve"> PAGEREF _Toc135129536 \h </w:instrText>
      </w:r>
      <w:r>
        <w:rPr>
          <w:rFonts w:ascii="宋体" w:hAnsi="宋体"/>
        </w:rPr>
        <w:fldChar w:fldCharType="separate"/>
      </w:r>
      <w:r>
        <w:rPr>
          <w:rFonts w:ascii="宋体" w:hAnsi="宋体"/>
        </w:rPr>
        <w:t>161</w:t>
      </w:r>
      <w:r>
        <w:rPr>
          <w:rFonts w:ascii="宋体" w:hAnsi="宋体"/>
        </w:rPr>
        <w:fldChar w:fldCharType="end"/>
      </w:r>
      <w:r>
        <w:rPr>
          <w:rFonts w:ascii="宋体" w:hAnsi="宋体"/>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"_Toc135129537" </w:instrText>
      </w:r>
      <w:r>
        <w:fldChar w:fldCharType="separate"/>
      </w:r>
      <w:r>
        <w:rPr>
          <w:rStyle w:val="47"/>
          <w:rFonts w:ascii="宋体" w:hAnsi="宋体" w:cs="宋体"/>
        </w:rPr>
        <w:t>第二部分 开标一览表</w:t>
      </w:r>
      <w:r>
        <w:rPr>
          <w:rFonts w:ascii="宋体" w:hAnsi="宋体"/>
        </w:rPr>
        <w:tab/>
      </w:r>
      <w:r>
        <w:rPr>
          <w:rFonts w:ascii="宋体" w:hAnsi="宋体"/>
        </w:rPr>
        <w:fldChar w:fldCharType="begin"/>
      </w:r>
      <w:r>
        <w:rPr>
          <w:rFonts w:ascii="宋体" w:hAnsi="宋体"/>
        </w:rPr>
        <w:instrText xml:space="preserve"> PAGEREF _Toc135129537 \h </w:instrText>
      </w:r>
      <w:r>
        <w:rPr>
          <w:rFonts w:ascii="宋体" w:hAnsi="宋体"/>
        </w:rPr>
        <w:fldChar w:fldCharType="separate"/>
      </w:r>
      <w:r>
        <w:rPr>
          <w:rFonts w:ascii="宋体" w:hAnsi="宋体"/>
        </w:rPr>
        <w:t>163</w:t>
      </w:r>
      <w:r>
        <w:rPr>
          <w:rFonts w:ascii="宋体" w:hAnsi="宋体"/>
        </w:rPr>
        <w:fldChar w:fldCharType="end"/>
      </w:r>
      <w:r>
        <w:rPr>
          <w:rFonts w:ascii="宋体" w:hAnsi="宋体"/>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"_Toc135129538" </w:instrText>
      </w:r>
      <w:r>
        <w:fldChar w:fldCharType="separate"/>
      </w:r>
      <w:r>
        <w:rPr>
          <w:rStyle w:val="47"/>
          <w:rFonts w:ascii="宋体" w:hAnsi="宋体" w:cs="宋体"/>
        </w:rPr>
        <w:t>第三部分  资格证明文件</w:t>
      </w:r>
      <w:r>
        <w:rPr>
          <w:rFonts w:ascii="宋体" w:hAnsi="宋体"/>
        </w:rPr>
        <w:tab/>
      </w:r>
      <w:r>
        <w:rPr>
          <w:rFonts w:ascii="宋体" w:hAnsi="宋体"/>
        </w:rPr>
        <w:fldChar w:fldCharType="begin"/>
      </w:r>
      <w:r>
        <w:rPr>
          <w:rFonts w:ascii="宋体" w:hAnsi="宋体"/>
        </w:rPr>
        <w:instrText xml:space="preserve"> PAGEREF _Toc135129538 \h </w:instrText>
      </w:r>
      <w:r>
        <w:rPr>
          <w:rFonts w:ascii="宋体" w:hAnsi="宋体"/>
        </w:rPr>
        <w:fldChar w:fldCharType="separate"/>
      </w:r>
      <w:r>
        <w:rPr>
          <w:rFonts w:ascii="宋体" w:hAnsi="宋体"/>
        </w:rPr>
        <w:t>165</w:t>
      </w:r>
      <w:r>
        <w:rPr>
          <w:rFonts w:ascii="宋体" w:hAnsi="宋体"/>
        </w:rPr>
        <w:fldChar w:fldCharType="end"/>
      </w:r>
      <w:r>
        <w:rPr>
          <w:rFonts w:ascii="宋体" w:hAnsi="宋体"/>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"_Toc135129539" </w:instrText>
      </w:r>
      <w:r>
        <w:fldChar w:fldCharType="separate"/>
      </w:r>
      <w:r>
        <w:rPr>
          <w:rStyle w:val="47"/>
          <w:rFonts w:ascii="宋体" w:hAnsi="宋体" w:cs="宋体"/>
        </w:rPr>
        <w:t xml:space="preserve">第四部分  </w:t>
      </w:r>
      <w:r>
        <w:rPr>
          <w:rStyle w:val="47"/>
          <w:rFonts w:ascii="宋体" w:hAnsi="宋体"/>
        </w:rPr>
        <w:t>供应商概况</w:t>
      </w:r>
      <w:r>
        <w:rPr>
          <w:rFonts w:ascii="宋体" w:hAnsi="宋体"/>
        </w:rPr>
        <w:tab/>
      </w:r>
      <w:r>
        <w:rPr>
          <w:rFonts w:ascii="宋体" w:hAnsi="宋体"/>
        </w:rPr>
        <w:fldChar w:fldCharType="begin"/>
      </w:r>
      <w:r>
        <w:rPr>
          <w:rFonts w:ascii="宋体" w:hAnsi="宋体"/>
        </w:rPr>
        <w:instrText xml:space="preserve"> PAGEREF _Toc135129539 \h </w:instrText>
      </w:r>
      <w:r>
        <w:rPr>
          <w:rFonts w:ascii="宋体" w:hAnsi="宋体"/>
        </w:rPr>
        <w:fldChar w:fldCharType="separate"/>
      </w:r>
      <w:r>
        <w:rPr>
          <w:rFonts w:ascii="宋体" w:hAnsi="宋体"/>
        </w:rPr>
        <w:t>173</w:t>
      </w:r>
      <w:r>
        <w:rPr>
          <w:rFonts w:ascii="宋体" w:hAnsi="宋体"/>
        </w:rPr>
        <w:fldChar w:fldCharType="end"/>
      </w:r>
      <w:r>
        <w:rPr>
          <w:rFonts w:ascii="宋体" w:hAnsi="宋体"/>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"_Toc135129540" </w:instrText>
      </w:r>
      <w:r>
        <w:fldChar w:fldCharType="separate"/>
      </w:r>
      <w:r>
        <w:rPr>
          <w:rStyle w:val="47"/>
          <w:rFonts w:ascii="宋体" w:hAnsi="宋体"/>
        </w:rPr>
        <w:t>第五部分  供应商参加政府采购活动承诺书</w:t>
      </w:r>
      <w:r>
        <w:rPr>
          <w:rFonts w:ascii="宋体" w:hAnsi="宋体"/>
        </w:rPr>
        <w:tab/>
      </w:r>
      <w:r>
        <w:rPr>
          <w:rFonts w:ascii="宋体" w:hAnsi="宋体"/>
        </w:rPr>
        <w:fldChar w:fldCharType="begin"/>
      </w:r>
      <w:r>
        <w:rPr>
          <w:rFonts w:ascii="宋体" w:hAnsi="宋体"/>
        </w:rPr>
        <w:instrText xml:space="preserve"> PAGEREF _Toc135129540 \h </w:instrText>
      </w:r>
      <w:r>
        <w:rPr>
          <w:rFonts w:ascii="宋体" w:hAnsi="宋体"/>
        </w:rPr>
        <w:fldChar w:fldCharType="separate"/>
      </w:r>
      <w:r>
        <w:rPr>
          <w:rFonts w:ascii="宋体" w:hAnsi="宋体"/>
        </w:rPr>
        <w:t>174</w:t>
      </w:r>
      <w:r>
        <w:rPr>
          <w:rFonts w:ascii="宋体" w:hAnsi="宋体"/>
        </w:rPr>
        <w:fldChar w:fldCharType="end"/>
      </w:r>
      <w:r>
        <w:rPr>
          <w:rFonts w:ascii="宋体" w:hAnsi="宋体"/>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"_Toc135129541" </w:instrText>
      </w:r>
      <w:r>
        <w:fldChar w:fldCharType="separate"/>
      </w:r>
      <w:r>
        <w:rPr>
          <w:rStyle w:val="47"/>
          <w:rFonts w:ascii="宋体" w:hAnsi="宋体" w:cs="宋体"/>
        </w:rPr>
        <w:t>第六部分  商务和技术响应偏离表</w:t>
      </w:r>
      <w:r>
        <w:rPr>
          <w:rFonts w:ascii="宋体" w:hAnsi="宋体"/>
        </w:rPr>
        <w:tab/>
      </w:r>
      <w:r>
        <w:rPr>
          <w:rFonts w:ascii="宋体" w:hAnsi="宋体"/>
        </w:rPr>
        <w:fldChar w:fldCharType="begin"/>
      </w:r>
      <w:r>
        <w:rPr>
          <w:rFonts w:ascii="宋体" w:hAnsi="宋体"/>
        </w:rPr>
        <w:instrText xml:space="preserve"> PAGEREF _Toc135129541 \h </w:instrText>
      </w:r>
      <w:r>
        <w:rPr>
          <w:rFonts w:ascii="宋体" w:hAnsi="宋体"/>
        </w:rPr>
        <w:fldChar w:fldCharType="separate"/>
      </w:r>
      <w:r>
        <w:rPr>
          <w:rFonts w:ascii="宋体" w:hAnsi="宋体"/>
        </w:rPr>
        <w:t>176</w:t>
      </w:r>
      <w:r>
        <w:rPr>
          <w:rFonts w:ascii="宋体" w:hAnsi="宋体"/>
        </w:rPr>
        <w:fldChar w:fldCharType="end"/>
      </w:r>
      <w:r>
        <w:rPr>
          <w:rFonts w:ascii="宋体" w:hAnsi="宋体"/>
        </w:rPr>
        <w:fldChar w:fldCharType="end"/>
      </w:r>
      <w:bookmarkStart w:id="171" w:name="_GoBack"/>
      <w:bookmarkEnd w:id="171"/>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"_Toc135129542" </w:instrText>
      </w:r>
      <w:r>
        <w:fldChar w:fldCharType="separate"/>
      </w:r>
      <w:r>
        <w:rPr>
          <w:rStyle w:val="47"/>
          <w:rFonts w:ascii="宋体" w:hAnsi="宋体" w:cs="宋体"/>
        </w:rPr>
        <w:t>第七部分  技术与服务方案</w:t>
      </w:r>
      <w:r>
        <w:rPr>
          <w:rFonts w:ascii="宋体" w:hAnsi="宋体"/>
        </w:rPr>
        <w:tab/>
      </w:r>
      <w:r>
        <w:rPr>
          <w:rFonts w:ascii="宋体" w:hAnsi="宋体"/>
        </w:rPr>
        <w:fldChar w:fldCharType="begin"/>
      </w:r>
      <w:r>
        <w:rPr>
          <w:rFonts w:ascii="宋体" w:hAnsi="宋体"/>
        </w:rPr>
        <w:instrText xml:space="preserve"> PAGEREF _Toc135129542 \h </w:instrText>
      </w:r>
      <w:r>
        <w:rPr>
          <w:rFonts w:ascii="宋体" w:hAnsi="宋体"/>
        </w:rPr>
        <w:fldChar w:fldCharType="separate"/>
      </w:r>
      <w:r>
        <w:rPr>
          <w:rFonts w:ascii="宋体" w:hAnsi="宋体"/>
        </w:rPr>
        <w:t>178</w:t>
      </w:r>
      <w:r>
        <w:rPr>
          <w:rFonts w:ascii="宋体" w:hAnsi="宋体"/>
        </w:rPr>
        <w:fldChar w:fldCharType="end"/>
      </w:r>
      <w:r>
        <w:rPr>
          <w:rFonts w:ascii="宋体" w:hAnsi="宋体"/>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"_Toc135129543" </w:instrText>
      </w:r>
      <w:r>
        <w:fldChar w:fldCharType="separate"/>
      </w:r>
      <w:r>
        <w:rPr>
          <w:rStyle w:val="47"/>
          <w:rFonts w:ascii="宋体" w:hAnsi="宋体" w:cs="宋体"/>
        </w:rPr>
        <w:t>第八部分  服务承诺</w:t>
      </w:r>
      <w:r>
        <w:rPr>
          <w:rFonts w:ascii="宋体" w:hAnsi="宋体"/>
        </w:rPr>
        <w:tab/>
      </w:r>
      <w:r>
        <w:rPr>
          <w:rFonts w:ascii="宋体" w:hAnsi="宋体"/>
        </w:rPr>
        <w:fldChar w:fldCharType="begin"/>
      </w:r>
      <w:r>
        <w:rPr>
          <w:rFonts w:ascii="宋体" w:hAnsi="宋体"/>
        </w:rPr>
        <w:instrText xml:space="preserve"> PAGEREF _Toc135129543 \h </w:instrText>
      </w:r>
      <w:r>
        <w:rPr>
          <w:rFonts w:ascii="宋体" w:hAnsi="宋体"/>
        </w:rPr>
        <w:fldChar w:fldCharType="separate"/>
      </w:r>
      <w:r>
        <w:rPr>
          <w:rFonts w:ascii="宋体" w:hAnsi="宋体"/>
        </w:rPr>
        <w:t>179</w:t>
      </w:r>
      <w:r>
        <w:rPr>
          <w:rFonts w:ascii="宋体" w:hAnsi="宋体"/>
        </w:rPr>
        <w:fldChar w:fldCharType="end"/>
      </w:r>
      <w:r>
        <w:rPr>
          <w:rFonts w:ascii="宋体" w:hAnsi="宋体"/>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"_Toc135129544" </w:instrText>
      </w:r>
      <w:r>
        <w:fldChar w:fldCharType="separate"/>
      </w:r>
      <w:r>
        <w:rPr>
          <w:rStyle w:val="47"/>
          <w:rFonts w:ascii="宋体" w:hAnsi="宋体" w:cs="宋体"/>
        </w:rPr>
        <w:t>第九部分  供应商业绩一览表</w:t>
      </w:r>
      <w:r>
        <w:rPr>
          <w:rFonts w:ascii="宋体" w:hAnsi="宋体"/>
        </w:rPr>
        <w:tab/>
      </w:r>
      <w:r>
        <w:rPr>
          <w:rFonts w:ascii="宋体" w:hAnsi="宋体"/>
        </w:rPr>
        <w:fldChar w:fldCharType="begin"/>
      </w:r>
      <w:r>
        <w:rPr>
          <w:rFonts w:ascii="宋体" w:hAnsi="宋体"/>
        </w:rPr>
        <w:instrText xml:space="preserve"> PAGEREF _Toc135129544 \h </w:instrText>
      </w:r>
      <w:r>
        <w:rPr>
          <w:rFonts w:ascii="宋体" w:hAnsi="宋体"/>
        </w:rPr>
        <w:fldChar w:fldCharType="separate"/>
      </w:r>
      <w:r>
        <w:rPr>
          <w:rFonts w:ascii="宋体" w:hAnsi="宋体"/>
        </w:rPr>
        <w:t>180</w:t>
      </w:r>
      <w:r>
        <w:rPr>
          <w:rFonts w:ascii="宋体" w:hAnsi="宋体"/>
        </w:rPr>
        <w:fldChar w:fldCharType="end"/>
      </w:r>
      <w:r>
        <w:rPr>
          <w:rFonts w:ascii="宋体" w:hAnsi="宋体"/>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"_Toc135129545" </w:instrText>
      </w:r>
      <w:r>
        <w:fldChar w:fldCharType="separate"/>
      </w:r>
      <w:r>
        <w:rPr>
          <w:rStyle w:val="47"/>
          <w:rFonts w:ascii="宋体" w:hAnsi="宋体" w:cs="宋体"/>
        </w:rPr>
        <w:t>第十部分  供应商认为有必要说明的其他问题</w:t>
      </w:r>
      <w:r>
        <w:rPr>
          <w:rFonts w:ascii="宋体" w:hAnsi="宋体"/>
        </w:rPr>
        <w:tab/>
      </w:r>
      <w:r>
        <w:rPr>
          <w:rFonts w:ascii="宋体" w:hAnsi="宋体"/>
        </w:rPr>
        <w:fldChar w:fldCharType="begin"/>
      </w:r>
      <w:r>
        <w:rPr>
          <w:rFonts w:ascii="宋体" w:hAnsi="宋体"/>
        </w:rPr>
        <w:instrText xml:space="preserve"> PAGEREF _Toc135129545 \h </w:instrText>
      </w:r>
      <w:r>
        <w:rPr>
          <w:rFonts w:ascii="宋体" w:hAnsi="宋体"/>
        </w:rPr>
        <w:fldChar w:fldCharType="separate"/>
      </w:r>
      <w:r>
        <w:rPr>
          <w:rFonts w:ascii="宋体" w:hAnsi="宋体"/>
        </w:rPr>
        <w:t>181</w:t>
      </w:r>
      <w:r>
        <w:rPr>
          <w:rFonts w:ascii="宋体" w:hAnsi="宋体"/>
        </w:rPr>
        <w:fldChar w:fldCharType="end"/>
      </w:r>
      <w:r>
        <w:rPr>
          <w:rFonts w:ascii="宋体" w:hAnsi="宋体"/>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"_Toc135129546" </w:instrText>
      </w:r>
      <w:r>
        <w:fldChar w:fldCharType="separate"/>
      </w:r>
      <w:r>
        <w:rPr>
          <w:rStyle w:val="47"/>
          <w:rFonts w:ascii="宋体" w:hAnsi="宋体" w:cs="宋体"/>
        </w:rPr>
        <w:t>附件一、中小企业声明</w:t>
      </w:r>
      <w:r>
        <w:rPr>
          <w:rFonts w:ascii="宋体" w:hAnsi="宋体"/>
        </w:rPr>
        <w:tab/>
      </w:r>
      <w:r>
        <w:rPr>
          <w:rFonts w:ascii="宋体" w:hAnsi="宋体"/>
        </w:rPr>
        <w:fldChar w:fldCharType="begin"/>
      </w:r>
      <w:r>
        <w:rPr>
          <w:rFonts w:ascii="宋体" w:hAnsi="宋体"/>
        </w:rPr>
        <w:instrText xml:space="preserve"> PAGEREF _Toc135129546 \h </w:instrText>
      </w:r>
      <w:r>
        <w:rPr>
          <w:rFonts w:ascii="宋体" w:hAnsi="宋体"/>
        </w:rPr>
        <w:fldChar w:fldCharType="separate"/>
      </w:r>
      <w:r>
        <w:rPr>
          <w:rFonts w:ascii="宋体" w:hAnsi="宋体"/>
        </w:rPr>
        <w:t>182</w:t>
      </w:r>
      <w:r>
        <w:rPr>
          <w:rFonts w:ascii="宋体" w:hAnsi="宋体"/>
        </w:rPr>
        <w:fldChar w:fldCharType="end"/>
      </w:r>
      <w:r>
        <w:rPr>
          <w:rFonts w:ascii="宋体" w:hAnsi="宋体"/>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"_Toc135129547" </w:instrText>
      </w:r>
      <w:r>
        <w:fldChar w:fldCharType="separate"/>
      </w:r>
      <w:r>
        <w:rPr>
          <w:rStyle w:val="47"/>
          <w:rFonts w:ascii="宋体" w:hAnsi="宋体" w:cs="宋体"/>
        </w:rPr>
        <w:t>附件二、残疾人福利性单位声明</w:t>
      </w:r>
      <w:r>
        <w:rPr>
          <w:rFonts w:ascii="宋体" w:hAnsi="宋体"/>
        </w:rPr>
        <w:tab/>
      </w:r>
      <w:r>
        <w:rPr>
          <w:rFonts w:ascii="宋体" w:hAnsi="宋体"/>
        </w:rPr>
        <w:fldChar w:fldCharType="begin"/>
      </w:r>
      <w:r>
        <w:rPr>
          <w:rFonts w:ascii="宋体" w:hAnsi="宋体"/>
        </w:rPr>
        <w:instrText xml:space="preserve"> PAGEREF _Toc135129547 \h </w:instrText>
      </w:r>
      <w:r>
        <w:rPr>
          <w:rFonts w:ascii="宋体" w:hAnsi="宋体"/>
        </w:rPr>
        <w:fldChar w:fldCharType="separate"/>
      </w:r>
      <w:r>
        <w:rPr>
          <w:rFonts w:ascii="宋体" w:hAnsi="宋体"/>
        </w:rPr>
        <w:t>187</w:t>
      </w:r>
      <w:r>
        <w:rPr>
          <w:rFonts w:ascii="宋体" w:hAnsi="宋体"/>
        </w:rPr>
        <w:fldChar w:fldCharType="end"/>
      </w:r>
      <w:r>
        <w:rPr>
          <w:rFonts w:ascii="宋体" w:hAnsi="宋体"/>
        </w:rPr>
        <w:fldChar w:fldCharType="end"/>
      </w:r>
    </w:p>
    <w:p>
      <w:pPr>
        <w:pStyle w:val="31"/>
        <w:tabs>
          <w:tab w:val="right" w:leader="dot" w:pos="8290"/>
        </w:tabs>
        <w:ind w:left="497"/>
        <w:rPr>
          <w:rFonts w:ascii="宋体" w:hAnsi="宋体" w:cstheme="minorBidi"/>
          <w:kern w:val="2"/>
          <w14:ligatures w14:val="standardContextual"/>
        </w:rPr>
      </w:pPr>
      <w:r>
        <w:fldChar w:fldCharType="begin"/>
      </w:r>
      <w:r>
        <w:instrText xml:space="preserve"> HYPERLINK \l "_Toc135129548" </w:instrText>
      </w:r>
      <w:r>
        <w:fldChar w:fldCharType="separate"/>
      </w:r>
      <w:r>
        <w:rPr>
          <w:rStyle w:val="47"/>
          <w:rFonts w:ascii="宋体" w:hAnsi="宋体" w:cs="宋体"/>
        </w:rPr>
        <w:t>附件三、监狱企业证明文件</w:t>
      </w:r>
      <w:r>
        <w:rPr>
          <w:rFonts w:ascii="宋体" w:hAnsi="宋体"/>
        </w:rPr>
        <w:tab/>
      </w:r>
      <w:r>
        <w:rPr>
          <w:rFonts w:ascii="宋体" w:hAnsi="宋体"/>
        </w:rPr>
        <w:fldChar w:fldCharType="begin"/>
      </w:r>
      <w:r>
        <w:rPr>
          <w:rFonts w:ascii="宋体" w:hAnsi="宋体"/>
        </w:rPr>
        <w:instrText xml:space="preserve"> PAGEREF _Toc135129548 \h </w:instrText>
      </w:r>
      <w:r>
        <w:rPr>
          <w:rFonts w:ascii="宋体" w:hAnsi="宋体"/>
        </w:rPr>
        <w:fldChar w:fldCharType="separate"/>
      </w:r>
      <w:r>
        <w:rPr>
          <w:rFonts w:ascii="宋体" w:hAnsi="宋体"/>
        </w:rPr>
        <w:t>187</w:t>
      </w:r>
      <w:r>
        <w:rPr>
          <w:rFonts w:ascii="宋体" w:hAnsi="宋体"/>
        </w:rPr>
        <w:fldChar w:fldCharType="end"/>
      </w:r>
      <w:r>
        <w:rPr>
          <w:rFonts w:ascii="宋体" w:hAnsi="宋体"/>
        </w:rPr>
        <w:fldChar w:fldCharType="end"/>
      </w:r>
    </w:p>
    <w:p>
      <w:pPr>
        <w:rPr>
          <w:rFonts w:ascii="宋体" w:hAnsi="宋体" w:cs="宋体"/>
        </w:rPr>
      </w:pPr>
      <w:r>
        <w:rPr>
          <w:rFonts w:hint="eastAsia" w:ascii="宋体" w:hAnsi="宋体" w:cs="宋体"/>
        </w:rPr>
        <w:fldChar w:fldCharType="end"/>
      </w:r>
    </w:p>
    <w:p>
      <w:pPr>
        <w:pStyle w:val="6"/>
        <w:tabs>
          <w:tab w:val="center" w:pos="4158"/>
          <w:tab w:val="left" w:pos="6761"/>
        </w:tabs>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ab/>
      </w:r>
    </w:p>
    <w:p>
      <w:pPr>
        <w:pStyle w:val="6"/>
        <w:tabs>
          <w:tab w:val="center" w:pos="4158"/>
          <w:tab w:val="left" w:pos="6761"/>
        </w:tabs>
        <w:rPr>
          <w:rFonts w:cs="宋体" w:asciiTheme="minorEastAsia" w:hAnsiTheme="minorEastAsia" w:eastAsiaTheme="minorEastAsia"/>
          <w:sz w:val="24"/>
          <w:szCs w:val="24"/>
        </w:rPr>
        <w:sectPr>
          <w:headerReference r:id="rId4" w:type="first"/>
          <w:headerReference r:id="rId3" w:type="default"/>
          <w:footerReference r:id="rId5" w:type="default"/>
          <w:pgSz w:w="11906" w:h="16838"/>
          <w:pgMar w:top="1440" w:right="1803" w:bottom="1440" w:left="1803" w:header="850" w:footer="992" w:gutter="0"/>
          <w:cols w:space="0" w:num="1"/>
          <w:titlePg/>
          <w:docGrid w:type="linesAndChars" w:linePitch="395" w:charSpace="1724"/>
        </w:sectPr>
      </w:pPr>
    </w:p>
    <w:p>
      <w:pPr>
        <w:pStyle w:val="6"/>
        <w:tabs>
          <w:tab w:val="center" w:pos="4158"/>
          <w:tab w:val="left" w:pos="6761"/>
        </w:tabs>
        <w:rPr>
          <w:rFonts w:cs="宋体" w:asciiTheme="minorEastAsia" w:hAnsiTheme="minorEastAsia" w:eastAsiaTheme="minorEastAsia"/>
          <w:sz w:val="24"/>
          <w:szCs w:val="24"/>
        </w:rPr>
      </w:pPr>
      <w:bookmarkStart w:id="1" w:name="_Toc135129520"/>
      <w:r>
        <w:rPr>
          <w:rFonts w:hint="eastAsia" w:cs="宋体" w:asciiTheme="minorEastAsia" w:hAnsiTheme="minorEastAsia" w:eastAsiaTheme="minorEastAsia"/>
          <w:sz w:val="24"/>
          <w:szCs w:val="24"/>
        </w:rPr>
        <w:t>第一章  投标邀请函</w:t>
      </w:r>
      <w:bookmarkEnd w:id="0"/>
      <w:bookmarkEnd w:id="1"/>
    </w:p>
    <w:p>
      <w:pPr>
        <w:pStyle w:val="11"/>
        <w:numPr>
          <w:ilvl w:val="5"/>
          <w:numId w:val="0"/>
        </w:numPr>
        <w:spacing w:before="150" w:after="150" w:line="360" w:lineRule="auto"/>
        <w:ind w:left="-863" w:leftChars="-348" w:firstLine="744" w:firstLineChars="300"/>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tbl>
      <w:tblPr>
        <w:tblStyle w:val="37"/>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558" w:type="dxa"/>
          </w:tcPr>
          <w:p>
            <w:pPr>
              <w:pStyle w:val="32"/>
              <w:spacing w:before="150" w:beforeAutospacing="0" w:after="15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经开院区智能化及物联网系统项目招标项目的潜在投标人应在全国公共资源交易平台（陕西省·西安市）网站〖首页〉电子交易平台〉陕西政府采购交易系统〉企业端〗获取招标文件，并于2023年</w:t>
            </w:r>
            <w:r>
              <w:rPr>
                <w:rFonts w:hint="eastAsia" w:asciiTheme="minorEastAsia" w:hAnsiTheme="minorEastAsia" w:eastAsiaTheme="minorEastAsia"/>
                <w:lang w:val="en-US" w:eastAsia="zh-CN"/>
              </w:rPr>
              <w:t>6</w:t>
            </w:r>
            <w:r>
              <w:rPr>
                <w:rFonts w:hint="eastAsia" w:asciiTheme="minorEastAsia" w:hAnsiTheme="minorEastAsia" w:eastAsiaTheme="minorEastAsia"/>
              </w:rPr>
              <w:t>月</w:t>
            </w:r>
            <w:r>
              <w:rPr>
                <w:rFonts w:hint="eastAsia" w:asciiTheme="minorEastAsia" w:hAnsiTheme="minorEastAsia" w:eastAsiaTheme="minorEastAsia"/>
                <w:lang w:val="en-US" w:eastAsia="zh-CN"/>
              </w:rPr>
              <w:t>9</w:t>
            </w:r>
            <w:r>
              <w:rPr>
                <w:rFonts w:hint="eastAsia" w:asciiTheme="minorEastAsia" w:hAnsiTheme="minorEastAsia" w:eastAsiaTheme="minorEastAsia"/>
              </w:rPr>
              <w:t>日09时</w:t>
            </w:r>
            <w:r>
              <w:rPr>
                <w:rFonts w:hint="eastAsia" w:asciiTheme="minorEastAsia" w:hAnsiTheme="minorEastAsia" w:eastAsiaTheme="minorEastAsia"/>
                <w:lang w:val="en-US" w:eastAsia="zh-CN"/>
              </w:rPr>
              <w:t>3</w:t>
            </w:r>
            <w:r>
              <w:rPr>
                <w:rFonts w:hint="eastAsia" w:asciiTheme="minorEastAsia" w:hAnsiTheme="minorEastAsia" w:eastAsiaTheme="minorEastAsia"/>
              </w:rPr>
              <w:t>0分（北京时间）前递交投标文件。</w:t>
            </w:r>
          </w:p>
        </w:tc>
      </w:tr>
    </w:tbl>
    <w:p>
      <w:pPr>
        <w:pStyle w:val="9"/>
        <w:keepNext w:val="0"/>
        <w:numPr>
          <w:ilvl w:val="3"/>
          <w:numId w:val="0"/>
        </w:numPr>
        <w:shd w:val="clear" w:color="auto" w:fill="FFFFFF"/>
        <w:spacing w:before="150" w:after="0" w:line="360" w:lineRule="auto"/>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一、项目基本情况</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项目编号：ZMZB2023ZXYY-74</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项目名称：经开院区智能化及物联网系统项目</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采购方式：公开招标</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预算金额：</w:t>
      </w:r>
      <w:r>
        <w:rPr>
          <w:rFonts w:hint="eastAsia" w:asciiTheme="minorEastAsia" w:hAnsiTheme="minorEastAsia" w:eastAsiaTheme="minorEastAsia"/>
          <w:lang w:val="zh-CN"/>
        </w:rPr>
        <w:t>2125</w:t>
      </w:r>
      <w:r>
        <w:rPr>
          <w:rFonts w:hint="eastAsia" w:asciiTheme="minorEastAsia" w:hAnsiTheme="minorEastAsia" w:eastAsiaTheme="minorEastAsia"/>
        </w:rPr>
        <w:t>0000.00元</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最高限价：</w:t>
      </w:r>
      <w:r>
        <w:rPr>
          <w:rFonts w:hint="eastAsia" w:asciiTheme="minorEastAsia" w:hAnsiTheme="minorEastAsia" w:eastAsiaTheme="minorEastAsia"/>
          <w:lang w:val="zh-CN"/>
        </w:rPr>
        <w:t>2125</w:t>
      </w:r>
      <w:r>
        <w:rPr>
          <w:rFonts w:hint="eastAsia" w:asciiTheme="minorEastAsia" w:hAnsiTheme="minorEastAsia" w:eastAsiaTheme="minorEastAsia"/>
        </w:rPr>
        <w:t>0000.00元</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采购需求：</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合同包1(经开院区智能化及物联网系统项目):</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合同包预算金额：</w:t>
      </w:r>
      <w:r>
        <w:rPr>
          <w:rFonts w:hint="eastAsia" w:asciiTheme="minorEastAsia" w:hAnsiTheme="minorEastAsia" w:eastAsiaTheme="minorEastAsia"/>
          <w:lang w:val="zh-CN"/>
        </w:rPr>
        <w:t>2125</w:t>
      </w:r>
      <w:r>
        <w:rPr>
          <w:rFonts w:hint="eastAsia" w:asciiTheme="minorEastAsia" w:hAnsiTheme="minorEastAsia" w:eastAsiaTheme="minorEastAsia"/>
        </w:rPr>
        <w:t>0000.00元</w:t>
      </w:r>
    </w:p>
    <w:tbl>
      <w:tblPr>
        <w:tblStyle w:val="36"/>
        <w:tblW w:w="9278" w:type="dxa"/>
        <w:jc w:val="center"/>
        <w:tblLayout w:type="fixed"/>
        <w:tblCellMar>
          <w:top w:w="0" w:type="dxa"/>
          <w:left w:w="0" w:type="dxa"/>
          <w:bottom w:w="0" w:type="dxa"/>
          <w:right w:w="0" w:type="dxa"/>
        </w:tblCellMar>
      </w:tblPr>
      <w:tblGrid>
        <w:gridCol w:w="731"/>
        <w:gridCol w:w="1444"/>
        <w:gridCol w:w="1324"/>
        <w:gridCol w:w="1065"/>
        <w:gridCol w:w="1404"/>
        <w:gridCol w:w="1660"/>
        <w:gridCol w:w="1650"/>
      </w:tblGrid>
      <w:tr>
        <w:tblPrEx>
          <w:tblCellMar>
            <w:top w:w="0" w:type="dxa"/>
            <w:left w:w="0" w:type="dxa"/>
            <w:bottom w:w="0" w:type="dxa"/>
            <w:right w:w="0" w:type="dxa"/>
          </w:tblCellMar>
        </w:tblPrEx>
        <w:trPr>
          <w:trHeight w:val="1192" w:hRule="atLeast"/>
          <w:tblHeader/>
          <w:jc w:val="center"/>
        </w:trPr>
        <w:tc>
          <w:tcPr>
            <w:tcW w:w="7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both"/>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rPr>
              <w:t>品目号</w:t>
            </w:r>
          </w:p>
        </w:tc>
        <w:tc>
          <w:tcPr>
            <w:tcW w:w="14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ind w:firstLine="456" w:firstLineChars="200"/>
              <w:jc w:val="both"/>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rPr>
              <w:t>品目</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rPr>
              <w:t>名称</w:t>
            </w:r>
          </w:p>
        </w:tc>
        <w:tc>
          <w:tcPr>
            <w:tcW w:w="13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both"/>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rPr>
              <w:t>采购标的</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both"/>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rPr>
              <w:t>数量</w:t>
            </w:r>
          </w:p>
          <w:p>
            <w:pPr>
              <w:pStyle w:val="32"/>
              <w:shd w:val="clear" w:color="auto" w:fill="FFFFFF"/>
              <w:spacing w:before="0" w:beforeAutospacing="0" w:after="0" w:afterAutospacing="0" w:line="360" w:lineRule="auto"/>
              <w:jc w:val="both"/>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rPr>
              <w:t>（单位）</w:t>
            </w:r>
          </w:p>
        </w:tc>
        <w:tc>
          <w:tcPr>
            <w:tcW w:w="14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both"/>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rPr>
              <w:t>技术规格、参数及要求</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both"/>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rPr>
              <w:t>品目预算(元)</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both"/>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rPr>
              <w:t>最高限价(元)</w:t>
            </w:r>
          </w:p>
        </w:tc>
      </w:tr>
      <w:tr>
        <w:tblPrEx>
          <w:tblCellMar>
            <w:top w:w="0" w:type="dxa"/>
            <w:left w:w="0" w:type="dxa"/>
            <w:bottom w:w="0" w:type="dxa"/>
            <w:right w:w="0" w:type="dxa"/>
          </w:tblCellMar>
        </w:tblPrEx>
        <w:trPr>
          <w:trHeight w:val="1213" w:hRule="atLeast"/>
          <w:jc w:val="center"/>
        </w:trPr>
        <w:tc>
          <w:tcPr>
            <w:tcW w:w="7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center"/>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rPr>
              <w:t>1-1</w:t>
            </w:r>
          </w:p>
        </w:tc>
        <w:tc>
          <w:tcPr>
            <w:tcW w:w="14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both"/>
              <w:textAlignment w:val="baseline"/>
              <w:rPr>
                <w:rFonts w:hint="eastAsia" w:asciiTheme="minorEastAsia" w:hAnsiTheme="minorEastAsia" w:eastAsiaTheme="minorEastAsia"/>
                <w:sz w:val="22"/>
                <w:szCs w:val="22"/>
              </w:rPr>
            </w:pPr>
            <w:r>
              <w:rPr>
                <w:rFonts w:hint="eastAsia" w:asciiTheme="minorEastAsia" w:hAnsiTheme="minorEastAsia" w:eastAsiaTheme="minorEastAsia"/>
                <w:sz w:val="22"/>
                <w:szCs w:val="22"/>
                <w:lang w:val="en-US" w:eastAsia="zh-CN"/>
              </w:rPr>
              <w:t>软件集成实施服务</w:t>
            </w:r>
          </w:p>
        </w:tc>
        <w:tc>
          <w:tcPr>
            <w:tcW w:w="13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both"/>
              <w:textAlignment w:val="baseline"/>
              <w:rPr>
                <w:rFonts w:hint="eastAsia" w:asciiTheme="minorEastAsia" w:hAnsiTheme="minorEastAsia" w:eastAsiaTheme="minorEastAsia"/>
                <w:sz w:val="22"/>
                <w:szCs w:val="22"/>
              </w:rPr>
            </w:pPr>
            <w:r>
              <w:rPr>
                <w:rFonts w:hint="eastAsia" w:asciiTheme="minorEastAsia" w:hAnsiTheme="minorEastAsia" w:eastAsiaTheme="minorEastAsia"/>
                <w:sz w:val="22"/>
                <w:szCs w:val="22"/>
                <w:lang w:val="en-US" w:eastAsia="zh-CN"/>
              </w:rPr>
              <w:t>经开院区智能化及物联网系统</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center"/>
              <w:textAlignment w:val="baseline"/>
              <w:rPr>
                <w:rFonts w:hint="eastAsia" w:asciiTheme="minorEastAsia" w:hAnsiTheme="minorEastAsia" w:eastAsiaTheme="minorEastAsia"/>
                <w:sz w:val="22"/>
                <w:szCs w:val="22"/>
                <w:lang w:val="en-US" w:eastAsia="zh-CN"/>
              </w:rPr>
            </w:pPr>
            <w:r>
              <w:rPr>
                <w:rFonts w:hint="eastAsia" w:asciiTheme="minorEastAsia" w:hAnsiTheme="minorEastAsia" w:eastAsiaTheme="minorEastAsia"/>
                <w:sz w:val="22"/>
                <w:szCs w:val="22"/>
              </w:rPr>
              <w:t>1</w:t>
            </w:r>
            <w:r>
              <w:rPr>
                <w:rFonts w:hint="eastAsia" w:asciiTheme="minorEastAsia" w:hAnsiTheme="minorEastAsia" w:eastAsiaTheme="minorEastAsia"/>
                <w:sz w:val="22"/>
                <w:szCs w:val="22"/>
                <w:lang w:val="en-US" w:eastAsia="zh-CN"/>
              </w:rPr>
              <w:t>批</w:t>
            </w:r>
          </w:p>
        </w:tc>
        <w:tc>
          <w:tcPr>
            <w:tcW w:w="14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both"/>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rPr>
              <w:t>详见采购文件</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both"/>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lang w:val="zh-CN"/>
              </w:rPr>
              <w:t>2125</w:t>
            </w:r>
            <w:r>
              <w:rPr>
                <w:rFonts w:hint="eastAsia" w:asciiTheme="minorEastAsia" w:hAnsiTheme="minorEastAsia" w:eastAsiaTheme="minorEastAsia"/>
                <w:sz w:val="22"/>
                <w:szCs w:val="22"/>
              </w:rPr>
              <w:t>0000.00</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2"/>
              <w:shd w:val="clear" w:color="auto" w:fill="FFFFFF"/>
              <w:spacing w:before="0" w:beforeAutospacing="0" w:after="0" w:afterAutospacing="0" w:line="360" w:lineRule="auto"/>
              <w:jc w:val="both"/>
              <w:textAlignment w:val="baseline"/>
              <w:rPr>
                <w:rFonts w:asciiTheme="minorEastAsia" w:hAnsiTheme="minorEastAsia" w:eastAsiaTheme="minorEastAsia"/>
                <w:sz w:val="22"/>
                <w:szCs w:val="22"/>
              </w:rPr>
            </w:pPr>
            <w:r>
              <w:rPr>
                <w:rFonts w:hint="eastAsia" w:asciiTheme="minorEastAsia" w:hAnsiTheme="minorEastAsia" w:eastAsiaTheme="minorEastAsia"/>
                <w:sz w:val="22"/>
                <w:szCs w:val="22"/>
                <w:lang w:val="zh-CN"/>
              </w:rPr>
              <w:t>2125</w:t>
            </w:r>
            <w:r>
              <w:rPr>
                <w:rFonts w:hint="eastAsia" w:asciiTheme="minorEastAsia" w:hAnsiTheme="minorEastAsia" w:eastAsiaTheme="minorEastAsia"/>
                <w:sz w:val="22"/>
                <w:szCs w:val="22"/>
              </w:rPr>
              <w:t>0000.00</w:t>
            </w:r>
          </w:p>
        </w:tc>
      </w:tr>
    </w:tbl>
    <w:p>
      <w:pPr>
        <w:widowControl w:val="0"/>
        <w:spacing w:line="360" w:lineRule="auto"/>
        <w:ind w:firstLine="496" w:firstLineChars="200"/>
        <w:rPr>
          <w:rFonts w:cs="宋体" w:asciiTheme="minorEastAsia" w:hAnsiTheme="minorEastAsia" w:eastAsiaTheme="minorEastAsia"/>
        </w:rPr>
      </w:pPr>
      <w:r>
        <w:rPr>
          <w:rFonts w:hint="eastAsia" w:cs="宋体" w:asciiTheme="minorEastAsia" w:hAnsiTheme="minorEastAsia" w:eastAsiaTheme="minorEastAsia"/>
        </w:rPr>
        <w:t>本合同包不接受联合体投标</w:t>
      </w:r>
    </w:p>
    <w:p>
      <w:pPr>
        <w:widowControl w:val="0"/>
        <w:spacing w:line="360" w:lineRule="auto"/>
        <w:ind w:firstLine="496" w:firstLineChars="200"/>
        <w:rPr>
          <w:rFonts w:cs="宋体" w:asciiTheme="minorEastAsia" w:hAnsiTheme="minorEastAsia" w:eastAsiaTheme="minorEastAsia"/>
        </w:rPr>
      </w:pPr>
      <w:r>
        <w:rPr>
          <w:rFonts w:hint="eastAsia" w:cs="宋体" w:asciiTheme="minorEastAsia" w:hAnsiTheme="minorEastAsia" w:eastAsiaTheme="minorEastAsia"/>
        </w:rPr>
        <w:t>合同履行期限：自合同签订后到该项目服务期结束（具体服务起止日期可随合同签订时间相应顺延）</w:t>
      </w:r>
    </w:p>
    <w:p>
      <w:pPr>
        <w:pStyle w:val="9"/>
        <w:keepNext w:val="0"/>
        <w:numPr>
          <w:ilvl w:val="3"/>
          <w:numId w:val="0"/>
        </w:numPr>
        <w:shd w:val="clear" w:color="auto" w:fill="FFFFFF"/>
        <w:spacing w:before="150" w:after="0" w:line="360" w:lineRule="auto"/>
        <w:textAlignment w:val="baseline"/>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二、申请人的资格要求：</w:t>
      </w:r>
    </w:p>
    <w:p>
      <w:pPr>
        <w:pStyle w:val="32"/>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1.满足《中华人民共和国政府釆购法》第二十二条规定;</w:t>
      </w:r>
    </w:p>
    <w:p>
      <w:pPr>
        <w:pStyle w:val="32"/>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2.落实政府采购政策需满足的资格要求：</w:t>
      </w:r>
    </w:p>
    <w:p>
      <w:pPr>
        <w:pStyle w:val="32"/>
        <w:spacing w:before="0" w:beforeAutospacing="0" w:after="0" w:afterAutospacing="0" w:line="360" w:lineRule="auto"/>
        <w:jc w:val="both"/>
        <w:textAlignment w:val="baseline"/>
        <w:rPr>
          <w:rFonts w:asciiTheme="minorEastAsia" w:hAnsiTheme="minorEastAsia" w:eastAsiaTheme="minorEastAsia"/>
        </w:rPr>
      </w:pPr>
      <w:r>
        <w:rPr>
          <w:rFonts w:hint="eastAsia" w:asciiTheme="minorEastAsia" w:hAnsiTheme="minorEastAsia" w:eastAsiaTheme="minorEastAsia"/>
        </w:rPr>
        <w:t>合同包1(经开院区智能化及物联网系统项目)落实政府采购政策需满足的资格要求如下:</w:t>
      </w:r>
    </w:p>
    <w:p>
      <w:pPr>
        <w:pStyle w:val="32"/>
        <w:spacing w:before="0" w:beforeAutospacing="0" w:after="0" w:afterAutospacing="0" w:line="360" w:lineRule="auto"/>
        <w:jc w:val="both"/>
        <w:textAlignment w:val="baseline"/>
        <w:rPr>
          <w:rFonts w:asciiTheme="minorEastAsia" w:hAnsiTheme="minorEastAsia" w:eastAsiaTheme="minorEastAsia"/>
        </w:rPr>
      </w:pPr>
      <w:r>
        <w:rPr>
          <w:rFonts w:hint="eastAsia" w:asciiTheme="minorEastAsia" w:hAnsiTheme="minorEastAsia" w:eastAsiaTheme="minorEastAsia"/>
        </w:rPr>
        <w:t>（1）《政府采购促进中小企业发展管理办法》（财库〔2020〕46号）； </w:t>
      </w:r>
    </w:p>
    <w:p>
      <w:pPr>
        <w:pStyle w:val="32"/>
        <w:spacing w:before="0" w:beforeAutospacing="0" w:after="0" w:afterAutospacing="0" w:line="360" w:lineRule="auto"/>
        <w:jc w:val="both"/>
        <w:textAlignment w:val="baseline"/>
        <w:rPr>
          <w:rFonts w:asciiTheme="minorEastAsia" w:hAnsiTheme="minorEastAsia" w:eastAsiaTheme="minorEastAsia"/>
        </w:rPr>
      </w:pPr>
      <w:r>
        <w:rPr>
          <w:rFonts w:hint="eastAsia" w:asciiTheme="minorEastAsia" w:hAnsiTheme="minorEastAsia" w:eastAsiaTheme="minorEastAsia"/>
        </w:rPr>
        <w:t>（2）《财政部 司法部关于政府采购支持监狱企业发展有关问题的通知》（财库〔2014〕68号）；</w:t>
      </w:r>
    </w:p>
    <w:p>
      <w:pPr>
        <w:pStyle w:val="32"/>
        <w:spacing w:before="0" w:beforeAutospacing="0" w:after="0" w:afterAutospacing="0" w:line="360" w:lineRule="auto"/>
        <w:jc w:val="both"/>
        <w:textAlignment w:val="baseline"/>
        <w:rPr>
          <w:rFonts w:asciiTheme="minorEastAsia" w:hAnsiTheme="minorEastAsia" w:eastAsiaTheme="minorEastAsia"/>
        </w:rPr>
      </w:pPr>
      <w:r>
        <w:rPr>
          <w:rFonts w:hint="eastAsia" w:asciiTheme="minorEastAsia" w:hAnsiTheme="minorEastAsia" w:eastAsiaTheme="minorEastAsia"/>
        </w:rPr>
        <w:t>（3）《国务院办公厅关于建立政府强制采购节能产品制度的通知》（国办发〔2007〕51号）；</w:t>
      </w:r>
    </w:p>
    <w:p>
      <w:pPr>
        <w:pStyle w:val="32"/>
        <w:spacing w:before="0" w:beforeAutospacing="0" w:after="0" w:afterAutospacing="0" w:line="360" w:lineRule="auto"/>
        <w:jc w:val="both"/>
        <w:textAlignment w:val="baseline"/>
        <w:rPr>
          <w:rFonts w:asciiTheme="minorEastAsia" w:hAnsiTheme="minorEastAsia" w:eastAsiaTheme="minorEastAsia"/>
        </w:rPr>
      </w:pPr>
      <w:r>
        <w:rPr>
          <w:rFonts w:hint="eastAsia" w:asciiTheme="minorEastAsia" w:hAnsiTheme="minorEastAsia" w:eastAsiaTheme="minorEastAsia"/>
        </w:rPr>
        <w:t>（4）《财政部 国家发展改革委关于印发〈节能产品政府采购实施意见〉的通知》（财库〔2004〕185号）；</w:t>
      </w:r>
    </w:p>
    <w:p>
      <w:pPr>
        <w:pStyle w:val="32"/>
        <w:spacing w:before="0" w:beforeAutospacing="0" w:after="0" w:afterAutospacing="0" w:line="360" w:lineRule="auto"/>
        <w:jc w:val="both"/>
        <w:textAlignment w:val="baseline"/>
        <w:rPr>
          <w:rFonts w:asciiTheme="minorEastAsia" w:hAnsiTheme="minorEastAsia" w:eastAsiaTheme="minorEastAsia"/>
        </w:rPr>
      </w:pPr>
      <w:r>
        <w:rPr>
          <w:rFonts w:hint="eastAsia" w:asciiTheme="minorEastAsia" w:hAnsiTheme="minorEastAsia" w:eastAsiaTheme="minorEastAsia"/>
        </w:rPr>
        <w:t>（5）《财政部环保总局关于环境标志产品政府采购实施的意见》（财库〔2006〕90号）；</w:t>
      </w:r>
    </w:p>
    <w:p>
      <w:pPr>
        <w:pStyle w:val="32"/>
        <w:spacing w:before="0" w:beforeAutospacing="0" w:after="0" w:afterAutospacing="0" w:line="360" w:lineRule="auto"/>
        <w:jc w:val="both"/>
        <w:textAlignment w:val="baseline"/>
        <w:rPr>
          <w:rFonts w:asciiTheme="minorEastAsia" w:hAnsiTheme="minorEastAsia" w:eastAsiaTheme="minorEastAsia"/>
        </w:rPr>
      </w:pPr>
      <w:r>
        <w:rPr>
          <w:rFonts w:hint="eastAsia" w:asciiTheme="minorEastAsia" w:hAnsiTheme="minorEastAsia" w:eastAsiaTheme="minorEastAsia"/>
        </w:rPr>
        <w:t>（6）《三部门联合发布关于促进残疾人就业政府采购政策的通知》（财库〔2017〕141号）；</w:t>
      </w:r>
    </w:p>
    <w:p>
      <w:pPr>
        <w:pStyle w:val="32"/>
        <w:spacing w:before="0" w:beforeAutospacing="0" w:after="0" w:afterAutospacing="0" w:line="360" w:lineRule="auto"/>
        <w:jc w:val="both"/>
        <w:textAlignment w:val="baseline"/>
        <w:rPr>
          <w:rFonts w:asciiTheme="minorEastAsia" w:hAnsiTheme="minorEastAsia" w:eastAsiaTheme="minorEastAsia"/>
        </w:rPr>
      </w:pPr>
      <w:r>
        <w:rPr>
          <w:rFonts w:hint="eastAsia" w:asciiTheme="minorEastAsia" w:hAnsiTheme="minorEastAsia" w:eastAsiaTheme="minorEastAsia"/>
        </w:rPr>
        <w:t>（7）《财政部 发展改革委 生态环境部 市场监管总局关于调整优化节能产品、环境标志产品政府采购执行机制的通知》（财库〔2019〕9号）；</w:t>
      </w:r>
    </w:p>
    <w:p>
      <w:pPr>
        <w:pStyle w:val="32"/>
        <w:spacing w:before="0" w:beforeAutospacing="0" w:after="0" w:afterAutospacing="0" w:line="360" w:lineRule="auto"/>
        <w:jc w:val="both"/>
        <w:textAlignment w:val="baseline"/>
        <w:rPr>
          <w:rFonts w:asciiTheme="minorEastAsia" w:hAnsiTheme="minorEastAsia" w:eastAsiaTheme="minorEastAsia"/>
        </w:rPr>
      </w:pPr>
      <w:r>
        <w:rPr>
          <w:rFonts w:hint="eastAsia" w:asciiTheme="minorEastAsia" w:hAnsiTheme="minorEastAsia" w:eastAsiaTheme="minorEastAsia"/>
        </w:rPr>
        <w:t>（8）陕西省财政厅关于印发《陕西省中小企业政府采购信用融资办法》（陕财办采〔2018〕23号）；</w:t>
      </w:r>
    </w:p>
    <w:p>
      <w:pPr>
        <w:pStyle w:val="32"/>
        <w:spacing w:before="0" w:beforeAutospacing="0" w:after="0" w:afterAutospacing="0" w:line="360" w:lineRule="auto"/>
        <w:jc w:val="both"/>
        <w:textAlignment w:val="baseline"/>
        <w:rPr>
          <w:rFonts w:asciiTheme="minorEastAsia" w:hAnsiTheme="minorEastAsia" w:eastAsiaTheme="minorEastAsia"/>
        </w:rPr>
      </w:pPr>
      <w:r>
        <w:rPr>
          <w:rFonts w:hint="eastAsia" w:asciiTheme="minorEastAsia" w:hAnsiTheme="minorEastAsia" w:eastAsiaTheme="minorEastAsia"/>
        </w:rPr>
        <w:t>（9）《财政部 农业农村部 国家乡村振兴局关于运用政府采购政策支持乡村产业振兴的通知》（财库〔2021〕19号）。</w:t>
      </w:r>
    </w:p>
    <w:p>
      <w:pPr>
        <w:pStyle w:val="32"/>
        <w:spacing w:before="0" w:beforeAutospacing="0" w:after="0" w:afterAutospacing="0" w:line="360" w:lineRule="auto"/>
        <w:jc w:val="both"/>
        <w:textAlignment w:val="baseline"/>
        <w:rPr>
          <w:rFonts w:asciiTheme="minorEastAsia" w:hAnsiTheme="minorEastAsia" w:eastAsiaTheme="minorEastAsia"/>
        </w:rPr>
      </w:pPr>
      <w:r>
        <w:rPr>
          <w:rFonts w:hint="eastAsia" w:asciiTheme="minorEastAsia" w:hAnsiTheme="minorEastAsia" w:eastAsiaTheme="minorEastAsia"/>
        </w:rPr>
        <w:t>3.本项目的特定资格要求：</w:t>
      </w:r>
    </w:p>
    <w:p>
      <w:pPr>
        <w:pStyle w:val="32"/>
        <w:spacing w:before="0" w:beforeAutospacing="0" w:after="0" w:afterAutospacing="0" w:line="360" w:lineRule="auto"/>
        <w:jc w:val="both"/>
        <w:textAlignment w:val="baseline"/>
        <w:rPr>
          <w:rFonts w:asciiTheme="minorEastAsia" w:hAnsiTheme="minorEastAsia" w:eastAsiaTheme="minorEastAsia"/>
        </w:rPr>
      </w:pPr>
      <w:r>
        <w:rPr>
          <w:rFonts w:hint="eastAsia" w:asciiTheme="minorEastAsia" w:hAnsiTheme="minorEastAsia" w:eastAsiaTheme="minorEastAsia"/>
        </w:rPr>
        <w:t>合同包1(经开院区智能化及物联网系统项目)特定资格要求如下:</w:t>
      </w:r>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（1）具有独立承担民事责任能力的法人、其他组织或自然人，提供合法有效的统一社会信用代码营业执照（事业单位提供事业单位法人证书，自然人应提供身份证）；</w:t>
      </w:r>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2）财务状况证明：供应商提供2021年度或2022年度经审计完整的财务审计报告（成立时间至提交投标文件截止时间不足一年的可提供成立后任意时段的资产负债表），或其开标前三个月内供应商开户银行基本账户银行出具的资信证明，或财政部门认可的政府采购专业担保机构出具的投标担保函；</w:t>
      </w:r>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（3）具有履行合同所必需的设备和专业技术能力的书面声明；</w:t>
      </w:r>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（4）税收缴纳证明：提供2022年8月以来至少一个月的纳税证明或完税证明，依法免税的单位应提供相关证明材料； </w:t>
      </w:r>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（5）社会保障资金缴纳证明：提供2022年8月以来至少一个月的社会保障资金缴存单据或社保机构开具的社会保险参保缴费情况证明,依法不需要缴纳社会保障资金的供应商应提供相关文件证明；</w:t>
      </w:r>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（6）参加政府采购活动前3年内在经营活动中没有重大违法记录的书面声明；</w:t>
      </w:r>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（7）非法定代表人参加投标的，须提供法定代表人委托授权书及被授权人身份证，法定代表人参加投标时,只需提供法定代表人身份证； </w:t>
      </w:r>
    </w:p>
    <w:p>
      <w:pPr>
        <w:spacing w:line="360" w:lineRule="auto"/>
        <w:rPr>
          <w:rFonts w:cs="Tahoma" w:asciiTheme="minorEastAsia" w:hAnsiTheme="minorEastAsia" w:eastAsiaTheme="minorEastAsia"/>
          <w:color w:val="333333"/>
          <w:shd w:val="clear" w:color="auto" w:fill="FFFFFF"/>
        </w:rPr>
      </w:pPr>
      <w:r>
        <w:rPr>
          <w:rFonts w:hint="eastAsia" w:cs="宋体" w:asciiTheme="minorEastAsia" w:hAnsiTheme="minorEastAsia" w:eastAsiaTheme="minorEastAsia"/>
        </w:rPr>
        <w:t>（8）本项目不接受</w:t>
      </w:r>
      <w:r>
        <w:rPr>
          <w:rFonts w:hint="eastAsia" w:cs="Tahoma" w:asciiTheme="minorEastAsia" w:hAnsiTheme="minorEastAsia" w:eastAsiaTheme="minorEastAsia"/>
          <w:color w:val="333333"/>
          <w:shd w:val="clear" w:color="auto" w:fill="FFFFFF"/>
        </w:rPr>
        <w:t>联合体投标。</w:t>
      </w:r>
    </w:p>
    <w:p>
      <w:pPr>
        <w:pStyle w:val="9"/>
        <w:keepNext w:val="0"/>
        <w:numPr>
          <w:ilvl w:val="3"/>
          <w:numId w:val="0"/>
        </w:numPr>
        <w:shd w:val="clear" w:color="auto" w:fill="FFFFFF"/>
        <w:spacing w:before="150" w:after="0" w:line="360" w:lineRule="auto"/>
        <w:textAlignment w:val="baseline"/>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三、获取招标文件</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时间：2023年5月</w:t>
      </w:r>
      <w:r>
        <w:rPr>
          <w:rFonts w:hint="eastAsia" w:asciiTheme="minorEastAsia" w:hAnsiTheme="minorEastAsia" w:eastAsiaTheme="minorEastAsia"/>
          <w:lang w:val="en-US" w:eastAsia="zh-CN"/>
        </w:rPr>
        <w:t>16</w:t>
      </w:r>
      <w:r>
        <w:rPr>
          <w:rFonts w:hint="eastAsia" w:asciiTheme="minorEastAsia" w:hAnsiTheme="minorEastAsia" w:eastAsiaTheme="minorEastAsia"/>
        </w:rPr>
        <w:t>日至2023年</w:t>
      </w:r>
      <w:r>
        <w:rPr>
          <w:rFonts w:hint="eastAsia" w:asciiTheme="minorEastAsia" w:hAnsiTheme="minorEastAsia" w:eastAsiaTheme="minorEastAsia"/>
          <w:lang w:val="en-US" w:eastAsia="zh-CN"/>
        </w:rPr>
        <w:t>5</w:t>
      </w:r>
      <w:r>
        <w:rPr>
          <w:rFonts w:hint="eastAsia" w:asciiTheme="minorEastAsia" w:hAnsiTheme="minorEastAsia" w:eastAsiaTheme="minorEastAsia"/>
        </w:rPr>
        <w:t>月</w:t>
      </w:r>
      <w:r>
        <w:rPr>
          <w:rFonts w:hint="eastAsia" w:asciiTheme="minorEastAsia" w:hAnsiTheme="minorEastAsia" w:eastAsiaTheme="minorEastAsia"/>
          <w:lang w:val="en-US" w:eastAsia="zh-CN"/>
        </w:rPr>
        <w:t>23</w:t>
      </w:r>
      <w:r>
        <w:rPr>
          <w:rFonts w:hint="eastAsia" w:asciiTheme="minorEastAsia" w:hAnsiTheme="minorEastAsia" w:eastAsiaTheme="minorEastAsia"/>
        </w:rPr>
        <w:t>日，每天上午00:00:00至12:00:00，下午12:00:00至23:59:59（北京时间,法定节假日除外）</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途径：全国公共资源交易平台（陕西省·西安市）网站〖首页〉电子交易平台〉陕西政府采购交易系统〉企业端〗。</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方式：在线获取</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售价：免费获取</w:t>
      </w:r>
    </w:p>
    <w:p>
      <w:pPr>
        <w:pStyle w:val="9"/>
        <w:keepNext w:val="0"/>
        <w:numPr>
          <w:ilvl w:val="3"/>
          <w:numId w:val="0"/>
        </w:numPr>
        <w:shd w:val="clear" w:color="auto" w:fill="FFFFFF"/>
        <w:spacing w:before="150" w:after="0" w:line="360" w:lineRule="auto"/>
        <w:textAlignment w:val="baseline"/>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四、提交投标文件截止时间、开标时间和地点</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时间：2023年</w:t>
      </w:r>
      <w:r>
        <w:rPr>
          <w:rFonts w:hint="eastAsia" w:asciiTheme="minorEastAsia" w:hAnsiTheme="minorEastAsia" w:eastAsiaTheme="minorEastAsia"/>
          <w:lang w:val="en-US" w:eastAsia="zh-CN"/>
        </w:rPr>
        <w:t>6</w:t>
      </w:r>
      <w:r>
        <w:rPr>
          <w:rFonts w:hint="eastAsia" w:asciiTheme="minorEastAsia" w:hAnsiTheme="minorEastAsia" w:eastAsiaTheme="minorEastAsia"/>
        </w:rPr>
        <w:t>月</w:t>
      </w:r>
      <w:r>
        <w:rPr>
          <w:rFonts w:hint="eastAsia" w:asciiTheme="minorEastAsia" w:hAnsiTheme="minorEastAsia" w:eastAsiaTheme="minorEastAsia"/>
          <w:lang w:val="en-US" w:eastAsia="zh-CN"/>
        </w:rPr>
        <w:t>9</w:t>
      </w:r>
      <w:r>
        <w:rPr>
          <w:rFonts w:hint="eastAsia" w:asciiTheme="minorEastAsia" w:hAnsiTheme="minorEastAsia" w:eastAsiaTheme="minorEastAsia"/>
        </w:rPr>
        <w:t>日</w:t>
      </w:r>
      <w:r>
        <w:rPr>
          <w:rFonts w:hint="eastAsia" w:asciiTheme="minorEastAsia" w:hAnsiTheme="minorEastAsia" w:eastAsiaTheme="minorEastAsia"/>
          <w:lang w:val="en-US" w:eastAsia="zh-CN"/>
        </w:rPr>
        <w:t>09</w:t>
      </w:r>
      <w:r>
        <w:rPr>
          <w:rFonts w:hint="eastAsia" w:asciiTheme="minorEastAsia" w:hAnsiTheme="minorEastAsia" w:eastAsiaTheme="minorEastAsia"/>
        </w:rPr>
        <w:t>时</w:t>
      </w:r>
      <w:r>
        <w:rPr>
          <w:rFonts w:hint="eastAsia" w:asciiTheme="minorEastAsia" w:hAnsiTheme="minorEastAsia" w:eastAsiaTheme="minorEastAsia"/>
          <w:lang w:val="en-US" w:eastAsia="zh-CN"/>
        </w:rPr>
        <w:t>3</w:t>
      </w:r>
      <w:r>
        <w:rPr>
          <w:rFonts w:hint="eastAsia" w:asciiTheme="minorEastAsia" w:hAnsiTheme="minorEastAsia" w:eastAsiaTheme="minorEastAsia"/>
        </w:rPr>
        <w:t>0分00秒 （北京时间）</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提交投标文件地点：全国公共资源交易平台（陕西省·西安市）网站〖首页〉电子交易平台〉陕西政府采购交易系统〉企业端〗，在线提交。</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开标地点：西安市未央区文景北路16号白桦林国际B座三层311室</w:t>
      </w:r>
    </w:p>
    <w:p>
      <w:pPr>
        <w:pStyle w:val="9"/>
        <w:keepNext w:val="0"/>
        <w:numPr>
          <w:ilvl w:val="3"/>
          <w:numId w:val="0"/>
        </w:numPr>
        <w:shd w:val="clear" w:color="auto" w:fill="FFFFFF"/>
        <w:spacing w:before="150" w:after="0" w:line="360" w:lineRule="auto"/>
        <w:textAlignment w:val="baseline"/>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五、公告期限</w:t>
      </w:r>
    </w:p>
    <w:p>
      <w:pPr>
        <w:pStyle w:val="32"/>
        <w:shd w:val="clear" w:color="auto" w:fill="FFFFFF"/>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自本公告发布之日起5个工作日。</w:t>
      </w:r>
    </w:p>
    <w:p>
      <w:pPr>
        <w:pStyle w:val="9"/>
        <w:keepNext w:val="0"/>
        <w:numPr>
          <w:ilvl w:val="3"/>
          <w:numId w:val="0"/>
        </w:numPr>
        <w:shd w:val="clear" w:color="auto" w:fill="FFFFFF"/>
        <w:spacing w:before="150" w:after="0" w:line="360" w:lineRule="auto"/>
        <w:textAlignment w:val="baseline"/>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六、其他补充事宜</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注：（1）本项目为电子化政府采购项目，供应商初次使用电子交易平台时,请先阅读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pPr>
        <w:spacing w:line="56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（3）打开【全国公共资源交易平台（陕西省·西安市）】网站（简称西安市公共资源交易平台，官网地址：</w:t>
      </w:r>
      <w:r>
        <w:fldChar w:fldCharType="begin"/>
      </w:r>
      <w:r>
        <w:instrText xml:space="preserve"> HYPERLINK "http://sxggzyjy.xa.gov.cn/" </w:instrText>
      </w:r>
      <w:r>
        <w:fldChar w:fldCharType="separate"/>
      </w:r>
      <w:r>
        <w:rPr>
          <w:rFonts w:hint="eastAsia" w:cs="宋体" w:asciiTheme="minorEastAsia" w:hAnsiTheme="minorEastAsia" w:eastAsiaTheme="minorEastAsia"/>
        </w:rPr>
        <w:t>http://sxggzyjy.xa.gov.cn/</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 xml:space="preserve">（4）请供应商务必及时下载项目招标文件并做好备份,否则会影响投标文件编制及后续投标活动。 </w:t>
      </w:r>
    </w:p>
    <w:p>
      <w:pPr>
        <w:spacing w:line="560" w:lineRule="exact"/>
        <w:ind w:firstLine="496" w:firstLineChars="200"/>
        <w:jc w:val="both"/>
        <w:rPr>
          <w:rFonts w:asciiTheme="minorEastAsia" w:hAnsiTheme="minorEastAsia" w:eastAsiaTheme="minorEastAsia"/>
        </w:rPr>
      </w:pPr>
      <w:r>
        <w:rPr>
          <w:rFonts w:hint="eastAsia" w:cs="宋体" w:asciiTheme="minorEastAsia" w:hAnsiTheme="minorEastAsia" w:eastAsiaTheme="minorEastAsia"/>
        </w:rPr>
        <w:t>（5）按照陕西省财政厅《关于政府采购供应商注册登记有关事项的通知》中的要求,供应商应通过陕西省政府采购网(http:〃www.ccgp shaanxi.gov.cn/)注册登记,加入陕西省政府采购供应商库 。</w:t>
      </w:r>
      <w:r>
        <w:rPr>
          <w:rFonts w:hint="eastAsia" w:cs="黑体" w:asciiTheme="minorEastAsia" w:hAnsiTheme="minorEastAsia" w:eastAsiaTheme="minorEastAsia"/>
          <w:color w:val="000000"/>
        </w:rPr>
        <w:t xml:space="preserve"> </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（6）制作电子投标文件（*.SXSTF）需要使用专用制作工具。软件下载及操作说明详见西安市公共资源交易平台〖首页·〉服务指南·〉下载专区〗中的《政府采购项目投标文件制作软件及操作手册》。</w:t>
      </w:r>
    </w:p>
    <w:p>
      <w:pPr>
        <w:shd w:val="clear" w:color="auto" w:fill="FFFFFF"/>
        <w:spacing w:before="150" w:line="360" w:lineRule="auto"/>
        <w:ind w:firstLine="496" w:firstLineChars="200"/>
        <w:textAlignment w:val="baseline"/>
        <w:rPr>
          <w:rFonts w:cs="宋体" w:asciiTheme="minorEastAsia" w:hAnsiTheme="minorEastAsia" w:eastAsiaTheme="minorEastAsia"/>
        </w:rPr>
      </w:pPr>
      <w:r>
        <w:rPr>
          <w:rFonts w:hint="eastAsia" w:cs="宋体" w:asciiTheme="minorEastAsia" w:hAnsiTheme="minorEastAsia" w:eastAsiaTheme="minorEastAsia"/>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shd w:val="clear" w:color="auto" w:fill="FFFFFF"/>
        <w:spacing w:before="150" w:line="360" w:lineRule="auto"/>
        <w:ind w:firstLine="496" w:firstLineChars="200"/>
        <w:textAlignment w:val="baseline"/>
        <w:rPr>
          <w:rFonts w:cs="宋体" w:asciiTheme="minorEastAsia" w:hAnsiTheme="minorEastAsia" w:eastAsiaTheme="minorEastAsia"/>
        </w:rPr>
      </w:pPr>
      <w:r>
        <w:rPr>
          <w:rFonts w:hint="eastAsia" w:cs="宋体" w:asciiTheme="minorEastAsia" w:hAnsiTheme="minorEastAsia" w:eastAsiaTheme="minorEastAsia"/>
        </w:rPr>
        <w:t>（8）本项目将采用“不见面开标”形式。操作说明详见平台〖首页·〉服务指南·〉下载专区〗中的《西安公共资源交易不见面开标大厅供应商操作手册》。</w:t>
      </w:r>
    </w:p>
    <w:p>
      <w:pPr>
        <w:pStyle w:val="9"/>
        <w:keepNext w:val="0"/>
        <w:numPr>
          <w:ilvl w:val="3"/>
          <w:numId w:val="0"/>
        </w:numPr>
        <w:shd w:val="clear" w:color="auto" w:fill="FFFFFF"/>
        <w:spacing w:before="150" w:after="0" w:line="360" w:lineRule="auto"/>
        <w:textAlignment w:val="baseline"/>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七、对本次招标提出询问，请按以下方式联系。</w:t>
      </w:r>
    </w:p>
    <w:p>
      <w:pPr>
        <w:pStyle w:val="11"/>
        <w:numPr>
          <w:ilvl w:val="5"/>
          <w:numId w:val="0"/>
        </w:numPr>
        <w:spacing w:before="0" w:after="0" w:line="360" w:lineRule="auto"/>
        <w:ind w:firstLine="248" w:firstLineChars="100"/>
        <w:textAlignment w:val="baseline"/>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1.釆购人信息</w:t>
      </w:r>
    </w:p>
    <w:p>
      <w:pPr>
        <w:pStyle w:val="11"/>
        <w:numPr>
          <w:ilvl w:val="5"/>
          <w:numId w:val="0"/>
        </w:numPr>
        <w:spacing w:before="0" w:after="0" w:line="360" w:lineRule="auto"/>
        <w:ind w:firstLine="248" w:firstLineChars="100"/>
        <w:textAlignment w:val="baseline"/>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名称：西安市中心医院</w:t>
      </w:r>
    </w:p>
    <w:p>
      <w:pPr>
        <w:pStyle w:val="11"/>
        <w:numPr>
          <w:ilvl w:val="5"/>
          <w:numId w:val="0"/>
        </w:numPr>
        <w:spacing w:before="0" w:after="0" w:line="360" w:lineRule="auto"/>
        <w:ind w:firstLine="248" w:firstLineChars="100"/>
        <w:textAlignment w:val="baseline"/>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地址：西安市后宰门185号</w:t>
      </w:r>
    </w:p>
    <w:p>
      <w:pPr>
        <w:pStyle w:val="11"/>
        <w:numPr>
          <w:ilvl w:val="5"/>
          <w:numId w:val="0"/>
        </w:numPr>
        <w:spacing w:before="0" w:after="0" w:line="360" w:lineRule="auto"/>
        <w:ind w:firstLine="248" w:firstLineChars="100"/>
        <w:textAlignment w:val="baseline"/>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 xml:space="preserve">联系方式：南老师 029-62812557   </w:t>
      </w:r>
    </w:p>
    <w:p>
      <w:pPr>
        <w:pStyle w:val="11"/>
        <w:numPr>
          <w:ilvl w:val="5"/>
          <w:numId w:val="0"/>
        </w:numPr>
        <w:spacing w:before="0" w:after="0" w:line="360" w:lineRule="auto"/>
        <w:ind w:firstLine="248" w:firstLineChars="100"/>
        <w:textAlignment w:val="baseline"/>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2.釆购代理机构信息</w:t>
      </w:r>
    </w:p>
    <w:p>
      <w:pPr>
        <w:pStyle w:val="32"/>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名称：陕西卓佲项目管理有限公司</w:t>
      </w:r>
    </w:p>
    <w:p>
      <w:pPr>
        <w:pStyle w:val="32"/>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地址：西安市雁塔区科技路10号华奥大厦A座20层2002室</w:t>
      </w:r>
    </w:p>
    <w:p>
      <w:pPr>
        <w:pStyle w:val="32"/>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联系方式：17778966062</w:t>
      </w:r>
    </w:p>
    <w:p>
      <w:pPr>
        <w:pStyle w:val="11"/>
        <w:numPr>
          <w:ilvl w:val="5"/>
          <w:numId w:val="0"/>
        </w:numPr>
        <w:spacing w:before="0" w:after="0" w:line="360" w:lineRule="auto"/>
        <w:ind w:left="-863" w:leftChars="-348" w:firstLine="992" w:firstLineChars="400"/>
        <w:textAlignment w:val="baseline"/>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3.项目联系方式</w:t>
      </w:r>
    </w:p>
    <w:p>
      <w:pPr>
        <w:pStyle w:val="32"/>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项目联系人：董菊莉 杜华龙 米文佳 干欣彤</w:t>
      </w:r>
    </w:p>
    <w:p>
      <w:pPr>
        <w:pStyle w:val="32"/>
        <w:spacing w:before="0" w:beforeAutospacing="0" w:after="0" w:afterAutospacing="0" w:line="360" w:lineRule="auto"/>
        <w:ind w:firstLine="480"/>
        <w:jc w:val="both"/>
        <w:textAlignment w:val="baseline"/>
        <w:rPr>
          <w:rFonts w:asciiTheme="minorEastAsia" w:hAnsiTheme="minorEastAsia" w:eastAsiaTheme="minorEastAsia"/>
        </w:rPr>
      </w:pPr>
      <w:r>
        <w:rPr>
          <w:rFonts w:hint="eastAsia" w:asciiTheme="minorEastAsia" w:hAnsiTheme="minorEastAsia" w:eastAsiaTheme="minorEastAsia"/>
        </w:rPr>
        <w:t>电话： 17778966062</w:t>
      </w:r>
    </w:p>
    <w:p>
      <w:pPr>
        <w:pStyle w:val="32"/>
        <w:shd w:val="clear" w:color="auto" w:fill="FFFFFF"/>
        <w:spacing w:before="0" w:beforeAutospacing="0" w:after="0" w:afterAutospacing="0" w:line="360" w:lineRule="auto"/>
        <w:ind w:firstLine="480"/>
        <w:jc w:val="right"/>
        <w:textAlignment w:val="baseline"/>
        <w:rPr>
          <w:rFonts w:asciiTheme="minorEastAsia" w:hAnsiTheme="minorEastAsia" w:eastAsiaTheme="minorEastAsia"/>
        </w:rPr>
      </w:pPr>
      <w:r>
        <w:rPr>
          <w:rFonts w:hint="eastAsia" w:asciiTheme="minorEastAsia" w:hAnsiTheme="minorEastAsia" w:eastAsiaTheme="minorEastAsia"/>
        </w:rPr>
        <w:t>陕西卓佲项目管理有限公司</w:t>
      </w:r>
    </w:p>
    <w:p>
      <w:pPr>
        <w:pStyle w:val="32"/>
        <w:shd w:val="clear" w:color="auto" w:fill="FFFFFF"/>
        <w:spacing w:before="0" w:beforeAutospacing="0" w:after="0" w:afterAutospacing="0" w:line="360" w:lineRule="auto"/>
        <w:ind w:firstLine="480"/>
        <w:jc w:val="right"/>
        <w:textAlignment w:val="baseline"/>
        <w:rPr>
          <w:rFonts w:asciiTheme="minorEastAsia" w:hAnsiTheme="minorEastAsia" w:eastAsiaTheme="minorEastAsia"/>
        </w:rPr>
      </w:pPr>
      <w:r>
        <w:rPr>
          <w:rFonts w:hint="eastAsia" w:asciiTheme="minorEastAsia" w:hAnsiTheme="minorEastAsia" w:eastAsiaTheme="minorEastAsia"/>
        </w:rPr>
        <w:t>2023年</w:t>
      </w:r>
      <w:r>
        <w:rPr>
          <w:rFonts w:hint="eastAsia" w:asciiTheme="minorEastAsia" w:hAnsiTheme="minorEastAsia" w:eastAsiaTheme="minorEastAsia"/>
          <w:lang w:val="en-US" w:eastAsia="zh-CN"/>
        </w:rPr>
        <w:t>5</w:t>
      </w:r>
      <w:r>
        <w:rPr>
          <w:rFonts w:hint="eastAsia" w:asciiTheme="minorEastAsia" w:hAnsiTheme="minorEastAsia" w:eastAsiaTheme="minorEastAsia"/>
        </w:rPr>
        <w:t>月</w:t>
      </w:r>
      <w:r>
        <w:rPr>
          <w:rFonts w:hint="eastAsia" w:asciiTheme="minorEastAsia" w:hAnsiTheme="minorEastAsia" w:eastAsiaTheme="minorEastAsia"/>
          <w:lang w:val="en-US" w:eastAsia="zh-CN"/>
        </w:rPr>
        <w:t>16</w:t>
      </w:r>
      <w:r>
        <w:rPr>
          <w:rFonts w:hint="eastAsia" w:asciiTheme="minorEastAsia" w:hAnsiTheme="minorEastAsia" w:eastAsiaTheme="minorEastAsia"/>
        </w:rPr>
        <w:t>日</w:t>
      </w:r>
    </w:p>
    <w:p>
      <w:pPr>
        <w:spacing w:line="560" w:lineRule="exact"/>
        <w:ind w:firstLine="496" w:firstLineChars="200"/>
        <w:jc w:val="both"/>
        <w:rPr>
          <w:rFonts w:cs="宋体" w:asciiTheme="minorEastAsia" w:hAnsiTheme="minorEastAsia" w:eastAsiaTheme="minorEastAsia"/>
        </w:rPr>
      </w:pPr>
      <w:bookmarkStart w:id="2" w:name="_Toc100219613"/>
      <w:bookmarkStart w:id="3" w:name="_Toc534656409"/>
      <w:bookmarkStart w:id="4" w:name="_Toc533363262"/>
      <w:bookmarkStart w:id="5" w:name="_Toc445407251"/>
      <w:bookmarkStart w:id="6" w:name="_Toc533363235"/>
      <w:bookmarkStart w:id="7" w:name="_Toc534656414"/>
      <w:bookmarkStart w:id="8" w:name="_Toc97563329"/>
      <w:bookmarkStart w:id="9" w:name="_Toc498349068"/>
      <w:r>
        <w:rPr>
          <w:rFonts w:hint="eastAsia" w:cs="宋体" w:asciiTheme="minorEastAsia" w:hAnsiTheme="minorEastAsia" w:eastAsiaTheme="minorEastAsia"/>
        </w:rPr>
        <w:br w:type="page"/>
      </w:r>
    </w:p>
    <w:p>
      <w:pPr>
        <w:pStyle w:val="6"/>
        <w:spacing w:line="240" w:lineRule="auto"/>
        <w:rPr>
          <w:rFonts w:cs="宋体" w:asciiTheme="minorEastAsia" w:hAnsiTheme="minorEastAsia" w:eastAsiaTheme="minorEastAsia"/>
          <w:sz w:val="24"/>
          <w:szCs w:val="24"/>
        </w:rPr>
      </w:pPr>
      <w:bookmarkStart w:id="10" w:name="_Toc135129521"/>
      <w:r>
        <w:rPr>
          <w:rFonts w:hint="eastAsia" w:cs="宋体" w:asciiTheme="minorEastAsia" w:hAnsiTheme="minorEastAsia" w:eastAsiaTheme="minorEastAsia"/>
          <w:sz w:val="24"/>
          <w:szCs w:val="24"/>
        </w:rPr>
        <w:t>第二章  供应商须知</w:t>
      </w:r>
      <w:bookmarkEnd w:id="2"/>
      <w:bookmarkEnd w:id="3"/>
      <w:bookmarkEnd w:id="4"/>
      <w:bookmarkEnd w:id="5"/>
      <w:bookmarkEnd w:id="6"/>
      <w:bookmarkEnd w:id="7"/>
      <w:bookmarkEnd w:id="8"/>
      <w:bookmarkEnd w:id="9"/>
      <w:bookmarkEnd w:id="10"/>
    </w:p>
    <w:p>
      <w:pPr>
        <w:pStyle w:val="7"/>
        <w:spacing w:line="240" w:lineRule="auto"/>
        <w:ind w:firstLine="497"/>
        <w:jc w:val="left"/>
        <w:rPr>
          <w:rFonts w:cs="宋体" w:asciiTheme="minorEastAsia" w:hAnsiTheme="minorEastAsia" w:eastAsiaTheme="minorEastAsia"/>
          <w:sz w:val="24"/>
          <w:szCs w:val="24"/>
        </w:rPr>
      </w:pPr>
      <w:bookmarkStart w:id="11" w:name="_Toc135129522"/>
      <w:r>
        <w:rPr>
          <w:rFonts w:hint="eastAsia" w:cs="宋体" w:asciiTheme="minorEastAsia" w:hAnsiTheme="minorEastAsia" w:eastAsiaTheme="minorEastAsia"/>
          <w:sz w:val="24"/>
          <w:szCs w:val="24"/>
        </w:rPr>
        <w:t>〖前附表〗</w:t>
      </w:r>
      <w:bookmarkEnd w:id="11"/>
    </w:p>
    <w:tbl>
      <w:tblPr>
        <w:tblStyle w:val="3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2F2F2"/>
            <w:vAlign w:val="center"/>
          </w:tcPr>
          <w:p>
            <w:pPr>
              <w:jc w:val="center"/>
              <w:rPr>
                <w:rFonts w:cs="宋体" w:asciiTheme="minorEastAsia" w:hAnsiTheme="minorEastAsia" w:eastAsiaTheme="minorEastAsia"/>
                <w:b/>
                <w:bCs/>
              </w:rPr>
            </w:pPr>
            <w:r>
              <w:rPr>
                <w:rFonts w:hint="eastAsia" w:cs="宋体" w:asciiTheme="minorEastAsia" w:hAnsiTheme="minorEastAsia" w:eastAsiaTheme="minorEastAsia"/>
                <w:b/>
                <w:bCs/>
              </w:rPr>
              <w:t>序号</w:t>
            </w:r>
          </w:p>
        </w:tc>
        <w:tc>
          <w:tcPr>
            <w:tcW w:w="3402" w:type="dxa"/>
            <w:tcBorders>
              <w:top w:val="single" w:color="auto" w:sz="12" w:space="0"/>
              <w:bottom w:val="single" w:color="auto" w:sz="2" w:space="0"/>
            </w:tcBorders>
            <w:shd w:val="clear" w:color="auto" w:fill="F2F2F2"/>
            <w:vAlign w:val="center"/>
          </w:tcPr>
          <w:p>
            <w:pPr>
              <w:jc w:val="center"/>
              <w:rPr>
                <w:rFonts w:cs="宋体" w:asciiTheme="minorEastAsia" w:hAnsiTheme="minorEastAsia" w:eastAsiaTheme="minorEastAsia"/>
                <w:b/>
                <w:bCs/>
              </w:rPr>
            </w:pPr>
            <w:r>
              <w:rPr>
                <w:rFonts w:hint="eastAsia" w:cs="宋体" w:asciiTheme="minorEastAsia" w:hAnsiTheme="minorEastAsia" w:eastAsiaTheme="minorEastAsia"/>
                <w:b/>
                <w:bCs/>
              </w:rPr>
              <w:t>内容</w:t>
            </w:r>
          </w:p>
        </w:tc>
        <w:tc>
          <w:tcPr>
            <w:tcW w:w="4490" w:type="dxa"/>
            <w:tcBorders>
              <w:top w:val="single" w:color="auto" w:sz="12" w:space="0"/>
              <w:bottom w:val="single" w:color="auto" w:sz="2" w:space="0"/>
            </w:tcBorders>
            <w:shd w:val="clear" w:color="auto" w:fill="F2F2F2"/>
            <w:vAlign w:val="center"/>
          </w:tcPr>
          <w:p>
            <w:pPr>
              <w:jc w:val="center"/>
              <w:rPr>
                <w:rFonts w:cs="宋体" w:asciiTheme="minorEastAsia" w:hAnsiTheme="minorEastAsia" w:eastAsiaTheme="minorEastAsia"/>
                <w:b/>
                <w:bCs/>
              </w:rPr>
            </w:pPr>
            <w:r>
              <w:rPr>
                <w:rFonts w:hint="eastAsia" w:cs="宋体" w:asciiTheme="minorEastAsia" w:hAnsiTheme="minorEastAsia" w:eastAsiaTheme="minorEastAsia"/>
                <w:b/>
                <w:bCs/>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3402" w:type="dxa"/>
            <w:tcBorders>
              <w:top w:val="single" w:color="auto" w:sz="2" w:space="0"/>
            </w:tcBorders>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项目名称</w:t>
            </w:r>
          </w:p>
        </w:tc>
        <w:tc>
          <w:tcPr>
            <w:tcW w:w="4490" w:type="dxa"/>
            <w:tcBorders>
              <w:top w:val="single" w:color="auto" w:sz="2" w:space="0"/>
            </w:tcBorders>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西安市中心医院经开院区智能化及物联网系统项目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项目编号</w:t>
            </w:r>
          </w:p>
        </w:tc>
        <w:tc>
          <w:tcPr>
            <w:tcW w:w="4490"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ZMZB2023ZXYY-74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备案（核准）编号</w:t>
            </w:r>
          </w:p>
        </w:tc>
        <w:tc>
          <w:tcPr>
            <w:tcW w:w="4490" w:type="dxa"/>
            <w:shd w:val="clear" w:color="auto" w:fill="auto"/>
            <w:vAlign w:val="center"/>
          </w:tcPr>
          <w:p>
            <w:pPr>
              <w:jc w:val="center"/>
              <w:rPr>
                <w:rFonts w:cs="宋体" w:asciiTheme="minorEastAsia" w:hAnsiTheme="minorEastAsia" w:eastAsiaTheme="minorEastAsia"/>
              </w:rPr>
            </w:pPr>
            <w:r>
              <w:rPr>
                <w:rFonts w:cs="宋体" w:asciiTheme="minorEastAsia" w:hAnsiTheme="minorEastAsia" w:eastAsiaTheme="minorEastAsia"/>
              </w:rPr>
              <w:t>ZCBN-西安市-2023-00862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是否预留份额</w:t>
            </w:r>
          </w:p>
          <w:p>
            <w:pPr>
              <w:jc w:val="center"/>
              <w:rPr>
                <w:rFonts w:cs="宋体" w:asciiTheme="minorEastAsia" w:hAnsiTheme="minorEastAsia" w:eastAsiaTheme="minorEastAsia"/>
              </w:rPr>
            </w:pPr>
            <w:r>
              <w:rPr>
                <w:rFonts w:hint="eastAsia" w:cs="宋体" w:asciiTheme="minorEastAsia" w:hAnsiTheme="minorEastAsia" w:eastAsiaTheme="minorEastAsia"/>
              </w:rPr>
              <w:t>专门面向中小企业采购</w:t>
            </w:r>
          </w:p>
        </w:tc>
        <w:tc>
          <w:tcPr>
            <w:tcW w:w="4490" w:type="dxa"/>
            <w:shd w:val="clear" w:color="auto" w:fill="auto"/>
            <w:vAlign w:val="center"/>
          </w:tcPr>
          <w:p>
            <w:pPr>
              <w:jc w:val="center"/>
              <w:rPr>
                <w:rFonts w:cs="宋体" w:asciiTheme="minorEastAsia" w:hAnsiTheme="minorEastAsia" w:eastAsiaTheme="minorEastAsia"/>
              </w:rPr>
            </w:pPr>
            <w:r>
              <w:rPr>
                <w:rFonts w:ascii="Segoe UI Symbol" w:hAnsi="Segoe UI Symbol" w:cs="Segoe UI Symbol" w:eastAsiaTheme="minorEastAsia"/>
              </w:rPr>
              <w:t>☐</w:t>
            </w:r>
            <w:r>
              <w:rPr>
                <w:rFonts w:hint="eastAsia" w:ascii="宋体" w:hAnsi="宋体" w:cs="宋体"/>
              </w:rPr>
              <w:t>是</w:t>
            </w:r>
            <w:r>
              <w:rPr>
                <w:rFonts w:hint="eastAsia" w:cs="宋体" w:asciiTheme="minorEastAsia" w:hAnsiTheme="minorEastAsia" w:eastAsiaTheme="minorEastAsia"/>
              </w:rPr>
              <w:t xml:space="preserve">  </w:t>
            </w:r>
            <w:r>
              <w:rPr>
                <w:rFonts w:ascii="Segoe UI Symbol" w:hAnsi="Segoe UI Symbol" w:cs="Segoe UI Symbol" w:eastAsiaTheme="minorEastAsia"/>
              </w:rPr>
              <w:t>☑</w:t>
            </w:r>
            <w:r>
              <w:rPr>
                <w:rFonts w:hint="eastAsia" w:ascii="宋体" w:hAnsi="宋体" w:cs="宋体"/>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5</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预算金额</w:t>
            </w:r>
          </w:p>
        </w:tc>
        <w:tc>
          <w:tcPr>
            <w:tcW w:w="4490"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lang w:val="zh-CN"/>
              </w:rPr>
              <w:t>2125</w:t>
            </w:r>
            <w:r>
              <w:rPr>
                <w:rFonts w:hint="eastAsia" w:cs="宋体" w:asciiTheme="minorEastAsia" w:hAnsiTheme="minorEastAsia" w:eastAsiaTheme="minorEastAsia"/>
              </w:rPr>
              <w:t>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cs="宋体" w:asciiTheme="minorEastAsia" w:hAnsiTheme="minorEastAsia" w:eastAsiaTheme="minorEastAsia"/>
              </w:rPr>
            </w:pP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最高限价</w:t>
            </w:r>
          </w:p>
        </w:tc>
        <w:tc>
          <w:tcPr>
            <w:tcW w:w="4490"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lang w:val="zh-CN"/>
              </w:rPr>
              <w:t>2125</w:t>
            </w:r>
            <w:r>
              <w:rPr>
                <w:rFonts w:hint="eastAsia" w:cs="宋体" w:asciiTheme="minorEastAsia" w:hAnsiTheme="minorEastAsia" w:eastAsiaTheme="minorEastAsia"/>
              </w:rPr>
              <w:t>0000.00元</w:t>
            </w:r>
          </w:p>
          <w:p>
            <w:pPr>
              <w:jc w:val="center"/>
              <w:rPr>
                <w:rFonts w:cs="宋体" w:asciiTheme="minorEastAsia" w:hAnsiTheme="minorEastAsia" w:eastAsiaTheme="minorEastAsia"/>
              </w:rPr>
            </w:pPr>
            <w:r>
              <w:rPr>
                <w:rFonts w:hint="eastAsia" w:cs="宋体" w:asciiTheme="minorEastAsia" w:hAnsiTheme="minorEastAsia" w:eastAsiaTheme="minorEastAsia"/>
                <w:b/>
                <w:bCs/>
              </w:rPr>
              <w:t>备注：</w:t>
            </w:r>
            <w:r>
              <w:rPr>
                <w:rFonts w:hint="eastAsia" w:cs="宋体" w:asciiTheme="minorEastAsia" w:hAnsiTheme="minorEastAsia" w:eastAsiaTheme="minorEastAsia"/>
                <w:b/>
                <w:bCs/>
                <w:color w:val="000000"/>
              </w:rPr>
              <w:t>超过最高限价的按无效投标处理。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是否接受联合体</w:t>
            </w:r>
          </w:p>
        </w:tc>
        <w:tc>
          <w:tcPr>
            <w:tcW w:w="4490" w:type="dxa"/>
            <w:shd w:val="clear" w:color="auto" w:fill="auto"/>
            <w:vAlign w:val="center"/>
          </w:tcPr>
          <w:p>
            <w:pPr>
              <w:jc w:val="center"/>
              <w:rPr>
                <w:rFonts w:cs="宋体" w:asciiTheme="minorEastAsia" w:hAnsiTheme="minorEastAsia" w:eastAsiaTheme="minorEastAsia"/>
              </w:rPr>
            </w:pPr>
            <w:r>
              <w:rPr>
                <w:rFonts w:ascii="Segoe UI Symbol" w:hAnsi="Segoe UI Symbol" w:cs="Segoe UI Symbol" w:eastAsiaTheme="minorEastAsia"/>
              </w:rPr>
              <w:t>☐</w:t>
            </w:r>
            <w:r>
              <w:rPr>
                <w:rFonts w:hint="eastAsia" w:cs="宋体" w:asciiTheme="minorEastAsia" w:hAnsiTheme="minorEastAsia" w:eastAsiaTheme="minorEastAsia"/>
              </w:rPr>
              <w:t xml:space="preserve">是  </w:t>
            </w:r>
            <w:r>
              <w:rPr>
                <w:rFonts w:ascii="Segoe UI Symbol" w:hAnsi="Segoe UI Symbol" w:cs="Segoe UI Symbol" w:eastAsiaTheme="minorEastAsia"/>
              </w:rPr>
              <w:t>☑</w:t>
            </w:r>
            <w:r>
              <w:rPr>
                <w:rFonts w:hint="eastAsia" w:cs="宋体" w:asciiTheme="minorEastAsia" w:hAnsiTheme="minorEastAsia" w:eastAsiaTheme="minorEastAsia"/>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7</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是否允许进口产品</w:t>
            </w:r>
          </w:p>
        </w:tc>
        <w:tc>
          <w:tcPr>
            <w:tcW w:w="4490" w:type="dxa"/>
            <w:shd w:val="clear" w:color="auto" w:fill="auto"/>
            <w:vAlign w:val="center"/>
          </w:tcPr>
          <w:p>
            <w:pPr>
              <w:jc w:val="center"/>
              <w:rPr>
                <w:rFonts w:asciiTheme="minorEastAsia" w:hAnsiTheme="minorEastAsia" w:eastAsiaTheme="minorEastAsia"/>
              </w:rPr>
            </w:pPr>
            <w:r>
              <w:rPr>
                <w:rFonts w:ascii="Segoe UI Symbol" w:hAnsi="Segoe UI Symbol" w:cs="Segoe UI Symbol" w:eastAsiaTheme="minorEastAsia"/>
              </w:rPr>
              <w:t>☐</w:t>
            </w:r>
            <w:r>
              <w:rPr>
                <w:rFonts w:hint="eastAsia" w:cs="宋体" w:asciiTheme="minorEastAsia" w:hAnsiTheme="minorEastAsia" w:eastAsiaTheme="minorEastAsia"/>
              </w:rPr>
              <w:t xml:space="preserve">是  </w:t>
            </w:r>
            <w:r>
              <w:rPr>
                <w:rFonts w:ascii="Segoe UI Symbol" w:hAnsi="Segoe UI Symbol" w:cs="Segoe UI Symbol" w:eastAsiaTheme="minorEastAsia"/>
              </w:rPr>
              <w:t>☑</w:t>
            </w:r>
            <w:r>
              <w:rPr>
                <w:rFonts w:hint="eastAsia" w:cs="宋体" w:asciiTheme="minorEastAsia" w:hAnsiTheme="minorEastAsia" w:eastAsiaTheme="minorEastAsia"/>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8</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投标保证金</w:t>
            </w:r>
          </w:p>
        </w:tc>
        <w:tc>
          <w:tcPr>
            <w:tcW w:w="4490"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36"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9</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投标文件份数</w:t>
            </w:r>
          </w:p>
        </w:tc>
        <w:tc>
          <w:tcPr>
            <w:tcW w:w="4490" w:type="dxa"/>
            <w:shd w:val="clear" w:color="auto" w:fill="auto"/>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投标供应商无需提供；中标供应商下载中标（成交）通知书后，向采购代理机构提供一正两副（和上传文件保持一致的）纸质投标（响应）文件用于备案及档案保存。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10</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现场踏勘和集中答疑</w:t>
            </w:r>
          </w:p>
        </w:tc>
        <w:tc>
          <w:tcPr>
            <w:tcW w:w="4490" w:type="dxa"/>
            <w:shd w:val="clear" w:color="auto" w:fill="auto"/>
            <w:vAlign w:val="center"/>
          </w:tcPr>
          <w:p>
            <w:pPr>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2023年5月24日14:30分经开院区南门集合统一组织现踏勘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11</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政府采购信息发布媒体</w:t>
            </w:r>
          </w:p>
          <w:p>
            <w:pPr>
              <w:jc w:val="center"/>
              <w:rPr>
                <w:rFonts w:cs="宋体" w:asciiTheme="minorEastAsia" w:hAnsiTheme="minorEastAsia" w:eastAsiaTheme="minorEastAsia"/>
              </w:rPr>
            </w:pPr>
            <w:r>
              <w:rPr>
                <w:rFonts w:hint="eastAsia" w:cs="宋体" w:asciiTheme="minorEastAsia" w:hAnsiTheme="minorEastAsia" w:eastAsiaTheme="minorEastAsia"/>
              </w:rPr>
              <w:t>（采购公告、采购结果公告、变更公告）</w:t>
            </w:r>
          </w:p>
        </w:tc>
        <w:tc>
          <w:tcPr>
            <w:tcW w:w="4490" w:type="dxa"/>
            <w:shd w:val="clear" w:color="auto" w:fill="auto"/>
            <w:vAlign w:val="center"/>
          </w:tcPr>
          <w:p>
            <w:pPr>
              <w:rPr>
                <w:rFonts w:cs="宋体" w:asciiTheme="minorEastAsia" w:hAnsiTheme="minorEastAsia" w:eastAsiaTheme="minorEastAsia"/>
              </w:rPr>
            </w:pPr>
            <w:r>
              <w:rPr>
                <w:rFonts w:hint="eastAsia" w:cs="宋体" w:asciiTheme="minorEastAsia" w:hAnsiTheme="minorEastAsia" w:eastAsiaTheme="minorEastAsia"/>
              </w:rPr>
              <w:t>1．陕西省政府采购网：仅提供项目公告，官网地址：http://ccgp-shaanxi.gov.cn/。</w:t>
            </w:r>
          </w:p>
          <w:p>
            <w:pPr>
              <w:rPr>
                <w:rFonts w:cs="宋体" w:asciiTheme="minorEastAsia" w:hAnsiTheme="minorEastAsia" w:eastAsiaTheme="minorEastAsia"/>
              </w:rPr>
            </w:pPr>
            <w:r>
              <w:rPr>
                <w:rFonts w:hint="eastAsia" w:cs="宋体" w:asciiTheme="minorEastAsia" w:hAnsiTheme="minorEastAsia" w:eastAsiaTheme="minorEastAsia"/>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12</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询问和质疑</w:t>
            </w:r>
          </w:p>
        </w:tc>
        <w:tc>
          <w:tcPr>
            <w:tcW w:w="4490" w:type="dxa"/>
            <w:shd w:val="clear" w:color="auto" w:fill="auto"/>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13</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投诉受理</w:t>
            </w:r>
          </w:p>
        </w:tc>
        <w:tc>
          <w:tcPr>
            <w:tcW w:w="4490" w:type="dxa"/>
            <w:shd w:val="clear" w:color="auto" w:fill="auto"/>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1．受理单位：西安市财政局政府采购管理处</w:t>
            </w:r>
          </w:p>
          <w:p>
            <w:pPr>
              <w:jc w:val="both"/>
              <w:rPr>
                <w:rFonts w:cs="宋体" w:asciiTheme="minorEastAsia" w:hAnsiTheme="minorEastAsia" w:eastAsiaTheme="minorEastAsia"/>
              </w:rPr>
            </w:pPr>
            <w:r>
              <w:rPr>
                <w:rFonts w:hint="eastAsia" w:cs="宋体" w:asciiTheme="minorEastAsia" w:hAnsiTheme="minorEastAsia" w:eastAsiaTheme="minorEastAsia"/>
              </w:rPr>
              <w:t>2．联系电话：029-89821846</w:t>
            </w:r>
          </w:p>
          <w:p>
            <w:pPr>
              <w:jc w:val="both"/>
              <w:rPr>
                <w:rFonts w:cs="宋体" w:asciiTheme="minorEastAsia" w:hAnsiTheme="minorEastAsia" w:eastAsiaTheme="minorEastAsia"/>
              </w:rPr>
            </w:pPr>
            <w:r>
              <w:rPr>
                <w:rFonts w:hint="eastAsia" w:cs="宋体" w:asciiTheme="minorEastAsia" w:hAnsiTheme="minorEastAsia" w:eastAsiaTheme="minorEastAsia"/>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14</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信用信息查询截至时点</w:t>
            </w:r>
          </w:p>
        </w:tc>
        <w:tc>
          <w:tcPr>
            <w:tcW w:w="4490" w:type="dxa"/>
            <w:shd w:val="clear" w:color="auto" w:fill="auto"/>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15</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开标形式</w:t>
            </w:r>
          </w:p>
        </w:tc>
        <w:tc>
          <w:tcPr>
            <w:tcW w:w="4490" w:type="dxa"/>
            <w:shd w:val="clear" w:color="auto" w:fill="auto"/>
            <w:vAlign w:val="center"/>
          </w:tcPr>
          <w:p>
            <w:pPr>
              <w:jc w:val="both"/>
              <w:rPr>
                <w:rFonts w:cs="宋体" w:asciiTheme="minorEastAsia" w:hAnsiTheme="minorEastAsia" w:eastAsiaTheme="minorEastAsia"/>
              </w:rPr>
            </w:pPr>
            <w:r>
              <w:rPr>
                <w:rFonts w:ascii="Segoe UI Symbol" w:hAnsi="Segoe UI Symbol" w:cs="Segoe UI Symbol" w:eastAsiaTheme="minorEastAsia"/>
              </w:rPr>
              <w:t>☑</w:t>
            </w:r>
            <w:r>
              <w:rPr>
                <w:rFonts w:hint="eastAsia" w:ascii="宋体" w:hAnsi="宋体" w:cs="宋体"/>
              </w:rPr>
              <w:t>不见面开标</w:t>
            </w:r>
            <w:r>
              <w:rPr>
                <w:rFonts w:hint="eastAsia" w:cs="宋体" w:asciiTheme="minorEastAsia" w:hAnsiTheme="minorEastAsia" w:eastAsiaTheme="minorEastAsia"/>
              </w:rPr>
              <w:t xml:space="preserve">  </w:t>
            </w:r>
            <w:r>
              <w:rPr>
                <w:rFonts w:ascii="Segoe UI Symbol" w:hAnsi="Segoe UI Symbol" w:cs="Segoe UI Symbol" w:eastAsiaTheme="minorEastAsia"/>
              </w:rPr>
              <w:t>☐</w:t>
            </w:r>
            <w:r>
              <w:rPr>
                <w:rFonts w:hint="eastAsia" w:ascii="宋体" w:hAnsi="宋体" w:cs="宋体"/>
              </w:rPr>
              <w:t>见面开标</w:t>
            </w:r>
          </w:p>
          <w:p>
            <w:pPr>
              <w:jc w:val="both"/>
              <w:rPr>
                <w:rFonts w:cs="宋体" w:asciiTheme="minorEastAsia" w:hAnsiTheme="minorEastAsia" w:eastAsiaTheme="minorEastAsia"/>
              </w:rPr>
            </w:pPr>
            <w:r>
              <w:rPr>
                <w:rFonts w:hint="eastAsia" w:cs="宋体" w:asciiTheme="minorEastAsia" w:hAnsiTheme="minorEastAsia" w:eastAsiaTheme="minorEastAsia"/>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16</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是否允许递交多个备选投标方案</w:t>
            </w:r>
          </w:p>
        </w:tc>
        <w:tc>
          <w:tcPr>
            <w:tcW w:w="4490" w:type="dxa"/>
            <w:shd w:val="clear" w:color="auto" w:fill="auto"/>
            <w:vAlign w:val="center"/>
          </w:tcPr>
          <w:p>
            <w:pPr>
              <w:jc w:val="both"/>
              <w:rPr>
                <w:rFonts w:cs="宋体" w:asciiTheme="minorEastAsia" w:hAnsiTheme="minorEastAsia" w:eastAsiaTheme="minorEastAsia"/>
              </w:rPr>
            </w:pPr>
            <w:r>
              <w:rPr>
                <w:rFonts w:ascii="Segoe UI Symbol" w:hAnsi="Segoe UI Symbol" w:cs="Segoe UI Symbol" w:eastAsiaTheme="minorEastAsia"/>
              </w:rPr>
              <w:t>☐</w:t>
            </w:r>
            <w:r>
              <w:rPr>
                <w:rFonts w:hint="eastAsia" w:ascii="宋体" w:hAnsi="宋体" w:cs="宋体"/>
              </w:rPr>
              <w:t>是</w:t>
            </w:r>
            <w:r>
              <w:rPr>
                <w:rFonts w:hint="eastAsia" w:cs="宋体" w:asciiTheme="minorEastAsia" w:hAnsiTheme="minorEastAsia" w:eastAsiaTheme="minorEastAsia"/>
              </w:rPr>
              <w:t xml:space="preserve">  </w:t>
            </w:r>
            <w:r>
              <w:rPr>
                <w:rFonts w:ascii="Segoe UI Symbol" w:hAnsi="Segoe UI Symbol" w:cs="Segoe UI Symbol" w:eastAsiaTheme="minorEastAsia"/>
              </w:rPr>
              <w:t>☑</w:t>
            </w:r>
            <w:r>
              <w:rPr>
                <w:rFonts w:hint="eastAsia" w:ascii="宋体" w:hAnsi="宋体" w:cs="宋体"/>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17</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中标通知书</w:t>
            </w:r>
          </w:p>
        </w:tc>
        <w:tc>
          <w:tcPr>
            <w:tcW w:w="4490" w:type="dxa"/>
            <w:shd w:val="clear" w:color="auto" w:fill="auto"/>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 xml:space="preserve">中标供应商可登录【全国公共资源交易平台（陕西省•西安市）】网站〖首页〉电子交易平台〉企业端〗后，在〖我的项目/项目流程〗模块中点击下载“中标（成交）通知书”。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18</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西安市公共资源交易中心电子化政府采购系统技术支持（软件开发商）</w:t>
            </w:r>
          </w:p>
        </w:tc>
        <w:tc>
          <w:tcPr>
            <w:tcW w:w="4490" w:type="dxa"/>
            <w:shd w:val="clear" w:color="auto" w:fill="auto"/>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国泰新点软件股份有限公司</w:t>
            </w:r>
          </w:p>
          <w:p>
            <w:pPr>
              <w:rPr>
                <w:rFonts w:cs="宋体" w:asciiTheme="minorEastAsia" w:hAnsiTheme="minorEastAsia" w:eastAsiaTheme="minorEastAsia"/>
              </w:rPr>
            </w:pPr>
            <w:r>
              <w:rPr>
                <w:rFonts w:hint="eastAsia" w:cs="宋体" w:asciiTheme="minorEastAsia" w:hAnsiTheme="minorEastAsia" w:eastAsiaTheme="minorEastAsia"/>
              </w:rPr>
              <w:t>1．技术支持热线：400-998-0000/400-928-0095</w:t>
            </w:r>
          </w:p>
          <w:p>
            <w:pPr>
              <w:rPr>
                <w:rFonts w:cs="宋体" w:asciiTheme="minorEastAsia" w:hAnsiTheme="minorEastAsia" w:eastAsiaTheme="minorEastAsia"/>
              </w:rPr>
            </w:pPr>
            <w:r>
              <w:rPr>
                <w:rFonts w:hint="eastAsia" w:cs="宋体" w:asciiTheme="minorEastAsia" w:hAnsiTheme="minorEastAsia" w:eastAsiaTheme="minorEastAsia"/>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19</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CA业务网点</w:t>
            </w:r>
          </w:p>
        </w:tc>
        <w:tc>
          <w:tcPr>
            <w:tcW w:w="4490" w:type="dxa"/>
            <w:shd w:val="clear" w:color="auto" w:fill="auto"/>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陕西省数字证书认证中心股份有限公司</w:t>
            </w:r>
          </w:p>
          <w:p>
            <w:pPr>
              <w:jc w:val="both"/>
              <w:rPr>
                <w:rFonts w:cs="宋体" w:asciiTheme="minorEastAsia" w:hAnsiTheme="minorEastAsia" w:eastAsiaTheme="minorEastAsia"/>
              </w:rPr>
            </w:pPr>
            <w:r>
              <w:rPr>
                <w:rFonts w:hint="eastAsia" w:cs="宋体" w:asciiTheme="minorEastAsia" w:hAnsiTheme="minorEastAsia" w:eastAsiaTheme="minorEastAsia"/>
              </w:rPr>
              <w:t>网点1：西安市高新三路信息港大厦1楼客服中心</w:t>
            </w:r>
          </w:p>
          <w:p>
            <w:pPr>
              <w:jc w:val="both"/>
              <w:rPr>
                <w:rFonts w:cs="宋体" w:asciiTheme="minorEastAsia" w:hAnsiTheme="minorEastAsia" w:eastAsiaTheme="minorEastAsia"/>
              </w:rPr>
            </w:pPr>
            <w:r>
              <w:rPr>
                <w:rFonts w:hint="eastAsia" w:cs="宋体" w:asciiTheme="minorEastAsia" w:hAnsiTheme="minorEastAsia" w:eastAsiaTheme="minorEastAsia"/>
              </w:rPr>
              <w:t>客服电话：4006-369-888</w:t>
            </w:r>
          </w:p>
          <w:p>
            <w:pPr>
              <w:jc w:val="both"/>
              <w:rPr>
                <w:rFonts w:cs="宋体" w:asciiTheme="minorEastAsia" w:hAnsiTheme="minorEastAsia" w:eastAsiaTheme="minorEastAsia"/>
              </w:rPr>
            </w:pPr>
            <w:r>
              <w:rPr>
                <w:rFonts w:hint="eastAsia" w:cs="宋体" w:asciiTheme="minorEastAsia" w:hAnsiTheme="minorEastAsia" w:eastAsiaTheme="minorEastAsia"/>
              </w:rPr>
              <w:t>网点2：西安市长安北路14号省体育公寓B座一楼</w:t>
            </w:r>
          </w:p>
          <w:p>
            <w:pPr>
              <w:jc w:val="both"/>
              <w:rPr>
                <w:rFonts w:cs="宋体" w:asciiTheme="minorEastAsia" w:hAnsiTheme="minorEastAsia" w:eastAsiaTheme="minorEastAsia"/>
              </w:rPr>
            </w:pPr>
            <w:r>
              <w:rPr>
                <w:rFonts w:hint="eastAsia" w:cs="宋体" w:asciiTheme="minorEastAsia" w:hAnsiTheme="minorEastAsia" w:eastAsiaTheme="minorEastAsia"/>
              </w:rPr>
              <w:t>咨询电话：029-88661241</w:t>
            </w:r>
          </w:p>
          <w:p>
            <w:pPr>
              <w:jc w:val="both"/>
              <w:rPr>
                <w:rFonts w:cs="宋体" w:asciiTheme="minorEastAsia" w:hAnsiTheme="minorEastAsia" w:eastAsiaTheme="minorEastAsia"/>
              </w:rPr>
            </w:pPr>
            <w:r>
              <w:rPr>
                <w:rFonts w:hint="eastAsia" w:cs="宋体" w:asciiTheme="minorEastAsia" w:hAnsiTheme="minorEastAsia" w:eastAsiaTheme="minorEastAsia"/>
              </w:rPr>
              <w:t>网点3：西安市文景北路16号白桦林国际B座2楼11#窗口</w:t>
            </w:r>
          </w:p>
          <w:p>
            <w:pPr>
              <w:jc w:val="both"/>
              <w:rPr>
                <w:rFonts w:cs="宋体" w:asciiTheme="minorEastAsia" w:hAnsiTheme="minorEastAsia" w:eastAsiaTheme="minorEastAsia"/>
              </w:rPr>
            </w:pPr>
            <w:r>
              <w:rPr>
                <w:rFonts w:hint="eastAsia" w:cs="宋体" w:asciiTheme="minorEastAsia" w:hAnsiTheme="minorEastAsia" w:eastAsiaTheme="minorEastAsia"/>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20</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代理服务费</w:t>
            </w:r>
          </w:p>
        </w:tc>
        <w:tc>
          <w:tcPr>
            <w:tcW w:w="4490" w:type="dxa"/>
            <w:shd w:val="clear" w:color="auto" w:fill="auto"/>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参照国家计委颁布的《招标代理服务收费管理暂行办法》（计价格[2002]1980号）和发改办价格[2003]857号文件等法律法规规定的计价标准的80%收取（含税），按照中标金额差额定率累进法计算，由中标/成交单位一次性支付。</w:t>
            </w:r>
          </w:p>
          <w:p>
            <w:pPr>
              <w:jc w:val="both"/>
              <w:rPr>
                <w:rFonts w:cs="宋体" w:asciiTheme="minorEastAsia" w:hAnsiTheme="minorEastAsia" w:eastAsiaTheme="minorEastAsia"/>
              </w:rPr>
            </w:pPr>
            <w:r>
              <w:rPr>
                <w:rFonts w:hint="eastAsia" w:cs="宋体" w:asciiTheme="minorEastAsia" w:hAnsiTheme="minorEastAsia" w:eastAsiaTheme="minorEastAsia"/>
              </w:rPr>
              <w:t>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21</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所属行业</w:t>
            </w:r>
          </w:p>
        </w:tc>
        <w:tc>
          <w:tcPr>
            <w:tcW w:w="4490" w:type="dxa"/>
            <w:shd w:val="clear" w:color="auto" w:fill="auto"/>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硬件部分所属行业为工业</w:t>
            </w:r>
          </w:p>
          <w:p>
            <w:pPr>
              <w:jc w:val="both"/>
              <w:rPr>
                <w:rFonts w:cs="宋体" w:asciiTheme="minorEastAsia" w:hAnsiTheme="minorEastAsia" w:eastAsiaTheme="minorEastAsia"/>
              </w:rPr>
            </w:pPr>
            <w:r>
              <w:rPr>
                <w:rFonts w:hint="eastAsia" w:cs="宋体" w:asciiTheme="minorEastAsia" w:hAnsiTheme="minorEastAsia" w:eastAsiaTheme="minorEastAsia"/>
              </w:rPr>
              <w:t>软件部分所属行业为</w:t>
            </w:r>
            <w:r>
              <w:rPr>
                <w:rFonts w:hint="eastAsia" w:ascii="宋体" w:hAnsi="宋体" w:cs="宋体"/>
                <w:color w:val="000000"/>
                <w:shd w:val="clear" w:color="auto" w:fill="FFFFFF"/>
              </w:rPr>
              <w:t>软件和信息技术服务业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22</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核心产品</w:t>
            </w:r>
          </w:p>
        </w:tc>
        <w:tc>
          <w:tcPr>
            <w:tcW w:w="4490" w:type="dxa"/>
            <w:shd w:val="clear" w:color="auto" w:fill="auto"/>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数字化手术控制系统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23</w:t>
            </w:r>
          </w:p>
        </w:tc>
        <w:tc>
          <w:tcPr>
            <w:tcW w:w="3402"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项目属性</w:t>
            </w:r>
          </w:p>
        </w:tc>
        <w:tc>
          <w:tcPr>
            <w:tcW w:w="4490" w:type="dxa"/>
            <w:shd w:val="clear" w:color="auto" w:fill="auto"/>
            <w:vAlign w:val="center"/>
          </w:tcPr>
          <w:p>
            <w:pPr>
              <w:jc w:val="both"/>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服务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12" w:hRule="atLeast"/>
          <w:jc w:val="center"/>
        </w:trPr>
        <w:tc>
          <w:tcPr>
            <w:tcW w:w="978" w:type="dxa"/>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24</w:t>
            </w:r>
          </w:p>
        </w:tc>
        <w:tc>
          <w:tcPr>
            <w:tcW w:w="3402" w:type="dxa"/>
            <w:shd w:val="clear" w:color="auto" w:fill="auto"/>
            <w:vAlign w:val="center"/>
          </w:tcPr>
          <w:p>
            <w:pPr>
              <w:pStyle w:val="19"/>
              <w:rPr>
                <w:rFonts w:cs="宋体" w:asciiTheme="minorEastAsia" w:hAnsiTheme="minorEastAsia" w:eastAsiaTheme="minorEastAsia"/>
                <w:sz w:val="24"/>
              </w:rPr>
            </w:pPr>
            <w:r>
              <w:rPr>
                <w:rFonts w:hint="eastAsia" w:cs="宋体" w:asciiTheme="minorEastAsia" w:hAnsiTheme="minorEastAsia" w:eastAsiaTheme="minorEastAsia"/>
                <w:sz w:val="24"/>
              </w:rPr>
              <w:t>商务条款</w:t>
            </w:r>
          </w:p>
        </w:tc>
        <w:tc>
          <w:tcPr>
            <w:tcW w:w="4490" w:type="dxa"/>
            <w:shd w:val="clear" w:color="auto" w:fill="auto"/>
            <w:vAlign w:val="center"/>
          </w:tcPr>
          <w:p>
            <w:pPr>
              <w:pStyle w:val="19"/>
              <w:rPr>
                <w:rFonts w:cs="宋体" w:asciiTheme="minorEastAsia" w:hAnsiTheme="minorEastAsia" w:eastAsiaTheme="minorEastAsia"/>
                <w:sz w:val="24"/>
              </w:rPr>
            </w:pPr>
            <w:r>
              <w:rPr>
                <w:rFonts w:hint="eastAsia" w:cs="宋体" w:asciiTheme="minorEastAsia" w:hAnsiTheme="minorEastAsia" w:eastAsiaTheme="minorEastAsia"/>
                <w:sz w:val="24"/>
              </w:rPr>
              <w:t>1.交付期：180日历日。</w:t>
            </w:r>
          </w:p>
          <w:p>
            <w:pPr>
              <w:pStyle w:val="19"/>
              <w:rPr>
                <w:rFonts w:cs="宋体" w:asciiTheme="minorEastAsia" w:hAnsiTheme="minorEastAsia" w:eastAsiaTheme="minorEastAsia"/>
                <w:sz w:val="24"/>
              </w:rPr>
            </w:pPr>
            <w:r>
              <w:rPr>
                <w:rFonts w:hint="eastAsia" w:cs="宋体" w:asciiTheme="minorEastAsia" w:hAnsiTheme="minorEastAsia" w:eastAsiaTheme="minorEastAsia"/>
                <w:sz w:val="24"/>
              </w:rPr>
              <w:t>2.质保期：贰年。</w:t>
            </w:r>
          </w:p>
          <w:p>
            <w:pPr>
              <w:pStyle w:val="19"/>
              <w:rPr>
                <w:rFonts w:cs="宋体" w:asciiTheme="minorEastAsia" w:hAnsiTheme="minorEastAsia" w:eastAsiaTheme="minorEastAsia"/>
                <w:sz w:val="24"/>
              </w:rPr>
            </w:pPr>
            <w:r>
              <w:rPr>
                <w:rFonts w:hint="eastAsia" w:cs="宋体" w:asciiTheme="minorEastAsia" w:hAnsiTheme="minorEastAsia" w:eastAsiaTheme="minorEastAsia"/>
                <w:sz w:val="24"/>
              </w:rPr>
              <w:t>2.1交付完毕通过验收投入使用之日起贰年。</w:t>
            </w:r>
          </w:p>
          <w:p>
            <w:pPr>
              <w:pStyle w:val="19"/>
              <w:rPr>
                <w:rFonts w:cs="宋体" w:asciiTheme="minorEastAsia" w:hAnsiTheme="minorEastAsia" w:eastAsiaTheme="minorEastAsia"/>
                <w:sz w:val="24"/>
              </w:rPr>
            </w:pPr>
            <w:r>
              <w:rPr>
                <w:rFonts w:hint="eastAsia" w:cs="宋体" w:asciiTheme="minorEastAsia" w:hAnsiTheme="minorEastAsia" w:eastAsiaTheme="minorEastAsia"/>
                <w:sz w:val="24"/>
              </w:rPr>
              <w:t>2.2质保免费维护期满后为有偿维护，每年维护费用维护期限双方协商确定，质保期满后投标人对采购人提供终身技术咨询服务。</w:t>
            </w:r>
          </w:p>
          <w:p>
            <w:pPr>
              <w:pStyle w:val="19"/>
              <w:rPr>
                <w:rFonts w:cs="宋体" w:asciiTheme="minorEastAsia" w:hAnsiTheme="minorEastAsia" w:eastAsiaTheme="minorEastAsia"/>
                <w:sz w:val="24"/>
              </w:rPr>
            </w:pPr>
            <w:r>
              <w:rPr>
                <w:rFonts w:hint="eastAsia" w:cs="宋体" w:asciiTheme="minorEastAsia" w:hAnsiTheme="minorEastAsia" w:eastAsiaTheme="minorEastAsia"/>
                <w:sz w:val="24"/>
              </w:rPr>
              <w:t>3.交货地点：采购人指定地点。</w:t>
            </w:r>
          </w:p>
          <w:p>
            <w:pPr>
              <w:pStyle w:val="19"/>
              <w:rPr>
                <w:rFonts w:cs="宋体" w:asciiTheme="minorEastAsia" w:hAnsiTheme="minorEastAsia" w:eastAsiaTheme="minorEastAsia"/>
                <w:sz w:val="24"/>
              </w:rPr>
            </w:pPr>
            <w:r>
              <w:rPr>
                <w:rFonts w:hint="eastAsia" w:cs="宋体" w:asciiTheme="minorEastAsia" w:hAnsiTheme="minorEastAsia" w:eastAsiaTheme="minorEastAsia"/>
                <w:sz w:val="24"/>
              </w:rPr>
              <w:t>4.付款方式：</w:t>
            </w:r>
          </w:p>
          <w:p>
            <w:pPr>
              <w:rPr>
                <w:rFonts w:asciiTheme="minorEastAsia" w:hAnsiTheme="minorEastAsia" w:eastAsiaTheme="minorEastAsia"/>
              </w:rPr>
            </w:pPr>
            <w:r>
              <w:rPr>
                <w:rFonts w:hint="eastAsia" w:cs="宋体" w:asciiTheme="minorEastAsia" w:hAnsiTheme="minorEastAsia" w:eastAsiaTheme="minorEastAsia"/>
              </w:rPr>
              <w:t>根据入场实施方案进行确定实施阶段目标：</w:t>
            </w:r>
          </w:p>
          <w:p>
            <w:pPr>
              <w:pStyle w:val="19"/>
              <w:rPr>
                <w:rFonts w:cs="宋体" w:asciiTheme="minorEastAsia" w:hAnsiTheme="minorEastAsia" w:eastAsiaTheme="minorEastAsia"/>
                <w:sz w:val="24"/>
              </w:rPr>
            </w:pPr>
            <w:r>
              <w:rPr>
                <w:rFonts w:hint="eastAsia" w:cs="宋体" w:asciiTheme="minorEastAsia" w:hAnsiTheme="minorEastAsia" w:eastAsiaTheme="minorEastAsia"/>
                <w:sz w:val="24"/>
              </w:rPr>
              <w:t>4.1、第一阶段付款：递交详细实施方案与阶段性验收目标并签订合同，支付合同总价30%作为预付款；</w:t>
            </w:r>
          </w:p>
          <w:p>
            <w:pPr>
              <w:pStyle w:val="19"/>
              <w:rPr>
                <w:rFonts w:cs="宋体" w:asciiTheme="minorEastAsia" w:hAnsiTheme="minorEastAsia" w:eastAsiaTheme="minorEastAsia"/>
                <w:sz w:val="24"/>
              </w:rPr>
            </w:pPr>
            <w:r>
              <w:rPr>
                <w:rFonts w:hint="eastAsia" w:cs="宋体" w:asciiTheme="minorEastAsia" w:hAnsiTheme="minorEastAsia" w:eastAsiaTheme="minorEastAsia"/>
                <w:sz w:val="24"/>
              </w:rPr>
              <w:t>4.2、第二阶段付款：设备到货并完成所有开发软件原型书面确认后，支付合同总价的30%；</w:t>
            </w:r>
          </w:p>
          <w:p>
            <w:pPr>
              <w:pStyle w:val="19"/>
              <w:rPr>
                <w:rFonts w:cs="宋体" w:asciiTheme="minorEastAsia" w:hAnsiTheme="minorEastAsia" w:eastAsiaTheme="minorEastAsia"/>
                <w:sz w:val="24"/>
              </w:rPr>
            </w:pPr>
            <w:r>
              <w:rPr>
                <w:rFonts w:hint="eastAsia" w:cs="宋体" w:asciiTheme="minorEastAsia" w:hAnsiTheme="minorEastAsia" w:eastAsiaTheme="minorEastAsia"/>
                <w:sz w:val="24"/>
              </w:rPr>
              <w:t>4.3、第三阶段付款：项目实施完成并调试上线运行及验收完成，支付合同总价的37%；</w:t>
            </w:r>
          </w:p>
          <w:p>
            <w:pPr>
              <w:pStyle w:val="19"/>
              <w:rPr>
                <w:rFonts w:cs="宋体" w:asciiTheme="minorEastAsia" w:hAnsiTheme="minorEastAsia" w:eastAsiaTheme="minorEastAsia"/>
                <w:sz w:val="24"/>
              </w:rPr>
            </w:pPr>
            <w:r>
              <w:rPr>
                <w:rFonts w:hint="eastAsia" w:cs="宋体" w:asciiTheme="minorEastAsia" w:hAnsiTheme="minorEastAsia" w:eastAsiaTheme="minorEastAsia"/>
                <w:sz w:val="24"/>
              </w:rPr>
              <w:t>4.4、第四阶段付款：本项目整体验收合格后，支付合同总价的3%。</w:t>
            </w:r>
          </w:p>
          <w:p>
            <w:pPr>
              <w:pStyle w:val="19"/>
              <w:rPr>
                <w:rFonts w:cs="宋体" w:asciiTheme="minorEastAsia" w:hAnsiTheme="minorEastAsia" w:eastAsiaTheme="minorEastAsia"/>
                <w:sz w:val="24"/>
              </w:rPr>
            </w:pPr>
            <w:r>
              <w:rPr>
                <w:rFonts w:hint="eastAsia" w:cs="宋体" w:asciiTheme="minorEastAsia" w:hAnsiTheme="minorEastAsia" w:eastAsiaTheme="minorEastAsia"/>
                <w:b/>
                <w:bCs/>
                <w:sz w:val="24"/>
              </w:rPr>
              <w:t>注：商务条款为实质性条款，不允许负偏离</w:t>
            </w:r>
          </w:p>
        </w:tc>
      </w:tr>
    </w:tbl>
    <w:p>
      <w:pPr>
        <w:pStyle w:val="8"/>
        <w:rPr>
          <w:rFonts w:cs="宋体" w:asciiTheme="minorEastAsia" w:hAnsiTheme="minorEastAsia" w:eastAsiaTheme="minorEastAsia"/>
          <w:b/>
          <w:bCs/>
          <w:sz w:val="24"/>
          <w:szCs w:val="24"/>
        </w:rPr>
      </w:pPr>
      <w:bookmarkStart w:id="12" w:name="_Toc135129523"/>
      <w:r>
        <w:rPr>
          <w:rFonts w:hint="eastAsia" w:cs="宋体" w:asciiTheme="minorEastAsia" w:hAnsiTheme="minorEastAsia" w:eastAsiaTheme="minorEastAsia"/>
          <w:b/>
          <w:bCs/>
          <w:sz w:val="24"/>
          <w:szCs w:val="24"/>
        </w:rPr>
        <w:t>一、有关定义</w:t>
      </w:r>
      <w:bookmarkEnd w:id="12"/>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1．采购人：依法进行政府采购的西安市市级机关、事业单位或团体组织。</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2．供应商：指向采购人提供货物、工程或者服务的法人、其他组织或者自然人。</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3．同级政府采购监管部门：西安市财政局政府采购管理处。</w:t>
      </w:r>
    </w:p>
    <w:p>
      <w:pPr>
        <w:spacing w:line="56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4．西安市公共资源交易平台：即【全国公共资源交易平台（陕西省·西安市）】的简称，官网地址</w:t>
      </w:r>
      <w:r>
        <w:fldChar w:fldCharType="begin"/>
      </w:r>
      <w:r>
        <w:instrText xml:space="preserve"> HYPERLINK "http://sxggzyjy.xa.gov.cn/" </w:instrText>
      </w:r>
      <w:r>
        <w:fldChar w:fldCharType="separate"/>
      </w:r>
      <w:r>
        <w:rPr>
          <w:rStyle w:val="47"/>
          <w:rFonts w:hint="eastAsia" w:cs="宋体" w:asciiTheme="minorEastAsia" w:hAnsiTheme="minorEastAsia" w:eastAsiaTheme="minorEastAsia"/>
          <w:color w:val="auto"/>
          <w:u w:val="none"/>
        </w:rPr>
        <w:t>http://sxggzyjy.xa.gov.cn/</w:t>
      </w:r>
      <w:r>
        <w:rPr>
          <w:rStyle w:val="47"/>
          <w:rFonts w:hint="eastAsia" w:cs="宋体" w:asciiTheme="minorEastAsia" w:hAnsiTheme="minorEastAsia" w:eastAsiaTheme="minorEastAsia"/>
          <w:color w:val="auto"/>
          <w:u w:val="none"/>
        </w:rPr>
        <w:fldChar w:fldCharType="end"/>
      </w:r>
      <w:r>
        <w:rPr>
          <w:rFonts w:hint="eastAsia" w:cs="宋体" w:asciiTheme="minorEastAsia" w:hAnsiTheme="minorEastAsia" w:eastAsiaTheme="minorEastAsia"/>
        </w:rPr>
        <w:t>。</w:t>
      </w:r>
    </w:p>
    <w:p>
      <w:pPr>
        <w:spacing w:line="56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47"/>
          <w:rFonts w:hint="eastAsia" w:cs="宋体" w:asciiTheme="minorEastAsia" w:hAnsiTheme="minorEastAsia" w:eastAsiaTheme="minorEastAsia"/>
          <w:color w:val="auto"/>
          <w:u w:val="none"/>
        </w:rPr>
        <w:t>http://www.sxggzyjy.cn:9002/TPBidder/memberLogin</w:t>
      </w:r>
      <w:r>
        <w:rPr>
          <w:rStyle w:val="47"/>
          <w:rFonts w:hint="eastAsia" w:cs="宋体" w:asciiTheme="minorEastAsia" w:hAnsiTheme="minorEastAsia" w:eastAsiaTheme="minorEastAsia"/>
          <w:color w:val="auto"/>
          <w:u w:val="none"/>
        </w:rPr>
        <w:fldChar w:fldCharType="end"/>
      </w:r>
      <w:r>
        <w:rPr>
          <w:rFonts w:hint="eastAsia" w:cs="宋体" w:asciiTheme="minorEastAsia" w:hAnsiTheme="minorEastAsia" w:eastAsiaTheme="minorEastAsia"/>
        </w:rPr>
        <w:t>。</w:t>
      </w:r>
    </w:p>
    <w:p>
      <w:pPr>
        <w:pStyle w:val="8"/>
        <w:rPr>
          <w:rFonts w:cs="宋体" w:asciiTheme="minorEastAsia" w:hAnsiTheme="minorEastAsia" w:eastAsiaTheme="minorEastAsia"/>
          <w:b/>
          <w:bCs/>
          <w:sz w:val="24"/>
          <w:szCs w:val="24"/>
        </w:rPr>
      </w:pPr>
      <w:bookmarkStart w:id="13" w:name="_Toc135129524"/>
      <w:r>
        <w:rPr>
          <w:rFonts w:hint="eastAsia" w:cs="宋体" w:asciiTheme="minorEastAsia" w:hAnsiTheme="minorEastAsia" w:eastAsiaTheme="minorEastAsia"/>
          <w:b/>
          <w:bCs/>
          <w:sz w:val="24"/>
          <w:szCs w:val="24"/>
        </w:rPr>
        <w:t>二、供应商注意事项</w:t>
      </w:r>
      <w:bookmarkEnd w:id="13"/>
    </w:p>
    <w:p>
      <w:pPr>
        <w:pStyle w:val="103"/>
        <w:ind w:firstLine="499"/>
        <w:rPr>
          <w:rFonts w:asciiTheme="minorEastAsia" w:hAnsiTheme="minorEastAsia" w:eastAsiaTheme="minorEastAsia"/>
          <w:b/>
          <w:bCs/>
        </w:rPr>
      </w:pPr>
      <w:bookmarkStart w:id="14" w:name="_Toc21146"/>
      <w:r>
        <w:rPr>
          <w:rFonts w:hint="eastAsia" w:asciiTheme="minorEastAsia" w:hAnsiTheme="minorEastAsia" w:eastAsiaTheme="minorEastAsia"/>
          <w:b/>
          <w:bCs/>
        </w:rPr>
        <w:t>（一）供应商投标流程</w:t>
      </w:r>
      <w:bookmarkEnd w:id="14"/>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使用电子交易系统的采购项目（即线上项目），将同时提供WORD\PDF格式（仅用于预览）和SXSZF格式（用于制作电子投标文件）两个版本，文件内容一致。</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1．预览采购文件：打开西安市公共资源交易平台〖首页·〉交易大厅·〉政府采购〗栏目，下载和阅读本项目采购文件的预览版本（WORD\PDF格式）；</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2．办理注册登记（针对初次使用电子交易系统的用户）：</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（1）办理诚信入库注册：在决定参加本项目采购活动后，供应商应先在西安市公共资源交易平台上完成“诚信入库登记”；</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办理数字认证（CA锁）：一般分为法人锁（必选）、企业锁主锁（必选）及副锁（可选）。CA锁将用于对电子投标文件进行签章、加密、递交及开标时解密等相关操作。CA办理及售后服务统一由第三方机构（陕西CA、深圳CA、西部CA、北京CA四家数字证书公司）负责。</w:t>
      </w:r>
    </w:p>
    <w:p>
      <w:pPr>
        <w:widowControl w:val="0"/>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办理须知：</w:t>
      </w:r>
    </w:p>
    <w:p>
      <w:pPr>
        <w:widowControl w:val="0"/>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http://</w:t>
      </w:r>
      <w:r>
        <w:fldChar w:fldCharType="begin"/>
      </w:r>
      <w:r>
        <w:instrText xml:space="preserve"> HYPERLINK "http://www.snca.com.cn/channel/show/27.html" </w:instrText>
      </w:r>
      <w:r>
        <w:fldChar w:fldCharType="separate"/>
      </w:r>
      <w:r>
        <w:rPr>
          <w:rStyle w:val="47"/>
          <w:rFonts w:hint="eastAsia" w:cs="宋体" w:asciiTheme="minorEastAsia" w:hAnsiTheme="minorEastAsia" w:eastAsiaTheme="minorEastAsia"/>
          <w:color w:val="auto"/>
          <w:u w:val="none"/>
        </w:rPr>
        <w:t>www.snca.com.cn/channel/show/27.html</w:t>
      </w:r>
      <w:r>
        <w:rPr>
          <w:rStyle w:val="47"/>
          <w:rFonts w:hint="eastAsia" w:cs="宋体" w:asciiTheme="minorEastAsia" w:hAnsiTheme="minorEastAsia" w:eastAsiaTheme="minorEastAsia"/>
          <w:color w:val="auto"/>
          <w:u w:val="none"/>
        </w:rPr>
        <w:fldChar w:fldCharType="end"/>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（3）绑定和激活CA：将数字证书与诚信库中的供应商账户进行绑定。</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5．提交电子投标文件：在提交投标文件截止时间前及时提交加密后电子投标文件，逾期提交的，系统将会拒收；</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8．中标供应商注册：按照陕西省政府采购监管部门的要求，采购代理机构在发布中标公告前，应由中标供应商在陕西省政府采购网上完成注册。</w:t>
      </w:r>
    </w:p>
    <w:p>
      <w:pPr>
        <w:pStyle w:val="103"/>
        <w:ind w:firstLine="499"/>
        <w:rPr>
          <w:rFonts w:asciiTheme="minorEastAsia" w:hAnsiTheme="minorEastAsia" w:eastAsiaTheme="minorEastAsia"/>
          <w:b/>
          <w:bCs/>
        </w:rPr>
      </w:pPr>
      <w:bookmarkStart w:id="15" w:name="_Toc18855"/>
      <w:r>
        <w:rPr>
          <w:rFonts w:hint="eastAsia" w:asciiTheme="minorEastAsia" w:hAnsiTheme="minorEastAsia" w:eastAsiaTheme="minorEastAsia"/>
          <w:b/>
          <w:bCs/>
        </w:rPr>
        <w:t>（二）关于询问、质疑和投诉</w:t>
      </w:r>
      <w:bookmarkEnd w:id="15"/>
    </w:p>
    <w:p>
      <w:pPr>
        <w:pStyle w:val="103"/>
        <w:ind w:firstLine="497"/>
        <w:rPr>
          <w:rFonts w:cs="宋体" w:asciiTheme="minorEastAsia" w:hAnsiTheme="minorEastAsia" w:eastAsiaTheme="minorEastAsia"/>
        </w:rPr>
      </w:pPr>
      <w:bookmarkStart w:id="16" w:name="_Toc25855"/>
      <w:r>
        <w:rPr>
          <w:rFonts w:hint="eastAsia" w:cs="宋体" w:asciiTheme="minorEastAsia" w:hAnsiTheme="minorEastAsia" w:eastAsiaTheme="minorEastAsia"/>
        </w:rPr>
        <w:t>1．询问</w:t>
      </w:r>
      <w:bookmarkEnd w:id="16"/>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供应商对政府采购活动事项有疑问的，可以向采购人或采购代理机构提出询问。采购人或采购代理机构将在3个工作日内对供应商依法提出的询问作出答复。</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根据采购人和采购代理机构签订的《政府采购委托代理协议》，针对采购需求（包括采购内容、技术或服务要求、商务要求、合同条款、供应商资格条件、评审要素及分值一览表）的询问请向采购人提出。</w:t>
      </w:r>
    </w:p>
    <w:p>
      <w:pPr>
        <w:pStyle w:val="103"/>
        <w:ind w:firstLine="497"/>
        <w:rPr>
          <w:rFonts w:asciiTheme="minorEastAsia" w:hAnsiTheme="minorEastAsia" w:eastAsiaTheme="minorEastAsia"/>
        </w:rPr>
      </w:pPr>
      <w:bookmarkStart w:id="17" w:name="_Toc7787"/>
      <w:r>
        <w:rPr>
          <w:rFonts w:hint="eastAsia" w:asciiTheme="minorEastAsia" w:hAnsiTheme="minorEastAsia" w:eastAsiaTheme="minorEastAsia"/>
        </w:rPr>
        <w:t>2．质疑</w:t>
      </w:r>
      <w:bookmarkEnd w:id="17"/>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（1）供应商认为采购文件、采购过程、成交结果使自己的权益受到损害的，可以在知道或应知其权益受到损害之日起7个工作日内以书面形式向采购人、采购代理机构提出。</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（2）质疑方式：</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① 在线质疑：</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登录西安市公共资源交易平台〖首页·〉电子交易平台·〉企业端〗，在〖我的项目〗中点击“项目流程·〉提出质疑”，填写表单并提交质疑。</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② 书面质疑：</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书面质疑函应按照财政部国库司制定的《政府采购供应商质疑函范本》（见下方链接）进行填写，签字、盖章后提交至采购人、采购代理机构。</w:t>
      </w:r>
    </w:p>
    <w:p>
      <w:pPr>
        <w:spacing w:line="56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质疑函范本地址：</w:t>
      </w:r>
      <w:r>
        <w:fldChar w:fldCharType="begin"/>
      </w:r>
      <w:r>
        <w:instrText xml:space="preserve"> HYPERLINK "http://download.ccgp.gov.cn/2018/zhiyihanfanben.zip" </w:instrText>
      </w:r>
      <w:r>
        <w:fldChar w:fldCharType="separate"/>
      </w:r>
      <w:r>
        <w:rPr>
          <w:rStyle w:val="47"/>
          <w:rFonts w:hint="eastAsia" w:cs="宋体" w:asciiTheme="minorEastAsia" w:hAnsiTheme="minorEastAsia" w:eastAsiaTheme="minorEastAsia"/>
          <w:color w:val="auto"/>
          <w:u w:val="none"/>
        </w:rPr>
        <w:t>http://download.ccgp.gov.cn/2018/zhiyihanfanben.zip</w:t>
      </w:r>
      <w:r>
        <w:rPr>
          <w:rStyle w:val="47"/>
          <w:rFonts w:hint="eastAsia" w:cs="宋体" w:asciiTheme="minorEastAsia" w:hAnsiTheme="minorEastAsia" w:eastAsiaTheme="minorEastAsia"/>
          <w:color w:val="auto"/>
          <w:u w:val="none"/>
        </w:rPr>
        <w:fldChar w:fldCharType="end"/>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（5）有下列情形之一的，属于无效质疑：</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① 对采购文件提出质疑的质疑人不是依法获取采购文件的潜在供应商；对采购过程、中标结果提出质疑的质疑人不是参与本次政府采购项目的供应商；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② 超过法定期限或未以书面形式提出的；</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③ 缺乏必要的证明材料，或捏造事实、提供虚假材料，或以非法手段取得证明材料的；</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④ 质疑函没有合法有效的签字、盖章或委托授权书的（代理人提出质疑和投诉，应当提交供应商签署的授权委托书）；</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⑤ 针对同一采购程序环节又提出其他质疑事项的，或质疑答复后就同一事项再次提出质疑的；</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⑥ 不符合法律、法规、规章和政府采购监管机构规定的其他条件的。</w:t>
      </w:r>
    </w:p>
    <w:p>
      <w:pPr>
        <w:pStyle w:val="103"/>
        <w:ind w:firstLine="497"/>
        <w:rPr>
          <w:rFonts w:cs="宋体" w:asciiTheme="minorEastAsia" w:hAnsiTheme="minorEastAsia" w:eastAsiaTheme="minorEastAsia"/>
        </w:rPr>
      </w:pPr>
      <w:bookmarkStart w:id="18" w:name="_Toc26875"/>
      <w:r>
        <w:rPr>
          <w:rFonts w:hint="eastAsia" w:cs="宋体" w:asciiTheme="minorEastAsia" w:hAnsiTheme="minorEastAsia" w:eastAsiaTheme="minorEastAsia"/>
        </w:rPr>
        <w:t>3．投诉</w:t>
      </w:r>
      <w:bookmarkEnd w:id="18"/>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（2）供应商投诉的事项不得超出已质疑事项的范围。供应商提出投诉时，应当提交投诉书和必要的证明材料，并按财政部《投诉书范本》给定的格式进行填写。</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投诉书范本地址：</w:t>
      </w:r>
    </w:p>
    <w:p>
      <w:pPr>
        <w:spacing w:line="560" w:lineRule="exact"/>
        <w:ind w:firstLine="496" w:firstLineChars="200"/>
        <w:jc w:val="both"/>
        <w:rPr>
          <w:rFonts w:cs="宋体" w:asciiTheme="minorEastAsia" w:hAnsiTheme="minorEastAsia" w:eastAsiaTheme="minorEastAsia"/>
        </w:rPr>
      </w:pPr>
      <w:r>
        <w:fldChar w:fldCharType="begin"/>
      </w:r>
      <w:r>
        <w:instrText xml:space="preserve"> HYPERLINK "http://download.ccgp.gov.cn/2018/tousushufanben.zip" </w:instrText>
      </w:r>
      <w:r>
        <w:fldChar w:fldCharType="separate"/>
      </w:r>
      <w:r>
        <w:rPr>
          <w:rStyle w:val="47"/>
          <w:rFonts w:hint="eastAsia" w:cs="宋体" w:asciiTheme="minorEastAsia" w:hAnsiTheme="minorEastAsia" w:eastAsiaTheme="minorEastAsia"/>
        </w:rPr>
        <w:t>http://download.ccgp.gov.cn/2018/tousushufanben.zip</w:t>
      </w:r>
      <w:r>
        <w:rPr>
          <w:rStyle w:val="47"/>
          <w:rFonts w:hint="eastAsia" w:cs="宋体" w:asciiTheme="minorEastAsia" w:hAnsiTheme="minorEastAsia" w:eastAsiaTheme="minorEastAsia"/>
        </w:rPr>
        <w:fldChar w:fldCharType="end"/>
      </w:r>
    </w:p>
    <w:p>
      <w:pPr>
        <w:pStyle w:val="103"/>
        <w:ind w:firstLine="497"/>
        <w:rPr>
          <w:rFonts w:cs="宋体" w:asciiTheme="minorEastAsia" w:hAnsiTheme="minorEastAsia" w:eastAsiaTheme="minorEastAsia"/>
        </w:rPr>
      </w:pPr>
      <w:bookmarkStart w:id="19" w:name="_Toc6468"/>
      <w:r>
        <w:rPr>
          <w:rFonts w:hint="eastAsia" w:cs="宋体" w:asciiTheme="minorEastAsia" w:hAnsiTheme="minorEastAsia" w:eastAsiaTheme="minorEastAsia"/>
        </w:rPr>
        <w:t>4．恶意质疑、投诉的法律后果</w:t>
      </w:r>
      <w:bookmarkEnd w:id="19"/>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（1）对捏造事实、提供虚假材料进行质疑、投诉的行为予以严肃处理：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（2）对捏造事实诬告陷害他人、诽谤他人的法律适用：</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《中华人民共和国刑法》第246条【侮辱罪、诽谤罪】以暴力或者其他方法公然侮辱他人或者捏造事实诽谤他人，情节严重的，处三年以下有期徒刑、拘役、管制或者剥夺政治权利。</w:t>
      </w:r>
    </w:p>
    <w:p>
      <w:pPr>
        <w:pStyle w:val="103"/>
        <w:ind w:firstLine="499"/>
        <w:rPr>
          <w:rFonts w:asciiTheme="minorEastAsia" w:hAnsiTheme="minorEastAsia" w:eastAsiaTheme="minorEastAsia"/>
          <w:b/>
          <w:bCs/>
        </w:rPr>
      </w:pPr>
      <w:bookmarkStart w:id="20" w:name="_Toc15150"/>
      <w:r>
        <w:rPr>
          <w:rFonts w:hint="eastAsia" w:asciiTheme="minorEastAsia" w:hAnsiTheme="minorEastAsia" w:eastAsiaTheme="minorEastAsia"/>
          <w:b/>
          <w:bCs/>
        </w:rPr>
        <w:t>（三）关于保证金</w:t>
      </w:r>
      <w:bookmarkEnd w:id="20"/>
    </w:p>
    <w:p>
      <w:pPr>
        <w:pStyle w:val="103"/>
        <w:ind w:firstLine="497"/>
        <w:rPr>
          <w:rFonts w:asciiTheme="minorEastAsia" w:hAnsiTheme="minorEastAsia" w:eastAsiaTheme="minorEastAsia"/>
        </w:rPr>
      </w:pPr>
      <w:bookmarkStart w:id="21" w:name="_Toc21776"/>
      <w:r>
        <w:rPr>
          <w:rFonts w:hint="eastAsia" w:asciiTheme="minorEastAsia" w:hAnsiTheme="minorEastAsia" w:eastAsiaTheme="minorEastAsia"/>
        </w:rPr>
        <w:t>1．西安市政府采购信用担保及信用融资政策</w:t>
      </w:r>
      <w:bookmarkEnd w:id="21"/>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《实施方案》链接地址：</w:t>
      </w:r>
    </w:p>
    <w:p>
      <w:pPr>
        <w:spacing w:line="560" w:lineRule="exact"/>
        <w:ind w:firstLine="496" w:firstLineChars="200"/>
        <w:jc w:val="both"/>
        <w:rPr>
          <w:rFonts w:cs="宋体" w:asciiTheme="minorEastAsia" w:hAnsiTheme="minorEastAsia" w:eastAsiaTheme="minorEastAsia"/>
        </w:rPr>
      </w:pPr>
      <w:r>
        <w:fldChar w:fldCharType="begin"/>
      </w:r>
      <w:r>
        <w:instrText xml:space="preserve"> HYPERLINK "http://xaczj.xa.gov.cn/zfcg/cgfg/5db90552fd850863a9e4594d.html" </w:instrText>
      </w:r>
      <w:r>
        <w:fldChar w:fldCharType="separate"/>
      </w:r>
      <w:r>
        <w:rPr>
          <w:rStyle w:val="47"/>
          <w:rFonts w:hint="eastAsia" w:cs="宋体" w:asciiTheme="minorEastAsia" w:hAnsiTheme="minorEastAsia" w:eastAsiaTheme="minorEastAsia"/>
          <w:color w:val="auto"/>
          <w:u w:val="none"/>
        </w:rPr>
        <w:t>http://xaczj.xa.gov.cn/zfcg/cgfg/5db90552fd850863a9e4594d.html</w:t>
      </w:r>
      <w:r>
        <w:rPr>
          <w:rStyle w:val="47"/>
          <w:rFonts w:hint="eastAsia" w:cs="宋体" w:asciiTheme="minorEastAsia" w:hAnsiTheme="minorEastAsia" w:eastAsiaTheme="minorEastAsia"/>
          <w:color w:val="auto"/>
          <w:u w:val="none"/>
        </w:rPr>
        <w:fldChar w:fldCharType="end"/>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《合作机构名单》链接地址：</w:t>
      </w:r>
    </w:p>
    <w:p>
      <w:pPr>
        <w:spacing w:line="560" w:lineRule="exact"/>
        <w:ind w:firstLine="496" w:firstLineChars="200"/>
        <w:jc w:val="both"/>
        <w:rPr>
          <w:rFonts w:cs="宋体" w:asciiTheme="minorEastAsia" w:hAnsiTheme="minorEastAsia" w:eastAsiaTheme="minorEastAsia"/>
        </w:rPr>
      </w:pPr>
      <w:r>
        <w:fldChar w:fldCharType="begin"/>
      </w:r>
      <w:r>
        <w:instrText xml:space="preserve"> HYPERLINK "http://xaczj.xa.gov.cn/zfcg/cgfg/5db9054565cbd804f69e97e0.html" </w:instrText>
      </w:r>
      <w:r>
        <w:fldChar w:fldCharType="separate"/>
      </w:r>
      <w:r>
        <w:rPr>
          <w:rStyle w:val="47"/>
          <w:rFonts w:hint="eastAsia" w:cs="宋体" w:asciiTheme="minorEastAsia" w:hAnsiTheme="minorEastAsia" w:eastAsiaTheme="minorEastAsia"/>
          <w:color w:val="auto"/>
          <w:u w:val="none"/>
        </w:rPr>
        <w:t>http://xaczj.xa.gov.cn/zfcg/cgfg/5db9054565cbd804f69e97e0.html</w:t>
      </w:r>
      <w:r>
        <w:rPr>
          <w:rStyle w:val="47"/>
          <w:rFonts w:hint="eastAsia" w:cs="宋体" w:asciiTheme="minorEastAsia" w:hAnsiTheme="minorEastAsia" w:eastAsiaTheme="minorEastAsia"/>
          <w:color w:val="auto"/>
          <w:u w:val="none"/>
        </w:rPr>
        <w:fldChar w:fldCharType="end"/>
      </w:r>
    </w:p>
    <w:p>
      <w:pPr>
        <w:pStyle w:val="103"/>
        <w:ind w:firstLine="497"/>
        <w:rPr>
          <w:rFonts w:asciiTheme="minorEastAsia" w:hAnsiTheme="minorEastAsia" w:eastAsiaTheme="minorEastAsia"/>
        </w:rPr>
      </w:pPr>
      <w:bookmarkStart w:id="22" w:name="_Toc184"/>
      <w:r>
        <w:rPr>
          <w:rFonts w:hint="eastAsia" w:asciiTheme="minorEastAsia" w:hAnsiTheme="minorEastAsia" w:eastAsiaTheme="minorEastAsia"/>
        </w:rPr>
        <w:t>2．投标保证金</w:t>
      </w:r>
      <w:bookmarkEnd w:id="22"/>
    </w:p>
    <w:p>
      <w:pPr>
        <w:spacing w:line="560" w:lineRule="exact"/>
        <w:ind w:firstLine="496" w:firstLineChars="200"/>
        <w:jc w:val="both"/>
        <w:rPr>
          <w:rFonts w:asciiTheme="minorEastAsia" w:hAnsiTheme="minorEastAsia" w:eastAsiaTheme="minorEastAsia"/>
        </w:rPr>
      </w:pPr>
      <w:r>
        <w:rPr>
          <w:rFonts w:hint="eastAsia" w:cs="宋体" w:asciiTheme="minorEastAsia" w:hAnsiTheme="minorEastAsia" w:eastAsiaTheme="minorEastAsia"/>
        </w:rPr>
        <w:t>按照西安市财政局《关于促进政府采购公平竞争优化营商环境的通知》第三条规定，供应商参与西安市政府采购活动时，免交投标保证金。</w:t>
      </w:r>
    </w:p>
    <w:p>
      <w:pPr>
        <w:pStyle w:val="103"/>
        <w:ind w:firstLine="499"/>
        <w:rPr>
          <w:rFonts w:asciiTheme="minorEastAsia" w:hAnsiTheme="minorEastAsia" w:eastAsiaTheme="minorEastAsia"/>
          <w:b/>
          <w:bCs/>
        </w:rPr>
      </w:pPr>
      <w:bookmarkStart w:id="23" w:name="_Toc9929"/>
      <w:r>
        <w:rPr>
          <w:rFonts w:hint="eastAsia" w:asciiTheme="minorEastAsia" w:hAnsiTheme="minorEastAsia" w:eastAsiaTheme="minorEastAsia"/>
          <w:b/>
          <w:bCs/>
        </w:rPr>
        <w:t>（四）关于联合体</w:t>
      </w:r>
      <w:bookmarkEnd w:id="23"/>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4．供应商以联合体形式参加政府采购活动时，遵循以下规则：</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③ 采用资格前审的项目，联合体应当在提交资格前审申请文件前组成。资格前审后联合体不得增减、更换成员。</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④ 资格审查阶段，采购人将对所有联合体成员进行信用记录查询，联合体成员存在不良信用记录的，视同联合体存在不良信用记录。</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⑤ 招标文件要求供应商交纳保证金的，可以由联合体中的一方或者多方共同交纳保证金，其交纳的保证金对联合体各方均具有约束力。</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⑥ 招标文件要求供应商提供履约人员和设备情况的，联合体各方均应提供，以说明其作为独立供应商所具有的能有效执行合同的能力和资源。</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⑨ 对采购项目提出投诉时，应当由组成联合体的所有供应商共同提出。</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（5）联合体投标无效，本项目不接受联合体投标</w:t>
      </w:r>
    </w:p>
    <w:p>
      <w:pPr>
        <w:pStyle w:val="103"/>
        <w:ind w:firstLine="499"/>
        <w:rPr>
          <w:rFonts w:asciiTheme="minorEastAsia" w:hAnsiTheme="minorEastAsia" w:eastAsiaTheme="minorEastAsia"/>
          <w:b/>
          <w:bCs/>
        </w:rPr>
      </w:pPr>
      <w:bookmarkStart w:id="24" w:name="_Toc7087"/>
      <w:r>
        <w:rPr>
          <w:rFonts w:hint="eastAsia" w:asciiTheme="minorEastAsia" w:hAnsiTheme="minorEastAsia" w:eastAsiaTheme="minorEastAsia"/>
          <w:b/>
          <w:bCs/>
        </w:rPr>
        <w:t>（五）关于进口产品</w:t>
      </w:r>
      <w:bookmarkEnd w:id="24"/>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103"/>
        <w:ind w:firstLine="499"/>
        <w:rPr>
          <w:rFonts w:asciiTheme="minorEastAsia" w:hAnsiTheme="minorEastAsia" w:eastAsiaTheme="minorEastAsia"/>
          <w:b/>
          <w:bCs/>
        </w:rPr>
      </w:pPr>
      <w:bookmarkStart w:id="25" w:name="_Toc15301"/>
      <w:r>
        <w:rPr>
          <w:rFonts w:hint="eastAsia" w:asciiTheme="minorEastAsia" w:hAnsiTheme="minorEastAsia" w:eastAsiaTheme="minorEastAsia"/>
          <w:b/>
          <w:bCs/>
        </w:rPr>
        <w:t>（六）关于政府采购政策</w:t>
      </w:r>
      <w:bookmarkEnd w:id="25"/>
    </w:p>
    <w:p>
      <w:pPr>
        <w:pStyle w:val="103"/>
        <w:ind w:firstLine="0" w:firstLineChars="0"/>
        <w:rPr>
          <w:rFonts w:asciiTheme="minorEastAsia" w:hAnsiTheme="minorEastAsia" w:eastAsiaTheme="minorEastAsia"/>
        </w:rPr>
      </w:pPr>
      <w:bookmarkStart w:id="26" w:name="_Toc2460"/>
      <w:r>
        <w:rPr>
          <w:rFonts w:hint="eastAsia" w:asciiTheme="minorEastAsia" w:hAnsiTheme="minorEastAsia" w:eastAsiaTheme="minorEastAsia"/>
        </w:rPr>
        <w:t>1．对中小企业、监狱企业、残疾人福利性单位的优惠政策</w:t>
      </w:r>
      <w:bookmarkEnd w:id="26"/>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（2）根据财政部、司法部联合下发的《关于政府采购支持监狱企业发展有关问题的通知》（财库〔2014〕68号）的规定，监狱企业视同小型、微型企业。</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3"/>
        <w:ind w:firstLine="0" w:firstLineChars="0"/>
        <w:rPr>
          <w:rFonts w:asciiTheme="minorEastAsia" w:hAnsiTheme="minorEastAsia" w:eastAsiaTheme="minorEastAsia"/>
        </w:rPr>
      </w:pPr>
      <w:bookmarkStart w:id="27" w:name="_Toc22143"/>
      <w:r>
        <w:rPr>
          <w:rFonts w:hint="eastAsia" w:asciiTheme="minorEastAsia" w:hAnsiTheme="minorEastAsia" w:eastAsiaTheme="minorEastAsia"/>
        </w:rPr>
        <w:t>2．节能、环保产品采购政策</w:t>
      </w:r>
      <w:bookmarkEnd w:id="27"/>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（3）《节能产品政府采购品目清单》见财政部、发展改革委《关于印发节能产品政府采购品目清单的通知》（财库〔2019〕19号）附件。</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（4）《环境标志产品政府采购品目清单》见财政部、生态环境部《关于印发环境标志产品政府采购品目清单的通知》（财库〔2019〕18号）附件。</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（5）“国家确定的认证机构”名单见市场监管总局《关于发布参与实施政府采购节能产品、环境标志产品认证机构名录的公告》（2019年第16号）。</w:t>
      </w:r>
    </w:p>
    <w:p>
      <w:pPr>
        <w:pStyle w:val="103"/>
        <w:ind w:firstLine="497"/>
        <w:rPr>
          <w:rFonts w:asciiTheme="minorEastAsia" w:hAnsiTheme="minorEastAsia" w:eastAsiaTheme="minorEastAsia"/>
        </w:rPr>
      </w:pPr>
      <w:bookmarkStart w:id="28" w:name="_Toc19090"/>
      <w:r>
        <w:rPr>
          <w:rFonts w:hint="eastAsia" w:asciiTheme="minorEastAsia" w:hAnsiTheme="minorEastAsia" w:eastAsiaTheme="minorEastAsia"/>
        </w:rPr>
        <w:t>3．陕西省中小企业政府采购信用融资办法</w:t>
      </w:r>
      <w:bookmarkEnd w:id="28"/>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链接地址：</w:t>
      </w:r>
      <w:r>
        <w:fldChar w:fldCharType="begin"/>
      </w:r>
      <w:r>
        <w:instrText xml:space="preserve"> HYPERLINK "http://www.ccgp-shaanxi.gov.cn/zcdservice/zcd/shanxi/article/zcdt/1390497710741917696" </w:instrText>
      </w:r>
      <w:r>
        <w:fldChar w:fldCharType="separate"/>
      </w:r>
      <w:r>
        <w:rPr>
          <w:rStyle w:val="47"/>
          <w:rFonts w:hint="eastAsia" w:cs="宋体" w:asciiTheme="minorEastAsia" w:hAnsiTheme="minorEastAsia" w:eastAsiaTheme="minorEastAsia"/>
          <w:color w:val="auto"/>
          <w:u w:val="none"/>
        </w:rPr>
        <w:t>http://www.ccgp-shaanxi.gov.cn/zcdservice/zcd/shanxi/article/zcdt/1390497710741917696</w:t>
      </w:r>
      <w:r>
        <w:rPr>
          <w:rStyle w:val="47"/>
          <w:rFonts w:hint="eastAsia" w:cs="宋体" w:asciiTheme="minorEastAsia" w:hAnsiTheme="minorEastAsia" w:eastAsiaTheme="minorEastAsia"/>
          <w:color w:val="auto"/>
          <w:u w:val="none"/>
        </w:rPr>
        <w:fldChar w:fldCharType="end"/>
      </w:r>
    </w:p>
    <w:p>
      <w:pPr>
        <w:pStyle w:val="103"/>
        <w:ind w:firstLine="499"/>
        <w:rPr>
          <w:rFonts w:asciiTheme="minorEastAsia" w:hAnsiTheme="minorEastAsia" w:eastAsiaTheme="minorEastAsia"/>
          <w:b/>
          <w:bCs/>
        </w:rPr>
      </w:pPr>
      <w:bookmarkStart w:id="29" w:name="_Toc9302"/>
      <w:r>
        <w:rPr>
          <w:rFonts w:hint="eastAsia" w:asciiTheme="minorEastAsia" w:hAnsiTheme="minorEastAsia" w:eastAsiaTheme="minorEastAsia"/>
          <w:b/>
          <w:bCs/>
        </w:rPr>
        <w:t>（七）关于现场踏勘和集中答疑</w:t>
      </w:r>
      <w:bookmarkEnd w:id="29"/>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采购人可以根据项目实际情况决定是否组织现场踏勘并领取基础图纸，并集中开标前答疑。投标邀请函中明确载明安排上述活动的，各供应商应派出技术、预算等相关人员，在招标文件约定的时间、地点参加现场踏勘\标前集中答疑。</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凡未参加现场踏勘和集中答疑的供应商，由此带来的不利后果由该供应商自行承担。</w:t>
      </w:r>
    </w:p>
    <w:p>
      <w:pPr>
        <w:pStyle w:val="103"/>
        <w:ind w:firstLine="499"/>
        <w:rPr>
          <w:rFonts w:asciiTheme="minorEastAsia" w:hAnsiTheme="minorEastAsia" w:eastAsiaTheme="minorEastAsia"/>
          <w:b/>
          <w:bCs/>
        </w:rPr>
      </w:pPr>
      <w:bookmarkStart w:id="30" w:name="_Toc25219"/>
      <w:r>
        <w:rPr>
          <w:rFonts w:hint="eastAsia" w:asciiTheme="minorEastAsia" w:hAnsiTheme="minorEastAsia" w:eastAsiaTheme="minorEastAsia"/>
          <w:b/>
          <w:bCs/>
        </w:rPr>
        <w:t>（八）关于同一品牌产品的处理</w:t>
      </w:r>
      <w:bookmarkEnd w:id="30"/>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3"/>
        <w:ind w:firstLine="499"/>
        <w:rPr>
          <w:rFonts w:asciiTheme="minorEastAsia" w:hAnsiTheme="minorEastAsia" w:eastAsiaTheme="minorEastAsia"/>
          <w:b/>
          <w:bCs/>
        </w:rPr>
      </w:pPr>
      <w:bookmarkStart w:id="31" w:name="_Toc15678"/>
      <w:r>
        <w:rPr>
          <w:rFonts w:hint="eastAsia" w:asciiTheme="minorEastAsia" w:hAnsiTheme="minorEastAsia" w:eastAsiaTheme="minorEastAsia"/>
          <w:b/>
          <w:bCs/>
        </w:rPr>
        <w:t>（九）关于知识产权和保密事项</w:t>
      </w:r>
      <w:bookmarkEnd w:id="31"/>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103"/>
        <w:ind w:firstLine="499"/>
        <w:rPr>
          <w:rFonts w:asciiTheme="minorEastAsia" w:hAnsiTheme="minorEastAsia" w:eastAsiaTheme="minorEastAsia"/>
          <w:b/>
          <w:bCs/>
        </w:rPr>
      </w:pPr>
      <w:bookmarkStart w:id="32" w:name="_Toc17978"/>
      <w:r>
        <w:rPr>
          <w:rFonts w:hint="eastAsia" w:asciiTheme="minorEastAsia" w:hAnsiTheme="minorEastAsia" w:eastAsiaTheme="minorEastAsia"/>
          <w:b/>
          <w:bCs/>
        </w:rPr>
        <w:t>（十）关于信用记录的查询和使用</w:t>
      </w:r>
      <w:bookmarkEnd w:id="32"/>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47"/>
          <w:rFonts w:hint="eastAsia" w:cs="宋体" w:asciiTheme="minorEastAsia" w:hAnsiTheme="minorEastAsia" w:eastAsiaTheme="minorEastAsia"/>
          <w:color w:val="auto"/>
          <w:u w:val="none"/>
        </w:rPr>
        <w:t>https://www.creditchina.gov.cn</w:t>
      </w:r>
      <w:r>
        <w:rPr>
          <w:rStyle w:val="47"/>
          <w:rFonts w:hint="eastAsia" w:cs="宋体" w:asciiTheme="minorEastAsia" w:hAnsiTheme="minorEastAsia" w:eastAsiaTheme="minorEastAsia"/>
          <w:color w:val="auto"/>
          <w:u w:val="none"/>
        </w:rPr>
        <w:fldChar w:fldCharType="end"/>
      </w:r>
      <w:r>
        <w:rPr>
          <w:rFonts w:hint="eastAsia" w:cs="宋体" w:asciiTheme="minorEastAsia" w:hAnsiTheme="minorEastAsia" w:eastAsiaTheme="minorEastAsia"/>
        </w:rPr>
        <w:t>/）和【中国政府采购网】（</w:t>
      </w:r>
      <w:r>
        <w:fldChar w:fldCharType="begin"/>
      </w:r>
      <w:r>
        <w:instrText xml:space="preserve"> HYPERLINK "http://www.ccgp.gov.cn/" </w:instrText>
      </w:r>
      <w:r>
        <w:fldChar w:fldCharType="separate"/>
      </w:r>
      <w:r>
        <w:rPr>
          <w:rStyle w:val="47"/>
          <w:rFonts w:hint="eastAsia" w:cs="宋体" w:asciiTheme="minorEastAsia" w:hAnsiTheme="minorEastAsia" w:eastAsiaTheme="minorEastAsia"/>
          <w:color w:val="auto"/>
          <w:u w:val="none"/>
        </w:rPr>
        <w:t>http://www.ccgp.gov.cn/）</w:t>
      </w:r>
      <w:r>
        <w:rPr>
          <w:rStyle w:val="47"/>
          <w:rFonts w:hint="eastAsia" w:cs="宋体" w:asciiTheme="minorEastAsia" w:hAnsiTheme="minorEastAsia" w:eastAsiaTheme="minorEastAsia"/>
          <w:color w:val="auto"/>
          <w:u w:val="none"/>
        </w:rPr>
        <w:fldChar w:fldCharType="end"/>
      </w:r>
      <w:r>
        <w:rPr>
          <w:rFonts w:hint="eastAsia" w:cs="宋体" w:asciiTheme="minorEastAsia" w:hAnsiTheme="minorEastAsia" w:eastAsiaTheme="minorEastAsia"/>
        </w:rPr>
        <w:t>对供应商的信用情况进行甄别。</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3．供应商在参加政府采购活动前3年内因违法经营被禁止在一定期限内参加政府采购活动，期限届满的，可以参加政府采购活动的，但供应商应提供相关证明材料。</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4．信用记录查询结果打印后，将与其他采购文件一并保存。</w:t>
      </w:r>
    </w:p>
    <w:p>
      <w:pPr>
        <w:pStyle w:val="103"/>
        <w:ind w:firstLine="499"/>
        <w:rPr>
          <w:rFonts w:asciiTheme="minorEastAsia" w:hAnsiTheme="minorEastAsia" w:eastAsiaTheme="minorEastAsia"/>
          <w:b/>
          <w:bCs/>
        </w:rPr>
      </w:pPr>
      <w:bookmarkStart w:id="33" w:name="_Toc5362"/>
      <w:r>
        <w:rPr>
          <w:rFonts w:hint="eastAsia" w:asciiTheme="minorEastAsia" w:hAnsiTheme="minorEastAsia" w:eastAsiaTheme="minorEastAsia"/>
          <w:b/>
          <w:bCs/>
        </w:rPr>
        <w:t>（十一）其他重要事项</w:t>
      </w:r>
      <w:bookmarkEnd w:id="33"/>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1．招标文件内所附网络链接仅供参考，不保证其长期有效性。</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2．供应商的投标费用自理。</w:t>
      </w:r>
    </w:p>
    <w:p>
      <w:pPr>
        <w:pStyle w:val="8"/>
        <w:rPr>
          <w:rFonts w:cs="宋体" w:asciiTheme="minorEastAsia" w:hAnsiTheme="minorEastAsia" w:eastAsiaTheme="minorEastAsia"/>
          <w:sz w:val="24"/>
          <w:szCs w:val="24"/>
        </w:rPr>
      </w:pPr>
      <w:bookmarkStart w:id="34" w:name="_Toc135129525"/>
      <w:r>
        <w:rPr>
          <w:rFonts w:hint="eastAsia" w:cs="宋体" w:asciiTheme="minorEastAsia" w:hAnsiTheme="minorEastAsia" w:eastAsiaTheme="minorEastAsia"/>
          <w:sz w:val="24"/>
          <w:szCs w:val="24"/>
        </w:rPr>
        <w:t>三、招标文件</w:t>
      </w:r>
      <w:bookmarkEnd w:id="34"/>
    </w:p>
    <w:p>
      <w:pPr>
        <w:pStyle w:val="103"/>
        <w:ind w:firstLine="499"/>
        <w:rPr>
          <w:rFonts w:asciiTheme="minorEastAsia" w:hAnsiTheme="minorEastAsia" w:eastAsiaTheme="minorEastAsia"/>
          <w:b/>
          <w:bCs/>
        </w:rPr>
      </w:pPr>
      <w:bookmarkStart w:id="35" w:name="_Toc23274"/>
      <w:r>
        <w:rPr>
          <w:rFonts w:hint="eastAsia" w:asciiTheme="minorEastAsia" w:hAnsiTheme="minorEastAsia" w:eastAsiaTheme="minorEastAsia"/>
          <w:b/>
          <w:bCs/>
        </w:rPr>
        <w:t>（一）招标文件的解释权</w:t>
      </w:r>
      <w:bookmarkEnd w:id="35"/>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本项目招标文件的解释权归采购代理机构，评标委员会成员应根据政府采购法律法规和招标文件所载明的评审方法、标准进行评审。</w:t>
      </w:r>
    </w:p>
    <w:p>
      <w:pPr>
        <w:pStyle w:val="103"/>
        <w:ind w:firstLine="499"/>
        <w:rPr>
          <w:rFonts w:asciiTheme="minorEastAsia" w:hAnsiTheme="minorEastAsia" w:eastAsiaTheme="minorEastAsia"/>
          <w:b/>
          <w:bCs/>
        </w:rPr>
      </w:pPr>
      <w:bookmarkStart w:id="36" w:name="_Toc30024"/>
      <w:r>
        <w:rPr>
          <w:rFonts w:hint="eastAsia" w:asciiTheme="minorEastAsia" w:hAnsiTheme="minorEastAsia" w:eastAsiaTheme="minorEastAsia"/>
          <w:b/>
          <w:bCs/>
        </w:rPr>
        <w:t>（二）招标文件主要内容</w:t>
      </w:r>
      <w:bookmarkEnd w:id="36"/>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第1章  投标邀请函</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第2章  供应商须知</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第3章  招标内容及要求</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第4章  合同文本</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第5章  投标文件构成及格式</w:t>
      </w:r>
    </w:p>
    <w:p>
      <w:pPr>
        <w:pStyle w:val="103"/>
        <w:ind w:firstLine="499"/>
        <w:rPr>
          <w:rFonts w:asciiTheme="minorEastAsia" w:hAnsiTheme="minorEastAsia" w:eastAsiaTheme="minorEastAsia"/>
          <w:b/>
          <w:bCs/>
        </w:rPr>
      </w:pPr>
      <w:bookmarkStart w:id="37" w:name="_Toc26313"/>
      <w:r>
        <w:rPr>
          <w:rFonts w:hint="eastAsia" w:asciiTheme="minorEastAsia" w:hAnsiTheme="minorEastAsia" w:eastAsiaTheme="minorEastAsia"/>
          <w:b/>
          <w:bCs/>
        </w:rPr>
        <w:t>（三）招标文件的检查及阅读</w:t>
      </w:r>
      <w:bookmarkEnd w:id="37"/>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供应商应认真阅读和充分理解招标文件中所有的事项、格式条款和规范要求，在投标文件中对招标文件做出全面响 应，并按招标文件的要求提交全部资料。</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项目废标后重新组织招标的，采购代理机构将重新编制、发布新版招标文件，供应商应按新版招标文件重新编制投标文件。原招标文件及投标文件失效。</w:t>
      </w:r>
    </w:p>
    <w:p>
      <w:pPr>
        <w:pStyle w:val="103"/>
        <w:ind w:firstLine="499"/>
        <w:rPr>
          <w:rFonts w:asciiTheme="minorEastAsia" w:hAnsiTheme="minorEastAsia" w:eastAsiaTheme="minorEastAsia"/>
          <w:b/>
          <w:bCs/>
        </w:rPr>
      </w:pPr>
      <w:bookmarkStart w:id="38" w:name="_Toc5096"/>
      <w:r>
        <w:rPr>
          <w:rFonts w:hint="eastAsia" w:asciiTheme="minorEastAsia" w:hAnsiTheme="minorEastAsia" w:eastAsiaTheme="minorEastAsia"/>
          <w:b/>
          <w:bCs/>
        </w:rPr>
        <w:t>（四）招标文件的修改、澄清</w:t>
      </w:r>
      <w:bookmarkEnd w:id="38"/>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1．提交投标文件截止之日前，采购人或采购代理机构可能对已发出的招标文件进行澄清或者修改，澄清或者修改的内容为招标文件的组成部分。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（1）【</w:t>
      </w:r>
      <w:r>
        <w:fldChar w:fldCharType="begin"/>
      </w:r>
      <w:r>
        <w:instrText xml:space="preserve"> HYPERLINK "http://www.ccgp-shaanxi.gov.cn" </w:instrText>
      </w:r>
      <w:r>
        <w:fldChar w:fldCharType="separate"/>
      </w:r>
      <w:r>
        <w:rPr>
          <w:rStyle w:val="47"/>
          <w:rFonts w:hint="eastAsia" w:cs="宋体" w:asciiTheme="minorEastAsia" w:hAnsiTheme="minorEastAsia" w:eastAsiaTheme="minorEastAsia"/>
          <w:color w:val="auto"/>
          <w:u w:val="none"/>
        </w:rPr>
        <w:t>陕西省政府采购网</w:t>
      </w:r>
      <w:r>
        <w:rPr>
          <w:rStyle w:val="47"/>
          <w:rFonts w:hint="eastAsia" w:cs="宋体" w:asciiTheme="minorEastAsia" w:hAnsiTheme="minorEastAsia" w:eastAsiaTheme="minorEastAsia"/>
          <w:color w:val="auto"/>
          <w:u w:val="none"/>
        </w:rPr>
        <w:fldChar w:fldCharType="end"/>
      </w:r>
      <w:r>
        <w:rPr>
          <w:rFonts w:hint="eastAsia" w:cs="宋体" w:asciiTheme="minorEastAsia" w:hAnsiTheme="minorEastAsia" w:eastAsiaTheme="minorEastAsia"/>
        </w:rPr>
        <w:t>】（</w:t>
      </w:r>
      <w:r>
        <w:fldChar w:fldCharType="begin"/>
      </w:r>
      <w:r>
        <w:instrText xml:space="preserve"> HYPERLINK "http://www.ccgp-shaanxi.gov.cn/" </w:instrText>
      </w:r>
      <w:r>
        <w:fldChar w:fldCharType="separate"/>
      </w:r>
      <w:r>
        <w:rPr>
          <w:rStyle w:val="47"/>
          <w:rFonts w:hint="eastAsia" w:cs="宋体" w:asciiTheme="minorEastAsia" w:hAnsiTheme="minorEastAsia" w:eastAsiaTheme="minorEastAsia"/>
          <w:color w:val="auto"/>
          <w:u w:val="none"/>
        </w:rPr>
        <w:t>http://www.ccgp-shaanxi.gov.cn/</w:t>
      </w:r>
      <w:r>
        <w:rPr>
          <w:rStyle w:val="47"/>
          <w:rFonts w:hint="eastAsia" w:cs="宋体" w:asciiTheme="minorEastAsia" w:hAnsiTheme="minorEastAsia" w:eastAsiaTheme="minorEastAsia"/>
          <w:color w:val="auto"/>
          <w:u w:val="none"/>
        </w:rPr>
        <w:fldChar w:fldCharType="end"/>
      </w:r>
      <w:r>
        <w:rPr>
          <w:rFonts w:hint="eastAsia" w:cs="宋体" w:asciiTheme="minorEastAsia" w:hAnsiTheme="minorEastAsia" w:eastAsiaTheme="minorEastAsia"/>
        </w:rPr>
        <w:t>）中的〖首页·〉信息公告·〉市级·〉西安市〗；</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w:t>
      </w:r>
      <w:r>
        <w:fldChar w:fldCharType="begin"/>
      </w:r>
      <w:r>
        <w:instrText xml:space="preserve"> HYPERLINK "http://xa.sxggzyjy.cn/" </w:instrText>
      </w:r>
      <w:r>
        <w:fldChar w:fldCharType="separate"/>
      </w:r>
      <w:r>
        <w:rPr>
          <w:rStyle w:val="47"/>
          <w:rFonts w:hint="eastAsia" w:cs="宋体" w:asciiTheme="minorEastAsia" w:hAnsiTheme="minorEastAsia" w:eastAsiaTheme="minorEastAsia"/>
          <w:color w:val="auto"/>
          <w:u w:val="none"/>
        </w:rPr>
        <w:t>全国公共资源交易网（陕西省·西安市）</w:t>
      </w:r>
      <w:r>
        <w:rPr>
          <w:rStyle w:val="47"/>
          <w:rFonts w:hint="eastAsia" w:cs="宋体" w:asciiTheme="minorEastAsia" w:hAnsiTheme="minorEastAsia" w:eastAsiaTheme="minorEastAsia"/>
          <w:color w:val="auto"/>
          <w:u w:val="none"/>
        </w:rPr>
        <w:fldChar w:fldCharType="end"/>
      </w:r>
      <w:r>
        <w:rPr>
          <w:rFonts w:hint="eastAsia" w:cs="宋体" w:asciiTheme="minorEastAsia" w:hAnsiTheme="minorEastAsia" w:eastAsiaTheme="minorEastAsia"/>
        </w:rPr>
        <w:t>】（</w:t>
      </w:r>
      <w:r>
        <w:fldChar w:fldCharType="begin"/>
      </w:r>
      <w:r>
        <w:instrText xml:space="preserve"> HYPERLINK "http://sxggzyjy.xa.gov.cn/" </w:instrText>
      </w:r>
      <w:r>
        <w:fldChar w:fldCharType="separate"/>
      </w:r>
      <w:r>
        <w:rPr>
          <w:rStyle w:val="47"/>
          <w:rFonts w:hint="eastAsia" w:cs="宋体" w:asciiTheme="minorEastAsia" w:hAnsiTheme="minorEastAsia" w:eastAsiaTheme="minorEastAsia"/>
          <w:color w:val="auto"/>
          <w:u w:val="none"/>
        </w:rPr>
        <w:t>http://sxggzyjy.xa.gov.cn/</w:t>
      </w:r>
      <w:r>
        <w:rPr>
          <w:rStyle w:val="47"/>
          <w:rFonts w:hint="eastAsia" w:cs="宋体" w:asciiTheme="minorEastAsia" w:hAnsiTheme="minorEastAsia" w:eastAsiaTheme="minorEastAsia"/>
          <w:color w:val="auto"/>
          <w:u w:val="none"/>
        </w:rPr>
        <w:fldChar w:fldCharType="end"/>
      </w:r>
      <w:r>
        <w:rPr>
          <w:rFonts w:hint="eastAsia" w:cs="宋体" w:asciiTheme="minorEastAsia" w:hAnsiTheme="minorEastAsia" w:eastAsiaTheme="minorEastAsia"/>
        </w:rPr>
        <w:t>）中的〖首页·〉交易大厅·〉政府采购〗。</w:t>
      </w:r>
    </w:p>
    <w:p>
      <w:pPr>
        <w:pStyle w:val="8"/>
        <w:rPr>
          <w:rFonts w:cs="宋体" w:asciiTheme="minorEastAsia" w:hAnsiTheme="minorEastAsia" w:eastAsiaTheme="minorEastAsia"/>
          <w:sz w:val="24"/>
          <w:szCs w:val="24"/>
        </w:rPr>
      </w:pPr>
      <w:bookmarkStart w:id="39" w:name="_Toc135129526"/>
      <w:r>
        <w:rPr>
          <w:rFonts w:hint="eastAsia" w:cs="宋体" w:asciiTheme="minorEastAsia" w:hAnsiTheme="minorEastAsia" w:eastAsiaTheme="minorEastAsia"/>
          <w:sz w:val="24"/>
          <w:szCs w:val="24"/>
        </w:rPr>
        <w:t>四、投标文件</w:t>
      </w:r>
      <w:bookmarkEnd w:id="39"/>
    </w:p>
    <w:p>
      <w:pPr>
        <w:pStyle w:val="103"/>
        <w:ind w:firstLine="499"/>
        <w:rPr>
          <w:rFonts w:asciiTheme="minorEastAsia" w:hAnsiTheme="minorEastAsia" w:eastAsiaTheme="minorEastAsia"/>
          <w:b/>
          <w:bCs/>
        </w:rPr>
      </w:pPr>
      <w:bookmarkStart w:id="40" w:name="_Toc19870"/>
      <w:r>
        <w:rPr>
          <w:rFonts w:hint="eastAsia" w:asciiTheme="minorEastAsia" w:hAnsiTheme="minorEastAsia" w:eastAsiaTheme="minorEastAsia"/>
          <w:b/>
          <w:bCs/>
        </w:rPr>
        <w:t>（一）投标文件的式样</w:t>
      </w:r>
      <w:bookmarkEnd w:id="40"/>
    </w:p>
    <w:p>
      <w:pPr>
        <w:pStyle w:val="103"/>
        <w:ind w:firstLine="0" w:firstLineChars="0"/>
        <w:rPr>
          <w:rFonts w:asciiTheme="minorEastAsia" w:hAnsiTheme="minorEastAsia" w:eastAsiaTheme="minorEastAsia"/>
        </w:rPr>
      </w:pPr>
      <w:bookmarkStart w:id="41" w:name="_Toc23111"/>
      <w:r>
        <w:rPr>
          <w:rFonts w:hint="eastAsia" w:asciiTheme="minorEastAsia" w:hAnsiTheme="minorEastAsia" w:eastAsiaTheme="minorEastAsia"/>
        </w:rPr>
        <w:t>1．组成及格式</w:t>
      </w:r>
      <w:bookmarkEnd w:id="41"/>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供应商依照招标文件第五章《投标文件构成及格式》给定形式进行编制投标文件。</w:t>
      </w:r>
    </w:p>
    <w:p>
      <w:pPr>
        <w:pStyle w:val="103"/>
        <w:ind w:firstLine="0" w:firstLineChars="0"/>
        <w:rPr>
          <w:rFonts w:asciiTheme="minorEastAsia" w:hAnsiTheme="minorEastAsia" w:eastAsiaTheme="minorEastAsia"/>
        </w:rPr>
      </w:pPr>
      <w:bookmarkStart w:id="42" w:name="_Toc4658"/>
      <w:r>
        <w:rPr>
          <w:rFonts w:hint="eastAsia" w:asciiTheme="minorEastAsia" w:hAnsiTheme="minorEastAsia" w:eastAsiaTheme="minorEastAsia"/>
        </w:rPr>
        <w:t>2．语言</w:t>
      </w:r>
      <w:bookmarkEnd w:id="42"/>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招标活动的所有文件、资料、函电文字均使用简体中文，确需提交用其他语言形成的资料，必须翻译成简体中文，如有差异，以简体中文为准。</w:t>
      </w:r>
    </w:p>
    <w:p>
      <w:pPr>
        <w:pStyle w:val="103"/>
        <w:ind w:firstLine="0" w:firstLineChars="0"/>
        <w:rPr>
          <w:rFonts w:asciiTheme="minorEastAsia" w:hAnsiTheme="minorEastAsia" w:eastAsiaTheme="minorEastAsia"/>
        </w:rPr>
      </w:pPr>
      <w:bookmarkStart w:id="43" w:name="_Toc3436"/>
      <w:r>
        <w:rPr>
          <w:rFonts w:hint="eastAsia" w:asciiTheme="minorEastAsia" w:hAnsiTheme="minorEastAsia" w:eastAsiaTheme="minorEastAsia"/>
        </w:rPr>
        <w:t>3．计量单位</w:t>
      </w:r>
      <w:bookmarkEnd w:id="43"/>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投标文件的计量单位应使用中华人民共和国法定计量单位，但招标文件另有规定的除外。</w:t>
      </w:r>
    </w:p>
    <w:p>
      <w:pPr>
        <w:pStyle w:val="103"/>
        <w:ind w:firstLine="499"/>
        <w:rPr>
          <w:rFonts w:asciiTheme="minorEastAsia" w:hAnsiTheme="minorEastAsia" w:eastAsiaTheme="minorEastAsia"/>
          <w:b/>
          <w:bCs/>
        </w:rPr>
      </w:pPr>
      <w:bookmarkStart w:id="44" w:name="_Toc15553"/>
      <w:r>
        <w:rPr>
          <w:rFonts w:hint="eastAsia" w:asciiTheme="minorEastAsia" w:hAnsiTheme="minorEastAsia" w:eastAsiaTheme="minorEastAsia"/>
          <w:b/>
          <w:bCs/>
        </w:rPr>
        <w:t>（二）投标文件的有效期</w:t>
      </w:r>
      <w:bookmarkEnd w:id="44"/>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投标文件有效期为自开标之日起不少于90个日历日。如中标，延长至合同执行完毕时止。</w:t>
      </w:r>
    </w:p>
    <w:p>
      <w:pPr>
        <w:pStyle w:val="103"/>
        <w:ind w:firstLine="499"/>
        <w:rPr>
          <w:rFonts w:asciiTheme="minorEastAsia" w:hAnsiTheme="minorEastAsia" w:eastAsiaTheme="minorEastAsia"/>
          <w:b/>
          <w:bCs/>
        </w:rPr>
      </w:pPr>
      <w:bookmarkStart w:id="45" w:name="_Toc28137"/>
      <w:r>
        <w:rPr>
          <w:rFonts w:hint="eastAsia" w:asciiTheme="minorEastAsia" w:hAnsiTheme="minorEastAsia" w:eastAsiaTheme="minorEastAsia"/>
          <w:b/>
          <w:bCs/>
        </w:rPr>
        <w:t>（三）投标报价</w:t>
      </w:r>
      <w:bookmarkEnd w:id="45"/>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投标报价是供应商响应采购项目要求的全部工作内容的价格体现，包括完成采购内容所需的利润、税金及其它相关的一切费用。</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1．供应商在报价时应充分考虑所有可能发生的费用，招标文件未列明，而供应商认为应当计取的费用均应列入报价中。报价时不论是否计取，采购人均按已计取对待。</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3．投标报价货币：人民币；单位：元。</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4．投标文件报价出现前后不一致的，除招标文件另有规定外，按照下列规则修正：</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（1）投标文件中开标一览表内容与投标文件中其他位置相应内容表述不一致的，以开标一览表为准；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（2）大写金额和小写金额不一致的，以大写金额为准；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（3）单价金额小数点或者百分比有明显错位的，以开标一览表的总价为准，并修改单价；</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（4）总价金额与按单价汇总金额不一致的，以单价金额计算结果为准。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同时出现两种以上不一致的，按照前款规定的顺序修正。修正后的报价经供应商确认后产生约束力，供应商不确认的，其投标无效。</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5．因供应商对招标文件理解不透、误解、疏漏或对市场行情了解不清造成的后果和风险，均由供应商自己负责。</w:t>
      </w:r>
    </w:p>
    <w:p>
      <w:pPr>
        <w:pStyle w:val="103"/>
        <w:ind w:firstLine="499"/>
        <w:rPr>
          <w:rFonts w:asciiTheme="minorEastAsia" w:hAnsiTheme="minorEastAsia" w:eastAsiaTheme="minorEastAsia"/>
          <w:b/>
          <w:bCs/>
        </w:rPr>
      </w:pPr>
      <w:bookmarkStart w:id="46" w:name="_Toc30313"/>
      <w:r>
        <w:rPr>
          <w:rFonts w:hint="eastAsia" w:asciiTheme="minorEastAsia" w:hAnsiTheme="minorEastAsia" w:eastAsiaTheme="minorEastAsia"/>
          <w:b/>
          <w:bCs/>
        </w:rPr>
        <w:t>（四）投标文件的制作和签章</w:t>
      </w:r>
      <w:bookmarkEnd w:id="46"/>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链接地址：</w:t>
      </w:r>
    </w:p>
    <w:p>
      <w:pPr>
        <w:spacing w:line="560" w:lineRule="exact"/>
        <w:ind w:firstLine="496" w:firstLineChars="200"/>
        <w:jc w:val="both"/>
        <w:rPr>
          <w:rFonts w:cs="宋体" w:asciiTheme="minorEastAsia" w:hAnsiTheme="minorEastAsia" w:eastAsiaTheme="minorEastAsia"/>
        </w:rPr>
      </w:pPr>
      <w:r>
        <w:fldChar w:fldCharType="begin"/>
      </w:r>
      <w:r>
        <w:instrText xml:space="preserve"> HYPERLINK "http://sxggzyjy.xa.gov.cn/fwzn/004003/20181115/4d59c184-e8f6-4d5a-a416-c2f6b0601e66.html" </w:instrText>
      </w:r>
      <w:r>
        <w:fldChar w:fldCharType="separate"/>
      </w:r>
      <w:r>
        <w:rPr>
          <w:rStyle w:val="47"/>
          <w:rFonts w:hint="eastAsia" w:cs="宋体" w:asciiTheme="minorEastAsia" w:hAnsiTheme="minorEastAsia" w:eastAsiaTheme="minorEastAsia"/>
        </w:rPr>
        <w:t>http://sxggzyjy.xa.gov.cn/fwzn/004003/20181115/4d59c184-e8f6-4d5a-a416-c2f6b0601e66.html</w:t>
      </w:r>
      <w:r>
        <w:rPr>
          <w:rStyle w:val="47"/>
          <w:rFonts w:hint="eastAsia" w:cs="宋体" w:asciiTheme="minorEastAsia" w:hAnsiTheme="minorEastAsia" w:eastAsiaTheme="minorEastAsia"/>
        </w:rPr>
        <w:fldChar w:fldCharType="end"/>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3．电子投标文件制作过程中，需要法定代表人签字或盖章的地方，请使用“法人CA锁”进行签章；需要加盖供应商公章的地方，请使用“企业CA锁”进行签章。</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3"/>
        <w:ind w:firstLine="499"/>
        <w:rPr>
          <w:rFonts w:asciiTheme="minorEastAsia" w:hAnsiTheme="minorEastAsia" w:eastAsiaTheme="minorEastAsia"/>
          <w:b/>
          <w:bCs/>
        </w:rPr>
      </w:pPr>
      <w:bookmarkStart w:id="47" w:name="_Toc15534"/>
      <w:r>
        <w:rPr>
          <w:rFonts w:hint="eastAsia" w:asciiTheme="minorEastAsia" w:hAnsiTheme="minorEastAsia" w:eastAsiaTheme="minorEastAsia"/>
          <w:b/>
          <w:bCs/>
        </w:rPr>
        <w:t>（五）投标文件的加密和提交</w:t>
      </w:r>
      <w:bookmarkEnd w:id="47"/>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1．在生成电子投标文件时，需要使用CA锁对投标文件进行加密。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注意：加密投标文件和开标时解密投标文件应当使用同一CA，否则将会导致解密失败。</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3．上传文件有误或需要重新提交的，可先撤销已经上传的文件，然后重新上传新文件。</w:t>
      </w:r>
    </w:p>
    <w:p>
      <w:pPr>
        <w:pStyle w:val="103"/>
        <w:ind w:firstLine="499"/>
        <w:rPr>
          <w:rFonts w:asciiTheme="minorEastAsia" w:hAnsiTheme="minorEastAsia" w:eastAsiaTheme="minorEastAsia"/>
          <w:b/>
          <w:bCs/>
        </w:rPr>
      </w:pPr>
      <w:bookmarkStart w:id="48" w:name="_Toc28545"/>
      <w:r>
        <w:rPr>
          <w:rFonts w:hint="eastAsia" w:asciiTheme="minorEastAsia" w:hAnsiTheme="minorEastAsia" w:eastAsiaTheme="minorEastAsia"/>
          <w:b/>
          <w:bCs/>
        </w:rPr>
        <w:t>（六）投标文件的补充、修改和撤回</w:t>
      </w:r>
      <w:bookmarkEnd w:id="48"/>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2．供应商在提交投标文件截止时间后，撤回投标文件的，投标保证金不予退还。</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3"/>
        <w:ind w:firstLine="499"/>
        <w:rPr>
          <w:rFonts w:asciiTheme="minorEastAsia" w:hAnsiTheme="minorEastAsia" w:eastAsiaTheme="minorEastAsia"/>
          <w:b/>
          <w:bCs/>
        </w:rPr>
      </w:pPr>
      <w:bookmarkStart w:id="49" w:name="_Toc5968"/>
      <w:r>
        <w:rPr>
          <w:rFonts w:hint="eastAsia" w:asciiTheme="minorEastAsia" w:hAnsiTheme="minorEastAsia" w:eastAsiaTheme="minorEastAsia"/>
          <w:b/>
          <w:bCs/>
        </w:rPr>
        <w:t>（七）关于投标文件的雷同性分析</w:t>
      </w:r>
      <w:bookmarkEnd w:id="49"/>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若“文件创建标识码”一致，则表示不同投标供应商使用投标文件制作软件时，使用同一源工程文件，该情形建议由评标委员会结合项目情况综合判定。</w:t>
      </w:r>
    </w:p>
    <w:p>
      <w:pPr>
        <w:pStyle w:val="103"/>
        <w:ind w:firstLine="499"/>
        <w:rPr>
          <w:rFonts w:asciiTheme="minorEastAsia" w:hAnsiTheme="minorEastAsia" w:eastAsiaTheme="minorEastAsia"/>
          <w:b/>
          <w:bCs/>
        </w:rPr>
      </w:pPr>
      <w:bookmarkStart w:id="50" w:name="_Toc11132"/>
      <w:r>
        <w:rPr>
          <w:rFonts w:hint="eastAsia" w:asciiTheme="minorEastAsia" w:hAnsiTheme="minorEastAsia" w:eastAsiaTheme="minorEastAsia"/>
          <w:b/>
          <w:bCs/>
        </w:rPr>
        <w:t>（八）投标文件被拒绝接收的情形</w:t>
      </w:r>
      <w:bookmarkEnd w:id="50"/>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1．误投的或采用旧版电子招标文件制作的；</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2．逾期提交电子投标文件的。</w:t>
      </w:r>
    </w:p>
    <w:p>
      <w:pPr>
        <w:pStyle w:val="8"/>
        <w:rPr>
          <w:rFonts w:cs="宋体" w:asciiTheme="minorEastAsia" w:hAnsiTheme="minorEastAsia" w:eastAsiaTheme="minorEastAsia"/>
          <w:sz w:val="24"/>
          <w:szCs w:val="24"/>
        </w:rPr>
      </w:pPr>
      <w:bookmarkStart w:id="51" w:name="_Toc135129527"/>
      <w:r>
        <w:rPr>
          <w:rFonts w:hint="eastAsia" w:cs="宋体" w:asciiTheme="minorEastAsia" w:hAnsiTheme="minorEastAsia" w:eastAsiaTheme="minorEastAsia"/>
          <w:sz w:val="24"/>
          <w:szCs w:val="24"/>
        </w:rPr>
        <w:t>五、开标程序</w:t>
      </w:r>
      <w:bookmarkEnd w:id="51"/>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开标工作由采购代理机构组织实施，整个过程受同级政府采购监管机构的监督、管理。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“不见面开标”是依托政府采购云平台实现的供应商在线参与开标的一种组织形式。供应商无需抵达开标现场，即可在线实现开标、解密、澄清等操作。</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1．供应商登录：开标前，请各供应商至少提前半小时登录西安市公共资源交易平台〖首页·〉不见面开标〗系统。</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2．主持人宣布开标：提交投标文件截止时间过后，系统将不再接收任何投标文件。</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4．唱标：对于公开招标项目，“不见面开标”系统将自动展示供应商名单及其投标报价。</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5．开标结束：进入评审环节。供应商请保持在线，评审期间评标委员会可能会要求供应商做相应的澄清。因供应商擅自离席造成的不利后果，由供应商自行承担。</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“不见面开标”系统操作说明：详见西安市公共资源交易平台〖首页·〉服务指南·〉下载专区〗中的《西安公共资源交易不见面开标大厅供应商操作手册》。</w:t>
      </w:r>
    </w:p>
    <w:p>
      <w:pPr>
        <w:spacing w:line="56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链接地址：</w:t>
      </w:r>
      <w:r>
        <w:fldChar w:fldCharType="begin"/>
      </w:r>
      <w:r>
        <w:instrText xml:space="preserve"> HYPERLINK "http://sxggzyjy.xa.gov.cn/fwzn/004003/20200426/bc8b2c1e-abe2-4168-913c-68ff93345faf.html" </w:instrText>
      </w:r>
      <w:r>
        <w:fldChar w:fldCharType="separate"/>
      </w:r>
      <w:r>
        <w:rPr>
          <w:rStyle w:val="47"/>
          <w:rFonts w:hint="eastAsia" w:cs="宋体" w:asciiTheme="minorEastAsia" w:hAnsiTheme="minorEastAsia" w:eastAsiaTheme="minorEastAsia"/>
          <w:color w:val="auto"/>
          <w:u w:val="none"/>
        </w:rPr>
        <w:t>http://sxggzyjy.xa.gov.cn/fwzn/004003/20200426/bc8b2c1e-abe2-4168-913c-68ff93345faf.html</w:t>
      </w:r>
      <w:r>
        <w:rPr>
          <w:rStyle w:val="47"/>
          <w:rFonts w:hint="eastAsia" w:cs="宋体" w:asciiTheme="minorEastAsia" w:hAnsiTheme="minorEastAsia" w:eastAsiaTheme="minorEastAsia"/>
          <w:color w:val="auto"/>
          <w:u w:val="none"/>
        </w:rPr>
        <w:fldChar w:fldCharType="end"/>
      </w:r>
    </w:p>
    <w:p>
      <w:pPr>
        <w:pStyle w:val="103"/>
        <w:ind w:firstLine="499"/>
        <w:rPr>
          <w:rFonts w:asciiTheme="minorEastAsia" w:hAnsiTheme="minorEastAsia" w:eastAsiaTheme="minorEastAsia"/>
          <w:b/>
          <w:bCs/>
        </w:rPr>
      </w:pPr>
      <w:bookmarkStart w:id="52" w:name="_Toc15581"/>
      <w:r>
        <w:rPr>
          <w:rFonts w:hint="eastAsia" w:asciiTheme="minorEastAsia" w:hAnsiTheme="minorEastAsia" w:eastAsiaTheme="minorEastAsia"/>
          <w:b/>
          <w:bCs/>
        </w:rPr>
        <w:t>（一）开标环节投标文件视为无效的情形</w:t>
      </w:r>
      <w:bookmarkEnd w:id="52"/>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1．供应商放弃或拒绝对电子投标文件进行解密的；</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2．因供应商自身原因，导致未在规定的解密时限内完整解密的，如忘带CA锁、或携带的CA锁与加密文件的CA锁不同、或使用旧版招标文件编制投标文件等情形；</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3．上传的电子投标文件无法正常打开的；</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4．政府采购法律法规规定的其他无效情形。</w:t>
      </w:r>
    </w:p>
    <w:p>
      <w:pPr>
        <w:pStyle w:val="103"/>
        <w:ind w:firstLine="499"/>
        <w:rPr>
          <w:rFonts w:asciiTheme="minorEastAsia" w:hAnsiTheme="minorEastAsia" w:eastAsiaTheme="minorEastAsia"/>
          <w:b/>
          <w:bCs/>
        </w:rPr>
      </w:pPr>
      <w:bookmarkStart w:id="53" w:name="_Toc4756"/>
      <w:r>
        <w:rPr>
          <w:rFonts w:hint="eastAsia" w:asciiTheme="minorEastAsia" w:hAnsiTheme="minorEastAsia" w:eastAsiaTheme="minorEastAsia"/>
          <w:b/>
          <w:bCs/>
        </w:rPr>
        <w:t>（二）突发状况的应急处置</w:t>
      </w:r>
      <w:bookmarkEnd w:id="53"/>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在开评标过程中，如因停电、断网、电子化系统故障等特殊原因导致电子化开、评标工作无法正常进行时，采购代理机构将及时汇报政府采购监管部门，并等待或中止后续活动。</w:t>
      </w:r>
    </w:p>
    <w:p>
      <w:pPr>
        <w:pStyle w:val="8"/>
        <w:rPr>
          <w:rFonts w:cs="宋体" w:asciiTheme="minorEastAsia" w:hAnsiTheme="minorEastAsia" w:eastAsiaTheme="minorEastAsia"/>
          <w:sz w:val="24"/>
          <w:szCs w:val="24"/>
        </w:rPr>
      </w:pPr>
      <w:bookmarkStart w:id="54" w:name="_Toc135129528"/>
      <w:r>
        <w:rPr>
          <w:rFonts w:hint="eastAsia" w:cs="宋体" w:asciiTheme="minorEastAsia" w:hAnsiTheme="minorEastAsia" w:eastAsiaTheme="minorEastAsia"/>
          <w:sz w:val="24"/>
          <w:szCs w:val="24"/>
        </w:rPr>
        <w:t>六、资格审查</w:t>
      </w:r>
      <w:bookmarkEnd w:id="54"/>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开标结束后，依据法律法规和招标文件的规定，对投标文件中的资格证明文件等进行审查，以确保供应商是否具备相应资格。</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合格供应商不足3家的，不得评标。</w:t>
      </w:r>
    </w:p>
    <w:p>
      <w:pPr>
        <w:rPr>
          <w:rFonts w:cs="宋体" w:asciiTheme="minorEastAsia" w:hAnsiTheme="minorEastAsia" w:eastAsiaTheme="minorEastAsia"/>
        </w:rPr>
      </w:pPr>
      <w:r>
        <w:rPr>
          <w:rFonts w:hint="eastAsia" w:cs="宋体" w:asciiTheme="minorEastAsia" w:hAnsiTheme="minorEastAsia" w:eastAsiaTheme="minorEastAsia"/>
        </w:rPr>
        <w:br w:type="page"/>
      </w:r>
    </w:p>
    <w:p>
      <w:pPr>
        <w:spacing w:line="560" w:lineRule="exact"/>
        <w:rPr>
          <w:rFonts w:cs="宋体" w:asciiTheme="minorEastAsia" w:hAnsiTheme="minorEastAsia" w:eastAsiaTheme="minorEastAsia"/>
        </w:rPr>
      </w:pPr>
      <w:r>
        <w:rPr>
          <w:rFonts w:hint="eastAsia" w:cs="宋体" w:asciiTheme="minorEastAsia" w:hAnsiTheme="minorEastAsia" w:eastAsiaTheme="minorEastAsia"/>
        </w:rPr>
        <w:t>〖资格性审查表〗</w:t>
      </w:r>
    </w:p>
    <w:tbl>
      <w:tblPr>
        <w:tblStyle w:val="36"/>
        <w:tblW w:w="901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4"/>
        <w:gridCol w:w="2360"/>
        <w:gridCol w:w="581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844" w:type="dxa"/>
            <w:tcBorders>
              <w:top w:val="single" w:color="auto" w:sz="12" w:space="0"/>
              <w:bottom w:val="single" w:color="auto" w:sz="2" w:space="0"/>
            </w:tcBorders>
            <w:shd w:val="clear" w:color="auto" w:fill="F2F2F2"/>
            <w:vAlign w:val="center"/>
          </w:tcPr>
          <w:p>
            <w:pPr>
              <w:jc w:val="center"/>
              <w:rPr>
                <w:rFonts w:cs="宋体" w:asciiTheme="minorEastAsia" w:hAnsiTheme="minorEastAsia" w:eastAsiaTheme="minorEastAsia"/>
                <w:b/>
                <w:bCs/>
              </w:rPr>
            </w:pPr>
            <w:r>
              <w:rPr>
                <w:rFonts w:hint="eastAsia" w:cs="宋体" w:asciiTheme="minorEastAsia" w:hAnsiTheme="minorEastAsia" w:eastAsiaTheme="minorEastAsia"/>
                <w:b/>
                <w:bCs/>
              </w:rPr>
              <w:t>序号</w:t>
            </w:r>
          </w:p>
        </w:tc>
        <w:tc>
          <w:tcPr>
            <w:tcW w:w="2360" w:type="dxa"/>
            <w:tcBorders>
              <w:top w:val="single" w:color="auto" w:sz="12" w:space="0"/>
              <w:bottom w:val="single" w:color="auto" w:sz="2" w:space="0"/>
            </w:tcBorders>
            <w:shd w:val="clear" w:color="auto" w:fill="F2F2F2"/>
            <w:vAlign w:val="center"/>
          </w:tcPr>
          <w:p>
            <w:pPr>
              <w:jc w:val="center"/>
              <w:rPr>
                <w:rFonts w:cs="宋体" w:asciiTheme="minorEastAsia" w:hAnsiTheme="minorEastAsia" w:eastAsiaTheme="minorEastAsia"/>
                <w:b/>
                <w:bCs/>
              </w:rPr>
            </w:pPr>
            <w:r>
              <w:rPr>
                <w:rFonts w:hint="eastAsia" w:cs="宋体" w:asciiTheme="minorEastAsia" w:hAnsiTheme="minorEastAsia" w:eastAsiaTheme="minorEastAsia"/>
                <w:b/>
                <w:bCs/>
              </w:rPr>
              <w:t>资格项</w:t>
            </w:r>
          </w:p>
        </w:tc>
        <w:tc>
          <w:tcPr>
            <w:tcW w:w="5814" w:type="dxa"/>
            <w:tcBorders>
              <w:top w:val="single" w:color="auto" w:sz="12" w:space="0"/>
              <w:bottom w:val="single" w:color="auto" w:sz="2" w:space="0"/>
            </w:tcBorders>
            <w:shd w:val="clear" w:color="auto" w:fill="F2F2F2"/>
            <w:vAlign w:val="center"/>
          </w:tcPr>
          <w:p>
            <w:pPr>
              <w:jc w:val="center"/>
              <w:rPr>
                <w:rFonts w:cs="宋体" w:asciiTheme="minorEastAsia" w:hAnsiTheme="minorEastAsia" w:eastAsiaTheme="minorEastAsia"/>
                <w:b/>
                <w:bCs/>
              </w:rPr>
            </w:pPr>
            <w:r>
              <w:rPr>
                <w:rFonts w:hint="eastAsia" w:cs="宋体" w:asciiTheme="minorEastAsia" w:hAnsiTheme="minorEastAsia" w:eastAsiaTheme="minorEastAsia"/>
                <w:b/>
                <w:bCs/>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844" w:type="dxa"/>
            <w:tcBorders>
              <w:top w:val="single" w:color="auto" w:sz="2" w:space="0"/>
            </w:tcBorders>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一</w:t>
            </w:r>
          </w:p>
        </w:tc>
        <w:tc>
          <w:tcPr>
            <w:tcW w:w="8174" w:type="dxa"/>
            <w:gridSpan w:val="2"/>
            <w:tcBorders>
              <w:top w:val="single" w:color="auto" w:sz="2" w:space="0"/>
            </w:tcBorders>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07" w:hRule="atLeast"/>
          <w:jc w:val="center"/>
        </w:trPr>
        <w:tc>
          <w:tcPr>
            <w:tcW w:w="84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2360"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有效的主体资格证明</w:t>
            </w:r>
          </w:p>
        </w:tc>
        <w:tc>
          <w:tcPr>
            <w:tcW w:w="5814" w:type="dxa"/>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具有独立承担民事责任能力的法人、其他组织或自然人，提供合法有效的统一社会信用代码营业执照（事业单位提供事业单位法人证书，自然人应提供身份证）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09" w:hRule="atLeast"/>
          <w:jc w:val="center"/>
        </w:trPr>
        <w:tc>
          <w:tcPr>
            <w:tcW w:w="84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2360"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财务状况证明</w:t>
            </w:r>
          </w:p>
        </w:tc>
        <w:tc>
          <w:tcPr>
            <w:tcW w:w="5814" w:type="dxa"/>
            <w:vAlign w:val="center"/>
          </w:tcPr>
          <w:p>
            <w:pPr>
              <w:jc w:val="both"/>
              <w:rPr>
                <w:rFonts w:asciiTheme="minorEastAsia" w:hAnsiTheme="minorEastAsia" w:eastAsiaTheme="minorEastAsia"/>
              </w:rPr>
            </w:pPr>
            <w:r>
              <w:rPr>
                <w:rFonts w:hint="eastAsia" w:cs="宋体" w:asciiTheme="minorEastAsia" w:hAnsiTheme="minorEastAsia" w:eastAsiaTheme="minorEastAsia"/>
              </w:rPr>
              <w:t>供应商提供2021年度或2022年度经审计完整的财务审计报告（成立时间至提交投标文件截止时间不足一年的可提供成立后任意时段的资产负债表），或其开标前三个月内供应商开户银行基本账户银行出具的资信证明，或财政部门认可的政府采购专业担保机构出具的投标担保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6" w:hRule="atLeast"/>
          <w:jc w:val="center"/>
        </w:trPr>
        <w:tc>
          <w:tcPr>
            <w:tcW w:w="84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2360"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履行合同书面声明</w:t>
            </w:r>
          </w:p>
        </w:tc>
        <w:tc>
          <w:tcPr>
            <w:tcW w:w="5814" w:type="dxa"/>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具有履行合同所必需的设备和专业技术能力的书面声明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2360"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税收缴纳证明</w:t>
            </w:r>
          </w:p>
          <w:p>
            <w:pPr>
              <w:jc w:val="center"/>
              <w:rPr>
                <w:rFonts w:cs="宋体" w:asciiTheme="minorEastAsia" w:hAnsiTheme="minorEastAsia" w:eastAsiaTheme="minorEastAsia"/>
              </w:rPr>
            </w:pPr>
          </w:p>
        </w:tc>
        <w:tc>
          <w:tcPr>
            <w:tcW w:w="5814" w:type="dxa"/>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提供2022年8月以来至少一个月的纳税证明或完税证明，依法免税的单位应提供相关证明材料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07" w:hRule="atLeast"/>
          <w:jc w:val="center"/>
        </w:trPr>
        <w:tc>
          <w:tcPr>
            <w:tcW w:w="84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5</w:t>
            </w:r>
          </w:p>
        </w:tc>
        <w:tc>
          <w:tcPr>
            <w:tcW w:w="2360"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社会保障资金缴纳证明</w:t>
            </w:r>
          </w:p>
        </w:tc>
        <w:tc>
          <w:tcPr>
            <w:tcW w:w="5814" w:type="dxa"/>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提供2022年8月以来至少一个月的社会保障资金缴存单据或社保机构开具的社会保险参保缴费情况证明。依法不需要缴纳社会保障资金的供应商应提供相关文件证明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6" w:hRule="atLeast"/>
          <w:jc w:val="center"/>
        </w:trPr>
        <w:tc>
          <w:tcPr>
            <w:tcW w:w="84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2360"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无重大违法记录声明</w:t>
            </w:r>
          </w:p>
        </w:tc>
        <w:tc>
          <w:tcPr>
            <w:tcW w:w="5814" w:type="dxa"/>
            <w:vAlign w:val="center"/>
          </w:tcPr>
          <w:p>
            <w:pPr>
              <w:jc w:val="both"/>
              <w:rPr>
                <w:rFonts w:cs="宋体" w:asciiTheme="minorEastAsia" w:hAnsiTheme="minorEastAsia" w:eastAsiaTheme="minorEastAsia"/>
              </w:rPr>
            </w:pPr>
            <w:r>
              <w:rPr>
                <w:rFonts w:cs="宋体" w:asciiTheme="minorEastAsia" w:hAnsiTheme="minorEastAsia" w:eastAsiaTheme="minorEastAsia"/>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7</w:t>
            </w:r>
          </w:p>
        </w:tc>
        <w:tc>
          <w:tcPr>
            <w:tcW w:w="2360"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法定代表人委托授权书</w:t>
            </w:r>
          </w:p>
        </w:tc>
        <w:tc>
          <w:tcPr>
            <w:tcW w:w="5814" w:type="dxa"/>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非法定代表人参加投标的，须提供法定代表人委托授权书及被授权人身份证，法定代表人参加投标时,只需提供法定代表人身份证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844" w:type="dxa"/>
            <w:vAlign w:val="center"/>
          </w:tcPr>
          <w:p>
            <w:pPr>
              <w:jc w:val="center"/>
              <w:rPr>
                <w:rFonts w:cs="宋体" w:asciiTheme="minorEastAsia" w:hAnsiTheme="minorEastAsia" w:eastAsiaTheme="minorEastAsia"/>
              </w:rPr>
            </w:pPr>
            <w:r>
              <w:rPr>
                <w:rFonts w:cs="宋体" w:asciiTheme="minorEastAsia" w:hAnsiTheme="minorEastAsia" w:eastAsiaTheme="minorEastAsia"/>
              </w:rPr>
              <w:t>8</w:t>
            </w:r>
          </w:p>
        </w:tc>
        <w:tc>
          <w:tcPr>
            <w:tcW w:w="2360"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联合体</w:t>
            </w:r>
          </w:p>
        </w:tc>
        <w:tc>
          <w:tcPr>
            <w:tcW w:w="5814" w:type="dxa"/>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本项目不接受联合体投标</w:t>
            </w:r>
          </w:p>
        </w:tc>
      </w:tr>
    </w:tbl>
    <w:p>
      <w:pPr>
        <w:pStyle w:val="8"/>
        <w:rPr>
          <w:rFonts w:cs="宋体" w:asciiTheme="minorEastAsia" w:hAnsiTheme="minorEastAsia" w:eastAsiaTheme="minorEastAsia"/>
          <w:sz w:val="24"/>
          <w:szCs w:val="24"/>
        </w:rPr>
      </w:pPr>
      <w:bookmarkStart w:id="55" w:name="_Toc135129529"/>
      <w:r>
        <w:rPr>
          <w:rFonts w:hint="eastAsia" w:cs="宋体" w:asciiTheme="minorEastAsia" w:hAnsiTheme="minorEastAsia" w:eastAsiaTheme="minorEastAsia"/>
          <w:sz w:val="24"/>
          <w:szCs w:val="24"/>
        </w:rPr>
        <w:t>七、评审方法和程序</w:t>
      </w:r>
      <w:bookmarkEnd w:id="55"/>
    </w:p>
    <w:p>
      <w:pPr>
        <w:pStyle w:val="103"/>
        <w:ind w:firstLine="499"/>
        <w:rPr>
          <w:rFonts w:asciiTheme="minorEastAsia" w:hAnsiTheme="minorEastAsia" w:eastAsiaTheme="minorEastAsia"/>
          <w:b/>
          <w:bCs/>
        </w:rPr>
      </w:pPr>
      <w:bookmarkStart w:id="56" w:name="_Toc14369"/>
      <w:r>
        <w:rPr>
          <w:rFonts w:hint="eastAsia" w:asciiTheme="minorEastAsia" w:hAnsiTheme="minorEastAsia" w:eastAsiaTheme="minorEastAsia"/>
          <w:b/>
          <w:bCs/>
        </w:rPr>
        <w:t>（一）评标方法</w:t>
      </w:r>
      <w:bookmarkEnd w:id="56"/>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本项目采用综合评分法，即投标文件满足招标文件全部实质性要求，且按照评审因素的量化指标评审得分最高的供应商为中标候选人。</w:t>
      </w:r>
    </w:p>
    <w:p>
      <w:pPr>
        <w:pStyle w:val="103"/>
        <w:ind w:firstLine="499"/>
        <w:rPr>
          <w:rFonts w:asciiTheme="minorEastAsia" w:hAnsiTheme="minorEastAsia" w:eastAsiaTheme="minorEastAsia"/>
          <w:b/>
          <w:bCs/>
        </w:rPr>
      </w:pPr>
      <w:bookmarkStart w:id="57" w:name="_Toc15322"/>
      <w:r>
        <w:rPr>
          <w:rFonts w:hint="eastAsia" w:asciiTheme="minorEastAsia" w:hAnsiTheme="minorEastAsia" w:eastAsiaTheme="minorEastAsia"/>
          <w:b/>
          <w:bCs/>
        </w:rPr>
        <w:t>（二）评标程序</w:t>
      </w:r>
      <w:bookmarkEnd w:id="57"/>
    </w:p>
    <w:p>
      <w:pPr>
        <w:pStyle w:val="103"/>
        <w:ind w:firstLine="497"/>
        <w:rPr>
          <w:rFonts w:asciiTheme="minorEastAsia" w:hAnsiTheme="minorEastAsia" w:eastAsiaTheme="minorEastAsia"/>
        </w:rPr>
      </w:pPr>
      <w:bookmarkStart w:id="58" w:name="_Toc19236"/>
      <w:r>
        <w:rPr>
          <w:rFonts w:hint="eastAsia" w:asciiTheme="minorEastAsia" w:hAnsiTheme="minorEastAsia" w:eastAsiaTheme="minorEastAsia"/>
        </w:rPr>
        <w:t>1．组建评标委员会</w:t>
      </w:r>
      <w:bookmarkEnd w:id="58"/>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由采购代理机构组织评标委员会推选评标组长，采购人代表不得担任组长。</w:t>
      </w:r>
    </w:p>
    <w:p>
      <w:pPr>
        <w:pStyle w:val="103"/>
        <w:ind w:firstLine="497"/>
        <w:rPr>
          <w:rFonts w:asciiTheme="minorEastAsia" w:hAnsiTheme="minorEastAsia" w:eastAsiaTheme="minorEastAsia"/>
        </w:rPr>
      </w:pPr>
      <w:bookmarkStart w:id="59" w:name="_Toc1683"/>
      <w:r>
        <w:rPr>
          <w:rFonts w:hint="eastAsia" w:asciiTheme="minorEastAsia" w:hAnsiTheme="minorEastAsia" w:eastAsiaTheme="minorEastAsia"/>
        </w:rPr>
        <w:t>2．投标文件的符合性审查</w:t>
      </w:r>
      <w:bookmarkEnd w:id="59"/>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供应商资格性审查通过后，评标委员会对符合资格的投标人的投标文件进行符合性审查，以确定其是否满足招标文件的实质性要求。</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对于投标文件中含义不明确、同类问题表述不一致或者有明显文字和计算错误的内容，评标委员会应当以书面形式要求投标人作出必要的澄清、说明或者补正。</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cs="宋体" w:asciiTheme="minorEastAsia" w:hAnsiTheme="minorEastAsia" w:eastAsiaTheme="minorEastAsia"/>
        </w:rPr>
      </w:pPr>
      <w:r>
        <w:rPr>
          <w:rFonts w:hint="eastAsia" w:cs="宋体" w:asciiTheme="minorEastAsia" w:hAnsiTheme="minorEastAsia" w:eastAsiaTheme="minorEastAsia"/>
        </w:rPr>
        <w:t>〖符合性审查表〗</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2F2F2"/>
            <w:vAlign w:val="center"/>
          </w:tcPr>
          <w:p>
            <w:pPr>
              <w:spacing w:line="560" w:lineRule="exact"/>
              <w:jc w:val="center"/>
              <w:rPr>
                <w:rFonts w:cs="宋体" w:asciiTheme="minorEastAsia" w:hAnsiTheme="minorEastAsia" w:eastAsiaTheme="minorEastAsia"/>
                <w:b/>
                <w:bCs/>
              </w:rPr>
            </w:pPr>
            <w:r>
              <w:rPr>
                <w:rFonts w:hint="eastAsia" w:cs="宋体" w:asciiTheme="minorEastAsia" w:hAnsiTheme="minorEastAsia" w:eastAsiaTheme="minorEastAsia"/>
                <w:b/>
                <w:bCs/>
              </w:rPr>
              <w:t>序号</w:t>
            </w:r>
          </w:p>
        </w:tc>
        <w:tc>
          <w:tcPr>
            <w:tcW w:w="2392" w:type="dxa"/>
            <w:tcBorders>
              <w:top w:val="single" w:color="auto" w:sz="12" w:space="0"/>
              <w:bottom w:val="single" w:color="auto" w:sz="2" w:space="0"/>
            </w:tcBorders>
            <w:shd w:val="clear" w:color="auto" w:fill="F2F2F2"/>
            <w:vAlign w:val="center"/>
          </w:tcPr>
          <w:p>
            <w:pPr>
              <w:spacing w:line="560" w:lineRule="exact"/>
              <w:jc w:val="center"/>
              <w:rPr>
                <w:rFonts w:cs="宋体" w:asciiTheme="minorEastAsia" w:hAnsiTheme="minorEastAsia" w:eastAsiaTheme="minorEastAsia"/>
                <w:b/>
                <w:bCs/>
              </w:rPr>
            </w:pPr>
            <w:r>
              <w:rPr>
                <w:rFonts w:hint="eastAsia" w:cs="宋体" w:asciiTheme="minorEastAsia" w:hAnsiTheme="minorEastAsia" w:eastAsiaTheme="minorEastAsia"/>
                <w:b/>
                <w:bCs/>
              </w:rPr>
              <w:t>符合性审查项</w:t>
            </w:r>
          </w:p>
        </w:tc>
        <w:tc>
          <w:tcPr>
            <w:tcW w:w="5498" w:type="dxa"/>
            <w:tcBorders>
              <w:top w:val="single" w:color="auto" w:sz="12" w:space="0"/>
              <w:bottom w:val="single" w:color="auto" w:sz="2" w:space="0"/>
            </w:tcBorders>
            <w:shd w:val="clear" w:color="auto" w:fill="F2F2F2"/>
            <w:vAlign w:val="center"/>
          </w:tcPr>
          <w:p>
            <w:pPr>
              <w:spacing w:line="560" w:lineRule="exact"/>
              <w:jc w:val="center"/>
              <w:rPr>
                <w:rFonts w:cs="宋体" w:asciiTheme="minorEastAsia" w:hAnsiTheme="minorEastAsia" w:eastAsiaTheme="minorEastAsia"/>
                <w:b/>
                <w:bCs/>
              </w:rPr>
            </w:pPr>
            <w:r>
              <w:rPr>
                <w:rFonts w:hint="eastAsia" w:cs="宋体" w:asciiTheme="minorEastAsia" w:hAnsiTheme="minorEastAsia" w:eastAsiaTheme="minorEastAsia"/>
                <w:b/>
                <w:bCs/>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2392" w:type="dxa"/>
            <w:tcBorders>
              <w:top w:val="single" w:color="auto" w:sz="2" w:space="0"/>
            </w:tcBorders>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投标文件的签署、盖章</w:t>
            </w:r>
          </w:p>
        </w:tc>
        <w:tc>
          <w:tcPr>
            <w:tcW w:w="5498" w:type="dxa"/>
            <w:tcBorders>
              <w:top w:val="single" w:color="auto" w:sz="2" w:space="0"/>
            </w:tcBorders>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投标文件的签署、盖章满足招标文件要求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2392" w:type="dxa"/>
            <w:tcBorders>
              <w:top w:val="single" w:color="auto" w:sz="2" w:space="0"/>
            </w:tcBorders>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投标报价是否超过预算或最高限价</w:t>
            </w:r>
          </w:p>
        </w:tc>
        <w:tc>
          <w:tcPr>
            <w:tcW w:w="5498" w:type="dxa"/>
            <w:tcBorders>
              <w:top w:val="single" w:color="auto" w:sz="2" w:space="0"/>
            </w:tcBorders>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投标报价未超过预算或最高限价</w:t>
            </w:r>
          </w:p>
          <w:p>
            <w:pPr>
              <w:jc w:val="both"/>
              <w:rPr>
                <w:rFonts w:cs="宋体"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2392" w:type="dxa"/>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交付期是否满足招标文件要求</w:t>
            </w:r>
          </w:p>
        </w:tc>
        <w:tc>
          <w:tcPr>
            <w:tcW w:w="5498" w:type="dxa"/>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交付期满足招标文件要求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2392" w:type="dxa"/>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质保期是否满足招标文件要求</w:t>
            </w:r>
          </w:p>
        </w:tc>
        <w:tc>
          <w:tcPr>
            <w:tcW w:w="5498" w:type="dxa"/>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质保期满足招标文件要求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5</w:t>
            </w:r>
          </w:p>
        </w:tc>
        <w:tc>
          <w:tcPr>
            <w:tcW w:w="2392" w:type="dxa"/>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投标文件的标的数量是否满足招标文件要求</w:t>
            </w:r>
          </w:p>
        </w:tc>
        <w:tc>
          <w:tcPr>
            <w:tcW w:w="5498" w:type="dxa"/>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投标文件的标的数量满足招标文件要求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2392" w:type="dxa"/>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投标文件有效期</w:t>
            </w:r>
          </w:p>
        </w:tc>
        <w:tc>
          <w:tcPr>
            <w:tcW w:w="5498" w:type="dxa"/>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7</w:t>
            </w:r>
          </w:p>
        </w:tc>
        <w:tc>
          <w:tcPr>
            <w:tcW w:w="2392" w:type="dxa"/>
            <w:vAlign w:val="center"/>
          </w:tcPr>
          <w:p>
            <w:pPr>
              <w:spacing w:line="560" w:lineRule="exact"/>
              <w:jc w:val="center"/>
              <w:rPr>
                <w:rFonts w:cs="宋体" w:asciiTheme="minorEastAsia" w:hAnsiTheme="minorEastAsia" w:eastAsiaTheme="minorEastAsia"/>
              </w:rPr>
            </w:pPr>
            <w:r>
              <w:rPr>
                <w:rFonts w:hint="eastAsia" w:cs="宋体" w:asciiTheme="minorEastAsia" w:hAnsiTheme="minorEastAsia" w:eastAsiaTheme="minorEastAsia"/>
              </w:rPr>
              <w:t>投标文件的商务条款是否满足招标文件要求</w:t>
            </w:r>
          </w:p>
        </w:tc>
        <w:tc>
          <w:tcPr>
            <w:tcW w:w="5498" w:type="dxa"/>
            <w:vAlign w:val="center"/>
          </w:tcPr>
          <w:p>
            <w:pPr>
              <w:jc w:val="both"/>
              <w:rPr>
                <w:rFonts w:cs="宋体" w:asciiTheme="minorEastAsia" w:hAnsiTheme="minorEastAsia" w:eastAsiaTheme="minorEastAsia"/>
              </w:rPr>
            </w:pPr>
            <w:r>
              <w:rPr>
                <w:rFonts w:hint="eastAsia" w:cs="宋体" w:asciiTheme="minorEastAsia" w:hAnsiTheme="minorEastAsia" w:eastAsiaTheme="minorEastAsia"/>
              </w:rPr>
              <w:t>投标文件的商务条款满足招标文件要求</w:t>
            </w:r>
          </w:p>
        </w:tc>
      </w:tr>
    </w:tbl>
    <w:p>
      <w:pPr>
        <w:pStyle w:val="103"/>
        <w:ind w:firstLine="497"/>
        <w:rPr>
          <w:rFonts w:asciiTheme="minorEastAsia" w:hAnsiTheme="minorEastAsia" w:eastAsiaTheme="minorEastAsia"/>
        </w:rPr>
      </w:pPr>
      <w:bookmarkStart w:id="60" w:name="_Toc11857"/>
      <w:r>
        <w:rPr>
          <w:rFonts w:hint="eastAsia" w:asciiTheme="minorEastAsia" w:hAnsiTheme="minorEastAsia" w:eastAsiaTheme="minorEastAsia"/>
        </w:rPr>
        <w:t>3．综合比较与评价</w:t>
      </w:r>
      <w:bookmarkEnd w:id="60"/>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评标委员会按《评审要素及分值一览表》中规定的评标方法和标准，对通过符合性审查的投标文件进行商务和技术评估，综合比较与评价。</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出现下列情形的，供应商投标无效：</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（1）投标文件报价出现本章第五小节“投标报价”所列需要修正情形，但供应商对修正后的报价不予确认的；</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cs="宋体" w:asciiTheme="minorEastAsia" w:hAnsiTheme="minorEastAsia" w:eastAsiaTheme="minorEastAsia"/>
        </w:rPr>
      </w:pPr>
      <w:r>
        <w:rPr>
          <w:rFonts w:hint="eastAsia" w:cs="宋体" w:asciiTheme="minorEastAsia" w:hAnsiTheme="minorEastAsia" w:eastAsiaTheme="minorEastAsia"/>
        </w:rPr>
        <w:br w:type="page"/>
      </w:r>
    </w:p>
    <w:p>
      <w:pPr>
        <w:spacing w:line="560" w:lineRule="exact"/>
        <w:jc w:val="both"/>
        <w:rPr>
          <w:rFonts w:cs="宋体" w:asciiTheme="minorEastAsia" w:hAnsiTheme="minorEastAsia" w:eastAsiaTheme="minorEastAsia"/>
        </w:rPr>
      </w:pPr>
      <w:r>
        <w:rPr>
          <w:rFonts w:hint="eastAsia" w:cs="宋体" w:asciiTheme="minorEastAsia" w:hAnsiTheme="minorEastAsia" w:eastAsiaTheme="minorEastAsia"/>
        </w:rPr>
        <w:t>〖评审要素及分值一览表〗</w:t>
      </w:r>
    </w:p>
    <w:p>
      <w:pPr>
        <w:pStyle w:val="9"/>
        <w:numPr>
          <w:ilvl w:val="3"/>
          <w:numId w:val="0"/>
        </w:numPr>
        <w:rPr>
          <w:rFonts w:asciiTheme="minorEastAsia" w:hAnsiTheme="minorEastAsia" w:eastAsiaTheme="minorEastAsia"/>
          <w:sz w:val="24"/>
          <w:szCs w:val="24"/>
        </w:rPr>
      </w:pPr>
      <w:r>
        <w:rPr>
          <w:rFonts w:hint="eastAsia" w:asciiTheme="minorEastAsia" w:hAnsiTheme="minorEastAsia" w:eastAsiaTheme="minorEastAsia"/>
          <w:sz w:val="24"/>
          <w:szCs w:val="24"/>
        </w:rPr>
        <w:t>评分标准：</w:t>
      </w:r>
    </w:p>
    <w:tbl>
      <w:tblPr>
        <w:tblStyle w:val="36"/>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709"/>
        <w:gridCol w:w="4565"/>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Align w:val="center"/>
          </w:tcPr>
          <w:p>
            <w:pPr>
              <w:jc w:val="center"/>
              <w:rPr>
                <w:rFonts w:cs="宋体" w:asciiTheme="minorEastAsia" w:hAnsiTheme="minorEastAsia" w:eastAsiaTheme="minorEastAsia"/>
              </w:rPr>
            </w:pPr>
            <w:bookmarkStart w:id="61" w:name="_Toc10025"/>
            <w:r>
              <w:rPr>
                <w:rFonts w:hint="eastAsia" w:cs="宋体" w:asciiTheme="minorEastAsia" w:hAnsiTheme="minorEastAsia" w:eastAsiaTheme="minorEastAsia"/>
              </w:rPr>
              <w:t>序号</w:t>
            </w:r>
          </w:p>
        </w:tc>
        <w:tc>
          <w:tcPr>
            <w:tcW w:w="113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评分因素</w:t>
            </w:r>
          </w:p>
        </w:tc>
        <w:tc>
          <w:tcPr>
            <w:tcW w:w="709"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分值</w:t>
            </w:r>
          </w:p>
        </w:tc>
        <w:tc>
          <w:tcPr>
            <w:tcW w:w="4565"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评分标准</w:t>
            </w:r>
          </w:p>
        </w:tc>
        <w:tc>
          <w:tcPr>
            <w:tcW w:w="1588"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675"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113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报价</w:t>
            </w:r>
          </w:p>
        </w:tc>
        <w:tc>
          <w:tcPr>
            <w:tcW w:w="709"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30</w:t>
            </w:r>
          </w:p>
        </w:tc>
        <w:tc>
          <w:tcPr>
            <w:tcW w:w="4565"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rPr>
            </w:pPr>
            <w:r>
              <w:rPr>
                <w:rFonts w:hint="eastAsia" w:cs="宋体" w:asciiTheme="minorEastAsia" w:hAnsiTheme="minorEastAsia" w:eastAsiaTheme="minorEastAsia"/>
              </w:rPr>
              <w:t>供应商的价格分值统一按下列公式计算：投标报价得分＝（评标基准价/投标报价）×30。评标基准价是指满足招标文件要求且投标价格最低的投标报价。</w:t>
            </w:r>
          </w:p>
          <w:p>
            <w:pPr>
              <w:rPr>
                <w:rFonts w:cs="宋体" w:asciiTheme="minorEastAsia" w:hAnsiTheme="minorEastAsia" w:eastAsiaTheme="minorEastAsia"/>
              </w:rPr>
            </w:pPr>
            <w:r>
              <w:rPr>
                <w:rFonts w:hint="eastAsia" w:cs="宋体" w:asciiTheme="minorEastAsia" w:hAnsiTheme="minorEastAsia" w:eastAsiaTheme="minorEastAsia"/>
              </w:rPr>
              <w:t>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1588" w:type="dxa"/>
            <w:vAlign w:val="center"/>
          </w:tcPr>
          <w:p>
            <w:pPr>
              <w:rPr>
                <w:rFonts w:cs="宋体" w:asciiTheme="minorEastAsia" w:hAnsiTheme="minorEastAsia" w:eastAsiaTheme="minorEastAsia"/>
              </w:rPr>
            </w:pPr>
            <w:r>
              <w:rPr>
                <w:rFonts w:hint="eastAsia" w:cs="宋体" w:asciiTheme="minorEastAsia" w:hAnsiTheme="minorEastAsia" w:eastAsiaTheme="minorEastAsia"/>
              </w:rPr>
              <w:t>政策性优惠详见评审标准备注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75" w:type="dxa"/>
            <w:vMerge w:val="restart"/>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1134" w:type="dxa"/>
            <w:vMerge w:val="restart"/>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技术指标和配置</w:t>
            </w:r>
          </w:p>
        </w:tc>
        <w:tc>
          <w:tcPr>
            <w:tcW w:w="709" w:type="dxa"/>
            <w:vMerge w:val="restart"/>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r>
              <w:rPr>
                <w:rFonts w:cs="宋体" w:asciiTheme="minorEastAsia" w:hAnsiTheme="minorEastAsia" w:eastAsiaTheme="minorEastAsia"/>
              </w:rPr>
              <w:t>5</w:t>
            </w:r>
          </w:p>
        </w:tc>
        <w:tc>
          <w:tcPr>
            <w:tcW w:w="4565" w:type="dxa"/>
            <w:vMerge w:val="restart"/>
            <w:vAlign w:val="center"/>
          </w:tcPr>
          <w:p>
            <w:pPr>
              <w:rPr>
                <w:rFonts w:cs="宋体" w:asciiTheme="minorEastAsia" w:hAnsiTheme="minorEastAsia" w:eastAsiaTheme="minorEastAsia"/>
              </w:rPr>
            </w:pPr>
            <w:r>
              <w:rPr>
                <w:rFonts w:hint="eastAsia" w:cs="宋体" w:asciiTheme="minorEastAsia" w:hAnsiTheme="minorEastAsia" w:eastAsiaTheme="minorEastAsia"/>
              </w:rPr>
              <w:t>1.硬件部分：基本分（10分），设备参数完全符合、响应招标文件要求，没有负偏离的得10分，标“▲”项参数负偏离一项扣</w:t>
            </w:r>
            <w:r>
              <w:rPr>
                <w:rFonts w:cs="宋体" w:asciiTheme="minorEastAsia" w:hAnsiTheme="minorEastAsia" w:eastAsiaTheme="minorEastAsia"/>
              </w:rPr>
              <w:t>1</w:t>
            </w:r>
            <w:r>
              <w:rPr>
                <w:rFonts w:hint="eastAsia" w:cs="宋体" w:asciiTheme="minorEastAsia" w:hAnsiTheme="minorEastAsia" w:eastAsiaTheme="minorEastAsia"/>
              </w:rPr>
              <w:t>分，未标“▲”项参数负偏离一项扣0.</w:t>
            </w:r>
            <w:r>
              <w:rPr>
                <w:rFonts w:cs="宋体" w:asciiTheme="minorEastAsia" w:hAnsiTheme="minorEastAsia" w:eastAsiaTheme="minorEastAsia"/>
              </w:rPr>
              <w:t>5</w:t>
            </w:r>
            <w:r>
              <w:rPr>
                <w:rFonts w:hint="eastAsia" w:cs="宋体" w:asciiTheme="minorEastAsia" w:hAnsiTheme="minorEastAsia" w:eastAsiaTheme="minorEastAsia"/>
              </w:rPr>
              <w:t>分，扣完为止。</w:t>
            </w:r>
          </w:p>
          <w:p>
            <w:pPr>
              <w:rPr>
                <w:rFonts w:cs="宋体" w:asciiTheme="minorEastAsia" w:hAnsiTheme="minorEastAsia" w:eastAsiaTheme="minorEastAsia"/>
              </w:rPr>
            </w:pPr>
            <w:r>
              <w:rPr>
                <w:rFonts w:hint="eastAsia" w:cs="宋体" w:asciiTheme="minorEastAsia" w:hAnsiTheme="minorEastAsia" w:eastAsiaTheme="minorEastAsia"/>
              </w:rPr>
              <w:t>2</w:t>
            </w:r>
            <w:r>
              <w:rPr>
                <w:rFonts w:cs="宋体" w:asciiTheme="minorEastAsia" w:hAnsiTheme="minorEastAsia" w:eastAsiaTheme="minorEastAsia"/>
              </w:rPr>
              <w:t>.</w:t>
            </w:r>
            <w:r>
              <w:rPr>
                <w:rFonts w:hint="eastAsia" w:cs="宋体" w:asciiTheme="minorEastAsia" w:hAnsiTheme="minorEastAsia" w:eastAsiaTheme="minorEastAsia"/>
              </w:rPr>
              <w:t>软件部分：除演示项外基本分（10分）：软件功能完全符合、响应招标文件要求，没有负偏离的得10分；标“★”参数负偏离一项扣</w:t>
            </w:r>
            <w:r>
              <w:rPr>
                <w:rFonts w:cs="宋体" w:asciiTheme="minorEastAsia" w:hAnsiTheme="minorEastAsia" w:eastAsiaTheme="minorEastAsia"/>
              </w:rPr>
              <w:t>1</w:t>
            </w:r>
            <w:r>
              <w:rPr>
                <w:rFonts w:hint="eastAsia" w:cs="宋体" w:asciiTheme="minorEastAsia" w:hAnsiTheme="minorEastAsia" w:eastAsiaTheme="minorEastAsia"/>
              </w:rPr>
              <w:t>分，未标“★”项参数负偏离一项扣0.</w:t>
            </w:r>
            <w:r>
              <w:rPr>
                <w:rFonts w:cs="宋体" w:asciiTheme="minorEastAsia" w:hAnsiTheme="minorEastAsia" w:eastAsiaTheme="minorEastAsia"/>
              </w:rPr>
              <w:t>5</w:t>
            </w:r>
            <w:r>
              <w:rPr>
                <w:rFonts w:hint="eastAsia" w:cs="宋体" w:asciiTheme="minorEastAsia" w:hAnsiTheme="minorEastAsia" w:eastAsiaTheme="minorEastAsia"/>
              </w:rPr>
              <w:t>分，扣完为止。</w:t>
            </w:r>
          </w:p>
          <w:p>
            <w:pPr>
              <w:rPr>
                <w:rFonts w:cs="宋体" w:asciiTheme="minorEastAsia" w:hAnsiTheme="minorEastAsia" w:eastAsiaTheme="minorEastAsia"/>
              </w:rPr>
            </w:pPr>
            <w:r>
              <w:rPr>
                <w:rFonts w:hint="eastAsia" w:cs="宋体" w:asciiTheme="minorEastAsia" w:hAnsiTheme="minorEastAsia" w:eastAsiaTheme="minorEastAsia"/>
              </w:rPr>
              <w:t>3</w:t>
            </w:r>
            <w:r>
              <w:rPr>
                <w:rFonts w:cs="宋体" w:asciiTheme="minorEastAsia" w:hAnsiTheme="minorEastAsia" w:eastAsiaTheme="minorEastAsia"/>
              </w:rPr>
              <w:t>.</w:t>
            </w:r>
            <w:r>
              <w:rPr>
                <w:rFonts w:hint="eastAsia" w:cs="宋体" w:asciiTheme="minorEastAsia" w:hAnsiTheme="minorEastAsia" w:eastAsiaTheme="minorEastAsia"/>
              </w:rPr>
              <w:t>软件功能演示部分：（1</w:t>
            </w:r>
            <w:r>
              <w:rPr>
                <w:rFonts w:cs="宋体" w:asciiTheme="minorEastAsia" w:hAnsiTheme="minorEastAsia" w:eastAsiaTheme="minorEastAsia"/>
              </w:rPr>
              <w:t>5</w:t>
            </w:r>
            <w:r>
              <w:rPr>
                <w:rFonts w:hint="eastAsia" w:cs="宋体" w:asciiTheme="minorEastAsia" w:hAnsiTheme="minorEastAsia" w:eastAsiaTheme="minorEastAsia"/>
              </w:rPr>
              <w:t>分）</w:t>
            </w:r>
          </w:p>
          <w:p>
            <w:pPr>
              <w:ind w:firstLine="496" w:firstLineChars="200"/>
              <w:rPr>
                <w:rFonts w:cs="仿宋" w:asciiTheme="minorEastAsia" w:hAnsiTheme="minorEastAsia" w:eastAsiaTheme="minorEastAsia"/>
                <w:color w:val="000000"/>
              </w:rPr>
            </w:pPr>
            <w:r>
              <w:rPr>
                <w:rFonts w:hint="eastAsia" w:cs="仿宋" w:asciiTheme="minorEastAsia" w:hAnsiTheme="minorEastAsia" w:eastAsiaTheme="minorEastAsia"/>
                <w:color w:val="000000"/>
              </w:rPr>
              <w:t>对本次项目</w:t>
            </w:r>
            <w:r>
              <w:rPr>
                <w:rFonts w:hint="eastAsia" w:asciiTheme="minorEastAsia" w:hAnsiTheme="minorEastAsia" w:eastAsiaTheme="minorEastAsia"/>
                <w:color w:val="000000"/>
              </w:rPr>
              <w:t>加</w:t>
            </w:r>
            <w:r>
              <w:rPr>
                <w:rFonts w:hint="eastAsia" w:cs="仿宋" w:asciiTheme="minorEastAsia" w:hAnsiTheme="minorEastAsia" w:eastAsiaTheme="minorEastAsia"/>
                <w:color w:val="000000"/>
              </w:rPr>
              <w:t>“</w:t>
            </w:r>
            <w:r>
              <w:rPr>
                <w:rFonts w:hint="eastAsia" w:cs="宋体" w:asciiTheme="minorEastAsia" w:hAnsiTheme="minorEastAsia" w:eastAsiaTheme="minorEastAsia"/>
                <w:color w:val="000000"/>
              </w:rPr>
              <w:t>◆</w:t>
            </w:r>
            <w:r>
              <w:rPr>
                <w:rFonts w:hint="eastAsia" w:cs="仿宋" w:asciiTheme="minorEastAsia" w:hAnsiTheme="minorEastAsia" w:eastAsiaTheme="minorEastAsia"/>
                <w:color w:val="000000"/>
              </w:rPr>
              <w:t>”</w:t>
            </w:r>
            <w:r>
              <w:rPr>
                <w:rFonts w:hint="eastAsia" w:asciiTheme="minorEastAsia" w:hAnsiTheme="minorEastAsia" w:eastAsiaTheme="minorEastAsia"/>
                <w:color w:val="000000"/>
              </w:rPr>
              <w:t>号</w:t>
            </w:r>
            <w:r>
              <w:rPr>
                <w:rFonts w:hint="eastAsia" w:cs="仿宋" w:asciiTheme="minorEastAsia" w:hAnsiTheme="minorEastAsia" w:eastAsiaTheme="minorEastAsia"/>
                <w:color w:val="000000"/>
              </w:rPr>
              <w:t>的主要功能点提供软件功能演示，不提供</w:t>
            </w:r>
            <w:r>
              <w:rPr>
                <w:rFonts w:hint="eastAsia" w:cs="仿宋" w:asciiTheme="minorEastAsia" w:hAnsiTheme="minorEastAsia" w:eastAsiaTheme="minorEastAsia"/>
              </w:rPr>
              <w:t>演示</w:t>
            </w:r>
            <w:r>
              <w:rPr>
                <w:rFonts w:hint="eastAsia" w:cs="仿宋" w:asciiTheme="minorEastAsia" w:hAnsiTheme="minorEastAsia" w:eastAsiaTheme="minorEastAsia"/>
                <w:color w:val="000000"/>
              </w:rPr>
              <w:t>不得分。</w:t>
            </w:r>
          </w:p>
          <w:p>
            <w:pPr>
              <w:ind w:firstLine="496" w:firstLineChars="200"/>
              <w:rPr>
                <w:rFonts w:cs="仿宋" w:asciiTheme="minorEastAsia" w:hAnsiTheme="minorEastAsia" w:eastAsiaTheme="minorEastAsia"/>
                <w:color w:val="000000"/>
              </w:rPr>
            </w:pPr>
            <w:r>
              <w:rPr>
                <w:rFonts w:cs="仿宋" w:asciiTheme="minorEastAsia" w:hAnsiTheme="minorEastAsia" w:eastAsiaTheme="minorEastAsia"/>
                <w:color w:val="000000"/>
              </w:rPr>
              <w:t>3.1</w:t>
            </w:r>
            <w:r>
              <w:rPr>
                <w:rFonts w:hint="eastAsia" w:cs="仿宋" w:asciiTheme="minorEastAsia" w:hAnsiTheme="minorEastAsia" w:eastAsiaTheme="minorEastAsia"/>
                <w:color w:val="000000"/>
              </w:rPr>
              <w:t>为提升护理质量检查的及时性，客观公正地评价各护理单元的护理质量水平,建立质量的数据反馈统计指标,使质量检查控制做到科学化、数据化，护理质量检查演示内容如下：</w:t>
            </w:r>
          </w:p>
          <w:p>
            <w:pPr>
              <w:ind w:firstLine="496" w:firstLineChars="200"/>
              <w:rPr>
                <w:rFonts w:cs="仿宋" w:asciiTheme="minorEastAsia" w:hAnsiTheme="minorEastAsia" w:eastAsiaTheme="minorEastAsia"/>
                <w:color w:val="000000" w:themeColor="text1"/>
                <w14:textFill>
                  <w14:solidFill>
                    <w14:schemeClr w14:val="tx1"/>
                  </w14:solidFill>
                </w14:textFill>
              </w:rPr>
            </w:pPr>
            <w:r>
              <w:rPr>
                <w:rFonts w:cs="仿宋" w:asciiTheme="minorEastAsia" w:hAnsiTheme="minorEastAsia" w:eastAsiaTheme="minorEastAsia"/>
                <w:color w:val="000000" w:themeColor="text1"/>
                <w14:textFill>
                  <w14:solidFill>
                    <w14:schemeClr w14:val="tx1"/>
                  </w14:solidFill>
                </w14:textFill>
              </w:rPr>
              <w:t>1</w:t>
            </w:r>
            <w:r>
              <w:rPr>
                <w:rFonts w:hint="eastAsia" w:cs="仿宋" w:asciiTheme="minorEastAsia" w:hAnsiTheme="minorEastAsia" w:eastAsiaTheme="minorEastAsia"/>
                <w:color w:val="000000" w:themeColor="text1"/>
                <w14:textFill>
                  <w14:solidFill>
                    <w14:schemeClr w14:val="tx1"/>
                  </w14:solidFill>
                </w14:textFill>
              </w:rPr>
              <w:t>、不良事件上报提供医疗管理类、护理管理类、药品管理类、医技管理类、输血管理类等12大类，跌倒、坠床、压疮、管路护理等超过50子类的不良事件填报上报功能；（2分）</w:t>
            </w:r>
          </w:p>
          <w:p>
            <w:pPr>
              <w:ind w:firstLine="496" w:firstLineChars="200"/>
              <w:rPr>
                <w:rFonts w:cs="仿宋" w:asciiTheme="minorEastAsia" w:hAnsiTheme="minorEastAsia" w:eastAsiaTheme="minorEastAsia"/>
                <w:color w:val="000000" w:themeColor="text1"/>
                <w14:textFill>
                  <w14:solidFill>
                    <w14:schemeClr w14:val="tx1"/>
                  </w14:solidFill>
                </w14:textFill>
              </w:rPr>
            </w:pPr>
            <w:r>
              <w:rPr>
                <w:rFonts w:cs="仿宋" w:asciiTheme="minorEastAsia" w:hAnsiTheme="minorEastAsia" w:eastAsiaTheme="minorEastAsia"/>
                <w:color w:val="000000" w:themeColor="text1"/>
                <w14:textFill>
                  <w14:solidFill>
                    <w14:schemeClr w14:val="tx1"/>
                  </w14:solidFill>
                </w14:textFill>
              </w:rPr>
              <w:t>2</w:t>
            </w:r>
            <w:r>
              <w:rPr>
                <w:rFonts w:hint="eastAsia" w:cs="仿宋" w:asciiTheme="minorEastAsia" w:hAnsiTheme="minorEastAsia" w:eastAsiaTheme="minorEastAsia"/>
                <w:color w:val="000000" w:themeColor="text1"/>
                <w14:textFill>
                  <w14:solidFill>
                    <w14:schemeClr w14:val="tx1"/>
                  </w14:solidFill>
                </w14:textFill>
              </w:rPr>
              <w:t>、支持患者基本信息、当事人信息和报告人信息自动生成功能；（0</w:t>
            </w:r>
            <w:r>
              <w:rPr>
                <w:rFonts w:cs="仿宋" w:asciiTheme="minorEastAsia" w:hAnsiTheme="minorEastAsia" w:eastAsiaTheme="minorEastAsia"/>
                <w:color w:val="000000" w:themeColor="text1"/>
                <w14:textFill>
                  <w14:solidFill>
                    <w14:schemeClr w14:val="tx1"/>
                  </w14:solidFill>
                </w14:textFill>
              </w:rPr>
              <w:t>.5</w:t>
            </w:r>
            <w:r>
              <w:rPr>
                <w:rFonts w:hint="eastAsia" w:cs="仿宋" w:asciiTheme="minorEastAsia" w:hAnsiTheme="minorEastAsia" w:eastAsiaTheme="minorEastAsia"/>
                <w:color w:val="000000" w:themeColor="text1"/>
                <w14:textFill>
                  <w14:solidFill>
                    <w14:schemeClr w14:val="tx1"/>
                  </w14:solidFill>
                </w14:textFill>
              </w:rPr>
              <w:t>分）</w:t>
            </w:r>
          </w:p>
          <w:p>
            <w:pPr>
              <w:ind w:firstLine="496" w:firstLineChars="200"/>
              <w:rPr>
                <w:rFonts w:cs="仿宋" w:asciiTheme="minorEastAsia" w:hAnsiTheme="minorEastAsia" w:eastAsiaTheme="minorEastAsia"/>
                <w:color w:val="000000" w:themeColor="text1"/>
                <w14:textFill>
                  <w14:solidFill>
                    <w14:schemeClr w14:val="tx1"/>
                  </w14:solidFill>
                </w14:textFill>
              </w:rPr>
            </w:pPr>
            <w:r>
              <w:rPr>
                <w:rFonts w:cs="仿宋" w:asciiTheme="minorEastAsia" w:hAnsiTheme="minorEastAsia" w:eastAsiaTheme="minorEastAsia"/>
                <w:color w:val="000000" w:themeColor="text1"/>
                <w14:textFill>
                  <w14:solidFill>
                    <w14:schemeClr w14:val="tx1"/>
                  </w14:solidFill>
                </w14:textFill>
              </w:rPr>
              <w:t>3</w:t>
            </w:r>
            <w:r>
              <w:rPr>
                <w:rFonts w:hint="eastAsia" w:cs="仿宋" w:asciiTheme="minorEastAsia" w:hAnsiTheme="minorEastAsia" w:eastAsiaTheme="minorEastAsia"/>
                <w:color w:val="000000" w:themeColor="text1"/>
                <w14:textFill>
                  <w14:solidFill>
                    <w14:schemeClr w14:val="tx1"/>
                  </w14:solidFill>
                </w14:textFill>
              </w:rPr>
              <w:t>、事件分析整改支持对单个事件进行鱼骨图分析；（0</w:t>
            </w:r>
            <w:r>
              <w:rPr>
                <w:rFonts w:cs="仿宋" w:asciiTheme="minorEastAsia" w:hAnsiTheme="minorEastAsia" w:eastAsiaTheme="minorEastAsia"/>
                <w:color w:val="000000" w:themeColor="text1"/>
                <w14:textFill>
                  <w14:solidFill>
                    <w14:schemeClr w14:val="tx1"/>
                  </w14:solidFill>
                </w14:textFill>
              </w:rPr>
              <w:t>.5</w:t>
            </w:r>
            <w:r>
              <w:rPr>
                <w:rFonts w:hint="eastAsia" w:cs="仿宋" w:asciiTheme="minorEastAsia" w:hAnsiTheme="minorEastAsia" w:eastAsiaTheme="minorEastAsia"/>
                <w:color w:val="000000" w:themeColor="text1"/>
                <w14:textFill>
                  <w14:solidFill>
                    <w14:schemeClr w14:val="tx1"/>
                  </w14:solidFill>
                </w14:textFill>
              </w:rPr>
              <w:t>分）</w:t>
            </w:r>
          </w:p>
          <w:p>
            <w:pPr>
              <w:ind w:firstLine="496" w:firstLineChars="200"/>
              <w:rPr>
                <w:rFonts w:cs="仿宋" w:asciiTheme="minorEastAsia" w:hAnsiTheme="minorEastAsia" w:eastAsiaTheme="minorEastAsia"/>
                <w:color w:val="000000" w:themeColor="text1"/>
                <w14:textFill>
                  <w14:solidFill>
                    <w14:schemeClr w14:val="tx1"/>
                  </w14:solidFill>
                </w14:textFill>
              </w:rPr>
            </w:pPr>
            <w:r>
              <w:rPr>
                <w:rFonts w:cs="仿宋" w:asciiTheme="minorEastAsia" w:hAnsiTheme="minorEastAsia" w:eastAsiaTheme="minorEastAsia"/>
                <w:color w:val="000000" w:themeColor="text1"/>
                <w14:textFill>
                  <w14:solidFill>
                    <w14:schemeClr w14:val="tx1"/>
                  </w14:solidFill>
                </w14:textFill>
              </w:rPr>
              <w:t>4</w:t>
            </w:r>
            <w:r>
              <w:rPr>
                <w:rFonts w:hint="eastAsia" w:cs="仿宋" w:asciiTheme="minorEastAsia" w:hAnsiTheme="minorEastAsia" w:eastAsiaTheme="minorEastAsia"/>
                <w:color w:val="000000" w:themeColor="text1"/>
                <w14:textFill>
                  <w14:solidFill>
                    <w14:schemeClr w14:val="tx1"/>
                  </w14:solidFill>
                </w14:textFill>
              </w:rPr>
              <w:t>、医疗安全不良事件RCA分析整改判定流程具有异常事件决策树工具，选择对应的判断节点自动流转到下个节点，并产生相应结论。（2分）</w:t>
            </w:r>
          </w:p>
          <w:p>
            <w:pPr>
              <w:ind w:firstLine="496" w:firstLineChars="200"/>
              <w:rPr>
                <w:rFonts w:cs="仿宋" w:asciiTheme="minorEastAsia" w:hAnsiTheme="minorEastAsia" w:eastAsiaTheme="minorEastAsia"/>
                <w:color w:val="000000"/>
              </w:rPr>
            </w:pPr>
            <w:r>
              <w:rPr>
                <w:rFonts w:hint="eastAsia" w:cs="仿宋" w:asciiTheme="minorEastAsia" w:hAnsiTheme="minorEastAsia" w:eastAsiaTheme="minorEastAsia"/>
                <w:color w:val="000000"/>
              </w:rPr>
              <w:t>评审项评审依据：以上软件功能演示内容，每一项演示缺项、少项或不完整的不得分，最多得</w:t>
            </w:r>
            <w:r>
              <w:rPr>
                <w:rFonts w:cs="仿宋" w:asciiTheme="minorEastAsia" w:hAnsiTheme="minorEastAsia" w:eastAsiaTheme="minorEastAsia"/>
                <w:color w:val="000000"/>
              </w:rPr>
              <w:t>5</w:t>
            </w:r>
            <w:r>
              <w:rPr>
                <w:rFonts w:hint="eastAsia" w:cs="仿宋" w:asciiTheme="minorEastAsia" w:hAnsiTheme="minorEastAsia" w:eastAsiaTheme="minorEastAsia"/>
                <w:color w:val="000000"/>
              </w:rPr>
              <w:t>分。</w:t>
            </w:r>
          </w:p>
          <w:p>
            <w:pPr>
              <w:ind w:firstLine="496" w:firstLineChars="200"/>
              <w:rPr>
                <w:rFonts w:cs="仿宋" w:asciiTheme="minorEastAsia" w:hAnsiTheme="minorEastAsia" w:eastAsiaTheme="minorEastAsia"/>
                <w:color w:val="000000"/>
              </w:rPr>
            </w:pPr>
            <w:r>
              <w:rPr>
                <w:rFonts w:cs="仿宋" w:asciiTheme="minorEastAsia" w:hAnsiTheme="minorEastAsia" w:eastAsiaTheme="minorEastAsia"/>
                <w:color w:val="000000"/>
              </w:rPr>
              <w:t>3</w:t>
            </w:r>
            <w:r>
              <w:rPr>
                <w:rFonts w:hint="eastAsia" w:cs="仿宋" w:asciiTheme="minorEastAsia" w:hAnsiTheme="minorEastAsia" w:eastAsiaTheme="minorEastAsia"/>
                <w:color w:val="000000"/>
              </w:rPr>
              <w:t>.</w:t>
            </w:r>
            <w:r>
              <w:rPr>
                <w:rFonts w:cs="仿宋" w:asciiTheme="minorEastAsia" w:hAnsiTheme="minorEastAsia" w:eastAsiaTheme="minorEastAsia"/>
                <w:color w:val="000000"/>
              </w:rPr>
              <w:t>2</w:t>
            </w:r>
            <w:r>
              <w:rPr>
                <w:rFonts w:hint="eastAsia" w:cs="仿宋" w:asciiTheme="minorEastAsia" w:hAnsiTheme="minorEastAsia" w:eastAsiaTheme="minorEastAsia"/>
                <w:color w:val="000000"/>
              </w:rPr>
              <w:t>供应商所提供的智慧手术产品可实现手术室智能化管理，可提供实时信息交互及预警上报，并能够根据排班自动派单，催单的一站式报修运维服务，手术室智能化管理演示内容如下：</w:t>
            </w:r>
          </w:p>
          <w:p>
            <w:pPr>
              <w:ind w:firstLine="496" w:firstLineChars="200"/>
              <w:rPr>
                <w:rFonts w:cs="仿宋"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14:textFill>
                  <w14:solidFill>
                    <w14:schemeClr w14:val="tx1"/>
                  </w14:solidFill>
                </w14:textFill>
              </w:rPr>
              <w:t>1、以BIM可视化形式集中监控数字手术室、医用气体、手术环境、洁净空调、隔离电源、UPS、行为管理各个子系统的运行数据，不以BIM可视化形式演示不得分；（3分）</w:t>
            </w:r>
          </w:p>
          <w:p>
            <w:pPr>
              <w:ind w:firstLine="496" w:firstLineChars="200"/>
              <w:rPr>
                <w:rFonts w:cs="仿宋"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14:textFill>
                  <w14:solidFill>
                    <w14:schemeClr w14:val="tx1"/>
                  </w14:solidFill>
                </w14:textFill>
              </w:rPr>
              <w:t>2、以BIM可视化形式通过每间手术室排台压力动态查看各手术间等候手术排台资源，不以BIM可视化形式演示不得分；（2分）</w:t>
            </w:r>
          </w:p>
          <w:p>
            <w:pPr>
              <w:ind w:firstLine="496" w:firstLineChars="200"/>
              <w:rPr>
                <w:rFonts w:cs="仿宋" w:asciiTheme="minorEastAsia" w:hAnsiTheme="minorEastAsia" w:eastAsiaTheme="minorEastAsia"/>
                <w:color w:val="000000" w:themeColor="text1"/>
                <w14:textFill>
                  <w14:solidFill>
                    <w14:schemeClr w14:val="tx1"/>
                  </w14:solidFill>
                </w14:textFill>
              </w:rPr>
            </w:pPr>
            <w:r>
              <w:rPr>
                <w:rFonts w:cs="仿宋" w:asciiTheme="minorEastAsia" w:hAnsiTheme="minorEastAsia" w:eastAsiaTheme="minorEastAsia"/>
                <w:color w:val="000000" w:themeColor="text1"/>
                <w14:textFill>
                  <w14:solidFill>
                    <w14:schemeClr w14:val="tx1"/>
                  </w14:solidFill>
                </w14:textFill>
              </w:rPr>
              <w:t>3</w:t>
            </w:r>
            <w:r>
              <w:rPr>
                <w:rFonts w:hint="eastAsia" w:cs="仿宋" w:asciiTheme="minorEastAsia" w:hAnsiTheme="minorEastAsia" w:eastAsiaTheme="minorEastAsia"/>
                <w:color w:val="000000" w:themeColor="text1"/>
                <w14:textFill>
                  <w14:solidFill>
                    <w14:schemeClr w14:val="tx1"/>
                  </w14:solidFill>
                </w14:textFill>
              </w:rPr>
              <w:t>、以BIM可视化方式展示手术情况统计信息；并能结合图文方式展示今日手术情况，按科室手术统计日间、门诊、急诊、住院患者手术台数，提供各手术等级手术台数，提供各手术间今日、明日手术排台一览图，提供周视图下门急诊住院手术台数图表展示，不以BIM可视化形式演示不得分；（计</w:t>
            </w:r>
            <w:r>
              <w:rPr>
                <w:rFonts w:cs="仿宋" w:asciiTheme="minorEastAsia" w:hAnsiTheme="minorEastAsia" w:eastAsiaTheme="minorEastAsia"/>
                <w:color w:val="000000" w:themeColor="text1"/>
                <w14:textFill>
                  <w14:solidFill>
                    <w14:schemeClr w14:val="tx1"/>
                  </w14:solidFill>
                </w14:textFill>
              </w:rPr>
              <w:t>2</w:t>
            </w:r>
            <w:r>
              <w:rPr>
                <w:rFonts w:hint="eastAsia" w:cs="仿宋" w:asciiTheme="minorEastAsia" w:hAnsiTheme="minorEastAsia" w:eastAsiaTheme="minorEastAsia"/>
                <w:color w:val="000000" w:themeColor="text1"/>
                <w14:textFill>
                  <w14:solidFill>
                    <w14:schemeClr w14:val="tx1"/>
                  </w14:solidFill>
                </w14:textFill>
              </w:rPr>
              <w:t>分）</w:t>
            </w:r>
          </w:p>
          <w:p>
            <w:pPr>
              <w:ind w:firstLine="496" w:firstLineChars="200"/>
              <w:rPr>
                <w:rFonts w:cs="仿宋"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14:textFill>
                  <w14:solidFill>
                    <w14:schemeClr w14:val="tx1"/>
                  </w14:solidFill>
                </w14:textFill>
              </w:rPr>
              <w:t>4、以BIM可视化方式展示各手术间温度、湿度、压差、洁净时间的实时监测；展示医用气体实时监测；展示各手术间隔离电源、UPS运行情况实时监测；展示洁净空调组态，不以BIM可视化形式演示不得分；（计2分）</w:t>
            </w:r>
          </w:p>
          <w:p>
            <w:pPr>
              <w:ind w:firstLine="496" w:firstLineChars="200"/>
              <w:rPr>
                <w:rFonts w:cs="仿宋" w:asciiTheme="minorEastAsia" w:hAnsiTheme="minorEastAsia" w:eastAsiaTheme="minorEastAsia"/>
                <w:color w:val="000000" w:themeColor="text1"/>
                <w14:textFill>
                  <w14:solidFill>
                    <w14:schemeClr w14:val="tx1"/>
                  </w14:solidFill>
                </w14:textFill>
              </w:rPr>
            </w:pPr>
            <w:r>
              <w:rPr>
                <w:rFonts w:cs="仿宋" w:asciiTheme="minorEastAsia" w:hAnsiTheme="minorEastAsia" w:eastAsiaTheme="minorEastAsia"/>
                <w:color w:val="000000" w:themeColor="text1"/>
                <w14:textFill>
                  <w14:solidFill>
                    <w14:schemeClr w14:val="tx1"/>
                  </w14:solidFill>
                </w14:textFill>
              </w:rPr>
              <w:t>5</w:t>
            </w:r>
            <w:r>
              <w:rPr>
                <w:rFonts w:hint="eastAsia" w:cs="仿宋" w:asciiTheme="minorEastAsia" w:hAnsiTheme="minorEastAsia" w:eastAsiaTheme="minorEastAsia"/>
                <w:color w:val="000000" w:themeColor="text1"/>
                <w14:textFill>
                  <w14:solidFill>
                    <w14:schemeClr w14:val="tx1"/>
                  </w14:solidFill>
                </w14:textFill>
              </w:rPr>
              <w:t>、以BIM可视化方式展示和管理手术衣、手术鞋的发放及回收，不以BIM可视化形式演示不得分；（计1分）</w:t>
            </w:r>
          </w:p>
          <w:p>
            <w:pPr>
              <w:ind w:firstLine="496" w:firstLineChars="200"/>
              <w:rPr>
                <w:rFonts w:cs="仿宋" w:asciiTheme="minorEastAsia" w:hAnsiTheme="minorEastAsia" w:eastAsiaTheme="minorEastAsia"/>
                <w:color w:val="000000"/>
              </w:rPr>
            </w:pPr>
            <w:r>
              <w:rPr>
                <w:rFonts w:hint="eastAsia" w:cs="仿宋" w:asciiTheme="minorEastAsia" w:hAnsiTheme="minorEastAsia" w:eastAsiaTheme="minorEastAsia"/>
                <w:color w:val="000000"/>
              </w:rPr>
              <w:t>评审项评审依据：以上软件功能演示内容，每一项演示缺项、少项或不完整的不得分，最多得</w:t>
            </w:r>
            <w:r>
              <w:rPr>
                <w:rFonts w:cs="仿宋" w:asciiTheme="minorEastAsia" w:hAnsiTheme="minorEastAsia" w:eastAsiaTheme="minorEastAsia"/>
                <w:color w:val="000000"/>
              </w:rPr>
              <w:t>10</w:t>
            </w:r>
            <w:r>
              <w:rPr>
                <w:rFonts w:hint="eastAsia" w:cs="仿宋" w:asciiTheme="minorEastAsia" w:hAnsiTheme="minorEastAsia" w:eastAsiaTheme="minorEastAsia"/>
                <w:color w:val="000000"/>
              </w:rPr>
              <w:t>分。</w:t>
            </w:r>
          </w:p>
          <w:p>
            <w:pPr>
              <w:ind w:firstLine="496" w:firstLineChars="200"/>
              <w:rPr>
                <w:rFonts w:cs="仿宋" w:asciiTheme="minorEastAsia" w:hAnsiTheme="minorEastAsia" w:eastAsiaTheme="minorEastAsia"/>
                <w:color w:val="FF0000"/>
              </w:rPr>
            </w:pPr>
            <w:r>
              <w:rPr>
                <w:rFonts w:hint="eastAsia" w:cs="仿宋" w:asciiTheme="minorEastAsia" w:hAnsiTheme="minorEastAsia" w:eastAsiaTheme="minorEastAsia"/>
                <w:color w:val="000000"/>
              </w:rPr>
              <w:t>备注：以上两项软件功能演示由各投标人自行搭建演示环境，按照西安市公共资源交易中心要求，通过在线方式（腾讯会议）提供真实系统进行演示，不接受视频、PPT、DEMO等非真实系统演示，演示时长不超过1</w:t>
            </w:r>
            <w:r>
              <w:rPr>
                <w:rFonts w:cs="仿宋" w:asciiTheme="minorEastAsia" w:hAnsiTheme="minorEastAsia" w:eastAsiaTheme="minorEastAsia"/>
                <w:color w:val="000000"/>
              </w:rPr>
              <w:t>5</w:t>
            </w:r>
            <w:r>
              <w:rPr>
                <w:rFonts w:hint="eastAsia" w:cs="仿宋" w:asciiTheme="minorEastAsia" w:hAnsiTheme="minorEastAsia" w:eastAsiaTheme="minorEastAsia"/>
                <w:color w:val="000000"/>
              </w:rPr>
              <w:t>分钟。</w:t>
            </w:r>
          </w:p>
        </w:tc>
        <w:tc>
          <w:tcPr>
            <w:tcW w:w="1588" w:type="dxa"/>
            <w:vMerge w:val="restart"/>
            <w:vAlign w:val="center"/>
          </w:tcPr>
          <w:p>
            <w:pPr>
              <w:rPr>
                <w:rFonts w:cs="宋体" w:asciiTheme="minorEastAsia" w:hAnsiTheme="minorEastAsia" w:eastAsiaTheme="minor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75" w:type="dxa"/>
            <w:vMerge w:val="continue"/>
            <w:vAlign w:val="center"/>
          </w:tcPr>
          <w:p>
            <w:pPr>
              <w:jc w:val="center"/>
              <w:rPr>
                <w:rFonts w:cs="宋体" w:asciiTheme="minorEastAsia" w:hAnsiTheme="minorEastAsia" w:eastAsiaTheme="minorEastAsia"/>
              </w:rPr>
            </w:pPr>
          </w:p>
        </w:tc>
        <w:tc>
          <w:tcPr>
            <w:tcW w:w="1134" w:type="dxa"/>
            <w:vMerge w:val="continue"/>
            <w:vAlign w:val="center"/>
          </w:tcPr>
          <w:p>
            <w:pPr>
              <w:jc w:val="center"/>
              <w:rPr>
                <w:rFonts w:cs="宋体" w:asciiTheme="minorEastAsia" w:hAnsiTheme="minorEastAsia" w:eastAsiaTheme="minorEastAsia"/>
              </w:rPr>
            </w:pPr>
          </w:p>
        </w:tc>
        <w:tc>
          <w:tcPr>
            <w:tcW w:w="709" w:type="dxa"/>
            <w:vMerge w:val="continue"/>
            <w:vAlign w:val="center"/>
          </w:tcPr>
          <w:p>
            <w:pPr>
              <w:jc w:val="center"/>
              <w:rPr>
                <w:rFonts w:cs="宋体" w:asciiTheme="minorEastAsia" w:hAnsiTheme="minorEastAsia" w:eastAsiaTheme="minorEastAsia"/>
              </w:rPr>
            </w:pPr>
          </w:p>
        </w:tc>
        <w:tc>
          <w:tcPr>
            <w:tcW w:w="4565" w:type="dxa"/>
            <w:vMerge w:val="continue"/>
            <w:vAlign w:val="center"/>
          </w:tcPr>
          <w:p>
            <w:pPr>
              <w:rPr>
                <w:rFonts w:cs="宋体" w:asciiTheme="minorEastAsia" w:hAnsiTheme="minorEastAsia" w:eastAsiaTheme="minorEastAsia"/>
              </w:rPr>
            </w:pPr>
          </w:p>
        </w:tc>
        <w:tc>
          <w:tcPr>
            <w:tcW w:w="1588" w:type="dxa"/>
            <w:vMerge w:val="continue"/>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75"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113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质量保证</w:t>
            </w:r>
          </w:p>
        </w:tc>
        <w:tc>
          <w:tcPr>
            <w:tcW w:w="709"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4565" w:type="dxa"/>
          </w:tcPr>
          <w:p>
            <w:pPr>
              <w:rPr>
                <w:rFonts w:cs="宋体" w:asciiTheme="minorEastAsia" w:hAnsiTheme="minorEastAsia" w:eastAsiaTheme="minorEastAsia"/>
              </w:rPr>
            </w:pPr>
            <w:r>
              <w:rPr>
                <w:rFonts w:hint="eastAsia" w:cs="宋体" w:asciiTheme="minorEastAsia" w:hAnsiTheme="minorEastAsia" w:eastAsiaTheme="minorEastAsia"/>
              </w:rPr>
              <w:t>提供投标产品</w:t>
            </w:r>
            <w:r>
              <w:rPr>
                <w:rFonts w:hint="eastAsia" w:cs="宋体" w:asciiTheme="minorEastAsia" w:hAnsiTheme="minorEastAsia" w:eastAsiaTheme="minorEastAsia"/>
                <w:color w:val="000000" w:themeColor="text1"/>
                <w14:textFill>
                  <w14:solidFill>
                    <w14:schemeClr w14:val="tx1"/>
                  </w14:solidFill>
                </w14:textFill>
              </w:rPr>
              <w:t>（移动护理PDA终端、手术行为管理、物联网基站）</w:t>
            </w:r>
            <w:r>
              <w:rPr>
                <w:rFonts w:hint="eastAsia" w:cs="宋体" w:asciiTheme="minorEastAsia" w:hAnsiTheme="minorEastAsia" w:eastAsiaTheme="minorEastAsia"/>
              </w:rPr>
              <w:t>来源渠道合法的证明文件（包括但不限于销售协议、代理协议、原厂授权等）每提供一个得1分，最高得3分。</w:t>
            </w:r>
          </w:p>
        </w:tc>
        <w:tc>
          <w:tcPr>
            <w:tcW w:w="1588" w:type="dxa"/>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675"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113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技术方案</w:t>
            </w:r>
          </w:p>
        </w:tc>
        <w:tc>
          <w:tcPr>
            <w:tcW w:w="709"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5</w:t>
            </w:r>
          </w:p>
        </w:tc>
        <w:tc>
          <w:tcPr>
            <w:tcW w:w="4565" w:type="dxa"/>
            <w:vAlign w:val="center"/>
          </w:tcPr>
          <w:p>
            <w:pPr>
              <w:rPr>
                <w:rFonts w:cs="宋体" w:asciiTheme="minorEastAsia" w:hAnsiTheme="minorEastAsia" w:eastAsiaTheme="minorEastAsia"/>
              </w:rPr>
            </w:pPr>
            <w:r>
              <w:rPr>
                <w:rFonts w:hint="eastAsia" w:cs="宋体" w:asciiTheme="minorEastAsia" w:hAnsiTheme="minorEastAsia" w:eastAsiaTheme="minorEastAsia"/>
              </w:rPr>
              <w:t>具有完整的技术方案，包含产品选型是否合理、模块功能是否完善、兼容性及可扩展性、设计规范的先进性、使用的安全可靠性，方案制定内容齐全，各类措施健全，完全满足采购需求并符合本项目实施特点的5分；以上方面中每缺少一方面内容扣1分；每有一处内容与实际需求不符或不满足要求或与本项目需求不匹配或直接套用其他项目内容的扣0-1分，扣完为止。</w:t>
            </w:r>
          </w:p>
        </w:tc>
        <w:tc>
          <w:tcPr>
            <w:tcW w:w="1588" w:type="dxa"/>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675"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5</w:t>
            </w:r>
          </w:p>
        </w:tc>
        <w:tc>
          <w:tcPr>
            <w:tcW w:w="113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设计方案</w:t>
            </w:r>
          </w:p>
        </w:tc>
        <w:tc>
          <w:tcPr>
            <w:tcW w:w="709" w:type="dxa"/>
            <w:vAlign w:val="center"/>
          </w:tcPr>
          <w:p>
            <w:pPr>
              <w:jc w:val="center"/>
              <w:rPr>
                <w:rFonts w:cs="宋体" w:asciiTheme="minorEastAsia" w:hAnsiTheme="minorEastAsia" w:eastAsiaTheme="minorEastAsia"/>
              </w:rPr>
            </w:pPr>
            <w:r>
              <w:rPr>
                <w:rFonts w:cs="宋体" w:asciiTheme="minorEastAsia" w:hAnsiTheme="minorEastAsia" w:eastAsiaTheme="minorEastAsia"/>
              </w:rPr>
              <w:t>8</w:t>
            </w:r>
          </w:p>
        </w:tc>
        <w:tc>
          <w:tcPr>
            <w:tcW w:w="4565" w:type="dxa"/>
            <w:vAlign w:val="center"/>
          </w:tcPr>
          <w:p>
            <w:r>
              <w:rPr>
                <w:rFonts w:hint="eastAsia" w:cs="宋体" w:asciiTheme="minorEastAsia" w:hAnsiTheme="minorEastAsia" w:eastAsiaTheme="minorEastAsia"/>
              </w:rPr>
              <w:t>针对洁净手术部的建设特点，为保证项目落地建设效果，供应商依据所领取基础图纸按照采购需求提供符合采购人实际要求的智慧手术部功能流线布局设计图纸，内容包含</w:t>
            </w:r>
            <w:r>
              <w:rPr>
                <w:rFonts w:hint="eastAsia" w:cs="宋体" w:asciiTheme="minorEastAsia" w:hAnsiTheme="minorEastAsia" w:eastAsiaTheme="minorEastAsia"/>
              </w:rPr>
              <w:sym w:font="Wingdings" w:char="F081"/>
            </w:r>
            <w:r>
              <w:rPr>
                <w:rFonts w:hint="eastAsia" w:cs="宋体" w:asciiTheme="minorEastAsia" w:hAnsiTheme="minorEastAsia" w:eastAsiaTheme="minorEastAsia"/>
                <w:color w:val="000000" w:themeColor="text1"/>
                <w14:textFill>
                  <w14:solidFill>
                    <w14:schemeClr w14:val="tx1"/>
                  </w14:solidFill>
                </w14:textFill>
              </w:rPr>
              <w:t>结合招标文件，洁净手术部智能化及物联网各系统设计完整，规划满足功能需求，</w:t>
            </w:r>
            <w:r>
              <w:rPr>
                <w:rFonts w:hint="eastAsia" w:cs="宋体" w:asciiTheme="minorEastAsia" w:hAnsiTheme="minorEastAsia" w:eastAsiaTheme="minorEastAsia"/>
                <w:color w:val="000000" w:themeColor="text1"/>
                <w14:textFill>
                  <w14:solidFill>
                    <w14:schemeClr w14:val="tx1"/>
                  </w14:solidFill>
                </w14:textFill>
              </w:rPr>
              <w:sym w:font="Wingdings" w:char="F082"/>
            </w:r>
            <w:r>
              <w:rPr>
                <w:rFonts w:hint="eastAsia" w:cs="宋体" w:asciiTheme="minorEastAsia" w:hAnsiTheme="minorEastAsia" w:eastAsiaTheme="minorEastAsia"/>
                <w:color w:val="000000" w:themeColor="text1"/>
                <w14:textFill>
                  <w14:solidFill>
                    <w14:schemeClr w14:val="tx1"/>
                  </w14:solidFill>
                </w14:textFill>
              </w:rPr>
              <w:t>设计满足手术部医生、护士、患者、护工、设备管理需求，</w:t>
            </w:r>
            <w:r>
              <w:rPr>
                <w:rFonts w:hint="eastAsia" w:asciiTheme="minorEastAsia" w:hAnsiTheme="minorEastAsia" w:eastAsiaTheme="minorEastAsia"/>
                <w:color w:val="000000" w:themeColor="text1"/>
                <w14:textFill>
                  <w14:solidFill>
                    <w14:schemeClr w14:val="tx1"/>
                  </w14:solidFill>
                </w14:textFill>
              </w:rPr>
              <w:sym w:font="Wingdings" w:char="F083"/>
            </w:r>
            <w:r>
              <w:rPr>
                <w:rFonts w:hint="eastAsia" w:asciiTheme="minorEastAsia" w:hAnsiTheme="minorEastAsia" w:eastAsiaTheme="minorEastAsia"/>
                <w:color w:val="000000" w:themeColor="text1"/>
                <w14:textFill>
                  <w14:solidFill>
                    <w14:schemeClr w14:val="tx1"/>
                  </w14:solidFill>
                </w14:textFill>
              </w:rPr>
              <w:t>设计满足向医院提供有效预防和控制医院手术室感染管理需求，</w:t>
            </w:r>
            <w:r>
              <w:rPr>
                <w:rFonts w:hint="eastAsia" w:ascii="宋体" w:hAnsi="宋体" w:cs="宋体"/>
                <w:color w:val="000000" w:themeColor="text1"/>
                <w14:textFill>
                  <w14:solidFill>
                    <w14:schemeClr w14:val="tx1"/>
                  </w14:solidFill>
                </w14:textFill>
              </w:rPr>
              <w:t>④</w:t>
            </w:r>
            <w:r>
              <w:rPr>
                <w:rFonts w:hint="eastAsia" w:cs="宋体" w:asciiTheme="minorEastAsia" w:hAnsiTheme="minorEastAsia" w:eastAsiaTheme="minorEastAsia"/>
                <w:color w:val="000000" w:themeColor="text1"/>
                <w14:textFill>
                  <w14:solidFill>
                    <w14:schemeClr w14:val="tx1"/>
                  </w14:solidFill>
                </w14:textFill>
              </w:rPr>
              <w:t>设计满足手术部各系统互联互通，且能形成联动，符合医院手术室流程管理需求，完全满足需求</w:t>
            </w:r>
            <w:r>
              <w:rPr>
                <w:rFonts w:hint="eastAsia" w:cs="宋体" w:asciiTheme="minorEastAsia" w:hAnsiTheme="minorEastAsia" w:eastAsiaTheme="minorEastAsia"/>
              </w:rPr>
              <w:t>并符合本项目实施特点的8分；以上方面中每缺少一方面内容扣2分；每有一处内容与实际需求不符或不满足要求或与本项目需求不匹配或直接套用其他项目内容的扣0-2分，扣完为止。</w:t>
            </w:r>
          </w:p>
        </w:tc>
        <w:tc>
          <w:tcPr>
            <w:tcW w:w="1588" w:type="dxa"/>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75"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113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实施方案</w:t>
            </w:r>
          </w:p>
        </w:tc>
        <w:tc>
          <w:tcPr>
            <w:tcW w:w="709"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4565" w:type="dxa"/>
            <w:vAlign w:val="center"/>
          </w:tcPr>
          <w:p>
            <w:pPr>
              <w:rPr>
                <w:rFonts w:cs="宋体" w:asciiTheme="minorEastAsia" w:hAnsiTheme="minorEastAsia" w:eastAsiaTheme="minorEastAsia"/>
              </w:rPr>
            </w:pPr>
            <w:r>
              <w:rPr>
                <w:rFonts w:hint="eastAsia" w:cs="宋体" w:asciiTheme="minorEastAsia" w:hAnsiTheme="minorEastAsia" w:eastAsiaTheme="minorEastAsia"/>
              </w:rPr>
              <w:t>具有完整的项目实施方案，包括项目总体实施进度、项目供货方案、项目人员组成、项目组织及协调方案、系统安装调试方案、项目验收方案内容。</w:t>
            </w:r>
          </w:p>
          <w:p>
            <w:pPr>
              <w:rPr>
                <w:rFonts w:cs="宋体" w:asciiTheme="minorEastAsia" w:hAnsiTheme="minorEastAsia" w:eastAsiaTheme="minorEastAsia"/>
              </w:rPr>
            </w:pPr>
            <w:r>
              <w:rPr>
                <w:rFonts w:hint="eastAsia" w:cs="宋体" w:asciiTheme="minorEastAsia" w:hAnsiTheme="minorEastAsia" w:eastAsiaTheme="minorEastAsia"/>
              </w:rPr>
              <w:t>方案制定内容齐全，各类措施健全，完全满足采购需求并符合本项目实施特点的6分；以上方面中每缺少一方面内容扣1分；每有一处内容与实际需求不符或不满足要求或与本项目需求不匹配或直接套用其他项目内容的扣0-1分，扣完为止。</w:t>
            </w:r>
          </w:p>
        </w:tc>
        <w:tc>
          <w:tcPr>
            <w:tcW w:w="1588" w:type="dxa"/>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售后服务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5</w:t>
            </w:r>
          </w:p>
        </w:tc>
        <w:tc>
          <w:tcPr>
            <w:tcW w:w="4565"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rPr>
            </w:pPr>
            <w:r>
              <w:rPr>
                <w:rFonts w:hint="eastAsia" w:cs="宋体" w:asciiTheme="minorEastAsia" w:hAnsiTheme="minorEastAsia" w:eastAsiaTheme="minorEastAsia"/>
              </w:rPr>
              <w:t>根据供应商提供的售后服务方案计分，包括售后服务承诺及保障措施、售后服务人员配置及响应计划、故障处理及应急预案、质量保证期限及质量保证的范围承诺、本地化售后方案（包含驻场服务），售后服务方案完整且具有符合实际需求的得5分，每缺少一项扣1分，某一项不完整、或不符合实际需求的扣1分，扣完为止。</w:t>
            </w:r>
          </w:p>
        </w:tc>
        <w:tc>
          <w:tcPr>
            <w:tcW w:w="1588"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综合实力</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rPr>
            </w:pPr>
            <w:r>
              <w:rPr>
                <w:rFonts w:cs="宋体" w:asciiTheme="minorEastAsia" w:hAnsiTheme="minorEastAsia" w:eastAsiaTheme="minorEastAsia"/>
              </w:rPr>
              <w:t>3</w:t>
            </w:r>
          </w:p>
        </w:tc>
        <w:tc>
          <w:tcPr>
            <w:tcW w:w="4565"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color w:val="000000"/>
              </w:rPr>
            </w:pPr>
            <w:r>
              <w:rPr>
                <w:rFonts w:hint="eastAsia" w:cs="仿宋" w:asciiTheme="minorEastAsia" w:hAnsiTheme="minorEastAsia" w:eastAsiaTheme="minorEastAsia"/>
                <w:color w:val="000000"/>
              </w:rPr>
              <w:t>投标人提供与智慧医院相关业务的软件著作权证书，软件著作权证书需含有以下关键字“运营管理”或“医院服务”或“数字化手术室”或“手术管理”或“设备管理”或“空气监测”。每提供一个软件著作权证书计</w:t>
            </w:r>
            <w:r>
              <w:rPr>
                <w:rFonts w:cs="仿宋" w:asciiTheme="minorEastAsia" w:hAnsiTheme="minorEastAsia" w:eastAsiaTheme="minorEastAsia"/>
                <w:color w:val="000000"/>
              </w:rPr>
              <w:t>0.5</w:t>
            </w:r>
            <w:r>
              <w:rPr>
                <w:rFonts w:hint="eastAsia" w:cs="仿宋" w:asciiTheme="minorEastAsia" w:hAnsiTheme="minorEastAsia" w:eastAsiaTheme="minorEastAsia"/>
                <w:color w:val="000000"/>
              </w:rPr>
              <w:t>分，</w:t>
            </w:r>
            <w:r>
              <w:rPr>
                <w:rFonts w:hint="eastAsia" w:cs="仿宋" w:asciiTheme="minorEastAsia" w:hAnsiTheme="minorEastAsia" w:eastAsiaTheme="minorEastAsia"/>
              </w:rPr>
              <w:t>本项最高</w:t>
            </w:r>
            <w:r>
              <w:rPr>
                <w:rFonts w:hint="eastAsia" w:cs="仿宋" w:asciiTheme="minorEastAsia" w:hAnsiTheme="minorEastAsia" w:eastAsiaTheme="minorEastAsia"/>
                <w:color w:val="000000"/>
              </w:rPr>
              <w:t>计</w:t>
            </w:r>
            <w:r>
              <w:rPr>
                <w:rFonts w:cs="仿宋" w:asciiTheme="minorEastAsia" w:hAnsiTheme="minorEastAsia" w:eastAsiaTheme="minorEastAsia"/>
                <w:color w:val="000000"/>
              </w:rPr>
              <w:t>3</w:t>
            </w:r>
            <w:r>
              <w:rPr>
                <w:rFonts w:hint="eastAsia" w:cs="仿宋" w:asciiTheme="minorEastAsia" w:hAnsiTheme="minorEastAsia" w:eastAsiaTheme="minorEastAsia"/>
                <w:color w:val="000000"/>
              </w:rPr>
              <w:t xml:space="preserve">分； </w:t>
            </w:r>
          </w:p>
          <w:p>
            <w:pPr>
              <w:rPr>
                <w:rFonts w:asciiTheme="minorEastAsia" w:hAnsiTheme="minorEastAsia" w:eastAsiaTheme="minorEastAsia"/>
              </w:rPr>
            </w:pPr>
            <w:r>
              <w:rPr>
                <w:rFonts w:hint="eastAsia" w:cs="仿宋" w:asciiTheme="minorEastAsia" w:hAnsiTheme="minorEastAsia" w:eastAsiaTheme="minorEastAsia"/>
                <w:color w:val="000000"/>
              </w:rPr>
              <w:t>以上评审依据：提供证书复印件加盖公章，否则不计分。</w:t>
            </w:r>
          </w:p>
        </w:tc>
        <w:tc>
          <w:tcPr>
            <w:tcW w:w="1588"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业绩</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rPr>
            </w:pPr>
            <w:r>
              <w:rPr>
                <w:rFonts w:cs="宋体" w:asciiTheme="minorEastAsia" w:hAnsiTheme="minorEastAsia" w:eastAsiaTheme="minorEastAsia"/>
              </w:rPr>
              <w:t>4</w:t>
            </w:r>
          </w:p>
        </w:tc>
        <w:tc>
          <w:tcPr>
            <w:tcW w:w="4565"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rPr>
            </w:pPr>
            <w:r>
              <w:rPr>
                <w:rFonts w:hint="eastAsia" w:cs="宋体" w:asciiTheme="minorEastAsia" w:hAnsiTheme="minorEastAsia" w:eastAsiaTheme="minorEastAsia"/>
              </w:rPr>
              <w:t>投标人提供2019年1月1日至今类似业绩，每提供1个计</w:t>
            </w:r>
            <w:r>
              <w:rPr>
                <w:rFonts w:cs="宋体" w:asciiTheme="minorEastAsia" w:hAnsiTheme="minorEastAsia" w:eastAsiaTheme="minorEastAsia"/>
              </w:rPr>
              <w:t>2</w:t>
            </w:r>
            <w:r>
              <w:rPr>
                <w:rFonts w:hint="eastAsia" w:cs="宋体" w:asciiTheme="minorEastAsia" w:hAnsiTheme="minorEastAsia" w:eastAsiaTheme="minorEastAsia"/>
              </w:rPr>
              <w:t>分，最高计</w:t>
            </w:r>
            <w:r>
              <w:rPr>
                <w:rFonts w:cs="宋体" w:asciiTheme="minorEastAsia" w:hAnsiTheme="minorEastAsia" w:eastAsiaTheme="minorEastAsia"/>
              </w:rPr>
              <w:t>4</w:t>
            </w:r>
            <w:r>
              <w:rPr>
                <w:rFonts w:hint="eastAsia" w:cs="宋体" w:asciiTheme="minorEastAsia" w:hAnsiTheme="minorEastAsia" w:eastAsiaTheme="minorEastAsia"/>
              </w:rPr>
              <w:t>分。（以合同签订日期为准，提供完整合同复印件）</w:t>
            </w:r>
          </w:p>
        </w:tc>
        <w:tc>
          <w:tcPr>
            <w:tcW w:w="1588"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675"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rPr>
            </w:pPr>
            <w:r>
              <w:rPr>
                <w:rFonts w:hint="eastAsia" w:cs="宋体" w:asciiTheme="minorEastAsia" w:hAnsiTheme="minorEastAsia" w:eastAsiaTheme="minorEastAsia"/>
              </w:rPr>
              <w:t>10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节能环保产品</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rPr>
            </w:pPr>
            <w:r>
              <w:rPr>
                <w:rFonts w:cs="宋体" w:asciiTheme="minorEastAsia" w:hAnsiTheme="minorEastAsia" w:eastAsiaTheme="minorEastAsia"/>
              </w:rPr>
              <w:t>1</w:t>
            </w:r>
          </w:p>
        </w:tc>
        <w:tc>
          <w:tcPr>
            <w:tcW w:w="4565"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rPr>
            </w:pPr>
            <w:r>
              <w:rPr>
                <w:rFonts w:hint="eastAsia" w:cs="宋体" w:asciiTheme="minorEastAsia" w:hAnsiTheme="minorEastAsia" w:eastAsiaTheme="minorEastAsia"/>
              </w:rPr>
              <w:t>供应商所投产品中每有一项经国家认证机构认定为节能产品的得0.5分，每有一项为环境标志产品的得0.5分，供应商所投产品中每有一项产品即为节能产品又是环境标志产品得1分（产品不重复计分，如某一产品得到1分，不能再计节能或环境标志产品的0.5分），最多得</w:t>
            </w:r>
            <w:r>
              <w:rPr>
                <w:rFonts w:cs="宋体" w:asciiTheme="minorEastAsia" w:hAnsiTheme="minorEastAsia" w:eastAsiaTheme="minorEastAsia"/>
              </w:rPr>
              <w:t>1</w:t>
            </w:r>
            <w:r>
              <w:rPr>
                <w:rFonts w:hint="eastAsia" w:cs="宋体" w:asciiTheme="minorEastAsia" w:hAnsiTheme="minorEastAsia" w:eastAsiaTheme="minorEastAsia"/>
              </w:rPr>
              <w:t>分。</w:t>
            </w:r>
          </w:p>
        </w:tc>
        <w:tc>
          <w:tcPr>
            <w:tcW w:w="1588"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rPr>
            </w:pPr>
            <w:r>
              <w:rPr>
                <w:rFonts w:hint="eastAsia" w:cs="宋体" w:asciiTheme="minorEastAsia" w:hAnsiTheme="minorEastAsia" w:eastAsiaTheme="minorEastAsia"/>
              </w:rPr>
              <w:t>以国家确定的认证机构出具的、处于有效期内的节能产品、环境标志产品认证证书为准。</w:t>
            </w:r>
          </w:p>
        </w:tc>
      </w:tr>
    </w:tbl>
    <w:p>
      <w:pPr>
        <w:rPr>
          <w:rFonts w:cs="宋体" w:asciiTheme="minorEastAsia" w:hAnsiTheme="minorEastAsia" w:eastAsiaTheme="minorEastAsia"/>
          <w:b/>
          <w:bCs/>
        </w:rPr>
      </w:pPr>
      <w:r>
        <w:rPr>
          <w:rFonts w:hint="eastAsia" w:cs="宋体" w:asciiTheme="minorEastAsia" w:hAnsiTheme="minorEastAsia" w:eastAsiaTheme="minorEastAsia"/>
          <w:b/>
          <w:bCs/>
        </w:rPr>
        <w:t xml:space="preserve">评审标准备注： </w:t>
      </w:r>
    </w:p>
    <w:p>
      <w:pPr>
        <w:widowControl w:val="0"/>
        <w:spacing w:line="120" w:lineRule="auto"/>
        <w:ind w:firstLine="496" w:firstLineChars="200"/>
        <w:rPr>
          <w:rFonts w:cs="宋体" w:asciiTheme="minorEastAsia" w:hAnsiTheme="minorEastAsia" w:eastAsiaTheme="minorEastAsia"/>
        </w:rPr>
      </w:pPr>
      <w:r>
        <w:rPr>
          <w:rFonts w:hint="eastAsia" w:cs="宋体" w:asciiTheme="minorEastAsia" w:hAnsiTheme="minorEastAsia" w:eastAsiaTheme="minorEastAsia"/>
        </w:rPr>
        <w:t>（1）对于非专门面向中小企业的项目、残疾人福利性单位的项目，对小型和微型企业、残疾人福利性单位产品的价格给予10%的扣除，用扣除后的价格参与评审，残疾人福利性单位属于小型、微型企业的，不重复享受政策；</w:t>
      </w:r>
    </w:p>
    <w:p>
      <w:pPr>
        <w:widowControl w:val="0"/>
        <w:spacing w:line="120" w:lineRule="auto"/>
        <w:ind w:firstLine="496" w:firstLineChars="200"/>
        <w:rPr>
          <w:rFonts w:cs="宋体" w:asciiTheme="minorEastAsia" w:hAnsiTheme="minorEastAsia" w:eastAsiaTheme="minorEastAsia"/>
        </w:rPr>
      </w:pPr>
      <w:r>
        <w:rPr>
          <w:rFonts w:hint="eastAsia" w:cs="宋体" w:asciiTheme="minorEastAsia" w:hAnsiTheme="minorEastAsia" w:eastAsiaTheme="minorEastAsia"/>
        </w:rPr>
        <w:t>（2）《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pPr>
        <w:widowControl w:val="0"/>
        <w:spacing w:line="120" w:lineRule="auto"/>
        <w:ind w:firstLine="496" w:firstLineChars="200"/>
        <w:rPr>
          <w:rFonts w:cs="宋体" w:asciiTheme="minorEastAsia" w:hAnsiTheme="minorEastAsia" w:eastAsiaTheme="minorEastAsia"/>
        </w:rPr>
      </w:pPr>
      <w:r>
        <w:rPr>
          <w:rFonts w:hint="eastAsia" w:cs="宋体" w:asciiTheme="minorEastAsia" w:hAnsiTheme="minorEastAsia" w:eastAsiaTheme="minorEastAsia"/>
        </w:rPr>
        <w:t>（3）节能环保产品以节能产品、环境标志产品认证证书为准；</w:t>
      </w:r>
    </w:p>
    <w:p>
      <w:pPr>
        <w:widowControl w:val="0"/>
        <w:spacing w:line="120" w:lineRule="auto"/>
        <w:ind w:firstLine="496" w:firstLineChars="200"/>
        <w:rPr>
          <w:rFonts w:cs="宋体" w:asciiTheme="minorEastAsia" w:hAnsiTheme="minorEastAsia" w:eastAsiaTheme="minorEastAsia"/>
        </w:rPr>
      </w:pPr>
      <w:r>
        <w:rPr>
          <w:rFonts w:hint="eastAsia" w:cs="宋体" w:asciiTheme="minorEastAsia" w:hAnsiTheme="minorEastAsia" w:eastAsiaTheme="minorEastAsia"/>
        </w:rPr>
        <w:t>（4）技术参数正偏离须在技术响应表中注明正偏离的理由和佐证材料的页码；</w:t>
      </w:r>
    </w:p>
    <w:p>
      <w:pPr>
        <w:pStyle w:val="2"/>
        <w:ind w:left="0" w:leftChars="0" w:firstLine="496" w:firstLineChars="200"/>
        <w:rPr>
          <w:rFonts w:cs="宋体" w:asciiTheme="minorEastAsia" w:hAnsiTheme="minorEastAsia" w:eastAsiaTheme="minorEastAsia"/>
          <w:sz w:val="24"/>
        </w:rPr>
      </w:pPr>
      <w:r>
        <w:rPr>
          <w:rFonts w:hint="eastAsia" w:cs="宋体" w:asciiTheme="minorEastAsia" w:hAnsiTheme="minorEastAsia" w:eastAsiaTheme="minorEastAsia"/>
          <w:sz w:val="24"/>
        </w:rPr>
        <w:t>（5）评审指标出现漏项的最低得分为零分；</w:t>
      </w:r>
    </w:p>
    <w:p>
      <w:pPr>
        <w:pStyle w:val="103"/>
        <w:ind w:firstLine="497"/>
        <w:rPr>
          <w:rFonts w:asciiTheme="minorEastAsia" w:hAnsiTheme="minorEastAsia" w:eastAsiaTheme="minorEastAsia"/>
        </w:rPr>
      </w:pPr>
      <w:r>
        <w:rPr>
          <w:rFonts w:hint="eastAsia" w:asciiTheme="minorEastAsia" w:hAnsiTheme="minorEastAsia" w:eastAsiaTheme="minorEastAsia"/>
        </w:rPr>
        <w:t>4．推荐中标候选人</w:t>
      </w:r>
      <w:bookmarkEnd w:id="61"/>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3"/>
        <w:ind w:firstLine="497"/>
        <w:rPr>
          <w:rFonts w:asciiTheme="minorEastAsia" w:hAnsiTheme="minorEastAsia" w:eastAsiaTheme="minorEastAsia"/>
        </w:rPr>
      </w:pPr>
      <w:bookmarkStart w:id="62" w:name="_Toc12762"/>
      <w:r>
        <w:rPr>
          <w:rFonts w:hint="eastAsia" w:asciiTheme="minorEastAsia" w:hAnsiTheme="minorEastAsia" w:eastAsiaTheme="minorEastAsia"/>
        </w:rPr>
        <w:t>5．编写评审报告</w:t>
      </w:r>
      <w:bookmarkEnd w:id="62"/>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评审报告是评标委员会根据全体评标成员签字的原始评标记录和评标结果编写的报告，其主要内容包括：</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（1）招标公告刊登的媒体名称、开标日期和地点；</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（2）投标供应商名单和评标委员会成员名单；</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（3）评标方法；</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（4）开标记录和评标情况及说明，包括投标无效供应商名单及原因；</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（5）评标结果，确定的中标候选人名单或者经采购人委托直接确定的中标供应商；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（6）其他需要说明的情况，包括评标过程中投标供应商根据评标委员会要求进行的澄清、说明或者补正，评标委员会成员的更换等。</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3"/>
        <w:ind w:firstLine="499"/>
        <w:rPr>
          <w:rFonts w:asciiTheme="minorEastAsia" w:hAnsiTheme="minorEastAsia" w:eastAsiaTheme="minorEastAsia"/>
          <w:b/>
          <w:bCs/>
        </w:rPr>
      </w:pPr>
      <w:bookmarkStart w:id="63" w:name="_Toc8654"/>
      <w:r>
        <w:rPr>
          <w:rFonts w:hint="eastAsia" w:asciiTheme="minorEastAsia" w:hAnsiTheme="minorEastAsia" w:eastAsiaTheme="minorEastAsia"/>
          <w:b/>
          <w:bCs/>
        </w:rPr>
        <w:t>（三）评标争议处理规则</w:t>
      </w:r>
      <w:bookmarkEnd w:id="63"/>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3"/>
        <w:ind w:firstLine="499"/>
        <w:rPr>
          <w:rFonts w:asciiTheme="minorEastAsia" w:hAnsiTheme="minorEastAsia" w:eastAsiaTheme="minorEastAsia"/>
          <w:b/>
          <w:bCs/>
        </w:rPr>
      </w:pPr>
      <w:bookmarkStart w:id="64" w:name="_Toc4810"/>
      <w:r>
        <w:rPr>
          <w:rFonts w:hint="eastAsia" w:asciiTheme="minorEastAsia" w:hAnsiTheme="minorEastAsia" w:eastAsiaTheme="minorEastAsia"/>
          <w:b/>
          <w:bCs/>
        </w:rPr>
        <w:t>（四）评审现场人员的保密责任</w:t>
      </w:r>
      <w:bookmarkEnd w:id="64"/>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3"/>
        <w:ind w:firstLine="499"/>
        <w:rPr>
          <w:rFonts w:asciiTheme="minorEastAsia" w:hAnsiTheme="minorEastAsia" w:eastAsiaTheme="minorEastAsia"/>
          <w:b/>
          <w:bCs/>
        </w:rPr>
      </w:pPr>
      <w:bookmarkStart w:id="65" w:name="_Toc27257"/>
      <w:r>
        <w:rPr>
          <w:rFonts w:hint="eastAsia" w:asciiTheme="minorEastAsia" w:hAnsiTheme="minorEastAsia" w:eastAsiaTheme="minorEastAsia"/>
          <w:b/>
          <w:bCs/>
        </w:rPr>
        <w:t>（五）视同供应商串通投标的情形，其投标无效：</w:t>
      </w:r>
      <w:bookmarkEnd w:id="65"/>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1．不同供应商的投标文件由同一单位或者个人编制；</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2．不同供应商委托同一单位或者个人办理投标事宜；</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3．不同供应商的投标文件载明的项目管理成员或者联系人员为同一人；</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4．不同供应商的投标文件异常一致或者投标报价呈规律性差异。</w:t>
      </w:r>
    </w:p>
    <w:p>
      <w:pPr>
        <w:pStyle w:val="8"/>
        <w:rPr>
          <w:rFonts w:cs="宋体" w:asciiTheme="minorEastAsia" w:hAnsiTheme="minorEastAsia" w:eastAsiaTheme="minorEastAsia"/>
          <w:sz w:val="24"/>
          <w:szCs w:val="24"/>
        </w:rPr>
      </w:pPr>
      <w:bookmarkStart w:id="66" w:name="_Toc135129530"/>
      <w:r>
        <w:rPr>
          <w:rFonts w:hint="eastAsia" w:cs="宋体" w:asciiTheme="minorEastAsia" w:hAnsiTheme="minorEastAsia" w:eastAsiaTheme="minorEastAsia"/>
          <w:sz w:val="24"/>
          <w:szCs w:val="24"/>
        </w:rPr>
        <w:t>八、中标</w:t>
      </w:r>
      <w:bookmarkEnd w:id="66"/>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2．采购代理机构将在中标供应商确定之日起1个工作日内，在【</w:t>
      </w:r>
      <w:r>
        <w:fldChar w:fldCharType="begin"/>
      </w:r>
      <w:r>
        <w:instrText xml:space="preserve"> HYPERLINK "http://www.ccgp-shaanxi.gov.cn" </w:instrText>
      </w:r>
      <w:r>
        <w:fldChar w:fldCharType="separate"/>
      </w:r>
      <w:r>
        <w:rPr>
          <w:rStyle w:val="47"/>
          <w:rFonts w:hint="eastAsia" w:cs="宋体" w:asciiTheme="minorEastAsia" w:hAnsiTheme="minorEastAsia" w:eastAsiaTheme="minorEastAsia"/>
          <w:color w:val="auto"/>
          <w:u w:val="none"/>
        </w:rPr>
        <w:t>陕西省政府采购网</w:t>
      </w:r>
      <w:r>
        <w:rPr>
          <w:rStyle w:val="47"/>
          <w:rFonts w:hint="eastAsia" w:cs="宋体" w:asciiTheme="minorEastAsia" w:hAnsiTheme="minorEastAsia" w:eastAsiaTheme="minorEastAsia"/>
          <w:color w:val="auto"/>
          <w:u w:val="none"/>
        </w:rPr>
        <w:fldChar w:fldCharType="end"/>
      </w:r>
      <w:r>
        <w:rPr>
          <w:rFonts w:hint="eastAsia" w:cs="宋体" w:asciiTheme="minorEastAsia" w:hAnsiTheme="minorEastAsia" w:eastAsiaTheme="minorEastAsia"/>
        </w:rPr>
        <w:t>】（</w:t>
      </w:r>
      <w:r>
        <w:fldChar w:fldCharType="begin"/>
      </w:r>
      <w:r>
        <w:instrText xml:space="preserve"> HYPERLINK "http://www.ccgp-shaanxi.gov.cn/" </w:instrText>
      </w:r>
      <w:r>
        <w:fldChar w:fldCharType="separate"/>
      </w:r>
      <w:r>
        <w:rPr>
          <w:rStyle w:val="47"/>
          <w:rFonts w:hint="eastAsia" w:cs="宋体" w:asciiTheme="minorEastAsia" w:hAnsiTheme="minorEastAsia" w:eastAsiaTheme="minorEastAsia"/>
          <w:color w:val="auto"/>
          <w:u w:val="none"/>
        </w:rPr>
        <w:t>http://www.ccgp-shaanxi.gov.cn/</w:t>
      </w:r>
      <w:r>
        <w:rPr>
          <w:rStyle w:val="47"/>
          <w:rFonts w:hint="eastAsia" w:cs="宋体" w:asciiTheme="minorEastAsia" w:hAnsiTheme="minorEastAsia" w:eastAsiaTheme="minorEastAsia"/>
          <w:color w:val="auto"/>
          <w:u w:val="none"/>
        </w:rPr>
        <w:fldChar w:fldCharType="end"/>
      </w:r>
      <w:r>
        <w:rPr>
          <w:rFonts w:hint="eastAsia" w:cs="宋体" w:asciiTheme="minorEastAsia" w:hAnsiTheme="minorEastAsia" w:eastAsiaTheme="minorEastAsia"/>
        </w:rPr>
        <w:t>）上公布中标结果。中标公告期限为1个工作日。</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4．采购代理机构按照相关规定将评审报告送监管机构备案。</w:t>
      </w:r>
    </w:p>
    <w:p>
      <w:pPr>
        <w:pStyle w:val="8"/>
        <w:rPr>
          <w:rFonts w:cs="宋体" w:asciiTheme="minorEastAsia" w:hAnsiTheme="minorEastAsia" w:eastAsiaTheme="minorEastAsia"/>
          <w:sz w:val="24"/>
          <w:szCs w:val="24"/>
        </w:rPr>
      </w:pPr>
      <w:bookmarkStart w:id="67" w:name="_Toc135129531"/>
      <w:r>
        <w:rPr>
          <w:rFonts w:hint="eastAsia" w:cs="宋体" w:asciiTheme="minorEastAsia" w:hAnsiTheme="minorEastAsia" w:eastAsiaTheme="minorEastAsia"/>
          <w:sz w:val="24"/>
          <w:szCs w:val="24"/>
        </w:rPr>
        <w:t>九、合同签订、履行及验收</w:t>
      </w:r>
      <w:bookmarkEnd w:id="67"/>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招标文件、投标文件、澄清、补充合同等为政府采购合同的组成部分，具有同等法律效力。</w:t>
      </w:r>
    </w:p>
    <w:p>
      <w:pPr>
        <w:pStyle w:val="103"/>
        <w:ind w:firstLine="499"/>
        <w:rPr>
          <w:rFonts w:asciiTheme="minorEastAsia" w:hAnsiTheme="minorEastAsia" w:eastAsiaTheme="minorEastAsia"/>
          <w:b/>
          <w:bCs/>
        </w:rPr>
      </w:pPr>
      <w:bookmarkStart w:id="68" w:name="_Toc7975"/>
      <w:r>
        <w:rPr>
          <w:rFonts w:hint="eastAsia" w:asciiTheme="minorEastAsia" w:hAnsiTheme="minorEastAsia" w:eastAsiaTheme="minorEastAsia"/>
          <w:b/>
          <w:bCs/>
        </w:rPr>
        <w:t>（一）签订政府采购合同</w:t>
      </w:r>
      <w:bookmarkEnd w:id="68"/>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1．自中标通知书发出之日起30日内，采购人与中标供应商应按招标文件和中标供应商投标文件的约定，签订书面合同。</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2．中标供应商拒绝与采购人签订合同的，采购人可以按照《政府采购法实施条例》第四十九条规定，确定下一候选人为中标供应商，也可以重新开展政府采购活动。</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4．质疑或者投诉事项可能影响中标、成交结果的，采购人应当暂停签订合同，已经签订合同的，应当中止履行合同。</w:t>
      </w:r>
    </w:p>
    <w:p>
      <w:pPr>
        <w:pStyle w:val="103"/>
        <w:ind w:firstLine="499"/>
        <w:rPr>
          <w:rFonts w:asciiTheme="minorEastAsia" w:hAnsiTheme="minorEastAsia" w:eastAsiaTheme="minorEastAsia"/>
          <w:b/>
          <w:bCs/>
        </w:rPr>
      </w:pPr>
      <w:bookmarkStart w:id="69" w:name="_Toc19981"/>
      <w:r>
        <w:rPr>
          <w:rFonts w:hint="eastAsia" w:asciiTheme="minorEastAsia" w:hAnsiTheme="minorEastAsia" w:eastAsiaTheme="minorEastAsia"/>
          <w:b/>
          <w:bCs/>
        </w:rPr>
        <w:t>（二）合同公告及备案</w:t>
      </w:r>
      <w:bookmarkEnd w:id="69"/>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1．采购人应当自政府采购合同签订之日起2个工作日内，在陕西省政府采购网对合同进行公示，但政府采购合同中涉及国家秘密、商业秘密的内容除外。</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2．采购人应自合同签订之日起7个工作日内将政府采购合同报送监管机构备案。</w:t>
      </w:r>
    </w:p>
    <w:p>
      <w:pPr>
        <w:pStyle w:val="103"/>
        <w:ind w:firstLine="499"/>
        <w:rPr>
          <w:rFonts w:asciiTheme="minorEastAsia" w:hAnsiTheme="minorEastAsia" w:eastAsiaTheme="minorEastAsia"/>
          <w:b/>
          <w:bCs/>
        </w:rPr>
      </w:pPr>
      <w:bookmarkStart w:id="70" w:name="_Toc20858"/>
      <w:r>
        <w:rPr>
          <w:rFonts w:hint="eastAsia" w:asciiTheme="minorEastAsia" w:hAnsiTheme="minorEastAsia" w:eastAsiaTheme="minorEastAsia"/>
          <w:b/>
          <w:bCs/>
        </w:rPr>
        <w:t>（三）履行合同</w:t>
      </w:r>
      <w:bookmarkEnd w:id="70"/>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1．合同一经签订，双方应严格履行合同规定的义务。</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2．在合同履行过程中，如发生合同纠纷，合同双方应按照《中华人民共和国民法典》及合同条款的有关规定进行处理。</w:t>
      </w:r>
    </w:p>
    <w:p>
      <w:pPr>
        <w:pStyle w:val="103"/>
        <w:ind w:firstLine="499"/>
        <w:rPr>
          <w:rFonts w:asciiTheme="minorEastAsia" w:hAnsiTheme="minorEastAsia" w:eastAsiaTheme="minorEastAsia"/>
          <w:b/>
          <w:bCs/>
        </w:rPr>
      </w:pPr>
      <w:bookmarkStart w:id="71" w:name="_Toc1157"/>
      <w:r>
        <w:rPr>
          <w:rFonts w:hint="eastAsia" w:asciiTheme="minorEastAsia" w:hAnsiTheme="minorEastAsia" w:eastAsiaTheme="minorEastAsia"/>
          <w:b/>
          <w:bCs/>
        </w:rPr>
        <w:t>（四）验收或考核</w:t>
      </w:r>
      <w:bookmarkEnd w:id="71"/>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1．采购人严格按照国家相关法律法规的要求及招标文件的要求组织验收或考核。</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2．采购人按《关于促进政府采购公平竞争优化营商环境的通知》（财库〔2019〕38号）、《保障中小企业款项支付条例》（国务院令第728号）等规定及采购合同的约定进行支付合同款项。</w:t>
      </w:r>
    </w:p>
    <w:p>
      <w:pPr>
        <w:pStyle w:val="8"/>
        <w:rPr>
          <w:rFonts w:cs="宋体" w:asciiTheme="minorEastAsia" w:hAnsiTheme="minorEastAsia" w:eastAsiaTheme="minorEastAsia"/>
          <w:sz w:val="24"/>
          <w:szCs w:val="24"/>
        </w:rPr>
      </w:pPr>
      <w:bookmarkStart w:id="72" w:name="_Toc135129532"/>
      <w:bookmarkStart w:id="73" w:name="_Toc100219614"/>
      <w:r>
        <w:rPr>
          <w:rFonts w:hint="eastAsia" w:cs="宋体" w:asciiTheme="minorEastAsia" w:hAnsiTheme="minorEastAsia" w:eastAsiaTheme="minorEastAsia"/>
          <w:sz w:val="24"/>
          <w:szCs w:val="24"/>
        </w:rPr>
        <w:t>十、废标及重新招标</w:t>
      </w:r>
      <w:bookmarkEnd w:id="72"/>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2．根据《政府采购法》第三十六条规定，在招标采购中，出现下列情形之一的，本项目按废标处理：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（1）出现影响采购公正的违法、违规行为的；</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（2）供应商的报价均超过了采购预算，采购人不能支付的；</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（3）因重大变故，采购任务取消的。</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废标后，除采购任务取消外，本项目将重新组织招标。</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4．招标文件未明确的其他事项，按《政府采购法》及其相关法律法规执行。</w:t>
      </w:r>
    </w:p>
    <w:p>
      <w:pPr>
        <w:rPr>
          <w:rFonts w:cs="宋体" w:asciiTheme="minorEastAsia" w:hAnsiTheme="minorEastAsia" w:eastAsiaTheme="minorEastAsia"/>
        </w:rPr>
      </w:pPr>
      <w:r>
        <w:rPr>
          <w:rFonts w:hint="eastAsia" w:cs="宋体" w:asciiTheme="minorEastAsia" w:hAnsiTheme="minorEastAsia" w:eastAsiaTheme="minorEastAsia"/>
        </w:rPr>
        <w:br w:type="page"/>
      </w:r>
    </w:p>
    <w:p>
      <w:pPr>
        <w:pStyle w:val="6"/>
        <w:pageBreakBefore/>
        <w:numPr>
          <w:ilvl w:val="0"/>
          <w:numId w:val="2"/>
        </w:numPr>
        <w:spacing w:before="395" w:beforeLines="100" w:after="395" w:afterLines="10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bookmarkStart w:id="74" w:name="_Toc135129533"/>
      <w:r>
        <w:rPr>
          <w:rFonts w:hint="eastAsia" w:cs="宋体" w:asciiTheme="minorEastAsia" w:hAnsiTheme="minorEastAsia" w:eastAsiaTheme="minorEastAsia"/>
          <w:sz w:val="24"/>
          <w:szCs w:val="24"/>
        </w:rPr>
        <w:t>招标内容及要求</w:t>
      </w:r>
      <w:bookmarkEnd w:id="73"/>
      <w:bookmarkEnd w:id="74"/>
      <w:bookmarkStart w:id="75" w:name="_Toc100219615"/>
    </w:p>
    <w:p>
      <w:pPr>
        <w:rPr>
          <w:rFonts w:cs="宋体" w:asciiTheme="minorEastAsia" w:hAnsiTheme="minorEastAsia" w:eastAsiaTheme="minorEastAsia"/>
          <w:b/>
        </w:rPr>
      </w:pPr>
      <w:r>
        <w:rPr>
          <w:rFonts w:hint="eastAsia" w:cs="宋体" w:asciiTheme="minorEastAsia" w:hAnsiTheme="minorEastAsia" w:eastAsiaTheme="minorEastAsia"/>
          <w:b/>
        </w:rPr>
        <w:t>一、项目概况</w:t>
      </w:r>
    </w:p>
    <w:p>
      <w:pPr>
        <w:spacing w:line="40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西安市中心医院经开院区智能化及物联网系统项目建设内容包含门诊、病区、手术和医疗物联网四大部分，结合西安市中心医院经开院区的实际情况，围绕着西安市中心医院业务战略目标，通过与医院原有的信息化有机结合，打通HIS、LIS、PACS、手麻等系统进行实时数据交互。项目整体应按照“一院四区”相关需求基于平台化进行建设规划，应遵循总体规划、分步实施、持续可升级扩展的原则，以建立院内外信息互联互通的医院信息平台为主线，利用物联网、大数据、人工智能、5G等先进的技术，进行医疗信息化与医院智能化及医疗物联网顶层设计与融通，通过可感知、可执行、会思考、可成长四个维度为医院的智慧化提供整体支撑。以数字化、可视化、智能化管理对接医院智能化管理子系统，建立一个跨部门跨业务的多维度全域监测预警的运营平台，将医院门诊、住院、手术等多系统有目的地连接、协调和平衡各系统及设备，让医疗数据与建筑设备数据实现互联互通，对医院门诊、住院、手术全态势运行数据进行实时动态监测，医院建筑和设备运行流程实现自动化控制，建立基于医院全态势数据的应用预防体系，从而提升医疗系统的效率和整体服务能力，实现患者、医务人员、医疗设备、后勤设施之间的相互协同，加速医、教、研协同提升。同时医院管理者可以实时、准确的获取来自全院各方面的信息，从而将全院的各项管理调整到最佳状态，简化了医院内部流程，大大降低医院的运行成本，提高医院工作效率，围绕“以患者就医体验为中心，以医护患协同为基点”的一体化概念打造可持续发展型、智慧服务型、技术创新型现代化智慧医院，助力医院打造成西北乃至国内领先的样板智慧医院。</w:t>
      </w:r>
    </w:p>
    <w:p>
      <w:pPr>
        <w:spacing w:line="40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1、建设要求及目标</w:t>
      </w:r>
    </w:p>
    <w:p>
      <w:pPr>
        <w:spacing w:line="40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1）具有本次建设内容的数据融合接入能力，“以平台为中心”的建设思路，需实现底层终端设备、应用系统、视频监控系统、位置信息、医疗业务数据等标准化接入，进行数据交换统一管理；</w:t>
      </w:r>
    </w:p>
    <w:p>
      <w:pPr>
        <w:spacing w:line="40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2）需实现本次建设内容接入数据的治理、流转、分发、管理、开发、储存等功能，提供多种数据分析、检索引擎，建立不同类型、业务、时空的数据模型，进行数据运营，发掘数据价值，形成数据资产；</w:t>
      </w:r>
    </w:p>
    <w:p>
      <w:pPr>
        <w:spacing w:line="40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3）需为统一门户应用及业务系统提供标准化数据接口，保证应用层面的稳定性、灵活性及可扩展性，简化用户的访问，避免多应用多入口的复杂访问方式；</w:t>
      </w:r>
    </w:p>
    <w:p>
      <w:pPr>
        <w:spacing w:line="40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4）需实现对非结构化数据智能发现与分类、多源头实时采集实时入库、加密高并发海量数据传输、多协议混合采集边缘计算、支持BI数据辅助决策指挥等功能；</w:t>
      </w:r>
    </w:p>
    <w:p>
      <w:pPr>
        <w:spacing w:line="40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5）业务应用集成体系通过融合应用平台与数据运营平台构建。通过本次建设内容融合接入的系统提供标准化数据，提供数据管理、数据服务、数据质量监控、数据二次发掘开发、进而形成数据资产中心，为数据应用提供保障。整合并管理本次建设内容接入的数据集成与消息集成部分的内容，提供统一消息订阅及服务注册服务，提供标准数据，为智能运行中心提供开放的、易扩展的标准接口，实现门诊运营可视化BIM及手术BIM可视化协同管理一张图，实现业务运营、业务协同、环境态势分析、资产态势分析、事件中心、设备全生命周期管理等内容提供服务保障，并能提供满足监测通讯设备的运行状态、设备故障、设备离线、异常监测自动预警上报及一站式报修运维服务；</w:t>
      </w:r>
    </w:p>
    <w:p>
      <w:pPr>
        <w:spacing w:line="40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6）院内导航导诊服务应基于CAD图的室内高精度三维地图数据的所有门、墙体结构等都必须现场实地测绘，与医院医疗服务平台无缝对接，并能结合医院信息系统中的看病流程及医技检查资源，动态对接就诊信息，提供最优路径的诊间导航服务；</w:t>
      </w:r>
    </w:p>
    <w:p>
      <w:pPr>
        <w:spacing w:line="40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7）临床护理体系应紧密围绕“以患者为中心”的核心理念，以优化护理流程、规范护理操作、提高护理效率、提升护理质量、减少医疗差错为目的。借助条码识别技术，基于PDA多种闭环管理，诸如医嘱执行、手标本采集、备血输血等，通过闭环管理，优化业务流程，最大化降低医疗差错；实现“一处录入、多处共享”的信息共享机制，同时提供丰富的知识库如健康宣教单、护理计划单、病情摘要、护理措施、护理诊断等，支持在护理业务执行过程中自动生成相应记录单，从而大大减轻护理人员的工作量，提高了护理人员的工作效率，解放了护理人员的双手。解决护士站到病房最后十米问题，将护理人员的工作时间更多地留给患者，为患者提供更优质的护理服务。提供智能化提醒功能，包括医嘱提醒、待测体征，待评估、记录单待书写、检查检验报告返回等提醒，解放了护士的大脑，真正做到让护理人员轻松工作，同时又消除了人为差错隐患，保障了患者安全。自研结构化护理病历编辑器，满足医院对护理文书自定义扩展需求。</w:t>
      </w:r>
    </w:p>
    <w:p>
      <w:pPr>
        <w:spacing w:line="40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8）护理管理体系应实现护理管理工作中精细化、过程化、规范化、透明化，更好、更快、更准确地进行数据的收集、分析、整改、处理，并及时进行跟踪和反馈，提升护理工作的整体效率以及优质化服务。基于PDCA的护理质量管控，同时支持移动PAD端和PC端。提供护理三级质控检查、院级抽查、专项督导和高风险专项督导等多种质控方式。为提升护理质量检查的及时性，系统提供多种智能工作提醒、限期提醒和手机短信提醒。涵盖护理部、医务科、输血科、药学部等多个主管部门的不良事件管理，包括不良事件监测、不良事件上报、不良事件审核、不良事件分析整改、不良事件跟踪评价等业务管理功能，以及鱼骨图及其它图形分析、不良事件分类统计、不良事件各科室月度环比、不量事件各科室月度同比等统计分析。能够时间轴显示不良事件处理过程，具有异常事件决策树。无需手工收集、汇总数据，各项数据在业务过程中自动采集，自动汇总。融合三甲医院最佳管理实践自动生成各项报告，包括鱼骨图、柏拉图、柱状图、直线图、环状图等各种图形、图标，为领导科学决策提供依据。</w:t>
      </w:r>
    </w:p>
    <w:p>
      <w:pPr>
        <w:spacing w:line="40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9）智慧手术部体系应利用数字化手段对手术室的人员、物资、设备、环境、工作流程等各环节进行重组、优化和干预，实现了术前、术中、术后围术期流程管理的全覆盖。应运用物联网及5G技术，将手术室的环境、设备、人员、事件进行数字化协同管理，构建"以患者为中心"的服务理念, 保证患者安全,提高护士的工作效率。通过高质量手术数据采集和应用，并集中控制相关设施提高安全与效率，重构以医护人员为中心的人员管理、手术排程；应运用物联网技术，优化手术患者、护工、设备管理以及围术期整体护理的流程安全闭环，让手术护理质量管理、标本管理、输血管理标准化、无纸化、数字化，重构手术护理业务的流程优化；构建全数字化的手术安全核查；手术协同呼叫、家属关怀、病理标本确认；4K数字化手术室的影像信号可以通过光纤无损无延时传输到示教室、报告厅专业示教场所，并可通过医院局域网传输至各科室、主任/医生办公室及其他院区相关场所，通过无损高质量影像开展手术远程指导、手术示教系统，构建高品质的手术围术期术前、术中、术后的应用协同形成手术室及受控空间的数字化高效协作；</w:t>
      </w:r>
    </w:p>
    <w:p>
      <w:pPr>
        <w:spacing w:line="40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10）医疗物联网体系应避免传统碎片化医疗物联网应用的建设方式，采用灵活扩展、开放的建设原则，将医疗物联网技术进行统一接入和管理，建立医疗物联网服务能力层，在满足本次建设婴儿防盗、医疗设备管理、无线冷链管理、患者体征监测的基础上，应能提供给所有的医疗物联网应用使用，满足医院未来扩展和部署更多的医疗物联网应用；（说明：投标人应按招标文件要求提供承诺函。）</w:t>
      </w:r>
    </w:p>
    <w:p>
      <w:pPr>
        <w:pBdr>
          <w:bottom w:val="single" w:color="auto" w:sz="4" w:space="1"/>
        </w:pBdr>
        <w:spacing w:before="395" w:beforeLines="100"/>
        <w:ind w:left="420" w:hanging="420"/>
        <w:rPr>
          <w:rFonts w:cs="宋体" w:asciiTheme="minorEastAsia" w:hAnsiTheme="minorEastAsia" w:eastAsiaTheme="minorEastAsia"/>
          <w:b/>
        </w:rPr>
      </w:pPr>
      <w:r>
        <w:rPr>
          <w:rFonts w:hint="eastAsia" w:cs="宋体" w:asciiTheme="minorEastAsia" w:hAnsiTheme="minorEastAsia" w:eastAsiaTheme="minorEastAsia"/>
          <w:b/>
        </w:rPr>
        <w:t>二、采购内容</w:t>
      </w:r>
    </w:p>
    <w:tbl>
      <w:tblPr>
        <w:tblStyle w:val="36"/>
        <w:tblW w:w="8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578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1.智慧医院运营协同平台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智慧医院运营协同平台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2.院内导航导诊服务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2.1</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院内导航导诊服务</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2.2</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智能导医机器人</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3.移动医护系统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3.1临床护理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3.1.1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移动护理系统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3.1.2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结构化护理病历系统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3.1.3</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移动护理PDA终端</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3.2移动查房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3.2.1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移动医生查房系统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3.2.2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移动查房平板电脑</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3.3护理管理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护理质控管理系统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护理医疗安全不良事件上报系统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3.3.3</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药品不良反应报告与管理系统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3.3.4</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医疗器械不良事件报告与管理系统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3.3.5</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护理人员档案管理系统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3.3.6</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护理排班管理系统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3.3.7</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护理满意度调查系统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3.3.8</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护士长工作手册系统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3.3.9</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护理部工作手册系统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3.3.10</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护理敏感指标管理系统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3.3.11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护理助手系统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3.3.12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护患通系统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4.围术期管理系统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restart"/>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手术患者家属等候区公告系统</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交互大屏（等候区公告）</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restart"/>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手术排班协同公告系统</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交互大屏（手术排班协同公告）</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restart"/>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4.3</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手术过程交互系统</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手术间门口嵌入信息屏一体机（含安装套件）</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restart"/>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4.4</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手术室护士站集中交互管理系统</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护士站显示大屏</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护士工作站</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restart"/>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4.5</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手术室医护协同系统</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手术室协同终端</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医疗病理标本专用摄像机</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联网门禁套装</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r>
              <w:rPr>
                <w:rFonts w:cs="Calibri" w:asciiTheme="minorEastAsia" w:hAnsiTheme="minorEastAsia" w:eastAsiaTheme="minorEastAsia"/>
                <w:color w:val="000000"/>
              </w:rPr>
              <w:t xml:space="preserve"> </w:t>
            </w:r>
            <w:r>
              <w:rPr>
                <w:rFonts w:hint="eastAsia" w:cs="宋体" w:asciiTheme="minorEastAsia" w:hAnsiTheme="minorEastAsia" w:eastAsiaTheme="minorEastAsia"/>
                <w:color w:val="000000"/>
              </w:rPr>
              <w:t>手术室BIM数字孪生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BIM手术部护士站集中管理系统</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restart"/>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手术室后勤设备在线监测与智能调控系统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医气监测接口</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项</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UPS监测接口</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项</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隔离电源监测接口</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项</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净化空调监测接口</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项</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重点房间环境监测终端</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压差监测终端</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尘埃粒子监测终端</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智能边缘运算采集终端</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数据采集箱</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6.手术行为管理系统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restart"/>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手术行为管理系统管理软件</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智能发衣机</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智能衣服回收机</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智能更衣柜控制柜（主柜）</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智能衣柜（辅柜）（三列单层）</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智能衣柜（辅柜）（三列双层）</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智能发鞋机</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智能拖鞋回收机</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智能鞋柜控制柜（主柜）</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智能鞋柜（辅柜）（十层）</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矮凳柜</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行为管理端</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行为PC工作站</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信息公告显示屏</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RFID标签</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restart"/>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手术资源管理系统</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物联网网关（RFID+蓝牙）</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定位信标</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高端医疗设备特殊标签</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患者智能手环</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continue"/>
            <w:vAlign w:val="center"/>
          </w:tcPr>
          <w:p>
            <w:pPr>
              <w:rPr>
                <w:rFonts w:cs="宋体" w:asciiTheme="minorEastAsia" w:hAnsiTheme="minorEastAsia" w:eastAsiaTheme="minorEastAsia"/>
                <w:color w:val="000000"/>
              </w:rPr>
            </w:pP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智能工作手环</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7.手术示教系统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7.1报告厅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数字手术科教系统</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示教工作站</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报告厅4K无损超高清手术影像终端</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手术室专用4K高清全景摄像机</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7.2手术室示教室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数字手术科教系统</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示教工作站</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手术室示教室4K无损超高清手术影像终端</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手术室专用4K高清全景摄像机</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4K显示系统（含安装套件）</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专业音箱</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专业功放</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无线话筒</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调音台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音频处理器</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抑制器</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电源时序控制器</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示教室综合布线</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批</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14</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网络机柜</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7.3手术示教管理系统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手术影像资源管理系统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4K超高清示教终端</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移动端应用</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点</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4K无损超高清手术影像终端</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8.数字化手术室系统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8.1数字化手术室集中管理系统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中心管理系统基础模块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医疗系统中间接口管理系统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数字化手术室集中管理系统互联</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8.2 4K数字化手术室（腔镜间*2间、骨科*1间）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序号</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名称</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单位</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智慧手术交互显示终端</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4K医用显示系统（吊臂安装）</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医用吊臂（显示）</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4K无损超高清手术影像终端</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5</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手术室无线麦克风</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音频处理终端</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7</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吸顶扬声器</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只</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8</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手术室专用4K高清全景摄像机</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9</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4K术野摄像机</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10</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医用吊臂（显示+术野）</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11</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数字化手术控制系统</w:t>
            </w:r>
          </w:p>
        </w:tc>
        <w:tc>
          <w:tcPr>
            <w:tcW w:w="1020" w:type="dxa"/>
            <w:shd w:val="clear" w:color="000000" w:fill="FFFFFF"/>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1020" w:type="dxa"/>
            <w:shd w:val="clear" w:color="000000" w:fill="FFFFFF"/>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12</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智能数字化手术室软件系统</w:t>
            </w:r>
          </w:p>
        </w:tc>
        <w:tc>
          <w:tcPr>
            <w:tcW w:w="1020" w:type="dxa"/>
            <w:shd w:val="clear" w:color="000000" w:fill="FFFFFF"/>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1020" w:type="dxa"/>
            <w:shd w:val="clear" w:color="000000" w:fill="FFFFFF"/>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13</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术中患者医疗数据及影像数据交互集成系统</w:t>
            </w:r>
          </w:p>
        </w:tc>
        <w:tc>
          <w:tcPr>
            <w:tcW w:w="1020" w:type="dxa"/>
            <w:shd w:val="clear" w:color="000000" w:fill="FFFFFF"/>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1020" w:type="dxa"/>
            <w:shd w:val="clear" w:color="000000" w:fill="FFFFFF"/>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14</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灯光控制系统</w:t>
            </w:r>
          </w:p>
        </w:tc>
        <w:tc>
          <w:tcPr>
            <w:tcW w:w="1020" w:type="dxa"/>
            <w:shd w:val="clear" w:color="000000" w:fill="FFFFFF"/>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1020" w:type="dxa"/>
            <w:shd w:val="clear" w:color="000000" w:fill="FFFFFF"/>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15</w:t>
            </w:r>
          </w:p>
        </w:tc>
        <w:tc>
          <w:tcPr>
            <w:tcW w:w="5780" w:type="dxa"/>
            <w:shd w:val="clear" w:color="000000" w:fill="FFFFFF"/>
            <w:noWrap/>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4K手术室综合布线（含设备安装、系统调试）</w:t>
            </w:r>
          </w:p>
        </w:tc>
        <w:tc>
          <w:tcPr>
            <w:tcW w:w="1020" w:type="dxa"/>
            <w:shd w:val="clear" w:color="000000" w:fill="FFFFFF"/>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批</w:t>
            </w:r>
          </w:p>
        </w:tc>
        <w:tc>
          <w:tcPr>
            <w:tcW w:w="1020" w:type="dxa"/>
            <w:shd w:val="clear" w:color="000000" w:fill="FFFFFF"/>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8.3 数字化手术室布线预留-（2间）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数字化手术室布线预留</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项</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9.信息化手术室系统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术中患者医疗数据及影像数据交互集成系统</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触摸显示大屏（含OPS电脑）</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9.3</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显示屏嵌入式套件</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10.医疗物联网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10.1物联网集成平台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10.1.1</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物联网集成平台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10.1.2</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定位引擎及地图引擎</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10.2婴儿防盗系统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10.2.1</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婴儿防盗系统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10.3体征监测系统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10.3.1</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体征监测系统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10.4冷链管理系统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10.4.1</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冷链管理系统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10.5高值医疗设备管理系统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10.5.1</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高值医疗设备管理系统</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10.6物联网基础网络硬件设备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物联网基站（LORAWAN）</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物联网网关（RFID+蓝牙）</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室内定位信标</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室外定位信标</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汇聚交换机</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24口POE接入交换机</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台</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万兆单模光模块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千兆单模光模块</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婴儿定位脚环</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婴儿脚环专用腕带</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条</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充电储存盒</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声光报警器</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定位标签</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14</w:t>
            </w:r>
          </w:p>
        </w:tc>
        <w:tc>
          <w:tcPr>
            <w:tcW w:w="578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高值医疗设备标签</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15</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冷链监测终端-单路</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16</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冷链监测终端-双路</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17</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电子体温计</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18</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电子体温计背胶</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19</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智能床垫</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20</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无线血压计</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21</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无线血氧仪</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40" w:type="dxa"/>
            <w:gridSpan w:val="4"/>
            <w:shd w:val="clear" w:color="000000" w:fill="FFFFFF"/>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10.7 物联网基础网络综合布线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六类非屏蔽网线</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米</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光纤配线架</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套</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数据配线架</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光纤跳线LC-LC</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条</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理线器</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个</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六类水晶头</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盒</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578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综合布线实施</w:t>
            </w:r>
          </w:p>
        </w:tc>
        <w:tc>
          <w:tcPr>
            <w:tcW w:w="1020"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项</w:t>
            </w:r>
          </w:p>
        </w:tc>
        <w:tc>
          <w:tcPr>
            <w:tcW w:w="1020"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r>
    </w:tbl>
    <w:p>
      <w:pPr>
        <w:rPr>
          <w:rFonts w:cs="宋体" w:asciiTheme="minorEastAsia" w:hAnsiTheme="minorEastAsia" w:eastAsiaTheme="minorEastAsia"/>
        </w:rPr>
      </w:pPr>
    </w:p>
    <w:p>
      <w:pPr>
        <w:pStyle w:val="137"/>
        <w:ind w:firstLine="497"/>
        <w:rPr>
          <w:rFonts w:asciiTheme="minorEastAsia" w:hAnsiTheme="minorEastAsia" w:eastAsiaTheme="minorEastAsia"/>
          <w:sz w:val="24"/>
          <w:szCs w:val="24"/>
        </w:rPr>
      </w:pPr>
    </w:p>
    <w:p>
      <w:pPr>
        <w:pStyle w:val="137"/>
        <w:ind w:firstLine="497"/>
        <w:rPr>
          <w:rFonts w:asciiTheme="minorEastAsia" w:hAnsiTheme="minorEastAsia" w:eastAsiaTheme="minorEastAsia"/>
          <w:sz w:val="24"/>
          <w:szCs w:val="24"/>
        </w:rPr>
      </w:pPr>
    </w:p>
    <w:p>
      <w:pPr>
        <w:pStyle w:val="137"/>
        <w:ind w:firstLine="497"/>
        <w:rPr>
          <w:rFonts w:asciiTheme="minorEastAsia" w:hAnsiTheme="minorEastAsia" w:eastAsiaTheme="minorEastAsia"/>
          <w:sz w:val="24"/>
          <w:szCs w:val="24"/>
        </w:rPr>
      </w:pPr>
    </w:p>
    <w:p>
      <w:pPr>
        <w:pStyle w:val="137"/>
        <w:ind w:firstLine="497"/>
        <w:rPr>
          <w:rFonts w:asciiTheme="minorEastAsia" w:hAnsiTheme="minorEastAsia" w:eastAsiaTheme="minorEastAsia"/>
          <w:sz w:val="24"/>
          <w:szCs w:val="24"/>
        </w:rPr>
      </w:pPr>
    </w:p>
    <w:p>
      <w:pPr>
        <w:pStyle w:val="137"/>
        <w:ind w:firstLine="497"/>
        <w:rPr>
          <w:rFonts w:asciiTheme="minorEastAsia" w:hAnsiTheme="minorEastAsia" w:eastAsiaTheme="minorEastAsia"/>
          <w:sz w:val="24"/>
          <w:szCs w:val="24"/>
        </w:rPr>
      </w:pPr>
    </w:p>
    <w:p>
      <w:pPr>
        <w:pStyle w:val="137"/>
        <w:ind w:firstLine="497"/>
        <w:rPr>
          <w:rFonts w:asciiTheme="minorEastAsia" w:hAnsiTheme="minorEastAsia" w:eastAsiaTheme="minorEastAsia"/>
          <w:sz w:val="24"/>
          <w:szCs w:val="24"/>
        </w:rPr>
      </w:pPr>
    </w:p>
    <w:p>
      <w:pPr>
        <w:pStyle w:val="137"/>
        <w:ind w:firstLine="497"/>
        <w:rPr>
          <w:rFonts w:asciiTheme="minorEastAsia" w:hAnsiTheme="minorEastAsia" w:eastAsiaTheme="minorEastAsia"/>
          <w:sz w:val="24"/>
          <w:szCs w:val="24"/>
        </w:rPr>
      </w:pPr>
    </w:p>
    <w:p>
      <w:pPr>
        <w:pStyle w:val="137"/>
        <w:ind w:firstLine="497"/>
        <w:rPr>
          <w:rFonts w:asciiTheme="minorEastAsia" w:hAnsiTheme="minorEastAsia" w:eastAsiaTheme="minorEastAsia"/>
          <w:sz w:val="24"/>
          <w:szCs w:val="24"/>
        </w:rPr>
      </w:pPr>
    </w:p>
    <w:p>
      <w:pPr>
        <w:pStyle w:val="137"/>
        <w:ind w:firstLine="497"/>
        <w:rPr>
          <w:rFonts w:asciiTheme="minorEastAsia" w:hAnsiTheme="minorEastAsia" w:eastAsiaTheme="minorEastAsia"/>
          <w:sz w:val="24"/>
          <w:szCs w:val="24"/>
        </w:rPr>
      </w:pPr>
    </w:p>
    <w:p>
      <w:pPr>
        <w:pStyle w:val="137"/>
        <w:ind w:firstLine="497"/>
        <w:rPr>
          <w:rFonts w:asciiTheme="minorEastAsia" w:hAnsiTheme="minorEastAsia" w:eastAsiaTheme="minorEastAsia"/>
          <w:sz w:val="24"/>
          <w:szCs w:val="24"/>
        </w:rPr>
      </w:pPr>
    </w:p>
    <w:p>
      <w:pPr>
        <w:pStyle w:val="137"/>
        <w:ind w:firstLine="497"/>
        <w:rPr>
          <w:rFonts w:asciiTheme="minorEastAsia" w:hAnsiTheme="minorEastAsia" w:eastAsiaTheme="minorEastAsia"/>
          <w:sz w:val="24"/>
          <w:szCs w:val="24"/>
        </w:rPr>
      </w:pPr>
    </w:p>
    <w:p>
      <w:pPr>
        <w:pStyle w:val="137"/>
        <w:ind w:firstLine="497"/>
        <w:rPr>
          <w:rFonts w:asciiTheme="minorEastAsia" w:hAnsiTheme="minorEastAsia" w:eastAsiaTheme="minorEastAsia"/>
          <w:sz w:val="24"/>
          <w:szCs w:val="24"/>
        </w:rPr>
      </w:pPr>
    </w:p>
    <w:p>
      <w:pPr>
        <w:pStyle w:val="137"/>
        <w:ind w:firstLine="497"/>
        <w:rPr>
          <w:rFonts w:asciiTheme="minorEastAsia" w:hAnsiTheme="minorEastAsia" w:eastAsiaTheme="minorEastAsia"/>
          <w:sz w:val="24"/>
          <w:szCs w:val="24"/>
        </w:rPr>
      </w:pPr>
    </w:p>
    <w:p>
      <w:pPr>
        <w:pStyle w:val="137"/>
        <w:ind w:firstLine="0" w:firstLineChars="0"/>
        <w:rPr>
          <w:rFonts w:asciiTheme="minorEastAsia" w:hAnsiTheme="minorEastAsia" w:eastAsiaTheme="minorEastAsia"/>
          <w:sz w:val="24"/>
          <w:szCs w:val="24"/>
        </w:rPr>
      </w:pPr>
    </w:p>
    <w:p>
      <w:pPr>
        <w:pBdr>
          <w:bottom w:val="single" w:color="auto" w:sz="4" w:space="1"/>
        </w:pBdr>
        <w:spacing w:before="395" w:beforeLines="100"/>
        <w:rPr>
          <w:rFonts w:cs="宋体" w:asciiTheme="minorEastAsia" w:hAnsiTheme="minorEastAsia" w:eastAsiaTheme="minorEastAsia"/>
          <w:b/>
        </w:rPr>
      </w:pPr>
      <w:r>
        <w:rPr>
          <w:rFonts w:hint="eastAsia" w:cs="宋体" w:asciiTheme="minorEastAsia" w:hAnsiTheme="minorEastAsia" w:eastAsiaTheme="minorEastAsia"/>
          <w:b/>
        </w:rPr>
        <w:t>三、技术要求</w:t>
      </w:r>
    </w:p>
    <w:p>
      <w:pPr>
        <w:spacing w:line="400" w:lineRule="exact"/>
        <w:rPr>
          <w:rFonts w:cs="宋体" w:asciiTheme="minorEastAsia" w:hAnsiTheme="minorEastAsia" w:eastAsiaTheme="minorEastAsia"/>
          <w:b/>
          <w:bCs/>
        </w:rPr>
      </w:pPr>
      <w:r>
        <w:rPr>
          <w:rFonts w:hint="eastAsia" w:cs="宋体" w:asciiTheme="minorEastAsia" w:hAnsiTheme="minorEastAsia" w:eastAsiaTheme="minorEastAsia"/>
          <w:b/>
          <w:bCs/>
        </w:rPr>
        <w:t>1</w:t>
      </w:r>
      <w:r>
        <w:rPr>
          <w:rFonts w:cs="宋体" w:asciiTheme="minorEastAsia" w:hAnsiTheme="minorEastAsia" w:eastAsiaTheme="minorEastAsia"/>
          <w:b/>
          <w:bCs/>
        </w:rPr>
        <w:t>.</w:t>
      </w:r>
      <w:r>
        <w:rPr>
          <w:rFonts w:hint="eastAsia" w:cs="宋体" w:asciiTheme="minorEastAsia" w:hAnsiTheme="minorEastAsia" w:eastAsiaTheme="minorEastAsia"/>
          <w:b/>
          <w:bCs/>
        </w:rPr>
        <w:t>智慧医院运营协同平台</w:t>
      </w:r>
    </w:p>
    <w:tbl>
      <w:tblPr>
        <w:tblStyle w:val="36"/>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6247"/>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1134"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6247"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661"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1" w:hRule="atLeast"/>
        </w:trPr>
        <w:tc>
          <w:tcPr>
            <w:tcW w:w="675"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1134"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平台架构</w:t>
            </w:r>
          </w:p>
        </w:tc>
        <w:tc>
          <w:tcPr>
            <w:tcW w:w="6247" w:type="dxa"/>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1.系统需能充分利用医院现有基础设施、设备、网络等资源，确保全年365天×24小时不间断的运行；</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2.平台需采用B/S架构，基于微服务模式实现统一化治理与负载均衡；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3.平台需提供开放兼容的API接口；</w:t>
            </w:r>
          </w:p>
          <w:p>
            <w:pPr>
              <w:rPr>
                <w:rFonts w:cs="宋体" w:asciiTheme="minorEastAsia" w:hAnsiTheme="minorEastAsia" w:eastAsiaTheme="minorEastAsia"/>
              </w:rPr>
            </w:pPr>
            <w:r>
              <w:rPr>
                <w:rFonts w:cs="宋体" w:asciiTheme="minorEastAsia" w:hAnsiTheme="minorEastAsia" w:eastAsiaTheme="minorEastAsia"/>
                <w:color w:val="000000"/>
              </w:rPr>
              <w:t>4</w:t>
            </w:r>
            <w:r>
              <w:rPr>
                <w:rFonts w:hint="eastAsia" w:cs="宋体" w:asciiTheme="minorEastAsia" w:hAnsiTheme="minorEastAsia" w:eastAsiaTheme="minorEastAsia"/>
                <w:color w:val="000000"/>
              </w:rPr>
              <w:t>.</w:t>
            </w:r>
            <w:r>
              <w:rPr>
                <w:rFonts w:hint="eastAsia" w:cs="宋体" w:asciiTheme="minorEastAsia" w:hAnsiTheme="minorEastAsia" w:eastAsiaTheme="minorEastAsia"/>
              </w:rPr>
              <w:t>数据库需支持Mysql、sql server、Oracle等关系型数据库。支持终端数据，实时数据，推送到手机端，web端无刷新展示。</w:t>
            </w:r>
          </w:p>
          <w:p>
            <w:pPr>
              <w:rPr>
                <w:rFonts w:cs="宋体" w:asciiTheme="minorEastAsia" w:hAnsiTheme="minorEastAsia" w:eastAsiaTheme="minorEastAsia"/>
              </w:rPr>
            </w:pPr>
            <w:r>
              <w:rPr>
                <w:rFonts w:cs="宋体" w:asciiTheme="minorEastAsia" w:hAnsiTheme="minorEastAsia" w:eastAsiaTheme="minorEastAsia"/>
              </w:rPr>
              <w:t>5</w:t>
            </w:r>
            <w:r>
              <w:rPr>
                <w:rFonts w:hint="eastAsia" w:cs="宋体" w:asciiTheme="minorEastAsia" w:hAnsiTheme="minorEastAsia" w:eastAsiaTheme="minorEastAsia"/>
              </w:rPr>
              <w:t>.系统客户端需支持Windows7及以上版本系统，同时支持移动端的功能应用；</w:t>
            </w:r>
          </w:p>
          <w:p>
            <w:pPr>
              <w:rPr>
                <w:rFonts w:cs="宋体" w:asciiTheme="minorEastAsia" w:hAnsiTheme="minorEastAsia" w:eastAsiaTheme="minorEastAsia"/>
              </w:rPr>
            </w:pPr>
            <w:r>
              <w:rPr>
                <w:rFonts w:cs="宋体" w:asciiTheme="minorEastAsia" w:hAnsiTheme="minorEastAsia" w:eastAsiaTheme="minorEastAsia"/>
              </w:rPr>
              <w:t>6</w:t>
            </w:r>
            <w:r>
              <w:rPr>
                <w:rFonts w:hint="eastAsia" w:cs="宋体" w:asciiTheme="minorEastAsia" w:hAnsiTheme="minorEastAsia" w:eastAsiaTheme="minorEastAsia"/>
              </w:rPr>
              <w:t>.平台与医院大平台全部基于一套标准基础数据字典，包括人员，角色，科室，建筑，设备、组织架构，避免出现多账号，实现多系统无缝融合；</w:t>
            </w:r>
          </w:p>
          <w:p>
            <w:pPr>
              <w:rPr>
                <w:rFonts w:cs="宋体" w:asciiTheme="minorEastAsia" w:hAnsiTheme="minorEastAsia" w:eastAsiaTheme="minorEastAsia"/>
              </w:rPr>
            </w:pPr>
            <w:r>
              <w:rPr>
                <w:rFonts w:cs="宋体" w:asciiTheme="minorEastAsia" w:hAnsiTheme="minorEastAsia" w:eastAsiaTheme="minorEastAsia"/>
              </w:rPr>
              <w:t>7</w:t>
            </w:r>
            <w:r>
              <w:rPr>
                <w:rFonts w:hint="eastAsia" w:cs="宋体" w:asciiTheme="minorEastAsia" w:hAnsiTheme="minorEastAsia" w:eastAsiaTheme="minorEastAsia"/>
              </w:rPr>
              <w:t>.平台能融于医院现有的信息系统，与HIS、LIS、PACS、EMR、手麻、短信平台融合对接；</w:t>
            </w:r>
          </w:p>
          <w:p>
            <w:pPr>
              <w:rPr>
                <w:rFonts w:cs="宋体" w:asciiTheme="minorEastAsia" w:hAnsiTheme="minorEastAsia" w:eastAsiaTheme="minorEastAsia"/>
              </w:rPr>
            </w:pPr>
            <w:r>
              <w:rPr>
                <w:rFonts w:cs="宋体" w:asciiTheme="minorEastAsia" w:hAnsiTheme="minorEastAsia" w:eastAsiaTheme="minorEastAsia"/>
              </w:rPr>
              <w:t>8</w:t>
            </w:r>
            <w:r>
              <w:rPr>
                <w:rFonts w:hint="eastAsia" w:cs="宋体" w:asciiTheme="minorEastAsia" w:hAnsiTheme="minorEastAsia" w:eastAsiaTheme="minorEastAsia"/>
              </w:rPr>
              <w:t>.平台需支持能耗审计，自动生成审计报告；</w:t>
            </w:r>
          </w:p>
          <w:p>
            <w:pPr>
              <w:rPr>
                <w:rFonts w:cs="宋体" w:asciiTheme="minorEastAsia" w:hAnsiTheme="minorEastAsia" w:eastAsiaTheme="minorEastAsia"/>
              </w:rPr>
            </w:pPr>
            <w:r>
              <w:rPr>
                <w:rFonts w:cs="宋体" w:asciiTheme="minorEastAsia" w:hAnsiTheme="minorEastAsia" w:eastAsiaTheme="minorEastAsia"/>
              </w:rPr>
              <w:t>9</w:t>
            </w:r>
            <w:r>
              <w:rPr>
                <w:rFonts w:hint="eastAsia" w:cs="宋体" w:asciiTheme="minorEastAsia" w:hAnsiTheme="minorEastAsia" w:eastAsiaTheme="minorEastAsia"/>
              </w:rPr>
              <w:t>.平台需支持能耗补偿功能，可进行能耗数据的预处理、补偿、校准等；</w:t>
            </w:r>
          </w:p>
          <w:p>
            <w:pPr>
              <w:rPr>
                <w:rFonts w:cs="宋体" w:asciiTheme="minorEastAsia" w:hAnsiTheme="minorEastAsia" w:eastAsiaTheme="minorEastAsia"/>
              </w:rPr>
            </w:pPr>
            <w:r>
              <w:rPr>
                <w:rFonts w:hint="eastAsia" w:cs="宋体" w:asciiTheme="minorEastAsia" w:hAnsiTheme="minorEastAsia" w:eastAsiaTheme="minorEastAsia"/>
              </w:rPr>
              <w:t>1</w:t>
            </w:r>
            <w:r>
              <w:rPr>
                <w:rFonts w:cs="宋体" w:asciiTheme="minorEastAsia" w:hAnsiTheme="minorEastAsia" w:eastAsiaTheme="minorEastAsia"/>
              </w:rPr>
              <w:t>0</w:t>
            </w:r>
            <w:r>
              <w:rPr>
                <w:rFonts w:hint="eastAsia" w:cs="宋体" w:asciiTheme="minorEastAsia" w:hAnsiTheme="minorEastAsia" w:eastAsiaTheme="minorEastAsia"/>
              </w:rPr>
              <w:t xml:space="preserve">.系统需支持高度可扩展性；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1</w:t>
            </w:r>
            <w:r>
              <w:rPr>
                <w:rFonts w:hint="eastAsia" w:cs="宋体" w:asciiTheme="minorEastAsia" w:hAnsiTheme="minorEastAsia" w:eastAsiaTheme="minorEastAsia"/>
                <w:color w:val="000000"/>
              </w:rPr>
              <w:t>.系统需保证与我国现行的有关法律、法规、规章制度相一致，并能满足各级医疗机构和各级卫生行政部门对信息的要求，并符合各上级部门医疗规范要求。</w:t>
            </w:r>
          </w:p>
        </w:tc>
        <w:tc>
          <w:tcPr>
            <w:tcW w:w="661" w:type="dxa"/>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1" w:hRule="atLeast"/>
        </w:trPr>
        <w:tc>
          <w:tcPr>
            <w:tcW w:w="675"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1134"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本次相关建设范围内的基础运维平台</w:t>
            </w:r>
          </w:p>
        </w:tc>
        <w:tc>
          <w:tcPr>
            <w:tcW w:w="6247" w:type="dxa"/>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平台对接与本次相关建设范围内的建筑信息维护包括但不限于建筑楼层面积，所属部门、空间大小，平面图、剖面图等；部门管理，部门所在建筑管理；角色权限管理、用户管理、规则设置、审批流程自定义设置、日志管理、建筑维护。</w:t>
            </w:r>
          </w:p>
          <w:p>
            <w:pPr>
              <w:rPr>
                <w:rFonts w:cs="宋体" w:asciiTheme="minorEastAsia" w:hAnsiTheme="minorEastAsia" w:eastAsiaTheme="minorEastAsia"/>
              </w:rPr>
            </w:pPr>
            <w:r>
              <w:rPr>
                <w:rFonts w:hint="eastAsia" w:cs="宋体" w:asciiTheme="minorEastAsia" w:hAnsiTheme="minorEastAsia" w:eastAsiaTheme="minorEastAsia"/>
                <w:color w:val="000000"/>
              </w:rPr>
              <w:t>2.审批流程设置支持灵活配置各种审批场景，满足各种审批需求；预警和参数规则配置支持不同场景不同需求的预警阈值及任意参数规则设置，灵活配置系统的不同预警</w:t>
            </w:r>
            <w:r>
              <w:rPr>
                <w:rFonts w:hint="eastAsia" w:cs="宋体" w:asciiTheme="minorEastAsia" w:hAnsiTheme="minorEastAsia" w:eastAsiaTheme="minorEastAsia"/>
              </w:rPr>
              <w:t>情况和规则情况。</w:t>
            </w:r>
          </w:p>
          <w:p>
            <w:pPr>
              <w:rPr>
                <w:rFonts w:cs="宋体" w:asciiTheme="minorEastAsia" w:hAnsiTheme="minorEastAsia" w:eastAsiaTheme="minorEastAsia"/>
              </w:rPr>
            </w:pPr>
            <w:r>
              <w:rPr>
                <w:rFonts w:hint="eastAsia" w:cs="宋体" w:asciiTheme="minorEastAsia" w:hAnsiTheme="minorEastAsia" w:eastAsiaTheme="minorEastAsia"/>
              </w:rPr>
              <w:t>3.平台支持配置功能的维护，菜单管理、字典管理、系统版本管理等。</w:t>
            </w:r>
          </w:p>
          <w:p>
            <w:pPr>
              <w:rPr>
                <w:rFonts w:cs="宋体" w:asciiTheme="minorEastAsia" w:hAnsiTheme="minorEastAsia" w:eastAsiaTheme="minorEastAsia"/>
              </w:rPr>
            </w:pPr>
            <w:r>
              <w:rPr>
                <w:rFonts w:hint="eastAsia" w:cs="宋体" w:asciiTheme="minorEastAsia" w:hAnsiTheme="minorEastAsia" w:eastAsiaTheme="minorEastAsia"/>
              </w:rPr>
              <w:t>4.系统要求统一平台框架、统一数据库架构管理，数据库设计支持高并发管理，智能化设备运行及故障在线监测系统要求支持实时数据库机制。</w:t>
            </w:r>
          </w:p>
          <w:p>
            <w:pPr>
              <w:rPr>
                <w:rFonts w:cs="宋体" w:asciiTheme="minorEastAsia" w:hAnsiTheme="minorEastAsia" w:eastAsiaTheme="minorEastAsia"/>
                <w:color w:val="000000"/>
              </w:rPr>
            </w:pPr>
            <w:r>
              <w:rPr>
                <w:rFonts w:hint="eastAsia" w:cs="宋体" w:asciiTheme="minorEastAsia" w:hAnsiTheme="minorEastAsia" w:eastAsiaTheme="minorEastAsia"/>
              </w:rPr>
              <w:t>5.建筑空间维护：平台需支持设备所在建筑位置自定义标注维护。</w:t>
            </w:r>
          </w:p>
        </w:tc>
        <w:tc>
          <w:tcPr>
            <w:tcW w:w="661"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75"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1134"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医院信息采集系统接口对接</w:t>
            </w:r>
          </w:p>
        </w:tc>
        <w:tc>
          <w:tcPr>
            <w:tcW w:w="6247" w:type="dxa"/>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需对接医院信息采集系统</w:t>
            </w:r>
          </w:p>
        </w:tc>
        <w:tc>
          <w:tcPr>
            <w:tcW w:w="661"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2" w:hRule="atLeast"/>
        </w:trPr>
        <w:tc>
          <w:tcPr>
            <w:tcW w:w="675"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1134"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智慧医院协同运营业务中台</w:t>
            </w:r>
          </w:p>
        </w:tc>
        <w:tc>
          <w:tcPr>
            <w:tcW w:w="6247" w:type="dxa"/>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1.实现对非结构化数据智能发现与分类、多源头实时采集实时入库、加密高并发海量数据传输、多协议混合采集边缘计算、BI数据辅助决策指挥等功能；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2.业务中台通过融合集成平台与数据运营平台构建：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1）融合应用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包括数据集成部分和消息集成两个部分：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（1）数据集成部分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支持对接医院信息化系统数据，进行医疗系统中间件接口管理，例如：HIS、LIS、PACS、EMR、手麻系统；</w:t>
            </w:r>
          </w:p>
          <w:p>
            <w:pPr>
              <w:rPr>
                <w:rFonts w:cs="宋体" w:asciiTheme="minorEastAsia" w:hAnsiTheme="minorEastAsia" w:eastAsiaTheme="minorEastAsia"/>
              </w:rPr>
            </w:pPr>
            <w:r>
              <w:rPr>
                <w:rFonts w:hint="eastAsia" w:cs="宋体" w:asciiTheme="minorEastAsia" w:hAnsiTheme="minorEastAsia" w:eastAsiaTheme="minorEastAsia"/>
                <w:color w:val="000000"/>
              </w:rPr>
              <w:t>支持物联网IOT设备子系统接口对接，支持对接本次建设内容智慧手术部中洁净空调管理、隔离电源管理、医用气体管理、UPS管理、能耗管理、环境管控（包含温湿度、PM2.5、压差、尘埃粒子）相关机电设施的在线监测管理及预警运维体系；提供满足终端模块数据采集上传清洗功</w:t>
            </w:r>
            <w:r>
              <w:rPr>
                <w:rFonts w:hint="eastAsia" w:cs="宋体" w:asciiTheme="minorEastAsia" w:hAnsiTheme="minorEastAsia" w:eastAsiaTheme="minorEastAsia"/>
              </w:rPr>
              <w:t>能。支持对监测通讯设备的运行状态、设备故障、设备离线、异常监测自动预警上报功能，能够根据排班自动派单，催单及一站式报修运维服务。</w:t>
            </w:r>
          </w:p>
          <w:p>
            <w:pPr>
              <w:rPr>
                <w:rFonts w:cs="宋体" w:asciiTheme="minorEastAsia" w:hAnsiTheme="minorEastAsia" w:eastAsiaTheme="minorEastAsia"/>
              </w:rPr>
            </w:pPr>
            <w:r>
              <w:rPr>
                <w:rFonts w:hint="eastAsia" w:cs="宋体" w:asciiTheme="minorEastAsia" w:hAnsiTheme="minorEastAsia" w:eastAsiaTheme="minorEastAsia"/>
              </w:rPr>
              <w:t>平台支持终端模块数据采集上传清洗功能。</w:t>
            </w:r>
          </w:p>
          <w:p>
            <w:pPr>
              <w:rPr>
                <w:rFonts w:cs="宋体" w:asciiTheme="minorEastAsia" w:hAnsiTheme="minorEastAsia" w:eastAsiaTheme="minorEastAsia"/>
              </w:rPr>
            </w:pPr>
            <w:r>
              <w:rPr>
                <w:rFonts w:hint="eastAsia" w:cs="宋体" w:asciiTheme="minorEastAsia" w:hAnsiTheme="minorEastAsia" w:eastAsiaTheme="minorEastAsia"/>
              </w:rPr>
              <w:t>（2）消息集成部分</w:t>
            </w:r>
          </w:p>
          <w:p>
            <w:pPr>
              <w:rPr>
                <w:rFonts w:cs="宋体" w:asciiTheme="minorEastAsia" w:hAnsiTheme="minorEastAsia" w:eastAsiaTheme="minorEastAsia"/>
              </w:rPr>
            </w:pPr>
            <w:r>
              <w:rPr>
                <w:rFonts w:hint="eastAsia" w:cs="宋体" w:asciiTheme="minorEastAsia" w:hAnsiTheme="minorEastAsia" w:eastAsiaTheme="minorEastAsia"/>
              </w:rPr>
              <w:t>支持对接应用子系统、物联网IOT设备子系统、位置信息等消息的标准化处理；</w:t>
            </w:r>
          </w:p>
          <w:p>
            <w:pPr>
              <w:rPr>
                <w:rFonts w:cs="宋体" w:asciiTheme="minorEastAsia" w:hAnsiTheme="minorEastAsia" w:eastAsiaTheme="minorEastAsia"/>
              </w:rPr>
            </w:pPr>
            <w:r>
              <w:rPr>
                <w:rFonts w:hint="eastAsia" w:cs="宋体" w:asciiTheme="minorEastAsia" w:hAnsiTheme="minorEastAsia" w:eastAsiaTheme="minorEastAsia"/>
              </w:rPr>
              <w:t>能提供满足监测通讯设备的运行状态、设备故障、设备离线、异常监测自动预警上报及一站式报修运维服务。</w:t>
            </w:r>
          </w:p>
          <w:p>
            <w:pPr>
              <w:rPr>
                <w:rFonts w:cs="宋体" w:asciiTheme="minorEastAsia" w:hAnsiTheme="minorEastAsia" w:eastAsiaTheme="minorEastAsia"/>
              </w:rPr>
            </w:pPr>
            <w:r>
              <w:rPr>
                <w:rFonts w:hint="eastAsia" w:cs="宋体" w:asciiTheme="minorEastAsia" w:hAnsiTheme="minorEastAsia" w:eastAsiaTheme="minorEastAsia"/>
              </w:rPr>
              <w:t>2）服务集成部分</w:t>
            </w:r>
          </w:p>
          <w:p>
            <w:pPr>
              <w:rPr>
                <w:rFonts w:cs="宋体" w:asciiTheme="minorEastAsia" w:hAnsiTheme="minorEastAsia" w:eastAsiaTheme="minorEastAsia"/>
                <w:color w:val="000000"/>
              </w:rPr>
            </w:pPr>
            <w:r>
              <w:rPr>
                <w:rFonts w:hint="eastAsia" w:cs="宋体" w:asciiTheme="minorEastAsia" w:hAnsiTheme="minorEastAsia" w:eastAsiaTheme="minorEastAsia"/>
              </w:rPr>
              <w:t>整合并管理数据集成与消息集成的内容，提供统一消息订阅及服务注册服务，提供标准数据，为医院运营协同提供开放的、易扩展的标准接口。</w:t>
            </w:r>
          </w:p>
        </w:tc>
        <w:tc>
          <w:tcPr>
            <w:tcW w:w="661"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0" w:hRule="atLeast"/>
        </w:trPr>
        <w:tc>
          <w:tcPr>
            <w:tcW w:w="675"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1134"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数据交互统一管理系统</w:t>
            </w:r>
          </w:p>
        </w:tc>
        <w:tc>
          <w:tcPr>
            <w:tcW w:w="6247" w:type="dxa"/>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1.具有本次建设内容的数据融合接入能力，“以平台为中心”的建设思路，需实现底层终端设备、应用系统、视频监控系统、位置信息、医疗业务数据等标准化接入，进行数据交换统一管理；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2.需实现本次建设内容接入数据的治理、流转、分发、管理、开发、储存等功能，提供多种数据分析、检索引擎，建立不同类型、业务、时空的数据模型，进行数据运营，发掘数据价值，形成数据资产；</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3.需为统一门户应用及业务系统提供标准化数据接口，保证应用层面的稳定性、灵活性及可扩展性；</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4.需实现对非结构化数据智能发现与分类、多源头实时采集实时入库、加密高并发海量数据传输、多协议混合采集边缘计算、支持BI数据辅助决策指挥等功能；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业务应用集成体系通过融合应用平台与数据运营平台构建。通过本次建设内容融合接入的系统提供标准化数据，提供数据管理、数据服务、数据质量监控、数据二次发掘开发、进而形成数据资产中心，为数据应用提供保障。整合并管理本次建设内容接入的数据集成与消息集成部分的内容，提供统一消息订阅及服务注册服务，提供标准数据，为智能运行中心提供开放的、易扩展的标准接口，实现门诊运营可视化BIM及手术BIM可视化协同管理一张图，实现业务运营、业务协同、环境态势分析、资产态势分析、事件中心、设备全生命周期管理等内容提供服务保障。</w:t>
            </w:r>
          </w:p>
        </w:tc>
        <w:tc>
          <w:tcPr>
            <w:tcW w:w="661"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75"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1134"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可视化BI分析决策系统</w:t>
            </w:r>
          </w:p>
        </w:tc>
        <w:tc>
          <w:tcPr>
            <w:tcW w:w="6247" w:type="dxa"/>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1.能实时对门诊相关数据进行监控和分析，包括但不限于急诊量、就诊人数、平均就诊时长、诊室接诊、诊室收入、趋势变化等；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2.能展示包括但不限于出院人次、入院人次、出院方式分析、平均住院日等指标；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3.能展示住院收入、住院次均费用，住院各科室人次与收入分析；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4.能展示包括但不限于床位数、已占用数、空床数、空床比例等指标，通过对科室的资源和关键业务指标的关联分析，支持行政科室和临床科室合理控制医疗资源的使用；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5.能对包括但不限于当日手术台数、完成情况、完成率、准点开台率、手术排台及利用率、手术医生的百例手术和同类手术分析等指标数据进行实时监控分析。</w:t>
            </w:r>
          </w:p>
        </w:tc>
        <w:tc>
          <w:tcPr>
            <w:tcW w:w="661"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75" w:type="dxa"/>
            <w:shd w:val="clear" w:color="000000" w:fill="FFFFFF"/>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1134" w:type="dxa"/>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软件中间件及统一数据接口服务</w:t>
            </w:r>
          </w:p>
        </w:tc>
        <w:tc>
          <w:tcPr>
            <w:tcW w:w="6247" w:type="dxa"/>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1.医疗系统中间件接口管理系统（HIS、PACS、LIS、EMR、手麻）；</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2.与本次智慧手术部建设范围相关的围术期监测系统中间件接口对接（环境、压差）；</w:t>
            </w:r>
          </w:p>
          <w:p>
            <w:pPr>
              <w:rPr>
                <w:rFonts w:cs="宋体" w:asciiTheme="minorEastAsia" w:hAnsiTheme="minorEastAsia" w:eastAsiaTheme="minorEastAsia"/>
                <w:color w:val="000000"/>
              </w:rPr>
            </w:pPr>
            <w:r>
              <w:rPr>
                <w:rFonts w:hint="eastAsia" w:cs="宋体" w:asciiTheme="minorEastAsia" w:hAnsiTheme="minorEastAsia" w:eastAsiaTheme="minorEastAsia"/>
              </w:rPr>
              <w:t>3. 与本次智慧手术部建设范围相关的机电系统中间件接口对接（医用气体、UPS、隔离电源、净化机组、能耗）；</w:t>
            </w:r>
          </w:p>
        </w:tc>
        <w:tc>
          <w:tcPr>
            <w:tcW w:w="661" w:type="dxa"/>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color w:val="000000"/>
        </w:rPr>
      </w:pPr>
      <w:r>
        <w:rPr>
          <w:rFonts w:hint="eastAsia" w:cs="宋体" w:asciiTheme="minorEastAsia" w:hAnsiTheme="minorEastAsia" w:eastAsiaTheme="minorEastAsia"/>
          <w:b/>
          <w:bCs/>
          <w:color w:val="000000"/>
        </w:rPr>
        <w:t>2</w:t>
      </w:r>
      <w:r>
        <w:rPr>
          <w:rFonts w:cs="宋体" w:asciiTheme="minorEastAsia" w:hAnsiTheme="minorEastAsia" w:eastAsiaTheme="minorEastAsia"/>
          <w:b/>
          <w:bCs/>
          <w:color w:val="000000"/>
        </w:rPr>
        <w:t>.</w:t>
      </w:r>
      <w:r>
        <w:rPr>
          <w:rFonts w:hint="eastAsia" w:cs="宋体" w:asciiTheme="minorEastAsia" w:hAnsiTheme="minorEastAsia" w:eastAsiaTheme="minorEastAsia"/>
          <w:b/>
          <w:bCs/>
          <w:color w:val="000000"/>
        </w:rPr>
        <w:t>院内导航导诊服务</w:t>
      </w:r>
    </w:p>
    <w:p>
      <w:pPr>
        <w:pStyle w:val="137"/>
        <w:ind w:firstLine="0" w:firstLineChars="0"/>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2.1</w:t>
      </w:r>
      <w:r>
        <w:rPr>
          <w:rFonts w:hint="eastAsia" w:cs="宋体" w:asciiTheme="minorEastAsia" w:hAnsiTheme="minorEastAsia" w:eastAsiaTheme="minorEastAsia"/>
          <w:b/>
          <w:bCs/>
          <w:sz w:val="24"/>
          <w:szCs w:val="24"/>
        </w:rPr>
        <w:t>院内导航导诊服务</w:t>
      </w:r>
    </w:p>
    <w:tbl>
      <w:tblPr>
        <w:tblStyle w:val="36"/>
        <w:tblW w:w="51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121"/>
        <w:gridCol w:w="6243"/>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4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57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39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4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室内导航</w:t>
            </w:r>
          </w:p>
        </w:tc>
        <w:tc>
          <w:tcPr>
            <w:tcW w:w="357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要求路线在拐角处支持平滑路线，要求提供门诊楼室内任意两点的室内语音导航；要求提供模拟导航和真实导航两种方式；要求导航软件根据患者当前的位置实时提供语音、文字和图标导航提示，根据患者的当前位置提示患者乘坐扶梯、电梯或楼梯，根据患者当前行走路线和方式进行路线偏离的自适应和修正，并根据患者的当前位置提供导航引导功能；要求在室内语音导航过程中的关键路口提供室内VR实景路口放大图功能，以3D实景的方式引导患者前往目的地就诊；室内语音要求在导航过程中每个转弯提供语音、文字等提醒方式，要求支持室内高精度三维地图随导航朝向旋转，沿线导航精度不低于2米。</w:t>
            </w:r>
          </w:p>
        </w:tc>
        <w:tc>
          <w:tcPr>
            <w:tcW w:w="393"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4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室内外一体化导航</w:t>
            </w:r>
          </w:p>
        </w:tc>
        <w:tc>
          <w:tcPr>
            <w:tcW w:w="357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APP端要求提供从家开始到医院大门，再到院区建筑物楼内科室窗口的无缝一体化导航服务，无需唤起第三方APP应用。提供地铁、自驾、公交等多种出行方式，同时支持院内搜索和院外周边服务搜索，支持从院外到院内再到室内的无缝定位。</w:t>
            </w:r>
          </w:p>
        </w:tc>
        <w:tc>
          <w:tcPr>
            <w:tcW w:w="39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4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室内搜索</w:t>
            </w:r>
          </w:p>
        </w:tc>
        <w:tc>
          <w:tcPr>
            <w:tcW w:w="357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支持室内导航软件可根据患者当前的位置实时提供图像、语音导航引导功能，支持医院室外搜索，用户可搜索医院周边的饭店、超市、酒店等信息。</w:t>
            </w:r>
          </w:p>
        </w:tc>
        <w:tc>
          <w:tcPr>
            <w:tcW w:w="39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4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诊间导航</w:t>
            </w:r>
          </w:p>
        </w:tc>
        <w:tc>
          <w:tcPr>
            <w:tcW w:w="357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与预约系统、导医机器人、医院微信公众号对接，提供根据患者的就诊消息和当前的就诊环节，向患者推送下一步的就诊提示信息，无需患者输入，根据就诊提示信息中的目的地自动引导患者前往科室就诊功能；与HIS系统对接，与医院线下的场景结合，对如自动挂号机、收费窗口等环节打印出来的单据提供目的地二维码，患者手机即扫即导航，从各入口精准定位科室。</w:t>
            </w:r>
          </w:p>
        </w:tc>
        <w:tc>
          <w:tcPr>
            <w:tcW w:w="39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4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手机定位签到</w:t>
            </w:r>
          </w:p>
        </w:tc>
        <w:tc>
          <w:tcPr>
            <w:tcW w:w="357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要求支持手机定位签到功能，当患者到达指定就诊/检验报道区域，打开手机定位签到界面，点击“签到”，可以通过连接我院信息系统，实现非接触式签到/报到功能。</w:t>
            </w:r>
          </w:p>
        </w:tc>
        <w:tc>
          <w:tcPr>
            <w:tcW w:w="39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4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位置分享</w:t>
            </w:r>
          </w:p>
        </w:tc>
        <w:tc>
          <w:tcPr>
            <w:tcW w:w="357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提供室内地图的位置分享功能，亲友、医患/护患之间可通过位置分享功能，一键导航到亲友/护士所在位置，极大方便患者就诊。</w:t>
            </w:r>
          </w:p>
        </w:tc>
        <w:tc>
          <w:tcPr>
            <w:tcW w:w="39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64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全景VR查看</w:t>
            </w:r>
          </w:p>
        </w:tc>
        <w:tc>
          <w:tcPr>
            <w:tcW w:w="357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提供基于全景VR图的实景查看，通过全景VR图，患者可以了解医院环境的真实面貌，准确判断所处环境。</w:t>
            </w:r>
          </w:p>
        </w:tc>
        <w:tc>
          <w:tcPr>
            <w:tcW w:w="39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64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兴趣点点选</w:t>
            </w:r>
          </w:p>
        </w:tc>
        <w:tc>
          <w:tcPr>
            <w:tcW w:w="357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要求用户地图上的兴趣点可点选导航。</w:t>
            </w:r>
          </w:p>
        </w:tc>
        <w:tc>
          <w:tcPr>
            <w:tcW w:w="39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64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指北针</w:t>
            </w:r>
          </w:p>
        </w:tc>
        <w:tc>
          <w:tcPr>
            <w:tcW w:w="357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要求在地图种显示指北针效果，随地图旋转指北针可自动转动。</w:t>
            </w:r>
          </w:p>
        </w:tc>
        <w:tc>
          <w:tcPr>
            <w:tcW w:w="39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64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7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393"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hint="eastAsia" w:cs="宋体" w:asciiTheme="minorEastAsia" w:hAnsiTheme="minorEastAsia" w:eastAsiaTheme="minorEastAsia"/>
          <w:b/>
          <w:bCs/>
        </w:rPr>
        <w:t>2</w:t>
      </w:r>
      <w:r>
        <w:rPr>
          <w:rFonts w:cs="宋体" w:asciiTheme="minorEastAsia" w:hAnsiTheme="minorEastAsia" w:eastAsiaTheme="minorEastAsia"/>
          <w:b/>
          <w:bCs/>
        </w:rPr>
        <w:t>.2</w:t>
      </w:r>
      <w:r>
        <w:rPr>
          <w:rFonts w:hint="eastAsia" w:cs="宋体" w:asciiTheme="minorEastAsia" w:hAnsiTheme="minorEastAsia" w:eastAsiaTheme="minorEastAsia"/>
          <w:b/>
          <w:bCs/>
        </w:rPr>
        <w:t>智能导医机器人</w:t>
      </w:r>
    </w:p>
    <w:p>
      <w:pPr>
        <w:rPr>
          <w:rFonts w:cs="宋体" w:asciiTheme="minorEastAsia" w:hAnsiTheme="minorEastAsia" w:eastAsiaTheme="minorEastAsia"/>
          <w:b/>
          <w:bCs/>
        </w:rPr>
      </w:pPr>
      <w:r>
        <w:rPr>
          <w:rFonts w:hint="eastAsia" w:cs="宋体" w:asciiTheme="minorEastAsia" w:hAnsiTheme="minorEastAsia" w:eastAsiaTheme="minorEastAsia"/>
          <w:b/>
          <w:bCs/>
        </w:rPr>
        <w:t>2</w:t>
      </w:r>
      <w:r>
        <w:rPr>
          <w:rFonts w:cs="宋体" w:asciiTheme="minorEastAsia" w:hAnsiTheme="minorEastAsia" w:eastAsiaTheme="minorEastAsia"/>
          <w:b/>
          <w:bCs/>
        </w:rPr>
        <w:t>.2.1</w:t>
      </w:r>
      <w:r>
        <w:rPr>
          <w:rFonts w:hint="eastAsia" w:cs="宋体" w:asciiTheme="minorEastAsia" w:hAnsiTheme="minorEastAsia" w:eastAsiaTheme="minorEastAsia"/>
          <w:b/>
          <w:bCs/>
        </w:rPr>
        <w:t>智能导医机器人软件功能</w:t>
      </w:r>
    </w:p>
    <w:tbl>
      <w:tblPr>
        <w:tblStyle w:val="36"/>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102"/>
        <w:gridCol w:w="6300"/>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2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59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0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2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导诊接待、人脸识别</w:t>
            </w:r>
          </w:p>
        </w:tc>
        <w:tc>
          <w:tcPr>
            <w:tcW w:w="359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迎宾区域时，主动与患者聊天交流，缓解患者等候办理医疗业务时的焦躁情绪。当人靠近机器人时，机器人主动问候，同时提醒佩戴口罩。</w:t>
            </w:r>
          </w:p>
        </w:tc>
        <w:tc>
          <w:tcPr>
            <w:tcW w:w="407"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2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预检分诊</w:t>
            </w:r>
          </w:p>
        </w:tc>
        <w:tc>
          <w:tcPr>
            <w:tcW w:w="359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内设导诊数据库，根据患者症状描述，直接推荐给患者符合的挂号科室，或患者通过机器人界面端人体图像点击选择症状，推荐给患者符合的挂号科室。</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2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流程查询</w:t>
            </w:r>
          </w:p>
        </w:tc>
        <w:tc>
          <w:tcPr>
            <w:tcW w:w="359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根据医院需求，提供给患者各种流程的查询，便于患者在机器人上实时查询。</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2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健康宣教</w:t>
            </w:r>
          </w:p>
        </w:tc>
        <w:tc>
          <w:tcPr>
            <w:tcW w:w="359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利用语音播报、自主移动、视频播放等智能技术，在患者需要时主动对患者进行健康内容宣教，如提示患者相关疾病预防，术后注意事项等知识。</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2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常见问题回答</w:t>
            </w:r>
          </w:p>
        </w:tc>
        <w:tc>
          <w:tcPr>
            <w:tcW w:w="359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通过提前预设患者看病常见问题的医疗语料资料、社保卡如何使用，智能导医机器人可以通过语音识别、语义理解和机器人大屏显示结合的方式自主解答顾客提出的相关问题。</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36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2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院内导航系统集成</w:t>
            </w:r>
          </w:p>
        </w:tc>
        <w:tc>
          <w:tcPr>
            <w:tcW w:w="359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嵌入3D电子地图，患者可以通过触摸屏查看地图，查询院内地址并获取目的地二维码。</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具备自主带路功能，通过语音与机器人交互，可实现同层带路工作迎宾区域时，机器人需不间断的四处查看等候区域患者情况，如等候人员较多，应主动先去疏导患者，起到疏导患者的功能。</w:t>
            </w:r>
          </w:p>
        </w:tc>
        <w:tc>
          <w:tcPr>
            <w:tcW w:w="407"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hint="eastAsia" w:cs="宋体" w:asciiTheme="minorEastAsia" w:hAnsiTheme="minorEastAsia" w:eastAsiaTheme="minorEastAsia"/>
          <w:b/>
          <w:bCs/>
        </w:rPr>
        <w:t>2</w:t>
      </w:r>
      <w:r>
        <w:rPr>
          <w:rFonts w:cs="宋体" w:asciiTheme="minorEastAsia" w:hAnsiTheme="minorEastAsia" w:eastAsiaTheme="minorEastAsia"/>
          <w:b/>
          <w:bCs/>
        </w:rPr>
        <w:t>.2.2</w:t>
      </w:r>
      <w:r>
        <w:rPr>
          <w:rFonts w:hint="eastAsia" w:cs="宋体" w:asciiTheme="minorEastAsia" w:hAnsiTheme="minorEastAsia" w:eastAsiaTheme="minorEastAsia"/>
          <w:b/>
          <w:bCs/>
        </w:rPr>
        <w:t>智能导医机器人硬件技术参数</w:t>
      </w:r>
    </w:p>
    <w:tbl>
      <w:tblPr>
        <w:tblStyle w:val="36"/>
        <w:tblW w:w="51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91"/>
        <w:gridCol w:w="6299"/>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2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358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技术参数</w:t>
            </w:r>
          </w:p>
        </w:tc>
        <w:tc>
          <w:tcPr>
            <w:tcW w:w="42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0"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cs="宋体" w:asciiTheme="minorEastAsia" w:hAnsiTheme="minorEastAsia" w:eastAsiaTheme="minorEastAsia"/>
                <w:color w:val="000000"/>
              </w:rPr>
              <w:t>1</w:t>
            </w:r>
          </w:p>
        </w:tc>
        <w:tc>
          <w:tcPr>
            <w:tcW w:w="62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智能导医机器人</w:t>
            </w:r>
          </w:p>
        </w:tc>
        <w:tc>
          <w:tcPr>
            <w:tcW w:w="3584"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1.操作系统：Android 5及以上；</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2.基础架构：ARM框架；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3.屏幕：≥13.0英寸；</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4.触摸屏分辨率≥：1920*1080；</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5.运行内存（RAM）：≥4GB，机身存储：≥32GB；</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6.无线网络：支持wifi和4G/5G；</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7.表情屏: ≥7英寸，≥10组表情；</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8.摄像头像素：≥800万；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9.电池类型：锂电池及以上；待机时间6-8小时；电量低于10%时，提示是否自动返回充电，待机充电≥5小时；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10.语音识别、视觉（网络摄像头）、多阵列麦克风,支持360°声源定位；</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11.输入方式：语音，触控；</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12.导航和避障：超声波/激光雷达。</w:t>
            </w:r>
          </w:p>
        </w:tc>
        <w:tc>
          <w:tcPr>
            <w:tcW w:w="42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bl>
    <w:p>
      <w:pPr>
        <w:rPr>
          <w:rFonts w:cs="宋体" w:asciiTheme="minorEastAsia" w:hAnsiTheme="minorEastAsia" w:eastAsiaTheme="minorEastAsia"/>
          <w:b/>
          <w:bCs/>
        </w:rPr>
      </w:pPr>
      <w:r>
        <w:rPr>
          <w:rFonts w:hint="eastAsia" w:cs="宋体" w:asciiTheme="minorEastAsia" w:hAnsiTheme="minorEastAsia" w:eastAsiaTheme="minorEastAsia"/>
          <w:b/>
          <w:bCs/>
        </w:rPr>
        <w:t>3</w:t>
      </w:r>
      <w:r>
        <w:rPr>
          <w:rFonts w:cs="宋体" w:asciiTheme="minorEastAsia" w:hAnsiTheme="minorEastAsia" w:eastAsiaTheme="minorEastAsia"/>
          <w:b/>
          <w:bCs/>
        </w:rPr>
        <w:t>.</w:t>
      </w:r>
      <w:r>
        <w:rPr>
          <w:rFonts w:hint="eastAsia" w:cs="宋体" w:asciiTheme="minorEastAsia" w:hAnsiTheme="minorEastAsia" w:eastAsiaTheme="minorEastAsia"/>
          <w:b/>
          <w:bCs/>
        </w:rPr>
        <w:t>移动医护系统</w:t>
      </w:r>
    </w:p>
    <w:p>
      <w:pPr>
        <w:pStyle w:val="137"/>
        <w:ind w:firstLine="0" w:firstLineChars="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w:t>
      </w:r>
      <w:r>
        <w:rPr>
          <w:rFonts w:cs="宋体" w:asciiTheme="minorEastAsia" w:hAnsiTheme="minorEastAsia" w:eastAsiaTheme="minorEastAsia"/>
          <w:b/>
          <w:bCs/>
          <w:sz w:val="24"/>
          <w:szCs w:val="24"/>
        </w:rPr>
        <w:t>.1</w:t>
      </w:r>
      <w:r>
        <w:rPr>
          <w:rFonts w:hint="eastAsia" w:cs="宋体" w:asciiTheme="minorEastAsia" w:hAnsiTheme="minorEastAsia" w:eastAsiaTheme="minorEastAsia"/>
          <w:b/>
          <w:bCs/>
          <w:sz w:val="24"/>
          <w:szCs w:val="24"/>
        </w:rPr>
        <w:t>护理管理</w:t>
      </w:r>
    </w:p>
    <w:p>
      <w:pPr>
        <w:rPr>
          <w:rFonts w:cs="宋体" w:asciiTheme="minorEastAsia" w:hAnsiTheme="minorEastAsia" w:eastAsiaTheme="minorEastAsia"/>
          <w:b/>
          <w:bCs/>
        </w:rPr>
      </w:pPr>
      <w:r>
        <w:rPr>
          <w:rFonts w:cs="宋体" w:asciiTheme="minorEastAsia" w:hAnsiTheme="minorEastAsia" w:eastAsiaTheme="minorEastAsia"/>
          <w:b/>
          <w:bCs/>
        </w:rPr>
        <w:t>3.1.1</w:t>
      </w:r>
      <w:r>
        <w:rPr>
          <w:rFonts w:hint="eastAsia" w:cs="宋体" w:asciiTheme="minorEastAsia" w:hAnsiTheme="minorEastAsia" w:eastAsiaTheme="minorEastAsia"/>
          <w:b/>
          <w:bCs/>
        </w:rPr>
        <w:t>移动护理系统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57"/>
        <w:gridCol w:w="629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病人信息管理</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病人卡片：展示当前科室在院病人的信息，至少包括病人床号、住院号、姓名、性别、年龄、主治医生、责任护士；支持不同颜色标识护理级别；提供跌倒、坠床、压疮、导管滑脱等高风险标识；提供高温标识；提供过敏药物标识；提供预术和手术标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2．我的病人：支持快速查询我管理的病人。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3．入科管理：支持病人入科操作。</w:t>
            </w:r>
          </w:p>
        </w:tc>
        <w:tc>
          <w:tcPr>
            <w:tcW w:w="414"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扫码核查</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1．病人核对：支持在标本采集、医嘱执行、病房巡视、快速病理、手术核查等业务环节通过扫描患者腕带确认病人身份信息。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2．临床医嘱核对：至少提供医嘱扫码核对、点选核对两种核对功能。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3．检验采样：提供检验标本采集前的安全核对功能。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4．快速病理标本采集：提供快速病理标本采集前的安全核对功能。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5．手术核查：支持手术各环节扫描患者腕带确认患者身份的验证功能。</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智能提醒</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★提供待执行医嘱、测体温提醒、测血压提醒、待巡视提醒、待评估提醒、待宣教提醒。支持≥200ML输液巡视提醒功能。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执行动态</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提供中医治疗类、基础护理类执行计划的生成。</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9"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医嘱管理</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1．医嘱审核：支持医嘱批量审核，具有按全部、长期、临时检索功能。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2．输液医嘱执行：提供医嘱执行功能，并将医嘱执行结果实时反馈至PC端护士站。支持不同颜色区分执行状态，支持自动费用记账功能。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3．皮试校验：至少提供2种皮试校验环节。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4．医嘱核对：提供新开、停止、作废等有变更的医嘱的核对功能。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5．欠费医嘱查询：提供欠费医嘱查询功能，支持按时间段筛选。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6．医嘱本：提供医嘱本查看功能，显示医嘱内容、用量、用法、频率，支持医嘱类型、医嘱状态、开始时间和结束时间检索。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7．未执行医嘱查询：提供未执行医嘱的查询功能，支持按日期检索。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8．分类执行单查询：提供诊疗单、处置单执行情况的查询，支持按医嘱状态查询，支持用法筛选。</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摆药管理</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提供双人摆药核查功能。</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1"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体征管理</w:t>
            </w:r>
          </w:p>
        </w:tc>
        <w:tc>
          <w:tcPr>
            <w:tcW w:w="3599" w:type="pct"/>
            <w:shd w:val="clear" w:color="auto" w:fill="auto"/>
            <w:vAlign w:val="center"/>
          </w:tcPr>
          <w:p>
            <w:pPr>
              <w:rPr>
                <w:rFonts w:cs="宋体" w:asciiTheme="minorEastAsia" w:hAnsiTheme="minorEastAsia" w:eastAsiaTheme="minorEastAsia"/>
              </w:rPr>
            </w:pPr>
            <w:r>
              <w:rPr>
                <w:rFonts w:hint="eastAsia" w:cs="宋体" w:asciiTheme="minorEastAsia" w:hAnsiTheme="minorEastAsia" w:eastAsiaTheme="minorEastAsia"/>
                <w:color w:val="000000"/>
              </w:rPr>
              <w:t>1．整点生命体征采集：提</w:t>
            </w:r>
            <w:r>
              <w:rPr>
                <w:rFonts w:hint="eastAsia" w:cs="宋体" w:asciiTheme="minorEastAsia" w:hAnsiTheme="minorEastAsia" w:eastAsiaTheme="minorEastAsia"/>
              </w:rPr>
              <w:t>供≥6个时间整点的生命体征采集，至少包括体温、脉搏、呼吸、血压、心率、物理降温、呼吸机、疼痛评分、疼痛再评估、大小便、体重、肛温、出水量、入出水量、药物过敏信息的采集功能。</w:t>
            </w:r>
          </w:p>
          <w:p>
            <w:pPr>
              <w:rPr>
                <w:rFonts w:cs="宋体" w:asciiTheme="minorEastAsia" w:hAnsiTheme="minorEastAsia" w:eastAsiaTheme="minorEastAsia"/>
                <w:color w:val="000000"/>
              </w:rPr>
            </w:pPr>
            <w:r>
              <w:rPr>
                <w:rFonts w:hint="eastAsia" w:cs="宋体" w:asciiTheme="minorEastAsia" w:hAnsiTheme="minorEastAsia" w:eastAsiaTheme="minorEastAsia"/>
              </w:rPr>
              <w:t>2．体温单：支持移动端在线查看≥7日体</w:t>
            </w:r>
            <w:r>
              <w:rPr>
                <w:rFonts w:hint="eastAsia" w:cs="宋体" w:asciiTheme="minorEastAsia" w:hAnsiTheme="minorEastAsia" w:eastAsiaTheme="minorEastAsia"/>
                <w:color w:val="000000"/>
              </w:rPr>
              <w:t>温单，支持区域放大和缩小。</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发热录入</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w:t>
            </w:r>
            <w:r>
              <w:rPr>
                <w:rFonts w:hint="eastAsia" w:cs="宋体" w:asciiTheme="minorEastAsia" w:hAnsiTheme="minorEastAsia" w:eastAsiaTheme="minorEastAsia"/>
              </w:rPr>
              <w:t>实时</w:t>
            </w:r>
            <w:r>
              <w:rPr>
                <w:rFonts w:hint="eastAsia" w:cs="宋体" w:asciiTheme="minorEastAsia" w:hAnsiTheme="minorEastAsia" w:eastAsiaTheme="minorEastAsia"/>
                <w:color w:val="000000"/>
              </w:rPr>
              <w:t>的体温、脉搏、呼吸、血压录入，以及列表查看。</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健康宣教</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提供针对不同病种的个性化健康教育指导，至少包括入院宣教、住院期间、出院前和出院当日的宣教内容。</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护理病历</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操作简便的移动端护理病历书写，包括入院首次评估单、特定时间点血糖记录单、即时血糖记录单、血压护理记录单、产科待产记录单、催产素使用观察记录单、手术护理记录单、出入水量记录表、疼痛护理评估单、手指式脉搏血氧监测记录、新生儿护理及母乳喂养巡视记录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2．支持与电脑端护理病历数据共享操作。</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护理记录单</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1．提供操作简便的移动端护理记录单书写，支持体征信息的自动生成，支持入量信息的自动生成，支持病情摘要点选操作，支持复制上一个时间点的病情摘要，具有病情摘要知识库。</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2．支持与电脑端护理记录单数据共享操作。</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风险评估</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1．提供高风险人群风险评估功能，包括跌倒风险因素评估表、压疮风险评估表、 导管滑脱风险评估表、坠床风险因素评估表、镇静评估表、自理能力评估表、血栓风险因素评估单；提供高风险患者判断标准、风险评估和高风险患者防范措施。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2．支持与电脑端风险评估表数据共享操作。</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护理计划</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1．提供标准的护理计划单书写功能，支持高危患者判断，为高危患者指定护理计划。</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2．支持与电脑端护理计划单数据共享操作。</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14</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更换责护</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支持临时更换责护和批量更换责护。</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15</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巡视记录</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1．支持扫描腕带或扫描床头卡进行病房巡视；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2．自动巡视记录生成：能够根据输液执行和输液完成自动生成相应巡视记录，能够将健康教育作为巡视记录，能够将输血巡视作为巡视记录。</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16</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闭环管理</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支持输液闭环、检查闭环、检验闭环、皮试闭环、手术闭环、摆药闭环、出院带药闭环等闭环管理。</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17</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查询统计</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1．出院病人查询：支持出院病人的基本信息查询，能够查看出院病人的医嘱执行、医嘱查看、体征查询、护理病历、手术查询等。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2．护理统计：提供病区病人汇总信息，包括病人总数、特级护理人数、一级护理人数、二级护理人数、三级护理人数、无护理级别人数、病危人数人数、高风险人数人数、手术人数信息等。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3．日清单查询：提供在院病人日清单查询，可根据日期查看当日发生的费用明细，详细列明每一项的单位、数量、单价、金额，以及当日费用合计。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4．护理工作量查询：提供护理人员每日工作量总数和明细数量查询功能。</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18</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14"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cs="宋体" w:asciiTheme="minorEastAsia" w:hAnsiTheme="minorEastAsia" w:eastAsiaTheme="minorEastAsia"/>
          <w:b/>
          <w:bCs/>
        </w:rPr>
        <w:t>3.1.2</w:t>
      </w:r>
      <w:r>
        <w:rPr>
          <w:rFonts w:hint="eastAsia" w:cs="宋体" w:asciiTheme="minorEastAsia" w:hAnsiTheme="minorEastAsia" w:eastAsiaTheme="minorEastAsia"/>
          <w:b/>
          <w:bCs/>
        </w:rPr>
        <w:t>结构化护理病历系统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098"/>
        <w:gridCol w:w="6327"/>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2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0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患者一览</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1.支持以卡片形式清晰展示患者信息，至少标明患者床位号、住院号、姓名、性别、费用类别、诊断、过敏、主治医生、责任护士、护理级别等。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2.支持患者详细信息查看，可查看患者入院时间、饮食、费用等相关信息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3.患者分组：可定义患者分组，根据分组快速筛选患者。</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4.重点标识：可查看患者高风险、手术、发热等重点标识。</w:t>
            </w:r>
          </w:p>
        </w:tc>
        <w:tc>
          <w:tcPr>
            <w:tcW w:w="407"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常用功能定义</w:t>
            </w:r>
          </w:p>
        </w:tc>
        <w:tc>
          <w:tcPr>
            <w:tcW w:w="3606" w:type="pct"/>
            <w:shd w:val="clear" w:color="auto" w:fill="auto"/>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支持病区自定义常用功能，便于护理人员操作常用功能。</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体征管理</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1.支持批量体征录入、随机个体体征录入、查看体温单。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★2.提供异常体征智能护理措施指引功能，体温、呼吸、脉搏、血压体征信息超过设定阈值后系统给与相应的护理措施指引。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3.支持出水量、入水量根据护理记录单出入水量自动同步生成。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4.支持体征单录入的体征信息共享至其他需要的护理文书中。</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5.提供体征一览表查看功能，能够直观查看每个患者所有测量时间点的体温、心率、呼吸和脉搏数据，并可标识出时间段的最高体温。</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病区事务</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1.腕带打印：病人腕带预览与打印，支持腕带模板的制作。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2.床头卡打印：病人床头卡预览有打印，支持床头卡模板的制作。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3.执行单打印：支持医嘱执行单的预览与打印，提供患者批量打印功能，支持按医嘱类别、医嘱项目、打印状态、医嘱状态筛选过滤执行单进行打印。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4.补打：提供床头卡、腕带的补打申请和补打审批功能。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5.打印记录：具有腕带、床头卡和执行单打印记录查询功能。</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护理记录</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护理记录单、血压记录单、血糖记录单、中心静脉压监测记录单、手指式脉搏血氧监测记录单、输血护理记录单、一周血糖曲线图、一周血压曲线图、自动化腹膜透析（APD）记录单等各种护理文书的结构化录入、预览和打印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2.支持自定义护理记录单模板。</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3.护理记录单：支持体征数据共享、一键出入水量合计、病情摘要知识库。</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4.针对同一转科患者支持转入科室查看转出科室已写护理文书数据的查看。</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护理评估</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1.护理评估：提供入院首次护理评估、压疮风险因素评估表、跌倒/坠床危险因素评估表、导管滑脱风险评估表、水肿评估表、疼痛护理评估单、自理能力评估表、Autar DVT风险因素评估表等各种风险评估表的结构化录入、预览和打印功能。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2.支持自定义护理评估单模板。</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3.护理评估评定与防范措施：能够根据结构化录入的结果，系统自动计算评估得分和风险等级，并能够智能化提示防范措施。</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护理计划</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提供基于科室的护理计划结构化录入、预览与打印。支持护理计划随患者病情变化动态组装护理措施。</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健康教育</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提供基于病种的健康教育宣教表，且随患者病情诊断变化或转科后健康教育宣教表能够根据病种宣教模板进行动态组装。</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专科护理文书</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根据医院需要能够支持专科护理文书模板的制定和护理文书的结构化录入。如孕产妇护理评估记录单、待产记录单、催产素使用观察记录、新生儿护理及母乳喂养巡视单、产程图等专科护理文书。</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手术室护理文书</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根据医院需要能够支持手术室护理文书模板的制定和护理文书的结构化录入。如手术安全核查表、术前交接单、术前访视单、手术护理记录单、手术交接单、手术访视单等。</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8"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护理交接班</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1.提供各个班次交接项目自动统计功能，至少包括原有、现有、入院、出院、转入、转出、死亡、手术、预术、病危、病重、I级护理、II级护理、Ⅲ级护理等。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提供各班次交接项目明细，支持项目标识（如新、危、术、分娩）、支持标识位置设置（如诊断右下方、诊断正下方），项目明细至少包括出院、死亡、转出、入院、转入、手术、预术、危重、分娩、I级护理、Ⅱ级护理、Ⅲ级护理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3.提供交接项目和交接项目明细排序功能。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4.支持交接班报告话术模板定义功能，话术模板能够根据各科室需要进行调整。</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5.提供交接班报告插入知识库、插入护理记录单病情摘要功能。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6.要求交接班报告支持交接内容跨单元格自动换行功能。</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巡视管理</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1.提供在院病人和出院病人的病房巡视、输液巡视和输血巡视查询功能。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2.巡视补录：提供巡视补录和巡视补录审批功能，巡视补录申请要求能够支持补录时间和补录原因的申请。</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文书模板制作</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1.支持可视化病历文书模板的制作。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2.支持《电子病历基本数据集》护理操作记录、护理评估与计划等护理相关的数据集标准，支持科室护理模板并需提供结构化护理病历编辑器著作权。</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14</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出科病历</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提供出科、出院病历的修改申请和修改审批功能，只有申请审批通过的病历才允许科室修改。</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15</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权限管理</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1.提供用户、角色、权限管理，支持为角色分配允许操作的功能，为用户分配角色。</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2.设备注册管理：只有注册审批通过的计算机才可以使用该系统，增加系统使用的安全性。</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0"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16</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模板配置</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1.定义包括模板名称、模板类型、适用人群、扩展属性、模板字体、行高、对齐方式、展现形式（横版/竖版）等，可灵活配置病历属性、病历使用范围以及病历的展示类型。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2.模板库管理支持查看引用其他病区维护的模板。</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3.支持根据现场病历类型（文件类/列表类）灵活配置，满足多种病历展示形式。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4.支持扩展属性配置，可为每个病历配置美观、方便、实用的展现形式。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5.默认支持移动端与PC端实时同步，同一个记录单护士既可以在PC端书写也可以在移动端书写。</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6.支持设置特定病历在保存时进行未录入内容提醒，协助用户规范化进行文书书写。</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7.支持为单个病历模板配置适用科室，可实现配置一个模板实现全院通用的效果，实现针对性与通用性同时管理。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8.支持各个记录单之中相同的数据共享通用，录入一次，多病历共通展示。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9.能够实现同种病历可为移动端与PC端针对性的配置合理、使用方便的展示方式。</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17</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控件管理</w:t>
            </w:r>
          </w:p>
        </w:tc>
        <w:tc>
          <w:tcPr>
            <w:tcW w:w="3606" w:type="pct"/>
            <w:shd w:val="clear" w:color="auto" w:fill="auto"/>
            <w:vAlign w:val="center"/>
          </w:tcPr>
          <w:p>
            <w:pPr>
              <w:rPr>
                <w:rFonts w:cs="宋体" w:asciiTheme="minorEastAsia" w:hAnsiTheme="minorEastAsia" w:eastAsiaTheme="minorEastAsia"/>
              </w:rPr>
            </w:pPr>
            <w:r>
              <w:rPr>
                <w:rFonts w:hint="eastAsia" w:cs="宋体" w:asciiTheme="minorEastAsia" w:hAnsiTheme="minorEastAsia" w:eastAsiaTheme="minorEastAsia"/>
              </w:rPr>
              <w:t>1.满足电子病历运用等级评价及数据互联互通评测标准的要求。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2.支持通过控件类型来控制数据元的展现形式。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3.支持配置风险类评估单自动计算风险等级，自动关联防范措施。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4.同表单内可通过‘关联控件’功能与其他控件做出关联，根据场景进行级联绑定，用于实现联动需求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5.支持通过‘控件允许值逻辑判断’进行填写校验，给出提示，确保数据在安全范围之内，减少误操作。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6.支持评估单中出水量、入水量等合计功能设置自动计算，节省人工计算与核对的时间成本。</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7.支持基础数据的维护，实现病历结构化点选，提高书写效率。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8.支持病历中的各种时间字段自定义配置显示格式。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9.支持为项目控件配置移动端分类，能够在移动端分页面展示项目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10.支持简单逻辑的‘条件设置’，可实现配置病历中各种项之间的逻辑关系。</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61" w:type="pct"/>
            <w:shd w:val="clear" w:color="auto" w:fill="auto"/>
            <w:vAlign w:val="center"/>
          </w:tcPr>
          <w:p>
            <w:pPr>
              <w:jc w:val="right"/>
              <w:rPr>
                <w:rFonts w:cs="宋体" w:asciiTheme="minorEastAsia" w:hAnsiTheme="minorEastAsia" w:eastAsiaTheme="minorEastAsia"/>
                <w:color w:val="000000"/>
              </w:rPr>
            </w:pPr>
            <w:r>
              <w:rPr>
                <w:rFonts w:hint="eastAsia" w:cs="宋体" w:asciiTheme="minorEastAsia" w:hAnsiTheme="minorEastAsia" w:eastAsiaTheme="minorEastAsia"/>
                <w:color w:val="000000"/>
              </w:rPr>
              <w:t>18</w:t>
            </w:r>
          </w:p>
        </w:tc>
        <w:tc>
          <w:tcPr>
            <w:tcW w:w="62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07"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hint="eastAsia" w:cs="宋体" w:asciiTheme="minorEastAsia" w:hAnsiTheme="minorEastAsia" w:eastAsiaTheme="minorEastAsia"/>
          <w:b/>
          <w:bCs/>
        </w:rPr>
        <w:t>3</w:t>
      </w:r>
      <w:r>
        <w:rPr>
          <w:rFonts w:cs="宋体" w:asciiTheme="minorEastAsia" w:hAnsiTheme="minorEastAsia" w:eastAsiaTheme="minorEastAsia"/>
          <w:b/>
          <w:bCs/>
        </w:rPr>
        <w:t>.1.3</w:t>
      </w:r>
      <w:r>
        <w:rPr>
          <w:rFonts w:hint="eastAsia" w:cs="宋体" w:asciiTheme="minorEastAsia" w:hAnsiTheme="minorEastAsia" w:eastAsiaTheme="minorEastAsia"/>
          <w:b/>
          <w:bCs/>
        </w:rPr>
        <w:t>移动护理PDA终端</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098"/>
        <w:gridCol w:w="6329"/>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2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设备名称</w:t>
            </w:r>
          </w:p>
        </w:tc>
        <w:tc>
          <w:tcPr>
            <w:tcW w:w="3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技术参数</w:t>
            </w:r>
          </w:p>
        </w:tc>
        <w:tc>
          <w:tcPr>
            <w:tcW w:w="4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26"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移动护理PDA终端</w:t>
            </w:r>
          </w:p>
        </w:tc>
        <w:tc>
          <w:tcPr>
            <w:tcW w:w="360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1.处理器：配置不低于八核处理器，频率≥2.3GHZ；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2.运行内存：≥4GB RAM；</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3.储存内存：≥64GB ROM，支持用户存储扩展；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4.续航能力：可充电的锂离子电池，容量≥5000mAh，工作时间≥10小时，Type-C接口，支持OTG；</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5.屏幕尺寸：≥5.0英寸，电容多点触控，支持戴手套/带水触摸；</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6.屏幕分辨率：分辨率≥1280*720；</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7.摄像头：后置≥1300万像素；</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8.手电筒：支持一键启动手电功能；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9.外壳材料：抑菌材料，可耐受酒精、过氧化氢、丙乙醇、聚维酮碘等医院常用消毒剂（含屏幕部分）；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10.按键：为便于消毒清洗设备正面必须为触控按键，不得有实体按键；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11.防摔抗震：可承受1.5m高处到地面的多次跌落；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12.防水防尘工业等级：≥IP67；</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13.无故障时间：平均无故障时间不低于20000小时；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14.WIFI网络：支持802.11a/b/g/n/ac协议，2.4G/5G双频；</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15.4G网络：支持4G全网通，双卡双待；</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16.蓝牙网络：Bluetooth5.0（支持BLE）；</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17.定位系统：支持主流定位服务，GPS，北斗等；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18.扫描：上下倾斜视角：±60°，左右偏移视角：±55°，激光安全等级：Class 2，旋转视角：360°，图像分辨率：1280(H)×800(V)；条码扫描：十字纳米激光扫描、暖白光照明，红色激光瞄准；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19.条码读取：支持GS1条码识别，扫描工具同步支持设置GS1应用标识分隔符开关功能；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20.准心模式：可实现PDA准心扫描，防止相邻条码的误读；</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21.扫描按键：支持左右两侧实体扫描按键及屏幕虚拟扫描按键；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22.操作系统：Android 9.0或以上；</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23.二维码快捷设置：通过扫描二维码快速实现复制其他设备部分设置，如条码、WiFi等设置；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24.安全管理桌面：系统自带安全管理桌面，限制使用指定APP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25.网络安全管理：不借助任何第三方软件实现添加网络白（黑）名单功能，屏蔽非法网络，确保设备院内医疗使用；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26.系统安全：具有密码验证机制，在安装新的APP需要输入密码方可确认、可设置APP使用权限，禁止使用非法APP应用。</w:t>
            </w:r>
          </w:p>
        </w:tc>
        <w:tc>
          <w:tcPr>
            <w:tcW w:w="4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bl>
    <w:p>
      <w:pPr>
        <w:pStyle w:val="137"/>
        <w:ind w:firstLine="0" w:firstLineChars="0"/>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3</w:t>
      </w:r>
      <w:r>
        <w:rPr>
          <w:rFonts w:cs="宋体" w:asciiTheme="minorEastAsia" w:hAnsiTheme="minorEastAsia" w:eastAsiaTheme="minorEastAsia"/>
          <w:b/>
          <w:bCs/>
          <w:color w:val="000000"/>
          <w:sz w:val="24"/>
          <w:szCs w:val="24"/>
        </w:rPr>
        <w:t>.2</w:t>
      </w:r>
      <w:r>
        <w:rPr>
          <w:rFonts w:hint="eastAsia" w:cs="宋体" w:asciiTheme="minorEastAsia" w:hAnsiTheme="minorEastAsia" w:eastAsiaTheme="minorEastAsia"/>
          <w:b/>
          <w:bCs/>
          <w:color w:val="000000"/>
          <w:sz w:val="24"/>
          <w:szCs w:val="24"/>
        </w:rPr>
        <w:t>移动查房</w:t>
      </w:r>
    </w:p>
    <w:p>
      <w:pPr>
        <w:pStyle w:val="137"/>
        <w:ind w:firstLine="0" w:firstLineChars="0"/>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3</w:t>
      </w:r>
      <w:r>
        <w:rPr>
          <w:rFonts w:cs="宋体" w:asciiTheme="minorEastAsia" w:hAnsiTheme="minorEastAsia" w:eastAsiaTheme="minorEastAsia"/>
          <w:b/>
          <w:bCs/>
          <w:color w:val="000000"/>
          <w:sz w:val="24"/>
          <w:szCs w:val="24"/>
        </w:rPr>
        <w:t>.2.1</w:t>
      </w:r>
      <w:r>
        <w:rPr>
          <w:rFonts w:hint="eastAsia" w:cs="宋体" w:asciiTheme="minorEastAsia" w:hAnsiTheme="minorEastAsia" w:eastAsiaTheme="minorEastAsia"/>
          <w:b/>
          <w:bCs/>
          <w:color w:val="000000"/>
          <w:sz w:val="24"/>
          <w:szCs w:val="24"/>
        </w:rPr>
        <w:t>移动医生查房系统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08"/>
        <w:gridCol w:w="6364"/>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64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0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患者信息概览</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通过患者卡片的方式集中展示在院患者的信息，主要包括：床号、姓名、性别、年龄、入院天数、护理级别、住院号、医保类型、医生、责任护士、可用余额、诊断信息等信息。</w:t>
            </w:r>
          </w:p>
        </w:tc>
        <w:tc>
          <w:tcPr>
            <w:tcW w:w="407"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基本信息</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通过项目列表方式展示在院患者的信息，主要包括：床号、姓名、性别、年龄、住院号、医保类型、婚姻、出生日期、身份证号、入院日期、入院天数、疾病诊断、病情、医生、责任护士、押金总额、可用余额等信息。</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医嘱信息查阅</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通过医嘱查看页面，可方便的了解患者的医嘱内容、是否停止等重要信息，主要包括：医嘱类型、医嘱类别、开始时间、停止时间、医嘱内容、规格、医嘱状态等信息。</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体征信息查阅</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通过体征查询功能，可查看患者体温单的相关信息，主要包括：患者住院日期、患者诊断、体征测量时间点、患者呼吸、脉搏、体温、血压、大便、小便、出/入水量等信息；通过折线图表的方式展示，医生可查看和对比分析。</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检查信息集成</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通过检查报告查看功能，可查看患者检查项目的项目名称、检查部位、申请医生、申请时间、报告医生、报告时间、病历摘要、疾病诊断、检查目的、检查报告所见、检查诊断建议等详细信息。</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检验信息集成</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通过检验报告查看功能，能够查看患者检验项目报告的项目名称、检验结果、参考值、单位、检验医师、检验时间等信息；检验结果有异常标识，患者检验结果高于或低于参考值时，通过红色(高于)或蓝色(低于)的箭头标识，方便医生的查看及重点关注；打开对应检验明细项目的趋势分析图，通过折线图的方式展示患者最近的检验结果，便于对比分析患者检验指标的变化情况。</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住院病历调阅</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通过对住院病历文书进行相关的文件转换操作后，实现对住院病历文书的集成调阅，能够查看患者的住院病历文书信息，主要包括患者的入院记录、首次病程、日程病程、各类知情同意书及告知单、转科记录、会诊记录、出院记录等住院病历文书。</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护理病历调阅</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通过护理病历文书的调阅功能，能够查看患者住院期间的护理文书信息，主要包括患者的护理计划单、住院告知书、风险评估单、日常护理单、血糖记录单、体征记录单等护理文书。</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医嘱管理功能</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根据患者当前诊疗情况，床旁实现医嘱的快速停止、取消，避免重复抄在小本子上回到办公室再进行医嘱的操作管理。</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查房备忘录</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医师在查房过程中，可对重点患者的关键病情信息进行实时记录。</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消息提醒</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对病历书写时效、病历审签、危急值、抗生素等进行智能化消息提醒。</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审批管理</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支持病历修改审批、病历解锁审批、病历召回审批、抗生素使用审批等临床的审批管理。</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c>
          <w:tcPr>
            <w:tcW w:w="5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64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07" w:type="pct"/>
            <w:vMerge w:val="continue"/>
            <w:vAlign w:val="center"/>
          </w:tcPr>
          <w:p>
            <w:pPr>
              <w:rPr>
                <w:rFonts w:cs="宋体" w:asciiTheme="minorEastAsia" w:hAnsiTheme="minorEastAsia" w:eastAsiaTheme="minorEastAsia"/>
                <w:color w:val="000000"/>
              </w:rPr>
            </w:pPr>
          </w:p>
        </w:tc>
      </w:tr>
    </w:tbl>
    <w:p>
      <w:pPr>
        <w:pStyle w:val="137"/>
        <w:ind w:firstLine="0" w:firstLineChars="0"/>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3</w:t>
      </w:r>
      <w:r>
        <w:rPr>
          <w:rFonts w:cs="宋体" w:asciiTheme="minorEastAsia" w:hAnsiTheme="minorEastAsia" w:eastAsiaTheme="minorEastAsia"/>
          <w:b/>
          <w:bCs/>
          <w:color w:val="000000"/>
          <w:sz w:val="24"/>
          <w:szCs w:val="24"/>
        </w:rPr>
        <w:t>.2.2</w:t>
      </w:r>
      <w:r>
        <w:rPr>
          <w:rFonts w:hint="eastAsia" w:cs="宋体" w:asciiTheme="minorEastAsia" w:hAnsiTheme="minorEastAsia" w:eastAsiaTheme="minorEastAsia"/>
          <w:b/>
          <w:bCs/>
          <w:color w:val="000000"/>
          <w:sz w:val="24"/>
          <w:szCs w:val="24"/>
        </w:rPr>
        <w:t>移动查房平板电脑</w:t>
      </w:r>
    </w:p>
    <w:tbl>
      <w:tblPr>
        <w:tblStyle w:val="36"/>
        <w:tblW w:w="5151" w:type="pct"/>
        <w:tblInd w:w="0" w:type="dxa"/>
        <w:tblLayout w:type="autofit"/>
        <w:tblCellMar>
          <w:top w:w="0" w:type="dxa"/>
          <w:left w:w="108" w:type="dxa"/>
          <w:bottom w:w="0" w:type="dxa"/>
          <w:right w:w="108" w:type="dxa"/>
        </w:tblCellMar>
      </w:tblPr>
      <w:tblGrid>
        <w:gridCol w:w="713"/>
        <w:gridCol w:w="1210"/>
        <w:gridCol w:w="6269"/>
        <w:gridCol w:w="581"/>
      </w:tblGrid>
      <w:tr>
        <w:tblPrEx>
          <w:tblCellMar>
            <w:top w:w="0" w:type="dxa"/>
            <w:left w:w="108" w:type="dxa"/>
            <w:bottom w:w="0" w:type="dxa"/>
            <w:right w:w="108" w:type="dxa"/>
          </w:tblCellMar>
        </w:tblPrEx>
        <w:trPr>
          <w:trHeight w:val="278"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98" w:type="pct"/>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设备名称</w:t>
            </w:r>
          </w:p>
        </w:tc>
        <w:tc>
          <w:tcPr>
            <w:tcW w:w="3641" w:type="pct"/>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技术参数</w:t>
            </w:r>
          </w:p>
        </w:tc>
        <w:tc>
          <w:tcPr>
            <w:tcW w:w="399" w:type="pct"/>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CellMar>
            <w:top w:w="0" w:type="dxa"/>
            <w:left w:w="108" w:type="dxa"/>
            <w:bottom w:w="0" w:type="dxa"/>
            <w:right w:w="108" w:type="dxa"/>
          </w:tblCellMar>
        </w:tblPrEx>
        <w:trPr>
          <w:trHeight w:val="278"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598" w:type="pct"/>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平板电脑</w:t>
            </w:r>
          </w:p>
        </w:tc>
        <w:tc>
          <w:tcPr>
            <w:tcW w:w="3641" w:type="pct"/>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配置≥8英寸/8+128GB/支持WIFI，支持4G全网通。</w:t>
            </w:r>
          </w:p>
        </w:tc>
        <w:tc>
          <w:tcPr>
            <w:tcW w:w="399" w:type="pct"/>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bl>
    <w:p>
      <w:pPr>
        <w:pStyle w:val="137"/>
        <w:ind w:firstLine="0" w:firstLineChars="0"/>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3</w:t>
      </w:r>
      <w:r>
        <w:rPr>
          <w:rFonts w:cs="宋体" w:asciiTheme="minorEastAsia" w:hAnsiTheme="minorEastAsia" w:eastAsiaTheme="minorEastAsia"/>
          <w:b/>
          <w:bCs/>
          <w:color w:val="000000"/>
          <w:sz w:val="24"/>
          <w:szCs w:val="24"/>
        </w:rPr>
        <w:t>.3</w:t>
      </w:r>
      <w:r>
        <w:rPr>
          <w:rFonts w:hint="eastAsia" w:cs="宋体" w:asciiTheme="minorEastAsia" w:hAnsiTheme="minorEastAsia" w:eastAsiaTheme="minorEastAsia"/>
          <w:b/>
          <w:bCs/>
          <w:color w:val="000000"/>
          <w:sz w:val="24"/>
          <w:szCs w:val="24"/>
        </w:rPr>
        <w:t>护理管理</w:t>
      </w:r>
    </w:p>
    <w:p>
      <w:pPr>
        <w:pStyle w:val="137"/>
        <w:ind w:firstLine="0" w:firstLineChars="0"/>
        <w:rPr>
          <w:rFonts w:cs="宋体" w:asciiTheme="minorEastAsia" w:hAnsiTheme="minorEastAsia" w:eastAsiaTheme="minorEastAsia"/>
          <w:b/>
          <w:bCs/>
          <w:color w:val="000000"/>
          <w:sz w:val="24"/>
          <w:szCs w:val="24"/>
        </w:rPr>
      </w:pPr>
      <w:r>
        <w:rPr>
          <w:rFonts w:cs="宋体" w:asciiTheme="minorEastAsia" w:hAnsiTheme="minorEastAsia" w:eastAsiaTheme="minorEastAsia"/>
          <w:b/>
          <w:bCs/>
          <w:color w:val="000000"/>
          <w:sz w:val="24"/>
          <w:szCs w:val="24"/>
        </w:rPr>
        <w:t>3.3.1</w:t>
      </w:r>
      <w:r>
        <w:rPr>
          <w:rFonts w:hint="eastAsia" w:cs="宋体" w:asciiTheme="minorEastAsia" w:hAnsiTheme="minorEastAsia" w:eastAsiaTheme="minorEastAsia"/>
          <w:b/>
          <w:bCs/>
          <w:color w:val="000000"/>
          <w:sz w:val="24"/>
          <w:szCs w:val="24"/>
        </w:rPr>
        <w:t>护理质控管理系统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31"/>
        <w:gridCol w:w="6329"/>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62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质量检查</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支持三级护理质量检查，支持结构化的存在问题可点选操作。 </w:t>
            </w:r>
          </w:p>
        </w:tc>
        <w:tc>
          <w:tcPr>
            <w:tcW w:w="414"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计划制定</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支持按时间、按周期、按频次自定义护理三级质控计划。</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分析整改</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为病区自查、二级质控组抽查、三级质控组抽查、督导检查、院级抽查的问题提供分析整改的功能，包括原因分析、整改措施、效果评价，且支持基于PDCA的多次分析整改。</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跟踪评价</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对每级护理质控的存在问题整改结果进行跟踪效果评价。</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改进措施</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护理部可对多次跟踪效果评价不合格的问题分析后给出改进措施。</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院级抽查</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提供院级抽查功能，通过院级抽查能够达到对三级质控数据的抽查质控。</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督导检查</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w:t>
            </w:r>
            <w:r>
              <w:rPr>
                <w:rFonts w:hint="eastAsia" w:cs="宋体" w:asciiTheme="minorEastAsia" w:hAnsiTheme="minorEastAsia" w:eastAsiaTheme="minorEastAsia"/>
                <w:color w:val="000000"/>
              </w:rPr>
              <w:t>提供自定义督导检查项目的功能，支持督导检查模板制定；</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r>
              <w:rPr>
                <w:rFonts w:cs="宋体" w:asciiTheme="minorEastAsia" w:hAnsiTheme="minorEastAsia" w:eastAsiaTheme="minorEastAsia"/>
                <w:color w:val="000000"/>
              </w:rPr>
              <w:t>.</w:t>
            </w:r>
            <w:r>
              <w:rPr>
                <w:rFonts w:hint="eastAsia" w:cs="宋体" w:asciiTheme="minorEastAsia" w:hAnsiTheme="minorEastAsia" w:eastAsiaTheme="minorEastAsia"/>
                <w:color w:val="000000"/>
              </w:rPr>
              <w:t>提供高风险患者(跌倒、坠床、压疮等)专项督导检查功能。</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0"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质控查检</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★要求具有护理三级质控月度质控报告快速生成的功能，报告具有评价法、鱼骨图等工具，具有重点问题确定和分析整改功能，支持报告导出成WORD文档</w:t>
            </w:r>
            <w:r>
              <w:rPr>
                <w:rFonts w:hint="eastAsia" w:cs="宋体" w:asciiTheme="minorEastAsia" w:hAnsiTheme="minorEastAsia" w:eastAsiaTheme="minorEastAsia"/>
              </w:rPr>
              <w:t>或WPS文档</w:t>
            </w:r>
            <w:r>
              <w:rPr>
                <w:rFonts w:hint="eastAsia" w:cs="宋体" w:asciiTheme="minorEastAsia" w:hAnsiTheme="minorEastAsia" w:eastAsiaTheme="minorEastAsia"/>
                <w:color w:val="000000"/>
              </w:rPr>
              <w:t>。</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夜值班质控管理</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要求可对全院或大科制作夜值班检查计划，可按人分配检查表和检查范围。</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0</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工作预览</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为病区护士长、质控组组长和护理部主任提供护理质控工作一览表，通过图标直观展示护理质控进度和本人待办事项。</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1</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检查监控</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提供护理部实施监控护理三级质控进度的功能。</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2</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消息提醒</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提供护理质控PDCA环节中各个节点的微信/短信等提醒功能。</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3</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统计分析</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1.支持仪表盘、柏拉图、柱状图、折线图等多种统计分析图表；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2.提供以柏拉图形式展示病区存在问题分析；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3.提供单项质量检查平均得分折线分析、病区质量检查排名、质控组质量检查排名、临床护理质量统计、临床护理质量对比、全年质量检查得分分析等统计分析；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4.支持对单项质量进行分析，支持存在问题汇总，支持按单个查检表进行问题分析。</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4</w:t>
            </w:r>
          </w:p>
        </w:tc>
        <w:tc>
          <w:tcPr>
            <w:tcW w:w="6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62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14" w:type="pct"/>
            <w:vMerge w:val="continue"/>
            <w:vAlign w:val="center"/>
          </w:tcPr>
          <w:p>
            <w:pPr>
              <w:rPr>
                <w:rFonts w:cs="宋体" w:asciiTheme="minorEastAsia" w:hAnsiTheme="minorEastAsia" w:eastAsiaTheme="minorEastAsia"/>
                <w:color w:val="000000"/>
              </w:rPr>
            </w:pPr>
          </w:p>
        </w:tc>
      </w:tr>
    </w:tbl>
    <w:p>
      <w:pPr>
        <w:pStyle w:val="137"/>
        <w:ind w:firstLine="0" w:firstLineChars="0"/>
        <w:rPr>
          <w:rFonts w:cs="宋体" w:asciiTheme="minorEastAsia" w:hAnsiTheme="minorEastAsia" w:eastAsiaTheme="minorEastAsia"/>
          <w:b/>
          <w:bCs/>
          <w:sz w:val="24"/>
          <w:szCs w:val="24"/>
        </w:rPr>
      </w:pPr>
      <w:r>
        <w:rPr>
          <w:rFonts w:hint="eastAsia" w:cs="宋体" w:asciiTheme="minorEastAsia" w:hAnsiTheme="minorEastAsia" w:eastAsiaTheme="minorEastAsia"/>
          <w:b/>
          <w:bCs/>
          <w:color w:val="000000"/>
          <w:sz w:val="24"/>
          <w:szCs w:val="24"/>
        </w:rPr>
        <w:t>3</w:t>
      </w:r>
      <w:r>
        <w:rPr>
          <w:rFonts w:cs="宋体" w:asciiTheme="minorEastAsia" w:hAnsiTheme="minorEastAsia" w:eastAsiaTheme="minorEastAsia"/>
          <w:b/>
          <w:bCs/>
          <w:color w:val="000000"/>
          <w:sz w:val="24"/>
          <w:szCs w:val="24"/>
        </w:rPr>
        <w:t>.3.2</w:t>
      </w:r>
      <w:r>
        <w:rPr>
          <w:rFonts w:hint="eastAsia" w:cs="宋体" w:asciiTheme="minorEastAsia" w:hAnsiTheme="minorEastAsia" w:eastAsiaTheme="minorEastAsia"/>
          <w:b/>
          <w:bCs/>
          <w:sz w:val="24"/>
          <w:szCs w:val="24"/>
        </w:rPr>
        <w:t>护理医疗安全不良事件上报系统</w:t>
      </w:r>
    </w:p>
    <w:tbl>
      <w:tblPr>
        <w:tblStyle w:val="36"/>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24"/>
        <w:gridCol w:w="6332"/>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62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0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不良事件监测</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具备部分不良事件监测（跌倒/坠床、压疮等）的功能。</w:t>
            </w:r>
          </w:p>
        </w:tc>
        <w:tc>
          <w:tcPr>
            <w:tcW w:w="408"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不良事件上报</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◆1.提供医疗管理类、护理管理类、药品管理类、医技管理类、输血管理类等≥12大类，跌倒、坠床、压疮、管路护理等超过50子类的不良事件填报上报功能。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2.提供实名上报和匿名上报。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◆3.支持患者基本信息、当事人信息和报告人信息自动生成功能。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4.支持患者家属不良事件上报。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5.支持照片采集功能。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（投标时提供带“◆”部分的功能演示）</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事件经过及处理措施</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时间经过及处理措施的全结构化描述，包括基本信息、事件发生前、事件发生时、事件发现时、事件处置，每个环节能够采用结构化话术模板，通过数据高度共享与互联互通，实现自动生成事件经过及处理措施。</w:t>
            </w:r>
          </w:p>
          <w:p>
            <w:pPr>
              <w:rPr>
                <w:rFonts w:asciiTheme="minorEastAsia" w:hAnsiTheme="minorEastAsia" w:eastAsiaTheme="minorEastAsia"/>
              </w:rPr>
            </w:pPr>
            <w:r>
              <w:rPr>
                <w:rFonts w:hint="eastAsia" w:cs="宋体" w:asciiTheme="minorEastAsia" w:hAnsiTheme="minorEastAsia" w:eastAsiaTheme="minorEastAsia"/>
                <w:color w:val="000000"/>
              </w:rPr>
              <w:t>【投标时提供带“★”部分的证明材料</w:t>
            </w:r>
            <w:r>
              <w:rPr>
                <w:rFonts w:cs="宋体" w:asciiTheme="minorEastAsia" w:hAnsiTheme="minorEastAsia" w:eastAsiaTheme="minorEastAsia"/>
                <w:color w:val="000000"/>
              </w:rPr>
              <w:t xml:space="preserve"> （证明材料包括但不限于检测报告、计算机软件著作权登记证书、官网或软件截图、产品彩页等）】</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讨论记录</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支持事件经过及处理措施、讨论发言、总结发言的记录。</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事件分析整改</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1.支持病区使用鱼骨图进行原因分析和整改措施。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◆2.对单个事件进行鱼骨图分析。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◆3.医疗安全不良事件RCA分析整改判定流程具有异常事件决策树工具；选择对应的判断节点自动流转到下个节点，并产生相应结论。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（投标时提供带“◆”部分的功能演示）</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事件审核</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支持上报事件按照审核流程设置相应的处理流程；处理流程通过时间轴进行展示，清晰显示审核流程，并生成事件处理的反馈信息；已上报的事件可主动推送给相关的角色或用户进行审核。</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审核不通过事件处理</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对审核意见为“不通过”的事件，将推送回上报人进行补充或修订，同时显示审核人意见反馈结果；提供一键重新上报（改由其他审核节点重新填写审核信息）。</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事件跟踪评价</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系统提供单个事件的追踪，对于审核通过的不良事件，主管部门可以对时间跟踪评价。针对不同级别的不良事件，支持跟踪评价的流程的灵活配置。对于需要持续整改的不良事件，可以持续进行PDCA流程。</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不良事件报告</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自动生成不良事件月度、季度、半年度、全年度的不良事件报告，报告内容至少包括不良事件同比、不良事件环比、不良事件各科室对比、不良事件分级占比，不良事件柏拉图等图表信息。支持导出WORD格式的报告。</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统计分析</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多层级的事件报表查询，包括帕累托图（柏拉图）、饼状图、条形图、柱状图、关键词等报表，可根据上报科室、事件类型、事件级别、上报时间段等条件进行多方位的统计汇总。应至少包括不良事件各科室同比分析、不良事件各科室环比分析、不良事件类别分布、不良事件科室分布、不良事件班次分布等。</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压力性损伤事件专项分析</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压疮包括压疮部位构成比、患者护理级别构成比、事件发生科室构成比、科室压疮预警人数构成比、预警患者年龄构成比、压疮预警患者风险程度构成比、事件发生时患者活动过程构成比、患者发生前护理措施构成比、事件发生后护理措施沟通比等14项对比指标专项分析。</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管理滑脱事件专项分析</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管路滑脱包括患者护理级别构成比、管道类型构成比、管道固定方法构成比、患者有无陪伴着构成比、事件发生时工作人员是否在患者身边构成比、事件发生前是否进行风险评估构成比等28项对比指标专项分析。</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给药缺陷类事件专项分析</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给药缺陷类包括事件等级构成比、事件发生地点构成比、患者护理级构成比、事件类型分布构成比、当时人年限构成比等11项对比指标专项分析。</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14</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跌倒（坠床）类事件专项分析</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跌倒（坠床）类事件分析包括事件分类构成比、事件发生地点构成比、事件原因分布构成比、事件发生前护理措施构成比、事件发生后护理措施构成比、事件发生后安全指导构成比、事件发生时现场其他人员状态构成比、事件发生后处理方法构成比等26项对比指标专项分析。</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15</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不良事件上报国家平台</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支持直接导出国家平台需要的医疗安全（不良）事件信息。</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16</w:t>
            </w:r>
          </w:p>
        </w:tc>
        <w:tc>
          <w:tcPr>
            <w:tcW w:w="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62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08" w:type="pct"/>
            <w:vMerge w:val="continue"/>
            <w:vAlign w:val="center"/>
          </w:tcPr>
          <w:p>
            <w:pPr>
              <w:rPr>
                <w:rFonts w:cs="宋体" w:asciiTheme="minorEastAsia" w:hAnsiTheme="minorEastAsia" w:eastAsiaTheme="minorEastAsia"/>
                <w:color w:val="000000"/>
              </w:rPr>
            </w:pPr>
          </w:p>
        </w:tc>
      </w:tr>
    </w:tbl>
    <w:p>
      <w:pPr>
        <w:pStyle w:val="137"/>
        <w:ind w:firstLine="0" w:firstLineChars="0"/>
        <w:rPr>
          <w:rFonts w:cs="宋体" w:asciiTheme="minorEastAsia" w:hAnsiTheme="minorEastAsia" w:eastAsiaTheme="minorEastAsia"/>
          <w:b/>
          <w:bCs/>
          <w:sz w:val="24"/>
          <w:szCs w:val="24"/>
        </w:rPr>
      </w:pPr>
      <w:r>
        <w:rPr>
          <w:rFonts w:hint="eastAsia" w:cs="宋体" w:asciiTheme="minorEastAsia" w:hAnsiTheme="minorEastAsia" w:eastAsiaTheme="minorEastAsia"/>
          <w:b/>
          <w:bCs/>
          <w:color w:val="000000"/>
          <w:sz w:val="24"/>
          <w:szCs w:val="24"/>
        </w:rPr>
        <w:t>3</w:t>
      </w:r>
      <w:r>
        <w:rPr>
          <w:rFonts w:cs="宋体" w:asciiTheme="minorEastAsia" w:hAnsiTheme="minorEastAsia" w:eastAsiaTheme="minorEastAsia"/>
          <w:b/>
          <w:bCs/>
          <w:color w:val="000000"/>
          <w:sz w:val="24"/>
          <w:szCs w:val="24"/>
        </w:rPr>
        <w:t>.3.3</w:t>
      </w:r>
      <w:r>
        <w:rPr>
          <w:rFonts w:hint="eastAsia" w:cs="宋体" w:asciiTheme="minorEastAsia" w:hAnsiTheme="minorEastAsia" w:eastAsiaTheme="minorEastAsia"/>
          <w:b/>
          <w:bCs/>
          <w:sz w:val="24"/>
          <w:szCs w:val="24"/>
        </w:rPr>
        <w:t>药品不良反应报告与管理系统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33"/>
        <w:gridCol w:w="6313"/>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61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14"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事件上报</w:t>
            </w:r>
          </w:p>
        </w:tc>
        <w:tc>
          <w:tcPr>
            <w:tcW w:w="361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支持进行药品不良反应事件上报，上报页面选项与国家药品不良反应事件监测平台一致，包括事件基本信息、怀疑用药信息、并用药品信息、不良反应过程描述信息、关联性评价等模块。</w:t>
            </w:r>
          </w:p>
        </w:tc>
        <w:tc>
          <w:tcPr>
            <w:tcW w:w="414" w:type="pct"/>
            <w:vMerge w:val="restar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不良事件审核</w:t>
            </w:r>
          </w:p>
        </w:tc>
        <w:tc>
          <w:tcPr>
            <w:tcW w:w="361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w:t>
            </w:r>
            <w:r>
              <w:rPr>
                <w:rFonts w:hint="eastAsia" w:cs="宋体" w:asciiTheme="minorEastAsia" w:hAnsiTheme="minorEastAsia" w:eastAsiaTheme="minorEastAsia"/>
                <w:color w:val="000000"/>
              </w:rPr>
              <w:t>提供逐级审核功能，审核不通过，填写审核不通过原因后返回病区进行完善。</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r>
              <w:rPr>
                <w:rFonts w:cs="宋体" w:asciiTheme="minorEastAsia" w:hAnsiTheme="minorEastAsia" w:eastAsiaTheme="minorEastAsia"/>
                <w:color w:val="000000"/>
              </w:rPr>
              <w:t>.</w:t>
            </w:r>
            <w:r>
              <w:rPr>
                <w:rFonts w:hint="eastAsia" w:cs="宋体" w:asciiTheme="minorEastAsia" w:hAnsiTheme="minorEastAsia" w:eastAsiaTheme="minorEastAsia"/>
                <w:color w:val="000000"/>
              </w:rPr>
              <w:t>支持以时间轴形式查看审核进度。</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不良事件查看列表</w:t>
            </w:r>
          </w:p>
        </w:tc>
        <w:tc>
          <w:tcPr>
            <w:tcW w:w="361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供医院不良事件管理部门查看所有上报至主管部门的药品不良反应事件，支持查看明细、导出等功能</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上报进度查询</w:t>
            </w:r>
          </w:p>
        </w:tc>
        <w:tc>
          <w:tcPr>
            <w:tcW w:w="361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可查询本人或本科室上报的药品不良反应事件当前上报进度，上报进度支持状态显示。</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各科室药品不良反应事件统计</w:t>
            </w:r>
          </w:p>
        </w:tc>
        <w:tc>
          <w:tcPr>
            <w:tcW w:w="361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以柱状图的形式展示各个科室上报的药品不良反应事件次数排名，筛选条件包括科室、日期等。</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药品不良反应事件走势图</w:t>
            </w:r>
          </w:p>
        </w:tc>
        <w:tc>
          <w:tcPr>
            <w:tcW w:w="361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以折线图的形式展示医院每日上报药品不良反应事件的频次，可按全院或单科室进行查看，筛选条件包括科室、日期等。</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药品不良反应结果统计</w:t>
            </w:r>
          </w:p>
        </w:tc>
        <w:tc>
          <w:tcPr>
            <w:tcW w:w="361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以环状图的形式展示药品不良反应结果占比，筛选条件包括科室、日期等。</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不良事件药品占比排名</w:t>
            </w:r>
          </w:p>
        </w:tc>
        <w:tc>
          <w:tcPr>
            <w:tcW w:w="361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以柱状图的形式展示上报的药品不良反应事件中患者使用药品的次数排名，筛选条件包括科室、日期、分类（怀疑用药、并用药品）、TOP数等。</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药品安全不良事件查询</w:t>
            </w:r>
          </w:p>
        </w:tc>
        <w:tc>
          <w:tcPr>
            <w:tcW w:w="361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以列表的形式展示药品不良反应事件统计，列表包括序号、主管部门、发生科室、患者姓名、患者性别、患者年龄、上报人。</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药品不良反应事件汇总</w:t>
            </w:r>
          </w:p>
        </w:tc>
        <w:tc>
          <w:tcPr>
            <w:tcW w:w="361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以列表的形式展示每个事件上报页面的所有信息，与国家药品不良反应监测平台要求统计项目保持一致。</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60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615"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14" w:type="pct"/>
            <w:vMerge w:val="continue"/>
            <w:vAlign w:val="center"/>
          </w:tcPr>
          <w:p>
            <w:pPr>
              <w:rPr>
                <w:rFonts w:cs="宋体" w:asciiTheme="minorEastAsia" w:hAnsiTheme="minorEastAsia" w:eastAsiaTheme="minorEastAsia"/>
                <w:color w:val="000000"/>
              </w:rPr>
            </w:pPr>
          </w:p>
        </w:tc>
      </w:tr>
    </w:tbl>
    <w:p>
      <w:pPr>
        <w:pStyle w:val="137"/>
        <w:ind w:firstLine="0" w:firstLineChars="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w:t>
      </w:r>
      <w:r>
        <w:rPr>
          <w:rFonts w:cs="宋体" w:asciiTheme="minorEastAsia" w:hAnsiTheme="minorEastAsia" w:eastAsiaTheme="minorEastAsia"/>
          <w:b/>
          <w:bCs/>
          <w:sz w:val="24"/>
          <w:szCs w:val="24"/>
        </w:rPr>
        <w:t>.3.4</w:t>
      </w:r>
      <w:r>
        <w:rPr>
          <w:rFonts w:hint="eastAsia" w:cs="宋体" w:asciiTheme="minorEastAsia" w:hAnsiTheme="minorEastAsia" w:eastAsiaTheme="minorEastAsia"/>
          <w:b/>
          <w:bCs/>
          <w:sz w:val="24"/>
          <w:szCs w:val="24"/>
        </w:rPr>
        <w:t>医疗器械不良事件报告与管理系统</w:t>
      </w:r>
    </w:p>
    <w:tbl>
      <w:tblPr>
        <w:tblStyle w:val="36"/>
        <w:tblW w:w="8791"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078"/>
        <w:gridCol w:w="63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8" w:type="dxa"/>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1078" w:type="dxa"/>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6335" w:type="dxa"/>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720" w:type="dxa"/>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8" w:type="dxa"/>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1078" w:type="dxa"/>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事件上报</w:t>
            </w:r>
          </w:p>
        </w:tc>
        <w:tc>
          <w:tcPr>
            <w:tcW w:w="6335" w:type="dxa"/>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支持进行医疗器械不良事件上报，上报页面选项与国家医疗器械不良事件监测平台一致，包括报告基本信息、医疗器械情况、不良事件情况、使用情况、事件初步原因分析与处置等模块。</w:t>
            </w:r>
          </w:p>
        </w:tc>
        <w:tc>
          <w:tcPr>
            <w:tcW w:w="720" w:type="dxa"/>
            <w:vMerge w:val="restar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58" w:type="dxa"/>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1078" w:type="dxa"/>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不良事件审核</w:t>
            </w:r>
          </w:p>
        </w:tc>
        <w:tc>
          <w:tcPr>
            <w:tcW w:w="6335" w:type="dxa"/>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w:t>
            </w:r>
            <w:r>
              <w:rPr>
                <w:rFonts w:hint="eastAsia" w:cs="宋体" w:asciiTheme="minorEastAsia" w:hAnsiTheme="minorEastAsia" w:eastAsiaTheme="minorEastAsia"/>
                <w:color w:val="000000"/>
              </w:rPr>
              <w:t>提供逐级审核功能，审核不通过，填写审核不通过原因后返回病区进行完善。</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r>
              <w:rPr>
                <w:rFonts w:cs="宋体" w:asciiTheme="minorEastAsia" w:hAnsiTheme="minorEastAsia" w:eastAsiaTheme="minorEastAsia"/>
                <w:color w:val="000000"/>
              </w:rPr>
              <w:t>.</w:t>
            </w:r>
            <w:r>
              <w:rPr>
                <w:rFonts w:hint="eastAsia" w:cs="宋体" w:asciiTheme="minorEastAsia" w:hAnsiTheme="minorEastAsia" w:eastAsiaTheme="minorEastAsia"/>
                <w:color w:val="000000"/>
              </w:rPr>
              <w:t>支持以时间轴形式查看审核进度。</w:t>
            </w:r>
          </w:p>
        </w:tc>
        <w:tc>
          <w:tcPr>
            <w:tcW w:w="720"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8" w:type="dxa"/>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1078" w:type="dxa"/>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不良事件查看列表</w:t>
            </w:r>
          </w:p>
        </w:tc>
        <w:tc>
          <w:tcPr>
            <w:tcW w:w="6335" w:type="dxa"/>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供医院不良事件管理部门查看所有上报至主管部门的医疗器械不良事件，支持查看明细、导出等功能</w:t>
            </w:r>
          </w:p>
        </w:tc>
        <w:tc>
          <w:tcPr>
            <w:tcW w:w="720"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8" w:type="dxa"/>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1078" w:type="dxa"/>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上报进度查询</w:t>
            </w:r>
          </w:p>
        </w:tc>
        <w:tc>
          <w:tcPr>
            <w:tcW w:w="6335" w:type="dxa"/>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可查询本人或本科室上报的医疗器械不良事件当前上报进度，上报进度支持状态显示。</w:t>
            </w:r>
          </w:p>
        </w:tc>
        <w:tc>
          <w:tcPr>
            <w:tcW w:w="720"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8" w:type="dxa"/>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1078" w:type="dxa"/>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各科室医疗器械不良事件统计</w:t>
            </w:r>
          </w:p>
        </w:tc>
        <w:tc>
          <w:tcPr>
            <w:tcW w:w="6335" w:type="dxa"/>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以柱状图的形式展示各个科室上报的医疗器械不良事件次数排名，筛选条件包括科室、日期等。</w:t>
            </w:r>
          </w:p>
        </w:tc>
        <w:tc>
          <w:tcPr>
            <w:tcW w:w="720"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8" w:type="dxa"/>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1078" w:type="dxa"/>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医疗器械不良事件走势图</w:t>
            </w:r>
          </w:p>
        </w:tc>
        <w:tc>
          <w:tcPr>
            <w:tcW w:w="6335" w:type="dxa"/>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以折线图的形式展示医院每日上报医疗器械不良事件的频次，可按全院或单科室进行查看，筛选条件包括科室、日期等。</w:t>
            </w:r>
          </w:p>
        </w:tc>
        <w:tc>
          <w:tcPr>
            <w:tcW w:w="720"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8" w:type="dxa"/>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1078" w:type="dxa"/>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医疗器械不良反应事件结果统计</w:t>
            </w:r>
          </w:p>
        </w:tc>
        <w:tc>
          <w:tcPr>
            <w:tcW w:w="6335" w:type="dxa"/>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以环状图的形式展示医疗器械不良反应结果占比，筛选条件包括科室、日期等。</w:t>
            </w:r>
          </w:p>
        </w:tc>
        <w:tc>
          <w:tcPr>
            <w:tcW w:w="720"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8" w:type="dxa"/>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1078" w:type="dxa"/>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不良事件器械占比排名</w:t>
            </w:r>
          </w:p>
        </w:tc>
        <w:tc>
          <w:tcPr>
            <w:tcW w:w="6335" w:type="dxa"/>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以柱状图的形式展示上报的医疗器械不良事件中患者使用器械的次数排名，筛选条件包括科室、日期、分类（怀疑用药、并用药品）、TOP数等。</w:t>
            </w:r>
          </w:p>
        </w:tc>
        <w:tc>
          <w:tcPr>
            <w:tcW w:w="720"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8" w:type="dxa"/>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1078" w:type="dxa"/>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医疗器械不良事件查询</w:t>
            </w:r>
          </w:p>
        </w:tc>
        <w:tc>
          <w:tcPr>
            <w:tcW w:w="6335" w:type="dxa"/>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以列表的形式展示医疗器械不良事件统计，列表包括序号、主管部门、发生科室、患者姓名、患者性别、患者年龄、上报人。</w:t>
            </w:r>
          </w:p>
        </w:tc>
        <w:tc>
          <w:tcPr>
            <w:tcW w:w="720" w:type="dxa"/>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8" w:type="dxa"/>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1078" w:type="dxa"/>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6335" w:type="dxa"/>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720" w:type="dxa"/>
            <w:vMerge w:val="continue"/>
            <w:vAlign w:val="center"/>
          </w:tcPr>
          <w:p>
            <w:pPr>
              <w:rPr>
                <w:rFonts w:cs="宋体" w:asciiTheme="minorEastAsia" w:hAnsiTheme="minorEastAsia" w:eastAsiaTheme="minorEastAsia"/>
                <w:color w:val="000000"/>
              </w:rPr>
            </w:pPr>
          </w:p>
        </w:tc>
      </w:tr>
    </w:tbl>
    <w:p>
      <w:pPr>
        <w:pStyle w:val="137"/>
        <w:ind w:firstLine="0" w:firstLineChars="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w:t>
      </w:r>
      <w:r>
        <w:rPr>
          <w:rFonts w:cs="宋体" w:asciiTheme="minorEastAsia" w:hAnsiTheme="minorEastAsia" w:eastAsiaTheme="minorEastAsia"/>
          <w:b/>
          <w:bCs/>
          <w:sz w:val="24"/>
          <w:szCs w:val="24"/>
        </w:rPr>
        <w:t>.3.5</w:t>
      </w:r>
      <w:r>
        <w:rPr>
          <w:rFonts w:hint="eastAsia" w:cs="宋体" w:asciiTheme="minorEastAsia" w:hAnsiTheme="minorEastAsia" w:eastAsiaTheme="minorEastAsia"/>
          <w:b/>
          <w:bCs/>
          <w:sz w:val="24"/>
          <w:szCs w:val="24"/>
        </w:rPr>
        <w:t>护理人员档案管理系统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54"/>
        <w:gridCol w:w="6292"/>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14"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8"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护理人员档案管理</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1．支持从</w:t>
            </w:r>
            <w:r>
              <w:rPr>
                <w:rFonts w:hint="eastAsia" w:cs="宋体" w:asciiTheme="minorEastAsia" w:hAnsiTheme="minorEastAsia" w:eastAsiaTheme="minorEastAsia"/>
              </w:rPr>
              <w:t>医院现有系统</w:t>
            </w:r>
            <w:r>
              <w:rPr>
                <w:rFonts w:hint="eastAsia" w:cs="宋体" w:asciiTheme="minorEastAsia" w:hAnsiTheme="minorEastAsia" w:eastAsiaTheme="minorEastAsia"/>
                <w:color w:val="000000"/>
              </w:rPr>
              <w:t>同步护理人员基本信息的功能。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2．个人档案管理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1）具有护理人员从入院到退休档案的建立和修改功能。支持档案的初审和终审，支持层级进阶、业务培训、考试记录等部分动态档案的自动生成功能。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2）支持个人头像与各种证书照片通过平板端、手机端同步上传。</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3．档案修改审批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支持档案修改的申请与审批功能。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4．调配管理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具有人员调配、调离和转科的功能，支持调配申请、审批和接收全流程操作。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5．规培管理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具有规培护士登记、规培护士轮转功能，支持手动轮转和自动轮转。</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6．实习/进修管理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具有实习护士登记、进修护士登记、轮转功能。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7．离退休管理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具有离职申请、离职审批、退休申请、退休审批功能。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8．层级进阶管理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具有完整的层级进阶流程，对于不同的层级支持不同的进阶流程。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9．统计分析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包括护理人员信息统计、护理人员职称分布图、护理人员人事编制状态分析、护理人员离职率分析、护理人员层级分布情况、护理人员学历分布、护理人员衣裤鞋信息查询等各种维度的统计分析功能，支持导出EXCEL格式。</w:t>
            </w:r>
          </w:p>
        </w:tc>
        <w:tc>
          <w:tcPr>
            <w:tcW w:w="414" w:type="pct"/>
            <w:vMerge w:val="restar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7"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数据查询</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1.可按职工性质分类查询；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2.提供工号、姓名、简码的快速查询；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3.提供人员高级查询；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4.可按科室显示人员；</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5.可自定义显示列</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6.护理人员建档、基本信息修改及人员注销；</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7.自定义字段是否显示；自定义字段是否可修改；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8.可自定义excel导入模版；</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9.excel数据导入；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10.excel数据导出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11.支持个人全档案简历查看，导出和打印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12.支持照片的个人导入，批量导入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13.支持护士的证件管理，含有效期，原证件照片上传，以及有效期督察功能。</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调配管理</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1.指定到人员、调出科室、调出日期，执行调动；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2.撤消调动记录，清除相关数据痕迹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3.调动记录可自动生成个人档案记录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4.调动记录汇总查询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5.指定到人员、临时借调科室、借调日期，执行借调</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6.临时调动记录汇总查询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7.记录人员外派的情况，如参加抗险救灾任务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8.护士外出进修结果登记</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trPr>
        <w:tc>
          <w:tcPr>
            <w:tcW w:w="37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统计分析</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1.分析全院及各科护士鞋衣帽情况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2.分析全院及各科男女护士比例情况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3.分析全院及各科护士职称分布情况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4.分析全院及各科护士职工性质分布情况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5.分析全院及各科护士职务情况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6.分析全院及各科护士层级分布情况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7.分析全院及各科护士学历分布情况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8.分析全院及各科护士专业类别分布情况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9.分析全院及各科护士工作年限情况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10.分析全院及各科护士各年龄段分布情况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11.分析全院及各科护士注销情况</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vAlign w:val="center"/>
          </w:tcPr>
          <w:p>
            <w:pPr>
              <w:ind w:right="208"/>
              <w:jc w:val="right"/>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14" w:type="pct"/>
            <w:vMerge w:val="continue"/>
            <w:vAlign w:val="center"/>
          </w:tcPr>
          <w:p>
            <w:pPr>
              <w:rPr>
                <w:rFonts w:cs="宋体" w:asciiTheme="minorEastAsia" w:hAnsiTheme="minorEastAsia" w:eastAsiaTheme="minorEastAsia"/>
                <w:color w:val="000000"/>
              </w:rPr>
            </w:pPr>
          </w:p>
        </w:tc>
      </w:tr>
    </w:tbl>
    <w:p>
      <w:pPr>
        <w:pStyle w:val="137"/>
        <w:ind w:firstLine="0" w:firstLineChars="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w:t>
      </w:r>
      <w:r>
        <w:rPr>
          <w:rFonts w:cs="宋体" w:asciiTheme="minorEastAsia" w:hAnsiTheme="minorEastAsia" w:eastAsiaTheme="minorEastAsia"/>
          <w:b/>
          <w:bCs/>
          <w:sz w:val="24"/>
          <w:szCs w:val="24"/>
        </w:rPr>
        <w:t>.3.6</w:t>
      </w:r>
      <w:r>
        <w:rPr>
          <w:rFonts w:hint="eastAsia" w:cs="宋体" w:asciiTheme="minorEastAsia" w:hAnsiTheme="minorEastAsia" w:eastAsiaTheme="minorEastAsia"/>
          <w:b/>
          <w:bCs/>
          <w:sz w:val="24"/>
          <w:szCs w:val="24"/>
        </w:rPr>
        <w:t>护理排班管理系统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48"/>
        <w:gridCol w:w="6299"/>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80"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0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5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14"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3" w:hRule="atLeast"/>
        </w:trPr>
        <w:tc>
          <w:tcPr>
            <w:tcW w:w="380"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0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护理排班管理</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1.人员管理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提供人员排序、带教老师匹配等相关功能。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2.护理排班</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1）支持手动排班和一键排班，提供排班规则设置功能。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2）支持按周、月和季度排班，提供排班人员分组、排班人员排序的功能，支持导出到EXCEL和打印预览的功能。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3）支持备班自动分组和实习生随带教老师自动排班功能。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3.班次管理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提供护理部统一维护班次功能，支持各病区自定义班次名称功能。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4.护士意愿</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支持护士填写护士意愿，护士长排班查看护士意愿功能。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5.手机端排班表查看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支持护理人员通过手机端系统查看个人排班和全院排班。</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6.统计分析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1）具有床位使用率、护患比、床护比自动计算的功能；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2）具有全院护理人员值班统计、全院各病区夜班费月度统计、全院护理人员夜班费统计、各层级护理人员夜班人次统计、全院休假人员统计、全院护理人员值班情况等各种自动生成的统计分析。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3）提供全院各病区护患比统计、历史护患比曲线图分析等敏感指标数据的生成。</w:t>
            </w:r>
          </w:p>
        </w:tc>
        <w:tc>
          <w:tcPr>
            <w:tcW w:w="414" w:type="pct"/>
            <w:vMerge w:val="restar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380"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0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规则设置</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1.支持设定各护理单元的排班分组信息。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2.支持可以按需设定各科室的班次，如班次的颜色，班时值等。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3.支持设定各护理单元的夜班费计算规则。</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4.支持设定医院每天的工作时间换算规则，夜班计入换算规则。</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5.支持设定医院的各种假日，比如国家法定假日、院庆日等。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6.支持维护各类假期类型，比如国庆节等。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7.支持设定排班的各种约束，比如每周每人工作时间限制，白班人员数量等。</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380"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0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统计分析</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1.可以统计各科室各种班次的排班、在岗、休假等信息。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2.支持根据排班信息，自动计算夜班费。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3.支持统计科室执业护士人数及核定床位数，分析各科床护比。</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4.支持统计上班护士人数及在院病人数，分析各科护患比。</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5.支持分析护士的私人需求提交次数及满足情况。</w:t>
            </w:r>
          </w:p>
        </w:tc>
        <w:tc>
          <w:tcPr>
            <w:tcW w:w="41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8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0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14" w:type="pct"/>
            <w:vMerge w:val="continue"/>
            <w:vAlign w:val="center"/>
          </w:tcPr>
          <w:p>
            <w:pPr>
              <w:rPr>
                <w:rFonts w:cs="宋体" w:asciiTheme="minorEastAsia" w:hAnsiTheme="minorEastAsia" w:eastAsiaTheme="minorEastAsia"/>
                <w:color w:val="000000"/>
              </w:rPr>
            </w:pPr>
          </w:p>
        </w:tc>
      </w:tr>
    </w:tbl>
    <w:p>
      <w:pPr>
        <w:pStyle w:val="137"/>
        <w:ind w:firstLine="0" w:firstLineChars="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w:t>
      </w:r>
      <w:r>
        <w:rPr>
          <w:rFonts w:cs="宋体" w:asciiTheme="minorEastAsia" w:hAnsiTheme="minorEastAsia" w:eastAsiaTheme="minorEastAsia"/>
          <w:b/>
          <w:bCs/>
          <w:sz w:val="24"/>
          <w:szCs w:val="24"/>
        </w:rPr>
        <w:t>.3</w:t>
      </w:r>
      <w:r>
        <w:rPr>
          <w:rFonts w:hint="eastAsia" w:cs="宋体" w:asciiTheme="minorEastAsia" w:hAnsiTheme="minorEastAsia" w:eastAsiaTheme="minorEastAsia"/>
          <w:b/>
          <w:bCs/>
          <w:sz w:val="24"/>
          <w:szCs w:val="24"/>
        </w:rPr>
        <w:t>.</w:t>
      </w:r>
      <w:r>
        <w:rPr>
          <w:rFonts w:cs="宋体" w:asciiTheme="minorEastAsia" w:hAnsiTheme="minorEastAsia" w:eastAsiaTheme="minorEastAsia"/>
          <w:b/>
          <w:bCs/>
          <w:sz w:val="24"/>
          <w:szCs w:val="24"/>
        </w:rPr>
        <w:t>7</w:t>
      </w:r>
      <w:r>
        <w:rPr>
          <w:rFonts w:hint="eastAsia" w:cs="宋体" w:asciiTheme="minorEastAsia" w:hAnsiTheme="minorEastAsia" w:eastAsiaTheme="minorEastAsia"/>
          <w:b/>
          <w:bCs/>
          <w:sz w:val="24"/>
          <w:szCs w:val="24"/>
        </w:rPr>
        <w:t>护理满意度调查系统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65"/>
        <w:gridCol w:w="6282"/>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80"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58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1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3" w:hRule="atLeast"/>
        </w:trPr>
        <w:tc>
          <w:tcPr>
            <w:tcW w:w="380"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护理满意度调查</w:t>
            </w:r>
          </w:p>
        </w:tc>
        <w:tc>
          <w:tcPr>
            <w:tcW w:w="358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1.模板设置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支持满意度调查模板的设置，具有最满意度护士和最不满意护士的模板项目选择。</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2.分配权限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支持病区护士长为护士分配满意度调查表的权限。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3.调查登记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1）支持通过护理人员通过PAD（平板）调取相应的调查表对患者进行调查。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2）支持患者通过手机在线主动填写调查表。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★3）支持科室对科室进行满意度调查。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4.支持护士对护士进行满意度调查。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5.统计分析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具有调查满意率统计、最满意护士排名、最不满意护士排名、调查项目满意率统计、各科室月度最满意护士次数统计功能。</w:t>
            </w:r>
          </w:p>
        </w:tc>
        <w:tc>
          <w:tcPr>
            <w:tcW w:w="415" w:type="pct"/>
            <w:vMerge w:val="restar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380"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其他功能</w:t>
            </w:r>
          </w:p>
        </w:tc>
        <w:tc>
          <w:tcPr>
            <w:tcW w:w="358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1.支持对门诊、出院、在院等患者进行调查。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2.提供调查计划制定功能。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3.支持任务名单的手动筛选和自动筛选。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4.支持自动化调查，调查时间可自定义。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5.支持短信、微信、APP、电话等多种调查方式。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6.支持按权限处理随访异常。</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7.对于收集来的满意度调查增加转投诉功能，进入投诉管理流程。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8.支持查看随访异常处理记录。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9.支持过滤名单检索。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10.支持已过滤患者移除名单。</w:t>
            </w:r>
          </w:p>
        </w:tc>
        <w:tc>
          <w:tcPr>
            <w:tcW w:w="415"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8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8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15" w:type="pct"/>
            <w:vMerge w:val="continue"/>
            <w:vAlign w:val="center"/>
          </w:tcPr>
          <w:p>
            <w:pPr>
              <w:rPr>
                <w:rFonts w:cs="宋体" w:asciiTheme="minorEastAsia" w:hAnsiTheme="minorEastAsia" w:eastAsiaTheme="minorEastAsia"/>
                <w:color w:val="000000"/>
              </w:rPr>
            </w:pPr>
          </w:p>
        </w:tc>
      </w:tr>
    </w:tbl>
    <w:p>
      <w:pPr>
        <w:pStyle w:val="137"/>
        <w:ind w:firstLine="0" w:firstLineChars="0"/>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3.3.8</w:t>
      </w:r>
      <w:r>
        <w:rPr>
          <w:rFonts w:hint="eastAsia" w:cs="宋体" w:asciiTheme="minorEastAsia" w:hAnsiTheme="minorEastAsia" w:eastAsiaTheme="minorEastAsia"/>
          <w:b/>
          <w:bCs/>
          <w:sz w:val="24"/>
          <w:szCs w:val="24"/>
        </w:rPr>
        <w:t>护士长工作手册系统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61"/>
        <w:gridCol w:w="6286"/>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80"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59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1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9" w:hRule="atLeast"/>
        </w:trPr>
        <w:tc>
          <w:tcPr>
            <w:tcW w:w="380"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护士长工作手册</w:t>
            </w:r>
          </w:p>
        </w:tc>
        <w:tc>
          <w:tcPr>
            <w:tcW w:w="359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1.护士长日程记录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支持护士长设置周程，提供护士长日程记录功能，系统至少具有、超时未记、超时已记录、已完成状态的提醒功能。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2.手机端日程记录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支持护士长通过手机端记录日程，系统至少具有超时未记、超时已记录、已完成状态的提醒功能。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3.记录全局检索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支持病区护士长根据关键字全局检索日程记录的功能。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4.规章制度</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支持规章制度的建立和分目录查看。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5.工作计划与总结</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1）提供病区的工作计划和总结填报功能，支持病区查看护理部的工作计划。</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2）支持工作计划采用甘特图形式展示。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★6.护理专项记录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至少应支持护理查房记录、护理疑难病例讨论记录、业务学习记录、人员调配记录、护士谈心记录、质控会纪要、工休座谈会常用护理记录功能。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7.会诊记录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支持院内会诊、院外会诊和专科会诊等。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8.假日查房</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具有护士长节假日查房及查房监控功能。</w:t>
            </w:r>
          </w:p>
        </w:tc>
        <w:tc>
          <w:tcPr>
            <w:tcW w:w="415" w:type="pct"/>
            <w:vMerge w:val="restar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8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1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9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15" w:type="pct"/>
            <w:vMerge w:val="continue"/>
            <w:vAlign w:val="center"/>
          </w:tcPr>
          <w:p>
            <w:pPr>
              <w:rPr>
                <w:rFonts w:cs="宋体" w:asciiTheme="minorEastAsia" w:hAnsiTheme="minorEastAsia" w:eastAsiaTheme="minorEastAsia"/>
                <w:color w:val="000000"/>
              </w:rPr>
            </w:pPr>
          </w:p>
        </w:tc>
      </w:tr>
    </w:tbl>
    <w:p>
      <w:pPr>
        <w:pStyle w:val="137"/>
        <w:ind w:firstLine="0" w:firstLineChars="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w:t>
      </w:r>
      <w:r>
        <w:rPr>
          <w:rFonts w:cs="宋体" w:asciiTheme="minorEastAsia" w:hAnsiTheme="minorEastAsia" w:eastAsiaTheme="minorEastAsia"/>
          <w:b/>
          <w:bCs/>
          <w:sz w:val="24"/>
          <w:szCs w:val="24"/>
        </w:rPr>
        <w:t>.3.9</w:t>
      </w:r>
      <w:r>
        <w:rPr>
          <w:rFonts w:hint="eastAsia" w:cs="宋体" w:asciiTheme="minorEastAsia" w:hAnsiTheme="minorEastAsia" w:eastAsiaTheme="minorEastAsia"/>
          <w:b/>
          <w:bCs/>
          <w:sz w:val="24"/>
          <w:szCs w:val="24"/>
        </w:rPr>
        <w:t>护理部工作手册系统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66"/>
        <w:gridCol w:w="6281"/>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8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58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1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3" w:hRule="atLeast"/>
        </w:trPr>
        <w:tc>
          <w:tcPr>
            <w:tcW w:w="38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护理部工作手册</w:t>
            </w:r>
          </w:p>
        </w:tc>
        <w:tc>
          <w:tcPr>
            <w:tcW w:w="358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1.重点信息统计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具有病危病人、高风险病人等重点人群的统计功能，以折线图或柱状图形式展示。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2.记录全局检索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支持护理部根据关键字全局检索日程记录的功能。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3.规章制度</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提供各种规章制度文档管理功能，可自建文档目录，支持规章制度文档查看监控功能。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4.工作计划与总结</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1）提供护理部工作计划和总结填报功能，支持护理部查看病区的工作计划与总结。</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2）支持工作计划采用甘特图形式展示。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5.护理专项记录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至少应支持护理查房记录、护理疑难病例讨论记录、业务学习记录、人员调配记录、质控会纪要、工休座谈会、会诊记录、应急演练记录等常用专项记录的查看功能。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6.年度责任目标与优质护理服务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具有年度责任目标和优质护理服务的制定功能，年度责任目标要求体现检查方法、评分标准和自查结果，优质护理服务要求体现落实措施和完成进度。</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7.公告管理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1）提供新建、修改公告功能，支持图片和文档上传功能，支持下发范围的选择。</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2）支持护理人员通过手机端查看公告信息的功能，并提供消息系统功能。</w:t>
            </w:r>
          </w:p>
        </w:tc>
        <w:tc>
          <w:tcPr>
            <w:tcW w:w="415" w:type="pct"/>
            <w:vMerge w:val="restar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8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8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15" w:type="pct"/>
            <w:vMerge w:val="continue"/>
            <w:vAlign w:val="center"/>
          </w:tcPr>
          <w:p>
            <w:pPr>
              <w:rPr>
                <w:rFonts w:cs="宋体" w:asciiTheme="minorEastAsia" w:hAnsiTheme="minorEastAsia" w:eastAsiaTheme="minorEastAsia"/>
                <w:color w:val="000000"/>
              </w:rPr>
            </w:pPr>
          </w:p>
        </w:tc>
      </w:tr>
    </w:tbl>
    <w:p>
      <w:pPr>
        <w:pStyle w:val="137"/>
        <w:ind w:firstLine="0" w:firstLineChars="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w:t>
      </w:r>
      <w:r>
        <w:rPr>
          <w:rFonts w:cs="宋体" w:asciiTheme="minorEastAsia" w:hAnsiTheme="minorEastAsia" w:eastAsiaTheme="minorEastAsia"/>
          <w:b/>
          <w:bCs/>
          <w:sz w:val="24"/>
          <w:szCs w:val="24"/>
        </w:rPr>
        <w:t>.3.10</w:t>
      </w:r>
      <w:r>
        <w:rPr>
          <w:rFonts w:hint="eastAsia" w:cs="宋体" w:asciiTheme="minorEastAsia" w:hAnsiTheme="minorEastAsia" w:eastAsiaTheme="minorEastAsia"/>
          <w:b/>
          <w:bCs/>
          <w:sz w:val="24"/>
          <w:szCs w:val="24"/>
        </w:rPr>
        <w:t>护理敏感指标管理系统</w:t>
      </w:r>
    </w:p>
    <w:tbl>
      <w:tblPr>
        <w:tblStyle w:val="36"/>
        <w:tblW w:w="51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83"/>
        <w:gridCol w:w="6244"/>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4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59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04"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0" w:hRule="atLeast"/>
        </w:trPr>
        <w:tc>
          <w:tcPr>
            <w:tcW w:w="36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4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护理敏感指标管理</w:t>
            </w:r>
          </w:p>
        </w:tc>
        <w:tc>
          <w:tcPr>
            <w:tcW w:w="359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1.数据采集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系统应支持对于国家护理质量数据平台所要求的全院护理质量数据进行自动采集，每个护理质量数据应支持自动采集或手动填报两种模式。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2.ICU敏感指标统计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系统应支持对于国家护理质量数据平台所要求的ICU护理质量数据的自动采集。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3.敏感指标分析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应提供按月、季度、年对护理敏感指标数据进行统计图分析，包括床护比、护患比、白班护患比、夜班护患比、护理时数、导尿管非计划拔管率、胃肠管非计划保管率、气管导管非计划拔管率、VAP、PICC、CVC、CAUTI、住院患者身体约束等敏感指标分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4.护理敏感指标数据范围查看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护理部可以查看全院所有病区的护理敏感指标数据和统计。</w:t>
            </w:r>
          </w:p>
        </w:tc>
        <w:tc>
          <w:tcPr>
            <w:tcW w:w="404" w:type="pct"/>
            <w:vMerge w:val="restar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4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9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04" w:type="pct"/>
            <w:vMerge w:val="continue"/>
            <w:vAlign w:val="center"/>
          </w:tcPr>
          <w:p>
            <w:pPr>
              <w:rPr>
                <w:rFonts w:cs="宋体" w:asciiTheme="minorEastAsia" w:hAnsiTheme="minorEastAsia" w:eastAsiaTheme="minorEastAsia"/>
                <w:color w:val="000000"/>
              </w:rPr>
            </w:pPr>
          </w:p>
        </w:tc>
      </w:tr>
    </w:tbl>
    <w:p>
      <w:pPr>
        <w:pStyle w:val="137"/>
        <w:ind w:firstLine="0" w:firstLineChars="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w:t>
      </w:r>
      <w:r>
        <w:rPr>
          <w:rFonts w:cs="宋体" w:asciiTheme="minorEastAsia" w:hAnsiTheme="minorEastAsia" w:eastAsiaTheme="minorEastAsia"/>
          <w:b/>
          <w:bCs/>
          <w:sz w:val="24"/>
          <w:szCs w:val="24"/>
        </w:rPr>
        <w:t>.3.11</w:t>
      </w:r>
      <w:r>
        <w:rPr>
          <w:rFonts w:hint="eastAsia" w:cs="宋体" w:asciiTheme="minorEastAsia" w:hAnsiTheme="minorEastAsia" w:eastAsiaTheme="minorEastAsia"/>
          <w:b/>
          <w:bCs/>
          <w:sz w:val="24"/>
          <w:szCs w:val="24"/>
        </w:rPr>
        <w:t>护理助手系统</w:t>
      </w:r>
    </w:p>
    <w:tbl>
      <w:tblPr>
        <w:tblStyle w:val="36"/>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88"/>
        <w:gridCol w:w="6245"/>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4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58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0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36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4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护士手机端</w:t>
            </w:r>
          </w:p>
        </w:tc>
        <w:tc>
          <w:tcPr>
            <w:tcW w:w="358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1.基于医院微信企业号建立安全、高效的护士手机端日常工作助手。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2.扫码:支持考试签到、培训签到、护士长节假日查房签到、扫码登录等功能。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3.培训教育:应提供线上学习课件、自测学习、学习分享、在线培训、培训记录、在线考试、考试记录等线上培训和考试功能。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4.排班查看:支持在线查看个人排班和病区排班表。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5.调配管理:提供人员调配申请、调配接收、轮转结束申请、轮转结束审批等先生申请、审批功能。支持待办事项红点提醒功能。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6.个人资料上传:支持通过护士手机端系统上传个人的头像和图片资料至个人档案。</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7.日程录入:提供便捷的护士长日程录入功能。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8.公告及消息:提供公告提醒及公告查看功能，支持护理管理信息平台各系统各流程节点的消息提醒和查看功能。</w:t>
            </w:r>
          </w:p>
        </w:tc>
        <w:tc>
          <w:tcPr>
            <w:tcW w:w="408" w:type="pct"/>
            <w:vMerge w:val="restar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6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4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8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08" w:type="pct"/>
            <w:vMerge w:val="continue"/>
            <w:vAlign w:val="center"/>
          </w:tcPr>
          <w:p>
            <w:pPr>
              <w:rPr>
                <w:rFonts w:cs="宋体" w:asciiTheme="minorEastAsia" w:hAnsiTheme="minorEastAsia" w:eastAsiaTheme="minorEastAsia"/>
                <w:color w:val="000000"/>
              </w:rPr>
            </w:pPr>
          </w:p>
        </w:tc>
      </w:tr>
    </w:tbl>
    <w:p>
      <w:pPr>
        <w:pStyle w:val="137"/>
        <w:ind w:firstLine="0" w:firstLineChars="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w:t>
      </w:r>
      <w:r>
        <w:rPr>
          <w:rFonts w:cs="宋体" w:asciiTheme="minorEastAsia" w:hAnsiTheme="minorEastAsia" w:eastAsiaTheme="minorEastAsia"/>
          <w:b/>
          <w:bCs/>
          <w:sz w:val="24"/>
          <w:szCs w:val="24"/>
        </w:rPr>
        <w:t>.3.12</w:t>
      </w:r>
      <w:r>
        <w:rPr>
          <w:rFonts w:hint="eastAsia" w:cs="宋体" w:asciiTheme="minorEastAsia" w:hAnsiTheme="minorEastAsia" w:eastAsiaTheme="minorEastAsia"/>
          <w:b/>
          <w:bCs/>
          <w:sz w:val="24"/>
          <w:szCs w:val="24"/>
        </w:rPr>
        <w:t>护患通系统</w:t>
      </w:r>
    </w:p>
    <w:tbl>
      <w:tblPr>
        <w:tblStyle w:val="36"/>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78"/>
        <w:gridCol w:w="6255"/>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3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功能模块</w:t>
            </w:r>
          </w:p>
        </w:tc>
        <w:tc>
          <w:tcPr>
            <w:tcW w:w="359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0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4"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3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患者手机端</w:t>
            </w:r>
          </w:p>
        </w:tc>
        <w:tc>
          <w:tcPr>
            <w:tcW w:w="359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1.基于微信服务号为患者提供诊后延续性护理服务。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2.专题讲座</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应支持小视频类健康宣教，支持评价、分享、点赞等功能。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3.康复助手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应支持文字类健康知识的分类与展示。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4.健康宣教</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应提供移动护理系统推送的健康宣教内容的接收与评价。</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5.满意度评价</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应提供在线实时进行满意度评价的功能。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6.诊后随访</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提供智能化的诊后随访功能。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7.在线咨询</w:t>
            </w:r>
          </w:p>
          <w:p>
            <w:pPr>
              <w:rPr>
                <w:rFonts w:cs="宋体" w:asciiTheme="minorEastAsia" w:hAnsiTheme="minorEastAsia" w:eastAsiaTheme="minorEastAsia"/>
                <w:color w:val="000000"/>
                <w:highlight w:val="yellow"/>
              </w:rPr>
            </w:pPr>
            <w:r>
              <w:rPr>
                <w:rFonts w:hint="eastAsia" w:cs="宋体" w:asciiTheme="minorEastAsia" w:hAnsiTheme="minorEastAsia" w:eastAsiaTheme="minorEastAsia"/>
                <w:color w:val="000000"/>
              </w:rPr>
              <w:t>提供简单易用的在线咨询和答复功能。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8.个人注册</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应至少提供2种患者注册方式，尽量减少患者手动输入信息的工作量。</w:t>
            </w:r>
          </w:p>
        </w:tc>
        <w:tc>
          <w:tcPr>
            <w:tcW w:w="408" w:type="pct"/>
            <w:vMerge w:val="restar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6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3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其他功能</w:t>
            </w:r>
          </w:p>
        </w:tc>
        <w:tc>
          <w:tcPr>
            <w:tcW w:w="359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1.支持PC网页</w:t>
            </w:r>
            <w:r>
              <w:rPr>
                <w:rFonts w:hint="eastAsia" w:cs="宋体" w:asciiTheme="minorEastAsia" w:hAnsiTheme="minorEastAsia" w:eastAsiaTheme="minorEastAsia"/>
              </w:rPr>
              <w:t>端和医、护移动</w:t>
            </w:r>
            <w:r>
              <w:rPr>
                <w:rFonts w:hint="eastAsia" w:cs="宋体" w:asciiTheme="minorEastAsia" w:hAnsiTheme="minorEastAsia" w:eastAsiaTheme="minorEastAsia"/>
                <w:color w:val="000000"/>
              </w:rPr>
              <w:t>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2.支持医医沟通，医护沟通，医患沟通。</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3.支持电话、微信、短信等多种沟通渠道。</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4.支持文字、视频、语音、图片等多种沟通方式。</w:t>
            </w:r>
          </w:p>
        </w:tc>
        <w:tc>
          <w:tcPr>
            <w:tcW w:w="408"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3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9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08"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hint="eastAsia" w:cs="宋体" w:asciiTheme="minorEastAsia" w:hAnsiTheme="minorEastAsia" w:eastAsiaTheme="minorEastAsia"/>
          <w:b/>
          <w:bCs/>
        </w:rPr>
        <w:t>4</w:t>
      </w:r>
      <w:r>
        <w:rPr>
          <w:rFonts w:cs="宋体" w:asciiTheme="minorEastAsia" w:hAnsiTheme="minorEastAsia" w:eastAsiaTheme="minorEastAsia"/>
          <w:b/>
          <w:bCs/>
        </w:rPr>
        <w:t>.</w:t>
      </w:r>
      <w:r>
        <w:rPr>
          <w:rFonts w:hint="eastAsia" w:cs="宋体" w:asciiTheme="minorEastAsia" w:hAnsiTheme="minorEastAsia" w:eastAsiaTheme="minorEastAsia"/>
          <w:b/>
          <w:bCs/>
        </w:rPr>
        <w:t>围术期管理系统</w:t>
      </w:r>
    </w:p>
    <w:p>
      <w:pPr>
        <w:rPr>
          <w:rFonts w:cs="宋体" w:asciiTheme="minorEastAsia" w:hAnsiTheme="minorEastAsia" w:eastAsiaTheme="minorEastAsia"/>
          <w:b/>
          <w:bCs/>
        </w:rPr>
      </w:pPr>
      <w:r>
        <w:rPr>
          <w:rFonts w:cs="宋体" w:asciiTheme="minorEastAsia" w:hAnsiTheme="minorEastAsia" w:eastAsiaTheme="minorEastAsia"/>
          <w:b/>
          <w:bCs/>
        </w:rPr>
        <w:t>4.1</w:t>
      </w:r>
      <w:r>
        <w:rPr>
          <w:rFonts w:hint="eastAsia" w:cs="宋体" w:asciiTheme="minorEastAsia" w:hAnsiTheme="minorEastAsia" w:eastAsiaTheme="minorEastAsia"/>
          <w:b/>
          <w:bCs/>
        </w:rPr>
        <w:t>手术患者家属等候区公告系统</w:t>
      </w:r>
    </w:p>
    <w:tbl>
      <w:tblPr>
        <w:tblStyle w:val="36"/>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106"/>
        <w:gridCol w:w="6286"/>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31"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名称</w:t>
            </w:r>
          </w:p>
        </w:tc>
        <w:tc>
          <w:tcPr>
            <w:tcW w:w="3588"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16"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31"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手术宣教</w:t>
            </w:r>
          </w:p>
        </w:tc>
        <w:tc>
          <w:tcPr>
            <w:tcW w:w="3588"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需支持轮播术后康复、温馨关怀、舒缓音频等宣教内容，支持自由配置宣教内容，支持音视频宣教、图文宣教。</w:t>
            </w:r>
          </w:p>
        </w:tc>
        <w:tc>
          <w:tcPr>
            <w:tcW w:w="416"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31"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各手术进程一览</w:t>
            </w:r>
          </w:p>
        </w:tc>
        <w:tc>
          <w:tcPr>
            <w:tcW w:w="3588"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需支持展示各手术患者手术进程信息，手术进程实时获取实时刷新，并对隐私内容进行数据脱敏。</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31"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家属呼叫通知</w:t>
            </w:r>
          </w:p>
        </w:tc>
        <w:tc>
          <w:tcPr>
            <w:tcW w:w="3588"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需支持医护人员在手术间内一键发起家属谈话呼叫之后，家属等候区公告大屏语音加弹窗字幕通知被呼叫家属前往谈话间进行谈话，同手术室医护患协同系统及术中患者医疗数据及影像数据交互集成系统一同构建患者谈话流程闭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31"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88"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31"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交互大屏（等候区公告）</w:t>
            </w:r>
          </w:p>
        </w:tc>
        <w:tc>
          <w:tcPr>
            <w:tcW w:w="3588"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1.显示参数：≥55英寸，≥1920×1080@60Hz，≥300cd/m2；</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2.操作系统：Android 7.1或以上；</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3.CPU不低于：Cortex-A17，4核，主频1.8 GHz；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4.存储参数：内存≥2G,内置存储≥8G；</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5.网络：支持有线、无线WIFI；</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▲6.可通过设备管理系统进行集中管理，实现一站式报修运维服务。</w:t>
            </w:r>
          </w:p>
        </w:tc>
        <w:tc>
          <w:tcPr>
            <w:tcW w:w="416"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bl>
    <w:p>
      <w:pPr>
        <w:rPr>
          <w:rFonts w:cs="宋体" w:asciiTheme="minorEastAsia" w:hAnsiTheme="minorEastAsia" w:eastAsiaTheme="minorEastAsia"/>
          <w:b/>
          <w:bCs/>
        </w:rPr>
      </w:pPr>
      <w:r>
        <w:rPr>
          <w:rFonts w:hint="eastAsia" w:cs="宋体" w:asciiTheme="minorEastAsia" w:hAnsiTheme="minorEastAsia" w:eastAsiaTheme="minorEastAsia"/>
          <w:b/>
          <w:bCs/>
        </w:rPr>
        <w:t>4</w:t>
      </w:r>
      <w:r>
        <w:rPr>
          <w:rFonts w:cs="宋体" w:asciiTheme="minorEastAsia" w:hAnsiTheme="minorEastAsia" w:eastAsiaTheme="minorEastAsia"/>
          <w:b/>
          <w:bCs/>
        </w:rPr>
        <w:t>.2</w:t>
      </w:r>
      <w:r>
        <w:rPr>
          <w:rFonts w:hint="eastAsia" w:cs="宋体" w:asciiTheme="minorEastAsia" w:hAnsiTheme="minorEastAsia" w:eastAsiaTheme="minorEastAsia"/>
          <w:b/>
          <w:bCs/>
        </w:rPr>
        <w:t>手术排班协同公告系统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105"/>
        <w:gridCol w:w="628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30"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8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30"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各手术间当台手术汇览</w:t>
            </w:r>
          </w:p>
        </w:tc>
        <w:tc>
          <w:tcPr>
            <w:tcW w:w="3582"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需支持一张屏展示各手术间当台手术信息、手术进程信息，包括患者信息、手术名称、麻醉信息、医护信息、手术进程等；系统支持通过手麻系统及物联设备自动获取手术进程节点并实时刷新变更。</w:t>
            </w:r>
          </w:p>
        </w:tc>
        <w:tc>
          <w:tcPr>
            <w:tcW w:w="423"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30"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各手术间当日排班一览</w:t>
            </w:r>
          </w:p>
        </w:tc>
        <w:tc>
          <w:tcPr>
            <w:tcW w:w="3582"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需支持大屏一屏滚动展示各手术间手术排班信息、各台次进程信息，包括患者信息、台次信息、手术名称、麻醉信息、医护信息、手术进程等；系统需支持通过手麻系统及物联设备自动获取手术进程节点并实时刷新变更。</w:t>
            </w:r>
          </w:p>
        </w:tc>
        <w:tc>
          <w:tcPr>
            <w:tcW w:w="42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30"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各手术间手术进程及排班汇览</w:t>
            </w:r>
          </w:p>
        </w:tc>
        <w:tc>
          <w:tcPr>
            <w:tcW w:w="3582"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★需支持大屏分览展示各手术间手术进程；支持切换手术间查看该手术间当日手术排班信息，包括患者信息、手术名称、麻醉信息、医护信息、手术进程。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tc>
        <w:tc>
          <w:tcPr>
            <w:tcW w:w="42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30"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通知公告</w:t>
            </w:r>
          </w:p>
        </w:tc>
        <w:tc>
          <w:tcPr>
            <w:tcW w:w="3582"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需支持手术室通知公告滚动展示</w:t>
            </w:r>
          </w:p>
        </w:tc>
        <w:tc>
          <w:tcPr>
            <w:tcW w:w="42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30"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82"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2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rPr>
        <w:tc>
          <w:tcPr>
            <w:tcW w:w="36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30"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交互大屏（手术排班协同公告）</w:t>
            </w:r>
          </w:p>
        </w:tc>
        <w:tc>
          <w:tcPr>
            <w:tcW w:w="3582"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1.显示参数：≥55英寸，≥1920×1080@60Hz，≥300cd/m2；</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2.操作系统：Android 7.1及以上；</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3.CPU不低于：Cortex-A17，4核，主频1.8 GHz；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4.存储参数：内存≥2G,内置存储≥8G；</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5.网络：支持有线、无线WIFI；</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6.可通过设备管理系统进行集中管理，实现一站式报修运维服务。</w:t>
            </w:r>
          </w:p>
        </w:tc>
        <w:tc>
          <w:tcPr>
            <w:tcW w:w="4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bl>
    <w:p>
      <w:pPr>
        <w:rPr>
          <w:rFonts w:cs="宋体" w:asciiTheme="minorEastAsia" w:hAnsiTheme="minorEastAsia" w:eastAsiaTheme="minorEastAsia"/>
          <w:b/>
          <w:bCs/>
        </w:rPr>
      </w:pPr>
      <w:r>
        <w:rPr>
          <w:rFonts w:hint="eastAsia" w:cs="宋体" w:asciiTheme="minorEastAsia" w:hAnsiTheme="minorEastAsia" w:eastAsiaTheme="minorEastAsia"/>
          <w:b/>
          <w:bCs/>
        </w:rPr>
        <w:t>4</w:t>
      </w:r>
      <w:r>
        <w:rPr>
          <w:rFonts w:cs="宋体" w:asciiTheme="minorEastAsia" w:hAnsiTheme="minorEastAsia" w:eastAsiaTheme="minorEastAsia"/>
          <w:b/>
          <w:bCs/>
        </w:rPr>
        <w:t>.3</w:t>
      </w:r>
      <w:r>
        <w:rPr>
          <w:rFonts w:hint="eastAsia" w:cs="宋体" w:asciiTheme="minorEastAsia" w:hAnsiTheme="minorEastAsia" w:eastAsiaTheme="minorEastAsia"/>
          <w:b/>
          <w:bCs/>
        </w:rPr>
        <w:t>手术过程交互系统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91"/>
        <w:gridCol w:w="6287"/>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2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8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2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2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★各手术间当台手术汇览</w:t>
            </w:r>
          </w:p>
        </w:tc>
        <w:tc>
          <w:tcPr>
            <w:tcW w:w="3583"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1.需支持一张屏展示各手术间当台手术信息、手术进程信息，包括患者信息、手术名称、麻醉信息、医护信息、手术进程等；系统支持通过手麻系统及物联设备自动获取手术进程节点并实时刷新变更。</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2.需支持实时监测术间环境情况并进行环境预警推送。</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tc>
        <w:tc>
          <w:tcPr>
            <w:tcW w:w="422"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2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83"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2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6"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2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手术间门口嵌入信息屏一体机（含内嵌式安装套件）</w:t>
            </w:r>
          </w:p>
        </w:tc>
        <w:tc>
          <w:tcPr>
            <w:tcW w:w="3583"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1.电容触控：≥10点投射式电容触控技术，≤5毫秒快速响应；</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2.屏幕尺寸：≥21英寸；</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3.高清显示：液晶屏，分辨率≥1920*1080，亮度≥250cd/m2，色彩清晰自然；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4.兼容系统：安卓触控一体机；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5.性能稳定：支持 7*24 小时工作；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6.结构工艺：密封性好，表面 IP65 防水，纯平纤薄结构；</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7.耐用材质：全钣金结构，一体成形，耐蚀抗氧化；</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8.支持定制：含嵌墙安装套件；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▲9.可通过设备管理系统进行集中管理，实现一站式报修运维服务。</w:t>
            </w:r>
          </w:p>
        </w:tc>
        <w:tc>
          <w:tcPr>
            <w:tcW w:w="42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bl>
    <w:p>
      <w:pPr>
        <w:rPr>
          <w:rFonts w:cs="宋体" w:asciiTheme="minorEastAsia" w:hAnsiTheme="minorEastAsia" w:eastAsiaTheme="minorEastAsia"/>
          <w:b/>
          <w:bCs/>
        </w:rPr>
      </w:pPr>
      <w:r>
        <w:rPr>
          <w:rFonts w:hint="eastAsia" w:cs="宋体" w:asciiTheme="minorEastAsia" w:hAnsiTheme="minorEastAsia" w:eastAsiaTheme="minorEastAsia"/>
          <w:b/>
          <w:bCs/>
        </w:rPr>
        <w:t>4</w:t>
      </w:r>
      <w:r>
        <w:rPr>
          <w:rFonts w:cs="宋体" w:asciiTheme="minorEastAsia" w:hAnsiTheme="minorEastAsia" w:eastAsiaTheme="minorEastAsia"/>
          <w:b/>
          <w:bCs/>
        </w:rPr>
        <w:t>.4</w:t>
      </w:r>
      <w:r>
        <w:rPr>
          <w:rFonts w:hint="eastAsia" w:cs="宋体" w:asciiTheme="minorEastAsia" w:hAnsiTheme="minorEastAsia" w:eastAsiaTheme="minorEastAsia"/>
          <w:b/>
          <w:bCs/>
        </w:rPr>
        <w:t>手术室护士站集中交互管理系统</w:t>
      </w:r>
    </w:p>
    <w:tbl>
      <w:tblPr>
        <w:tblStyle w:val="36"/>
        <w:tblW w:w="51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92"/>
        <w:gridCol w:w="6284"/>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89"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1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4"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今日手术情况统计</w:t>
            </w:r>
          </w:p>
        </w:tc>
        <w:tc>
          <w:tcPr>
            <w:tcW w:w="3589"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包括今日手术数、今日手术执行率、今日手术完成率；</w:t>
            </w:r>
          </w:p>
        </w:tc>
        <w:tc>
          <w:tcPr>
            <w:tcW w:w="413"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74" w:type="pct"/>
            <w:vMerge w:val="continue"/>
            <w:vAlign w:val="center"/>
          </w:tcPr>
          <w:p>
            <w:pPr>
              <w:rPr>
                <w:rFonts w:cs="宋体" w:asciiTheme="minorEastAsia" w:hAnsiTheme="minorEastAsia" w:eastAsiaTheme="minorEastAsia"/>
                <w:color w:val="000000"/>
              </w:rPr>
            </w:pPr>
          </w:p>
        </w:tc>
        <w:tc>
          <w:tcPr>
            <w:tcW w:w="6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昨日手术情况统计</w:t>
            </w:r>
          </w:p>
        </w:tc>
        <w:tc>
          <w:tcPr>
            <w:tcW w:w="3589"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包括昨日手术间利用率、住院手术台数及占比、门急诊手术台数及占比、麻醉台数及占比；</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4" w:type="pct"/>
            <w:vMerge w:val="continue"/>
            <w:vAlign w:val="center"/>
          </w:tcPr>
          <w:p>
            <w:pPr>
              <w:rPr>
                <w:rFonts w:cs="宋体" w:asciiTheme="minorEastAsia" w:hAnsiTheme="minorEastAsia" w:eastAsiaTheme="minorEastAsia"/>
                <w:color w:val="000000"/>
              </w:rPr>
            </w:pPr>
          </w:p>
        </w:tc>
        <w:tc>
          <w:tcPr>
            <w:tcW w:w="6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当前手术进程统计</w:t>
            </w:r>
          </w:p>
        </w:tc>
        <w:tc>
          <w:tcPr>
            <w:tcW w:w="3589"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包括等待手术台数、手术开始台数、手术麻醉台数、手术结束台数、苏醒台数等；</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74" w:type="pct"/>
            <w:vMerge w:val="continue"/>
            <w:vAlign w:val="center"/>
          </w:tcPr>
          <w:p>
            <w:pPr>
              <w:rPr>
                <w:rFonts w:cs="宋体" w:asciiTheme="minorEastAsia" w:hAnsiTheme="minorEastAsia" w:eastAsiaTheme="minorEastAsia"/>
                <w:color w:val="000000"/>
              </w:rPr>
            </w:pPr>
          </w:p>
        </w:tc>
        <w:tc>
          <w:tcPr>
            <w:tcW w:w="6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科室手术一览</w:t>
            </w:r>
          </w:p>
        </w:tc>
        <w:tc>
          <w:tcPr>
            <w:tcW w:w="3589"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支持按手术科室统计日间、门诊、急诊、住院患者手术台数；</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4" w:type="pct"/>
            <w:vMerge w:val="continue"/>
            <w:vAlign w:val="center"/>
          </w:tcPr>
          <w:p>
            <w:pPr>
              <w:rPr>
                <w:rFonts w:cs="宋体" w:asciiTheme="minorEastAsia" w:hAnsiTheme="minorEastAsia" w:eastAsiaTheme="minorEastAsia"/>
                <w:color w:val="000000"/>
              </w:rPr>
            </w:pPr>
          </w:p>
        </w:tc>
        <w:tc>
          <w:tcPr>
            <w:tcW w:w="6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手术等级统计</w:t>
            </w:r>
          </w:p>
        </w:tc>
        <w:tc>
          <w:tcPr>
            <w:tcW w:w="3589"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统计今日各手术等级手术台数；</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4" w:type="pct"/>
            <w:vMerge w:val="continue"/>
            <w:vAlign w:val="center"/>
          </w:tcPr>
          <w:p>
            <w:pPr>
              <w:rPr>
                <w:rFonts w:cs="宋体" w:asciiTheme="minorEastAsia" w:hAnsiTheme="minorEastAsia" w:eastAsiaTheme="minorEastAsia"/>
                <w:color w:val="000000"/>
              </w:rPr>
            </w:pPr>
          </w:p>
        </w:tc>
        <w:tc>
          <w:tcPr>
            <w:tcW w:w="6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手术间排台一览表</w:t>
            </w:r>
          </w:p>
        </w:tc>
        <w:tc>
          <w:tcPr>
            <w:tcW w:w="3589"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统计各手术间今日、明日安排手术台数；</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4" w:type="pct"/>
            <w:vMerge w:val="continue"/>
            <w:vAlign w:val="center"/>
          </w:tcPr>
          <w:p>
            <w:pPr>
              <w:rPr>
                <w:rFonts w:cs="宋体" w:asciiTheme="minorEastAsia" w:hAnsiTheme="minorEastAsia" w:eastAsiaTheme="minorEastAsia"/>
                <w:color w:val="000000"/>
              </w:rPr>
            </w:pPr>
          </w:p>
        </w:tc>
        <w:tc>
          <w:tcPr>
            <w:tcW w:w="6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一周手术趋势统计</w:t>
            </w:r>
          </w:p>
        </w:tc>
        <w:tc>
          <w:tcPr>
            <w:tcW w:w="3589"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支持周视图下门急诊住院手术台数图表展示；</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74" w:type="pct"/>
            <w:vMerge w:val="continue"/>
            <w:vAlign w:val="center"/>
          </w:tcPr>
          <w:p>
            <w:pPr>
              <w:rPr>
                <w:rFonts w:cs="宋体" w:asciiTheme="minorEastAsia" w:hAnsiTheme="minorEastAsia" w:eastAsiaTheme="minorEastAsia"/>
                <w:color w:val="000000"/>
              </w:rPr>
            </w:pPr>
          </w:p>
        </w:tc>
        <w:tc>
          <w:tcPr>
            <w:tcW w:w="6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手术排程</w:t>
            </w:r>
          </w:p>
        </w:tc>
        <w:tc>
          <w:tcPr>
            <w:tcW w:w="3589"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支持实时动态展示手术排程信息及手术进程信息。</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89"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37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护士站显示大屏</w:t>
            </w:r>
          </w:p>
        </w:tc>
        <w:tc>
          <w:tcPr>
            <w:tcW w:w="3589"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1.显示参数：≥98英寸，支持4K显示，LED液晶显示屏 （IPS）画面比例16:9；</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2.分辨率：3840（H）×2160（V）、音响2×10W（中高音）+15W（低音）；</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3.系统版本：Android 8.0 4 核 CPU+2 核 GPU 3G+32G；</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4.支持无线传屏功能、支持 RS232 扩展控制接口；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5.本次配置包含:遥控器、电源线、壁挂支架、2个无线传屏器。</w:t>
            </w:r>
          </w:p>
        </w:tc>
        <w:tc>
          <w:tcPr>
            <w:tcW w:w="413"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37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护士工作站</w:t>
            </w:r>
          </w:p>
        </w:tc>
        <w:tc>
          <w:tcPr>
            <w:tcW w:w="3589"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工作站配置不低于I7-9700 8C 3.0G/8G/128 SSD+1T/P620/400W/键鼠/预装正版Windows10®专业版操作系统64位/24英寸，手术护士站管理操作终端。</w:t>
            </w:r>
          </w:p>
        </w:tc>
        <w:tc>
          <w:tcPr>
            <w:tcW w:w="413"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hint="eastAsia" w:cs="宋体" w:asciiTheme="minorEastAsia" w:hAnsiTheme="minorEastAsia" w:eastAsiaTheme="minorEastAsia"/>
          <w:b/>
          <w:bCs/>
        </w:rPr>
        <w:t>4</w:t>
      </w:r>
      <w:r>
        <w:rPr>
          <w:rFonts w:cs="宋体" w:asciiTheme="minorEastAsia" w:hAnsiTheme="minorEastAsia" w:eastAsiaTheme="minorEastAsia"/>
          <w:b/>
          <w:bCs/>
        </w:rPr>
        <w:t>.5</w:t>
      </w:r>
      <w:r>
        <w:rPr>
          <w:rFonts w:hint="eastAsia" w:cs="宋体" w:asciiTheme="minorEastAsia" w:hAnsiTheme="minorEastAsia" w:eastAsiaTheme="minorEastAsia"/>
          <w:b/>
          <w:bCs/>
        </w:rPr>
        <w:t>手术室医护协同系统</w:t>
      </w:r>
    </w:p>
    <w:tbl>
      <w:tblPr>
        <w:tblStyle w:val="36"/>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91"/>
        <w:gridCol w:w="6273"/>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2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75"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30"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7"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2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手术室医护协同系统</w:t>
            </w:r>
          </w:p>
        </w:tc>
        <w:tc>
          <w:tcPr>
            <w:tcW w:w="3575"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通过向手术室各房间配置协同终端，组建手术室协同通讯体系，完成手术呼叫流程及病理标本远程确认的流程闭环，并能实时公告手术状态信息，各手术间、护士站、谈话间、其他功能间需配置≥13寸协同终端，具体功能如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1.通过向手术室各房间配置协同终端，组建手术室协同通讯体系；</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2.可实现一键呼叫护士站、手术间、谈话间、保洁室、值班室等；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3.紧急呼叫：支持配置多个按键，可对指定的设备（如：护士站、保洁室）进行一键紧急呼叫；</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4.可视对讲：支持双向高清可视全双工对讲；</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★5.病理标本：支持术间医护向家属谈话终端展示高清病理资料；</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6.录音录像：支持对通话过程录音录像，通话记录全程录像留档；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★7.保洁提醒：通过一键通知进行保洁提醒；</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8.手术数据：支持当台患者手术进程及手术信息。</w:t>
            </w:r>
          </w:p>
        </w:tc>
        <w:tc>
          <w:tcPr>
            <w:tcW w:w="430"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2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75"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30"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4"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2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手术室医护协同终端</w:t>
            </w:r>
          </w:p>
        </w:tc>
        <w:tc>
          <w:tcPr>
            <w:tcW w:w="3575"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1.主机面板采用≥13寸IPS全触摸液晶屏，双扬声器，立体声播放音效；</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2.设备采用Andrid系统，具备摄像头，可与对讲分机及其他管理机之前双向可视对讲；</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3.支持音频输入，内置双全指向mic阵列，可支持≥2米远距离拾音；</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4.支持音频输出功能，可通过音频输出接口外接功放；</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5.支持有线接入，支持标准POE供电；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▲6.支持医疗影像专用摄像机对接；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7.可通过设备管理系统进行集中管理，实现一站式报修运维服务。</w:t>
            </w:r>
          </w:p>
        </w:tc>
        <w:tc>
          <w:tcPr>
            <w:tcW w:w="430"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8"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2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医疗病理标本专用摄像机</w:t>
            </w:r>
          </w:p>
        </w:tc>
        <w:tc>
          <w:tcPr>
            <w:tcW w:w="3575"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1.产品用途：医疗行业；</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2.扫描元件：CMOS；</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3.扫描速度：≤1秒；</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4.像素：≥1500万像素；</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5.扫描模式：彩色、灰阶、黑白；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6.光源：自然光+LED补光灯；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7.变焦方式：自动对焦；</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8.输出格式：图片（JPG、BMP、PNG、TIF）、文件（PDF、WORD、EXCEL、TXT）、视频（AVI、WMV纠错）；</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9.支持定时拍摄、快速翻拍、影像录制、实时投影；</w:t>
            </w:r>
          </w:p>
        </w:tc>
        <w:tc>
          <w:tcPr>
            <w:tcW w:w="430"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22"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联网门禁套装</w:t>
            </w:r>
          </w:p>
        </w:tc>
        <w:tc>
          <w:tcPr>
            <w:tcW w:w="3575"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1.摄像头：CMOS,100W像素；</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2.操作方式：按键式，一键呼叫；</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3.传输方式：TCP/IP；</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4.输入电源：12VDC；</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5.设备功耗：待机2W，最大3W；</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6.安装方式： 嵌入式；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7.含配套电源、开门按钮、磁力锁等配件；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▲8.可通过设备管理系统进行集中管理，实现一站式报修运维服务。</w:t>
            </w:r>
          </w:p>
        </w:tc>
        <w:tc>
          <w:tcPr>
            <w:tcW w:w="430"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hint="eastAsia" w:cs="宋体" w:asciiTheme="minorEastAsia" w:hAnsiTheme="minorEastAsia" w:eastAsiaTheme="minorEastAsia"/>
          <w:b/>
          <w:bCs/>
        </w:rPr>
        <w:t>5</w:t>
      </w:r>
      <w:r>
        <w:rPr>
          <w:rFonts w:cs="宋体" w:asciiTheme="minorEastAsia" w:hAnsiTheme="minorEastAsia" w:eastAsiaTheme="minorEastAsia"/>
          <w:b/>
          <w:bCs/>
        </w:rPr>
        <w:t>.</w:t>
      </w:r>
      <w:r>
        <w:rPr>
          <w:rFonts w:hint="eastAsia" w:cs="宋体" w:asciiTheme="minorEastAsia" w:hAnsiTheme="minorEastAsia" w:eastAsiaTheme="minorEastAsia"/>
          <w:b/>
          <w:bCs/>
        </w:rPr>
        <w:t>手术室B</w:t>
      </w:r>
      <w:r>
        <w:rPr>
          <w:rFonts w:cs="宋体" w:asciiTheme="minorEastAsia" w:hAnsiTheme="minorEastAsia" w:eastAsiaTheme="minorEastAsia"/>
          <w:b/>
          <w:bCs/>
        </w:rPr>
        <w:t>IM</w:t>
      </w:r>
      <w:r>
        <w:rPr>
          <w:rFonts w:hint="eastAsia" w:cs="宋体" w:asciiTheme="minorEastAsia" w:hAnsiTheme="minorEastAsia" w:eastAsiaTheme="minorEastAsia"/>
          <w:b/>
          <w:bCs/>
        </w:rPr>
        <w:t>数字孪生</w:t>
      </w:r>
    </w:p>
    <w:p>
      <w:pPr>
        <w:rPr>
          <w:rFonts w:cs="宋体" w:asciiTheme="minorEastAsia" w:hAnsiTheme="minorEastAsia" w:eastAsiaTheme="minorEastAsia"/>
          <w:b/>
          <w:bCs/>
        </w:rPr>
      </w:pPr>
      <w:r>
        <w:rPr>
          <w:rFonts w:cs="宋体" w:asciiTheme="minorEastAsia" w:hAnsiTheme="minorEastAsia" w:eastAsiaTheme="minorEastAsia"/>
          <w:b/>
          <w:bCs/>
        </w:rPr>
        <w:t xml:space="preserve">5.1 </w:t>
      </w:r>
      <w:r>
        <w:rPr>
          <w:rFonts w:hint="eastAsia" w:cs="宋体" w:asciiTheme="minorEastAsia" w:hAnsiTheme="minorEastAsia" w:eastAsiaTheme="minorEastAsia"/>
          <w:b/>
          <w:bCs/>
        </w:rPr>
        <w:t>BIM手术部护士站集中管理系统</w:t>
      </w:r>
    </w:p>
    <w:tbl>
      <w:tblPr>
        <w:tblStyle w:val="36"/>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091"/>
        <w:gridCol w:w="6272"/>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80"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24"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功能要求</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通过BIM可视化运维，可以满足后勤人员在服务指挥中心直观的了解手术室设备运行真实情况。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1.手术室BIM以三维形式设计，可在护士站集中监控各个子系统的运行数据；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2.数字化手术间能实时监测环境、医气、洁净空调、隔离电源UPS及手术设备等情况，能在线监测各个手术间的排台压力；</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3.手术室BIM应结合医疗物联网系统，完成人员定位、设备定位、冷热源机电监测等功能。</w:t>
            </w:r>
          </w:p>
        </w:tc>
        <w:tc>
          <w:tcPr>
            <w:tcW w:w="424"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3"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◆护士站看板</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1.提供今日手术情况统计，包括今日手术数、今日手术执行率、今日手术完成率；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2.提供昨日手术情况统计，包括昨日手术间利用率、住院手术台数及占比、门急诊手术台数及占比、麻醉台数及占比；</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3.提供当前手术进程统计，包括等待手术台数、手术开始台数、手术麻醉台数、手术结束台数、苏醒台数等；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4.提供科室手术一览，支持按手术科室统计日间、门诊、急诊、住院患者手术台数；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5.提供手术等级统计，统计今日各手术等级手术台数；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6.提供手术间排台一览表，统计各手术间今日、明日安排手术台数；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7.提供一周手术趋势统计，支持周视图下门急诊住院手术台数图表展示。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（投标时提供带“◆”部分的功能演示）</w:t>
            </w:r>
          </w:p>
        </w:tc>
        <w:tc>
          <w:tcPr>
            <w:tcW w:w="42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◆数字手术室</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提供各手术间建筑及设备的BIM三维展示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（投标时提供带“◆”部分的功能演示）</w:t>
            </w:r>
          </w:p>
        </w:tc>
        <w:tc>
          <w:tcPr>
            <w:tcW w:w="42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◆在线压力监测</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提供各手术间排台压力情况在三维BIM中可视化展示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（投标时提供带“◆”部分的功能演示）</w:t>
            </w:r>
          </w:p>
        </w:tc>
        <w:tc>
          <w:tcPr>
            <w:tcW w:w="42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◆医用气体监测</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1.对接医气监测报警箱数据：氧气纯度、瞬时流量、累计流量、压力监测、泄露报警；</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2.支持展示医气监测指标（医气实时流量、纯度、总流量、氧气、负压、空气）。</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（投标时提供带“◆”部分的功能演示）</w:t>
            </w:r>
          </w:p>
        </w:tc>
        <w:tc>
          <w:tcPr>
            <w:tcW w:w="42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◆环境监测</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提供各手术间环境监测项目的BIM三维展示，包括温度、湿度、压差、洁净时间。</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（投标时提供带“◆”部分的功能演示）</w:t>
            </w:r>
          </w:p>
        </w:tc>
        <w:tc>
          <w:tcPr>
            <w:tcW w:w="42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◆隔离电源监测</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提供各手术间隔离电源监测运行情况在三维BIM中可视化展示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（投标时提供带“◆”部分的功能演示）</w:t>
            </w:r>
          </w:p>
        </w:tc>
        <w:tc>
          <w:tcPr>
            <w:tcW w:w="42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◆UPS监测</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提供各手术间UPS监测设备运行情况在三维BIM中可视化展示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（投标时提供带“◆”部分的功能演示）</w:t>
            </w:r>
          </w:p>
        </w:tc>
        <w:tc>
          <w:tcPr>
            <w:tcW w:w="42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◆洁净空调</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对接洁净空调自控系统，监测洁净空调运行参数，风阀、水阀开度，送风温湿度及送风PM2.5数值，防冻开关、滤网状态、电机状态等实时监测。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（投标时提供带“◆”部分的功能演示）</w:t>
            </w:r>
          </w:p>
        </w:tc>
        <w:tc>
          <w:tcPr>
            <w:tcW w:w="42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623"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◆行为管理</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提供手术衣手术鞋帽发放回收情况在三维BIM中可视化展示</w:t>
            </w:r>
          </w:p>
        </w:tc>
        <w:tc>
          <w:tcPr>
            <w:tcW w:w="42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vMerge w:val="continue"/>
            <w:vAlign w:val="center"/>
          </w:tcPr>
          <w:p>
            <w:pPr>
              <w:rPr>
                <w:rFonts w:cs="宋体" w:asciiTheme="minorEastAsia" w:hAnsiTheme="minorEastAsia" w:eastAsiaTheme="minorEastAsia"/>
                <w:color w:val="000000"/>
              </w:rPr>
            </w:pPr>
          </w:p>
        </w:tc>
        <w:tc>
          <w:tcPr>
            <w:tcW w:w="623" w:type="pct"/>
            <w:vMerge w:val="continue"/>
            <w:vAlign w:val="center"/>
          </w:tcPr>
          <w:p>
            <w:pPr>
              <w:rPr>
                <w:rFonts w:cs="宋体" w:asciiTheme="minorEastAsia" w:hAnsiTheme="minorEastAsia" w:eastAsiaTheme="minorEastAsia"/>
                <w:color w:val="000000"/>
              </w:rPr>
            </w:pP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（投标时提供带“◆”部分的功能演示）</w:t>
            </w:r>
          </w:p>
        </w:tc>
        <w:tc>
          <w:tcPr>
            <w:tcW w:w="42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人员定位</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提供手术室内患者的实时位置信息</w:t>
            </w:r>
          </w:p>
        </w:tc>
        <w:tc>
          <w:tcPr>
            <w:tcW w:w="42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资产定位</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提供手术室高值医疗设备的实时位置信息</w:t>
            </w:r>
          </w:p>
        </w:tc>
        <w:tc>
          <w:tcPr>
            <w:tcW w:w="424"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c>
          <w:tcPr>
            <w:tcW w:w="623"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接口服务</w:t>
            </w:r>
          </w:p>
        </w:tc>
        <w:tc>
          <w:tcPr>
            <w:tcW w:w="3580" w:type="pct"/>
            <w:shd w:val="clear" w:color="000000" w:fill="FFFFFF"/>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提供全院关联业务信息系统对接，技术支持服务。</w:t>
            </w:r>
          </w:p>
        </w:tc>
        <w:tc>
          <w:tcPr>
            <w:tcW w:w="424"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p>
    <w:p>
      <w:pPr>
        <w:rPr>
          <w:rFonts w:cs="宋体" w:asciiTheme="minorEastAsia" w:hAnsiTheme="minorEastAsia" w:eastAsiaTheme="minorEastAsia"/>
          <w:b/>
          <w:bCs/>
        </w:rPr>
      </w:pPr>
      <w:r>
        <w:rPr>
          <w:rFonts w:hint="eastAsia" w:cs="宋体" w:asciiTheme="minorEastAsia" w:hAnsiTheme="minorEastAsia" w:eastAsiaTheme="minorEastAsia"/>
          <w:b/>
          <w:bCs/>
        </w:rPr>
        <w:t>5</w:t>
      </w:r>
      <w:r>
        <w:rPr>
          <w:rFonts w:cs="宋体" w:asciiTheme="minorEastAsia" w:hAnsiTheme="minorEastAsia" w:eastAsiaTheme="minorEastAsia"/>
          <w:b/>
          <w:bCs/>
        </w:rPr>
        <w:t>.2</w:t>
      </w:r>
      <w:r>
        <w:rPr>
          <w:rFonts w:hint="eastAsia" w:cs="宋体" w:asciiTheme="minorEastAsia" w:hAnsiTheme="minorEastAsia" w:eastAsiaTheme="minorEastAsia"/>
          <w:b/>
          <w:bCs/>
        </w:rPr>
        <w:t>手术室后勤设备在线监测与智能调控系统</w:t>
      </w:r>
    </w:p>
    <w:tbl>
      <w:tblPr>
        <w:tblStyle w:val="36"/>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55"/>
        <w:gridCol w:w="6223"/>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5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16" w:type="pc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5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手术室后勤设备在线监测与智能调控系统</w:t>
            </w:r>
          </w:p>
        </w:tc>
        <w:tc>
          <w:tcPr>
            <w:tcW w:w="355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重点房间环境监测、医气在线监测、净化空调在线监测、手术环境智能策略调控。</w:t>
            </w:r>
          </w:p>
        </w:tc>
        <w:tc>
          <w:tcPr>
            <w:tcW w:w="416"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59"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医气监测接口</w:t>
            </w:r>
          </w:p>
        </w:tc>
        <w:tc>
          <w:tcPr>
            <w:tcW w:w="3552" w:type="pct"/>
            <w:shd w:val="clear" w:color="auto" w:fill="auto"/>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医气接口定制开发，对接手术室医气监测系统系统，实现预警联动。</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59"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净化空调监测接口</w:t>
            </w:r>
          </w:p>
        </w:tc>
        <w:tc>
          <w:tcPr>
            <w:tcW w:w="3552" w:type="pct"/>
            <w:shd w:val="clear" w:color="auto" w:fill="auto"/>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净化空调接口定制开发，对接净化空调系统，监测净化空调运行参数，风阀、水阀开度，送风温湿度，防冻开关、滤网状态、电机状态等实时监测。</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59"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隔离电源监测接口</w:t>
            </w:r>
          </w:p>
        </w:tc>
        <w:tc>
          <w:tcPr>
            <w:tcW w:w="3552" w:type="pct"/>
            <w:shd w:val="clear" w:color="auto" w:fill="auto"/>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隔离电源监测接口定制开发</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59"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UPS监测接口</w:t>
            </w:r>
          </w:p>
        </w:tc>
        <w:tc>
          <w:tcPr>
            <w:tcW w:w="3552" w:type="pct"/>
            <w:shd w:val="clear" w:color="auto" w:fill="auto"/>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UPS监测接口定制开发</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5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重点房间环境监测终端</w:t>
            </w:r>
          </w:p>
        </w:tc>
        <w:tc>
          <w:tcPr>
            <w:tcW w:w="355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1.监测指标参数: PM2.5、温度、湿度、二氧化碳；</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2.供电方式:220V供电；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3.具有自动校准功能、具有校零校跨功能；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4.气体传感器具有交叉干扰补偿功能；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5.采用泵吸式采样或扩散式技术，可及时反映空气质量变化；</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6.具有本地数据读取、设备系统设置及数据校准，24小时不间断在线监测；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7.数据传输要求：有线RJ45/RS485，无线GPRS/NBIOT/LORA/eLTE/WIFI/4G/单传感时支持4~20mA输出；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8.数据接口：具有RS485接口、RS232接口、网口，后续可扩展其他指标检测，户外LED显示屏等；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9.主机自带≥3寸全彩液晶显示屏，集监测展示为一体，监测主机功率：≤5W；</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10.采样周期最快可达1S，可自定义设置采样周期；</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11.主机屏幕可根据监测数据配置匹配数据展示界面；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12.满足上电通网自启动，满足断网后数据自动保存，恢复后自行启动，并上传数据；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13.要求设备安装拆卸及接线简便，集成度高、超低功耗设计，方便点位迁移、设备维护和设备质控；</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14.要求设备适用于各种气象条件，保证空气流通无死角，内外无温差；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▲15.各参数监测技术指标要求: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1）PM2.5技术指标: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   测量范围: 0~1000μg/m3，分辨率：≤0.1μg/m3。</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2）温度技术指标: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   测量范围: -20~80℃， 分辨率：≤0.1℃</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3）湿度技术指标: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   测量范围: 0~100%RH， 分辨率：≤1%RH</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4）二氧化碳技术指标: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   测量范围: 0~2000PPM， 分辨率：≤0.1PPM</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▲16.可通过设备管理系统进行集中管理，实现一站式报修运维服务；</w:t>
            </w:r>
          </w:p>
          <w:p>
            <w:pPr>
              <w:rPr>
                <w:rFonts w:cs="宋体" w:asciiTheme="minorEastAsia" w:hAnsiTheme="minorEastAsia" w:eastAsiaTheme="minorEastAsia"/>
              </w:rPr>
            </w:pPr>
            <w:r>
              <w:rPr>
                <w:rFonts w:hint="eastAsia" w:cs="宋体" w:asciiTheme="minorEastAsia" w:hAnsiTheme="minorEastAsia" w:eastAsiaTheme="minorEastAsia"/>
                <w:color w:val="000000"/>
              </w:rPr>
              <w:t>17.安装位置：标本暂存间、无菌物品间、设备间、一次性物品间、仪器室、液体间、麻醉管制药品、麻醉物品、预麻室、无菌仪器室。</w:t>
            </w:r>
          </w:p>
        </w:tc>
        <w:tc>
          <w:tcPr>
            <w:tcW w:w="416" w:type="pct"/>
            <w:vMerge w:val="restart"/>
            <w:shd w:val="clear" w:color="000000" w:fill="FFFFFF"/>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659"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压差监测终端</w:t>
            </w:r>
          </w:p>
        </w:tc>
        <w:tc>
          <w:tcPr>
            <w:tcW w:w="3552" w:type="pct"/>
            <w:shd w:val="clear" w:color="auto" w:fill="auto"/>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1.包含压差传感器变送器、测点固定架、压差气管、转接软管等；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2.测量范围：-50~+50Pa；</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3.输出信号：485通信方式；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4.支持高低压设置报警功能；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▲5.可通过设备管理系统进行集中管理，实现一站式报修运维服务。</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659"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尘埃粒子监测终端</w:t>
            </w:r>
          </w:p>
        </w:tc>
        <w:tc>
          <w:tcPr>
            <w:tcW w:w="3552" w:type="pct"/>
            <w:shd w:val="clear" w:color="auto" w:fill="auto"/>
            <w:noWrap/>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尘埃粒子计数器、计数器固定件、不锈钢采样管、等动力采样头、采样头保护罩。</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0"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65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智能边缘运算采集终端</w:t>
            </w:r>
          </w:p>
        </w:tc>
        <w:tc>
          <w:tcPr>
            <w:tcW w:w="355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1.需支持多协议混合接入，所有前端采集设备数据就近接入运算终端，进行初步数据监控、处理后，应可靠上传至数据库服务器；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▲2.需支持B/S管理，支持用户及权限管理，支持面向对象的自定义编程，支持实时控制，支持web组态功能；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3.需支持数据监控分析，支持mqtt,opc,kafaka,rest api,soap等加密通讯；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4.需支持SNMP、KNX、CDT电力规约、BACNET、PPI、XMLDA等协议，并支持混合接入，即同一网关接入不同协议；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5.应自带数据库，支持数据存储，断网可存储采集数据，保证数据安全；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▲6.可通过设备管理系统进行集中管理，实现一站式报修运维服务。</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65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数据采集箱</w:t>
            </w:r>
          </w:p>
        </w:tc>
        <w:tc>
          <w:tcPr>
            <w:tcW w:w="3552"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成套箱：内含空开、变压器、熔断器、继电器、线槽、接线端子等。</w:t>
            </w:r>
          </w:p>
        </w:tc>
        <w:tc>
          <w:tcPr>
            <w:tcW w:w="416"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hint="eastAsia" w:cs="宋体" w:asciiTheme="minorEastAsia" w:hAnsiTheme="minorEastAsia" w:eastAsiaTheme="minorEastAsia"/>
          <w:b/>
          <w:bCs/>
        </w:rPr>
        <w:t>6</w:t>
      </w:r>
      <w:r>
        <w:rPr>
          <w:rFonts w:cs="宋体" w:asciiTheme="minorEastAsia" w:hAnsiTheme="minorEastAsia" w:eastAsiaTheme="minorEastAsia"/>
          <w:b/>
          <w:bCs/>
        </w:rPr>
        <w:t>.</w:t>
      </w:r>
      <w:r>
        <w:rPr>
          <w:rFonts w:hint="eastAsia" w:cs="宋体" w:asciiTheme="minorEastAsia" w:hAnsiTheme="minorEastAsia" w:eastAsiaTheme="minorEastAsia"/>
          <w:b/>
          <w:bCs/>
        </w:rPr>
        <w:t>手术行为管理系统</w:t>
      </w:r>
    </w:p>
    <w:p>
      <w:pPr>
        <w:rPr>
          <w:rFonts w:cs="宋体" w:asciiTheme="minorEastAsia" w:hAnsiTheme="minorEastAsia" w:eastAsiaTheme="minorEastAsia"/>
          <w:b/>
          <w:bCs/>
        </w:rPr>
      </w:pPr>
      <w:r>
        <w:rPr>
          <w:rFonts w:cs="宋体" w:asciiTheme="minorEastAsia" w:hAnsiTheme="minorEastAsia" w:eastAsiaTheme="minorEastAsia"/>
          <w:b/>
          <w:bCs/>
        </w:rPr>
        <w:t>6.1</w:t>
      </w:r>
      <w:r>
        <w:rPr>
          <w:rFonts w:hint="eastAsia" w:cs="宋体" w:asciiTheme="minorEastAsia" w:hAnsiTheme="minorEastAsia" w:eastAsiaTheme="minorEastAsia"/>
          <w:b/>
          <w:bCs/>
        </w:rPr>
        <w:t>手术行为管理系统</w:t>
      </w:r>
    </w:p>
    <w:tbl>
      <w:tblPr>
        <w:tblStyle w:val="36"/>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162"/>
        <w:gridCol w:w="6216"/>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4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手术行为管理系统管理软件</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1.标签与设备管理：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更衣系统综合管理系统中手术衣及人员工作卡等不同类别的标签，能注册分组管理标签，并变更标签的类别及状态信息。实现对IC卡的初始化及登记管理；同时可以实现对衣服与IC卡、衣服与衣柜、IC卡与衣柜之间的分配管理。更换新的洗手衣裤时开始使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2.用户信息及权限管理：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系统和医院信息系统进行无缝对接，自动同步医护人员的信息，并指定用户分配角色以获得相应的系统访问权限。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3.流程控制管理：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更衣系统能根据医院手术室实际管理流程设定手术室出入、取鞋、换鞋、取衣、换衣等流程，能够借助门禁、自动发衣机、自动衣鞋柜等自动化设备，自动通过设备屏幕进行视窗提示或语音提示违反相关流程的医护人员。</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4.统计查询：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4.1柜子状态查询及远程开柜：管理员可以在管理端上直接查看各柜子使用情况，可以远程打开柜子。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4.2更衣柜信息统计：统计更衣柜的各类尺码的衣服的数量。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4.3还衣统计：将污衣置入回收桶，回收桶即时扫描标签，将对应的标签衣服设置为已归还，并记录操作数据。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4.4开柜记录统计：所有刷卡或标签开柜的记录将被记录，可以查询更衣柜的开柜时间、开柜标签号、开柜卡号、关柜时间。</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4.5异常数据统计：用以查询禁用的柜、标签数据不对等意外情况。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4.6基于无线射频技术，自动记录衣服的领用、归还等重要的节点相关信息，支持手术室管理人员随时统计并查询一个完整流程中各个环节、各个控制点的信息数据，如手术衣使用数据，污衣回收数据等。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5.自动换鞋柜控制：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5.1鞋柜分配使用：使用者刷工作卡，系统采用随机分配的原则，自动分配空闲鞋柜并打开，同时语音提示鞋柜位置。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5.2鞋柜回收：使用者第二次刷卡时，系统将回收鞋柜，为防止使用者此时进行错误的存鞋操作，用户再次点击确认按钮打开鞋柜，并语音提示。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5.3支持IC临时用户功能：通过管理端可以将标签设定为标签IC卡用户，使用者通过刷IC卡就可以分配鞋柜。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5.4自助开柜功能：鞋柜使用者可以刷卡查询历史使用记录，系统允许/禁止使用者根据历史记录打开曾经使用的鞋柜。用于找回遗忘物品。</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5.5鞋柜绑定：可给使用者绑定指定的鞋柜。绑定后，该鞋柜只供绑定者使用。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5.6鞋柜后台管理：鞋柜测试、柜子禁用/启用，记录查询、状态查询、绑定管理等。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5.7逾期自动回收：系统配置有逾期时间、逾期的鞋柜将自动回收。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6.自动更衣柜控制：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6.1临时柜分配使用：使用者刷工作卡，系统自动分配空闲的存有和使用者默认尺码一致的干净洗手衣的更衣柜。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6.2更衣柜回收：更衣柜可以任意打开，洗手衣被回收或使用逾期后，更衣柜将被回收。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6.3存干净洗手衣：管理员输入密码后，可以扫描标签，并打开空的更衣柜存入干净的洗手衣，供用户使用。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6.4支持标签临时用户功能：通过管理端可以将标签设定为标签支持IC临时用户功能：通过管理端可以将标签设定为标签IC卡用户，使用者通过刷IC卡就可以分配更衣柜柜。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6.5自助查询功能：更衣柜使用者可以刷卡查询历史使用记录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6.6更衣柜绑定：可给使用者绑定指定的更衣柜。绑定后，该柜只供绑定者使用。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6.7逾期自动回收：系统配置有逾期时间、逾期的更衣柜将自动回收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6.8开柜记录存档：所有刷卡或标签开柜的记录将被记录，可以查询更衣柜的开柜时间、开柜标签号、开柜卡号、关柜时间。</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6.9权限设置：分为多级权限配置、低级权限可以打开管理后台，但为了安全不能打开已有使用者的柜子（供存衣服人员使用），高级权限才能进行所有后台开柜操作。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6.10更衣柜后台管理：更衣柜测试、柜子禁用/启用，记录查询、状态查询、绑定管理等。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7.其他：</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软件接口开发、管理软件升级,如配合甲方提供相应的接口，开放数据库，及说明文档等。</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0"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智能发衣机</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1.为起到更好的显示及视觉效果，显示模块采用≥15英寸液晶显示及触摸屏；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2.操作性能：应用操作响应时间≤400ms；</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3.读卡模块：支持IC等多介质卡（可根据医院一卡通类型定制）或指纹扫描模块等多介体取衣方式；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4.控制模块：自动分配相应型号服装给用户；可同时领取整套手术服；可控制用户领取衣服的数量；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5.衣物存贮：≥100套/台（可按尺码分组）；手工加衣，简单折叠就能存衣，单件衣服不需外包装，无需卷成圆筒状或者挤压打包；</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6.发衣速度：≤5S，具有缺衣提醒功能；可显示相关衣服存取信息，方便管理员查看；可设置特殊权限；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7.柜体：一台发衣机有两个取衣口，考虑到空间利用可在设计时分开使用。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功能：支持自动选择大、中、小号手术衣类型自动发放手术衣，在自助取衣机上刷IC等卡或指纹扫描领取模块等多介体取衣方式对应人尺码的手术衣，并自动绑定IC等卡或者指纹进行信息关联登记。有良好的人机操作界面, 可对于手术衣按大、中、小号类别进行综合的管理。手术衣自助取放机库存提醒功能：当各尺码衣服库存数量低于设定值时，在管理系统中要弹出提醒信息框，提醒工作人员及时添加衣物的类别及数量。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9.工作原理：采用RFID应用技术，衣服与库位进行绑定管理，医务人员取衣时和衣物有绑定关系。发衣机械机构采用翻板结构，刷卡后翻开一层挡板即可掉落衣服，；</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10.离线与流程自动修复：系统具备在断网状态下工作的能力，脱机完成衣服发放并记录，联网后系统自动与数据库对接完成异常数据的修复；</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▲11.可通过设备管理系统进行集中管理，实现一站式报修运维服务。</w:t>
            </w:r>
          </w:p>
        </w:tc>
        <w:tc>
          <w:tcPr>
            <w:tcW w:w="416"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5"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智能衣服回收机</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1.为起到更好的显示及视觉效果，显示模块采用≥15英寸液晶显示及触摸屏；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2.传感单元：回收通道感应功能、红外感应功能、衣满提示功能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3.操作性能：应用操作响应时间≤500ms；</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4.接口要求：RJ45、DC OUT、AC OUT等；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功能：自动回收使用过的手术衣。系统采用工业级设计，能够适应低温、恶劣的工作环境。医务人员术后更衣将手术衣物投入回收机时，回收机自动记录衣物的归还信息，并将信息回传至管理系统。手术衣自动回收机超量提醒功能：超过设定值时，在管理系统中要弹出提醒信息框，提醒工作人员及时清理对应回收机内的污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6.工作原理：利用RFID芯片识别技术，衣服归还时通过超高频RFID扫描归还衣服（植入RFID芯片），马上判断出医务人员归还信息，有可视界面展现归还情况，无需刷卡无需红外技术即可实现衣物的归还流程；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7.离线与流程自动修复：系统具备在断网状态下工作的能力，脱机完成衣服发放并记录，联网后系统自动与数据库对接完成异常数据的修复；</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▲8.可通过设备管理系统进行集中管理，实现一站式报修运维服务。</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0"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智能更衣柜控制柜（主柜）</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1.为起到更好的显示及视觉效果，显示模块采用≥15英寸液晶显示及触摸屏；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2.传感单元：缺衣提醒功能；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3.读卡模块：支持IC等多介质卡（可根据医院一卡通类型定制）、支持指纹方式模块等多介体取衣方式；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4.控制主机：配置≥4核CPU、≥4G内存、≥128G硬盘；</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5.供电单元：AC220V，≥500W以上供电模块，防浪涌及雷击功能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6.操作性能：应用操作响应时间≤400ms；</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7.接口：RJ45、DC OUT、AC OUT；可并轨接口，可扩容；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8.电控锁：360度防撬、防软片插入，安全可靠，寿命≥30万次；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9.功能：自动将所检测验证到的医护人员相关信息，根据持卡人的身份权限就近开启智能衣柜的柜门或进行相应的提示，并自动记录柜门开启时间。可对更衣柜进行清箱操作；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10.离线与流程自动修复：系统具备在断网状态下工作的能力，脱机完成衣服发放并记录，联网后系统自动与数据库对接完成异常数据的修复；</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▲11.可通过设备管理系统进行集中管理，实现一站式报修运维服务。</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智能衣柜（辅柜）（三列单层）</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1.更衣柜要求：每台设备≥3个单箱；组合后总高度≥2000mm。具体尺寸如有特殊调动，可根据现场实际情况定制。接受更衣主柜控制；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2.每套辅柜都配置机械锁，以便管理员能够在断电等特殊情况下采取有效的应急措施，及时开锁，不影响工作。</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智能衣柜（辅柜）（三列双层）</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1.每台设备≥6个单箱；组合后总高度≥2000mm。具体尺寸如有特殊调动，可根据现场实际情况定制。接受更衣主柜控制；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2.每套辅柜都配置机械锁，以便管理员能够在断电等特殊情况下采取有效的应急措施，及时开锁，不影响工作。</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0"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智能发鞋机</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1.显示模块采用≥15英寸液晶显示及触摸屏；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2.操作性能：应用操作响应时间≤400ms；</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3.读卡模块：支持IC等多介质卡（可根据医院一卡通类型定制）或指纹扫描模块等多介体取鞋方式；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4.控制模块：自动分配相应型号的拖鞋给用户；可控制用户领取拖鞋的数量；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5.拖鞋存贮：≥100双/台（可按尺码分组）；手工加鞋，单双鞋子不需外包装；</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6.发鞋速度：≤5S，缺鞋子或鞋子不足时有提醒功能；可显示相关拖鞋存取信息，方便管理员查看；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7.为了提高取鞋效率，防止高峰期取鞋拥挤，一台发鞋机≥两个取鞋口，考虑到空间利用可在设计时分开使用；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8.可设置特殊权限；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9.功能：支持自动选择几种规格拖鞋类型自动发放拖鞋，在智能发鞋机上刷卡或指纹扫描模块等多介体领取对应人尺码的拖鞋，并自动绑定IC卡或者指纹进行信息关联登记。有良好的人机操作界面, 可对于拖鞋可按几种规格拖鞋类别进行综合的管理。拖鞋自助取放机库存提醒功能：当各尺码拖鞋库存数量低于设定值时，在管理系统中要弹出提醒信息框，提醒工作人员及时添加拖鞋的类别及数量；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10.工作原理：采用成熟FRID应用技术，拖鞋与库位进行绑定管理，已达到和医务人员取拖鞋时绑定关系；发鞋机械机构要求采用翻板结构，刷卡后翻开一层挡板即可掉落拖鞋，既方便速度又快；</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11.离线与流程自动修复：系统具备在断网状态下工作的能力，脱机完成衣服发放并记录，联网后系统自动与数据库对接完成异常数据的修复；</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▲12.可通过设备管理系统进行集中管理，实现一站式报修运维服务。</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5"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智能拖鞋回收机</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1.为起到更好的显示及视觉效果，显示模块采用≥15英寸液晶显示及触摸屏；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2.传感单元：回收通道感应功能、红外感应功能、鞋满提示功能；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3.操作性能：应用操作响应时间≤500ms；</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4.接口要求：RJ45、DC OUT、AC OUT；</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5.外观、颜色可定制，表面处理便于清洁，不易油污.磨损；</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功能：回收使用过的手术室拖鞋。产品采用工业级设计，能够适应低温、恶劣的工作环境。医务人员术后将拖鞋投入回收机时，回收机自动记录拖鞋的归还信息，并将信息回传至管理系统。拖鞋自动回收机超量提醒功能：当回收机内的拖鞋数量超过设定值时，在管理系统中要弹出提醒信息框，提醒工作人员及时清理对应回收机内的污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7.工作原理：利用RFID芯片识别技术，拖鞋归还时通过超高频RFID扫描归还衣服（植入RFID芯片），马上判断出医务人员归还信息，有可视界面展现归还情况，无需刷卡无需红外技术即可实现拖鞋的归还流程；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8.离线与流程自动修复：系统具备在断网状态下工作的能力，脱机完成衣服发放并记录，联网后系统自动与数据库对接完成异常数据的修复；</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▲9.可通过设备管理系统进行集中管理，实现一站式报修运维服务。</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2"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智能鞋柜控制柜（主柜）</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1.为起到更好的显示及视觉效果，显示模块采用≥15英寸液晶显示及触摸屏；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2.控制主机：≥4核CPU、≥4G内存、≥128G硬盘；</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3.供电单元：AC220V，500W供电模块，防浪涌及雷击功能；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4.读卡模块：支持IC等多介质卡（可根据医院一卡通类型定制）、支持指纹方式模块等多介体取鞋方式；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5.接口：RJ45、DC OUT、AC OUT；可并轨接口，可扩容；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6.柜体要求：柜体尺寸、外观、颜色可定制，表面处理便于清洁，不易油污、磨损；</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功能：自动将所检测验证到的医护人员相关信息，根据持卡人的身份权限就近开启自智能鞋柜的柜门或进行相应的提示，并自动记录柜门开启时间。特殊情况下可对鞋柜进行清箱操作，并实现一次性清除各箱的状态；</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8.离线与流程自动修复：系统具备在断网状态下工作的能力，脱机完成衣服发放并记录，联网后系统自动与数据库对接完成异常数据的修复；</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▲9.可通过设备管理系统进行集中管理，实现一站式报修运维服务。</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智能鞋柜（辅柜）（十层）</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1.每台设备≥20个单箱；组合后总高度≥2000mm。具体尺寸如有特殊调动，可根据现场实际情况定制。接受鞋柜主柜控制；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2.每套辅柜都配置机械锁，以便管理员能够在断电等特殊情况下采取有效的应急措施，及时开锁，不影响工作。</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矮凳柜</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柜体及尺寸：柜体材质为镀锌板，尺寸根据医院定制。</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行为管理端</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1.应采用纯数字式射频基站芯片、无误码设计；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2.符合国家GB/T17626.4/IEC61000-4-4电快速瞬变脉冲群的抗干扰度测试；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3.内置铜绕天线和板载天线；</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4.喇叭、蜂鸣器、红（蓝）绿双色LED；</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5.RS232接口，传输距离≤10米；</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6.内置式芯片卡；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7.容量≥1024字节；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8.密码区：typeA、typeB，支持分别为6字节12位，位于每区的3块；</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9.无源自带天线，内含加密控制及通讯逻辑电路；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10.读写距离：≥5cm；</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11.数据保存期：≥10年，可改写≥10万次。</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行为PC工作站</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1.CPU英特尔酷睿I</w:t>
            </w:r>
            <w:r>
              <w:rPr>
                <w:rFonts w:cs="宋体" w:asciiTheme="minorEastAsia" w:hAnsiTheme="minorEastAsia" w:eastAsiaTheme="minorEastAsia"/>
                <w:color w:val="000000"/>
              </w:rPr>
              <w:t>5</w:t>
            </w:r>
            <w:r>
              <w:rPr>
                <w:rFonts w:hint="eastAsia" w:cs="宋体" w:asciiTheme="minorEastAsia" w:hAnsiTheme="minorEastAsia" w:eastAsiaTheme="minorEastAsia"/>
                <w:color w:val="000000"/>
              </w:rPr>
              <w:t>十二代以上；</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2.≥4GB 内存；</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3.≥1T 3.5英寸硬盘；</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4.显示器：≥21英寸；</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5.含键盘鼠标套装。</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14</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信息公告显示屏</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1.显示参数：≥55英寸，≥1920×1080@60Hz，≥300cd/m2；</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2.操作系统：Android </w:t>
            </w:r>
            <w:r>
              <w:rPr>
                <w:rFonts w:cs="宋体" w:asciiTheme="minorEastAsia" w:hAnsiTheme="minorEastAsia" w:eastAsiaTheme="minorEastAsia"/>
                <w:color w:val="000000"/>
              </w:rPr>
              <w:t>7.1</w:t>
            </w:r>
            <w:r>
              <w:rPr>
                <w:rFonts w:hint="eastAsia" w:cs="宋体" w:asciiTheme="minorEastAsia" w:hAnsiTheme="minorEastAsia" w:eastAsiaTheme="minorEastAsia"/>
                <w:color w:val="000000"/>
              </w:rPr>
              <w:t>或以上；</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3.CPU不低于：Cortex-A17，4核，主频1.8 GHz；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4.存储参数：内存≥2G,内置存储≥8G；</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5.网络：支持有线、无线WIFI；</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6.可通过设备管理系统进行集中管理，实现一站式报修运维服务。</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15</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RFID标签</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1.将RFID芯片封装缝合到手术衣上；</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2.符合标准：ISO 18000-6C；</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3.识读频率：902MHZ～928MHZ。</w:t>
            </w:r>
          </w:p>
        </w:tc>
        <w:tc>
          <w:tcPr>
            <w:tcW w:w="416"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cs="宋体" w:asciiTheme="minorEastAsia" w:hAnsiTheme="minorEastAsia" w:eastAsiaTheme="minorEastAsia"/>
          <w:b/>
          <w:bCs/>
        </w:rPr>
        <w:t>6.2</w:t>
      </w:r>
      <w:r>
        <w:rPr>
          <w:rFonts w:hint="eastAsia" w:cs="宋体" w:asciiTheme="minorEastAsia" w:hAnsiTheme="minorEastAsia" w:eastAsiaTheme="minorEastAsia"/>
          <w:b/>
          <w:bCs/>
        </w:rPr>
        <w:t>手术资源管理系统</w:t>
      </w:r>
    </w:p>
    <w:tbl>
      <w:tblPr>
        <w:tblStyle w:val="36"/>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162"/>
        <w:gridCol w:w="6216"/>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4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5"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手术资源管理系统</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1.人员/医疗设备实时位置显示,秒级搜索查找，便于院内调动共享，设备异常位置报警；</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★2.对手术间患者进行无感知三级核查，支持预警提醒；【投标时提供带“★”部分的证明材料 （证明材料包括但不限于检测报告、计算机软件著作权登记证书、官网或软件截图、产品彩页等）】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★3.可记录人员/设备/病理标本轨迹，可追踪查询，实现护工任务管理及病理标本闭环；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4.支持医疗设备秒级盘点，可灵活自盘；实现医疗设备的一键报修，系统自动定位报修设备；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★5.监测医疗设备的运行状态，运行时长，建立设备运行日志；实现长期未开机设备的提醒，避免发生设备长期不开机的意外损耗；长期监测运行数据，可用于设备故障预警；</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6.支持麻醉药品间、一次性物品间、无菌物品间、病理标本间、液体间、麻醉材料间等重点房间环境的在线监测与预警提醒；</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7.提供全院关联业务信息系统对接，技术支持服务。</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物联网网关（RFID+蓝牙）</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1.医疗物联网技术采用无线通信技术实现融合，应无条件免费开放，实现统一接入和管理；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2.内置RFID+蓝牙，同时支持2.4GHz 传输，实现一网多用；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3.内嵌通信基站操作系统软件；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4.支持以太网通信，支持接入交换机；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5.供电方式：POE/DC；</w:t>
            </w:r>
          </w:p>
        </w:tc>
        <w:tc>
          <w:tcPr>
            <w:tcW w:w="416"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定位信标</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1.支持Bluetooth BLE 4.0和国际标准iBeacon协议；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2.支持防篡改、防蹭用技术；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3.支持锂亚电池供电，室内款蓝牙信标工作续航至少达到3年（每秒2-3个数据包）；</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4.支持通过移动端部署和维护管理工具对蓝牙定位信标在室内地图上进行部署并上传iBeacon的信息，维护管理采集和显示iBeacon的信息和剩余电量；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5.支持方便快速更换已部署的蓝牙iBeacon定位信标节点，提供拆卸杆快捷方便拆卸和安装，不需要在医院手术室和室内建筑布线，不影响医院手术室运营；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6.防护等级≥IP53。</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高端医疗设备特殊标签</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需支持按照医院手术室不同类型高值医疗设备进行分类，同时应具备资产定位、电子围栏、资产开关状态实时监测、一键报障、一键盘点功能。</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患者智能手环</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需支持手术室患者室内定位、电子围栏、一键呼叫、心率、危险区域滞留、可充电。</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智能工作手环</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需支持手术室护工室内定位、工作消息通知、震动提醒、系统报警提示、多条信息存储、可充电。</w:t>
            </w:r>
          </w:p>
        </w:tc>
        <w:tc>
          <w:tcPr>
            <w:tcW w:w="416"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hint="eastAsia" w:cs="宋体" w:asciiTheme="minorEastAsia" w:hAnsiTheme="minorEastAsia" w:eastAsiaTheme="minorEastAsia"/>
          <w:b/>
          <w:bCs/>
        </w:rPr>
        <w:t>7</w:t>
      </w:r>
      <w:r>
        <w:rPr>
          <w:rFonts w:cs="宋体" w:asciiTheme="minorEastAsia" w:hAnsiTheme="minorEastAsia" w:eastAsiaTheme="minorEastAsia"/>
          <w:b/>
          <w:bCs/>
        </w:rPr>
        <w:t>.</w:t>
      </w:r>
      <w:r>
        <w:rPr>
          <w:rFonts w:hint="eastAsia" w:cs="宋体" w:asciiTheme="minorEastAsia" w:hAnsiTheme="minorEastAsia" w:eastAsiaTheme="minorEastAsia"/>
          <w:b/>
          <w:bCs/>
        </w:rPr>
        <w:t>手术示教系统</w:t>
      </w:r>
    </w:p>
    <w:p>
      <w:pPr>
        <w:rPr>
          <w:rFonts w:cs="宋体" w:asciiTheme="minorEastAsia" w:hAnsiTheme="minorEastAsia" w:eastAsiaTheme="minorEastAsia"/>
          <w:b/>
          <w:bCs/>
        </w:rPr>
      </w:pPr>
      <w:r>
        <w:rPr>
          <w:rFonts w:cs="宋体" w:asciiTheme="minorEastAsia" w:hAnsiTheme="minorEastAsia" w:eastAsiaTheme="minorEastAsia"/>
          <w:b/>
          <w:bCs/>
        </w:rPr>
        <w:t>7.1</w:t>
      </w:r>
      <w:r>
        <w:rPr>
          <w:rFonts w:hint="eastAsia" w:cs="宋体" w:asciiTheme="minorEastAsia" w:hAnsiTheme="minorEastAsia" w:eastAsiaTheme="minorEastAsia"/>
          <w:b/>
          <w:bCs/>
        </w:rPr>
        <w:t>报告厅</w:t>
      </w:r>
    </w:p>
    <w:tbl>
      <w:tblPr>
        <w:tblStyle w:val="36"/>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162"/>
        <w:gridCol w:w="6216"/>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4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数字手术科教系统</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1.可通过示教交互控制软件可对直播的手术室内全景、术野、内镜、监护仪、术中超声等影像进行切换和控制；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2.可观看正在示教的手术室状态并实现一键呼叫，手术室允许后即可观看手术并进行双向互动；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3.支持多分屏模式，单画面、三画面、四画面、六画面可选；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4.支持一个手术室多显示器观看手术；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★5.设备控制模块，既可以控制示教室全景摄像机，也可对正在示教的手术室全景、术野摄像机进行远端控制。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示教工作站</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1.配置不低于英特尔I7十二代处理器，</w:t>
            </w:r>
            <w:r>
              <w:rPr>
                <w:rFonts w:hint="eastAsia" w:asciiTheme="minorEastAsia" w:hAnsiTheme="minorEastAsia" w:eastAsiaTheme="minorEastAsia"/>
              </w:rPr>
              <w:t>≥</w:t>
            </w:r>
            <w:r>
              <w:rPr>
                <w:rFonts w:hint="eastAsia" w:cs="宋体" w:asciiTheme="minorEastAsia" w:hAnsiTheme="minorEastAsia" w:eastAsiaTheme="minorEastAsia"/>
                <w:color w:val="000000"/>
              </w:rPr>
              <w:t>16GB内存，</w:t>
            </w:r>
            <w:r>
              <w:rPr>
                <w:rFonts w:hint="eastAsia" w:asciiTheme="minorEastAsia" w:hAnsiTheme="minorEastAsia" w:eastAsiaTheme="minorEastAsia"/>
              </w:rPr>
              <w:t>≥</w:t>
            </w:r>
            <w:r>
              <w:rPr>
                <w:rFonts w:hint="eastAsia" w:cs="宋体" w:asciiTheme="minorEastAsia" w:hAnsiTheme="minorEastAsia" w:eastAsiaTheme="minorEastAsia"/>
                <w:color w:val="000000"/>
              </w:rPr>
              <w:t>240GB SSD+2TB硬盘；</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2.最大支持4路4K60信号同时解码输出；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3.支持2路及以上HDMI/DP输出，输出分辨率最大支持4K；</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4.支持TYPE C接口，可对接便携显示屏；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5.支持5路及以上USB接口和控制接口，可对示教室全景相机、手术室全景相机、术野相机等进行控制；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6.支持通过示教工作站对4K无损示教解码终端进行控制，包括但不限于画面切换、单画面、多画面、多个示教解码终端和多个显示屏等。</w:t>
            </w:r>
          </w:p>
        </w:tc>
        <w:tc>
          <w:tcPr>
            <w:tcW w:w="416"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4K无损超高清手术影像终端</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▲1.支持4K60 4:4:4无损手术影像采集；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2.支持3840×2160p@60/50fps、3840×2160p@30/25/24fps、1920×1080p@60/50fps、1920×1080p@30/25/24fps分辨率的采集和编码，并可向下兼容常见分辨率；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3.输入接口：HDMI2.0、USB2.0、USB-B、3.5mm音频；</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4.输出接口：HDMI2.0、3.5mm音频；</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5.网络接口：SFP+×1、10/100/1000Mbps自适应网口×1；</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6.编码方式：H.265/H.264；</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7.流协议：支持三码流输出，其中一路4K60无损无压缩视频流、2路H.265/264视频流；支持UDP、TCP协议，支持RTSP、RTMP、HTTP流服务模式输出。</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7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手术室专用4K高清全景摄像机</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1.支持不低于20倍光学变倍，16倍数字变倍；</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2.需支持内置Micro SD卡插槽，支持Micro SD卡存储；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3.接口需要具备1路音频输入、1路音频输出、1路报警输入、1路报警输出、1路HDMI2.0视频输出接口、1路3G-SDI视频输出接口、1个RS485接口、一个RS232接口、一个10M/100M自适应RJ45网络接口；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4.图像输出支持3840×2160p/25Hz；3840×2160p/30Hz；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3840×2160p/50Hz；3840×2160p/60Hz；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1920×1080p/25Hz；1920×1080p/30Hz；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1920×1080i/50Hz；1920×1080i/60Hz；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1920×1080p/50Hz；1920×1080p/60Hz。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5.云台转动范围：垂直旋转范围≥-30°～90°；水平旋转范围≥0°~350°。</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6.需支持在额定供电电压的±25%的范围内正常工作；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7.需支持多码流输出，包含主码流、子码流和第三码流，每路码流可独立配置分辨率及帧率；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8.需支持H.265、H.264、MJPEG视频编码格式，且H.264有Baseline/Main/High Profile编码能力，具有开启/关闭Smart264或Smart265功能；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9.需支持MP2L2、G.711ulaw、G.711alaw、G.726、G.722.1、AAC及PCM音频编码格式；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10.输出的图像中可叠加文字和符号信息，字符需包括通道名称、时间、预置点信息、坐标信息、镜头倍数等信息；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11.需支持≥24块多边形区域隐私遮蔽，遮盖区域支持多种颜色可选；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12.需具备背光补偿、宽动态、强光抑制功能；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13.应具备自动镜像的功能；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14.应具备≥300个预置点，支持存预置位和调预置位功能；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15.需按照所设置的预置位完成≥8条巡航路径,每条巡航至少可设置32个预置点；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16.需支持对监视画面中的人脸进行检测，可框选出检测到的人脸。</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17.中心分辨力应≥2000TVL；</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18.信噪比应≥55dB。</w:t>
            </w:r>
          </w:p>
        </w:tc>
        <w:tc>
          <w:tcPr>
            <w:tcW w:w="416"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cs="宋体" w:asciiTheme="minorEastAsia" w:hAnsiTheme="minorEastAsia" w:eastAsiaTheme="minorEastAsia"/>
          <w:b/>
          <w:bCs/>
        </w:rPr>
        <w:t>7.2</w:t>
      </w:r>
      <w:r>
        <w:rPr>
          <w:rFonts w:hint="eastAsia" w:cs="宋体" w:asciiTheme="minorEastAsia" w:hAnsiTheme="minorEastAsia" w:eastAsiaTheme="minorEastAsia"/>
          <w:b/>
          <w:bCs/>
        </w:rPr>
        <w:t>手术室示教室</w:t>
      </w:r>
    </w:p>
    <w:tbl>
      <w:tblPr>
        <w:tblStyle w:val="36"/>
        <w:tblW w:w="51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42"/>
        <w:gridCol w:w="6215"/>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5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1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数字手术科教系统</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1.可通过示教交互控制软件可对直播的手术室内全景、术野、内镜、监护仪、术中超声等影像进行切换和控制；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2.可观看正在示教的手术室状态并实现一键呼叫，手术室允许后即可观看手术并进行双向互动；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3.支持多分屏模式，单画面、三画面、四画面、六画面可选；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4.支持一个手术室多显示器观看手术；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5.设备控制模块，既可以控制示教室全景摄像机，也可对正在示教的手术室全景、术野摄像机进行远端控制；</w:t>
            </w:r>
          </w:p>
        </w:tc>
        <w:tc>
          <w:tcPr>
            <w:tcW w:w="41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示教工作站</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1.配置≥12核处理器，≥16GB内存，≥240GB SSD+2TB硬盘；</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2.支持≥4路4K60信号同时解码输出；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3.支持≥2路及以上HDMI/DP输出，输出分辨率支持≥7680×5320；</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4.支持TYPE C接口，可对接便携显示屏；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5.支持5路及以上USB接口和控制接口，可对示教室全景相机、手术室全景相机、术野相机等进行控制；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6.支持通过示教工作站对4K无损示教解码终端进行控制，包括但不限于画面切换、单画面、多画面、多个示教解码终端和多个显示屏等；</w:t>
            </w:r>
          </w:p>
        </w:tc>
        <w:tc>
          <w:tcPr>
            <w:tcW w:w="413"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4K无损超高清手术影像终端</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1.支持4K60 4:4:4无损手术影像采集；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2.支持3840×2160p@60/50fps、3840×2160p@30/25/24fps、1920×1080p@60/50fps、1920×1080p@30/25/24fps分辨率的采集和编码，并可向下兼容常见分辨率；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3.输入接口：HDMI2.0、USB2.0、USB-B、3.5mm音频；</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4.输出接口：HDMI2.0、3.5mm音频；</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5.网络接口：SFP+×1、10/100/1000Mbps自适应网口×1；</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6.编码方式：H.265/H.264；</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7.流协议：支持三码流输出，其中一路4K60无损无压缩视频流、2路H.265/264视频流；支持UDP、TCP协议，支持RTSP、RTMP、HTTP流服务模式输出。</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手术室专用4K高清全景摄像机</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1.支持不低于20倍光学变倍，16倍数字变倍；</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2.需支持内置Micro SD卡插槽，支持Micro SD卡存储；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3.接口需要具备1路音频输入、1路音频输出、1路报警输入、1路报警输出、1路HDMI2.0视频输出接口、1路3G-SDI视频输出接口、1个RS485接口、一个RS232接口、一个10M/100M自适应RJ45网络接口；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4.图像输出支持3840×2160p/25Hz；3840×2160p/30Hz；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3840×2160p/50Hz；3840×2160p/60Hz；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1920×1080p/25Hz；1920×1080p/30Hz；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1920×1080i/50Hz；1920×1080i/60Hz；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1920×1080p/50Hz；1920×1080p/60Hz。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5.云台转动范围：垂直旋转≥-30°～90°；水平旋转≥0°~350°；</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6.需支持在额定供电电压的±25%的范围内正常工作；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7.需支持多码流输出，包含主码流、子码流和第三码流，每路码流可独立配置分辨率及帧率；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8.需支持H.265、H.264、MJPEG视频编码格式，且H.264有Baseline/Main/High Profile编码能力，具有开启/关闭Smart264或Smart265功能；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9.需支持MP2L2、G.711ulaw、G.711alaw、G.726、G.722.1、AAC及PCM音频编码格式；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10.输出的图像中可叠加文字和符号信息，字符需包括通道名称、时间、预置点信息、坐标信息、镜头倍数等信息；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11.需支持≥24块多边形区域隐私遮蔽，遮盖区域支持多种颜色可选；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12.需具备背光补偿、宽动态、强光抑制功能；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13.应具备自动镜像的功能；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14.应具备≥300个预置点，支持存预置位和调预置位功能；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15.需按照所设置的预置位完成≥8条巡航路径,每条巡航可设置≥32个预置点；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16.需支持对监视画面中的人脸进行检测，可框选出检测到的人脸；</w:t>
            </w:r>
          </w:p>
          <w:p>
            <w:pPr>
              <w:rPr>
                <w:rFonts w:cs="宋体" w:asciiTheme="minorEastAsia" w:hAnsiTheme="minorEastAsia" w:eastAsiaTheme="minorEastAsia"/>
              </w:rPr>
            </w:pPr>
            <w:r>
              <w:rPr>
                <w:rFonts w:hint="eastAsia" w:cs="宋体" w:asciiTheme="minorEastAsia" w:hAnsiTheme="minorEastAsia" w:eastAsiaTheme="minorEastAsia"/>
                <w:color w:val="000000"/>
              </w:rPr>
              <w:t>17.中心分辨力应≥2000TVL；18.信噪比应≥55dB。</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5"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4K显示系统（含安装套件）</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1.屏幕规格：屏幕尺寸≥65英寸，像素点距≤0.372×0.372mm，分辨率：3840×2160最大亮度≥500cd/m2，对比度≥1100:1，屏幕视角≥178/178°，输入接口DVI×2 DP×2响应时间≤8ms；</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2.支持色彩：≥10亿色；</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3.医疗影像标准：完全符合DICOM3.14标准；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4.医疗校正曲线：内置多个亮度条件下的DICOM校正曲线DICOM250/DICOM300/DICOM350/DICOM400/DICOM450以及专业应用曲线CRT/DSI/DSA/CT(MRI)/RX1/RX2/GAMMA1.8/GAMMA2.0/GAMMA2.2/GAMMA2.4/Linear；</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5.亮度监测系统：内置亮度和温度监测软件保障显示器亮度稳定，在菜单中实时观察当前屏幕亮度数值和温度值，可直观的检查其工作有效性。</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6.按键分屏功能：前框引出按键，便于医生进行操作，可一键完成分屏，一键快捷单屏/多屏快速切换具有多分屏功能，可将屏幕分将屏幕分为单屏、双屏、三屏、四屏以及画中画模式显示。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7.分屏调节功能：分屏后可单独进行GAMMA和色温调节，根据医生的使用习惯分别调节屏的GAMMA和色温，分屏后自动识别最佳分辨率。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8.含整体安装套件。</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专业音箱</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1.阻抗：8Ω；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2.频响范围：65Hz~20KHz；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3.额定功率：150W；</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4.灵敏度：≥95dB/W/M；</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5.覆盖角度：(H)80°(V)60°；</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6.高音：3"锥形高音单元×2；</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7.低音：8"低音×1。</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专业功放</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1.工业造型钢面板，专业设计坚固面耐用，面板防尘网可折洗结构设计，可拆卸清洗的散热通风口。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2.开机软启动，防止开机时向电网吸收大电流，干扰其它用电设备。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3.具备智能控制强制散热，</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4.两声道功放有三档输入灵敏度选择，接纳宽幅度范围信号源输入；输入灵敏度：0.775V/1V/1.44V</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5.完善可靠的安全保护措施和工作状态指示。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6.智能削峰限幅器，控制功率模块及扬声器系统在安全范围内工作。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7.标准XLR+TRS1/4” 复合输入接口，8.高品质变压器和低阻大容量电解滤波，9.适应不同场合所需，可选立体声或桥接工作模式。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10.输入座接地脚接地和悬浮控制。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11.输出功率（20Hz-20KHz/THD≤1％）：立体声/并联8Ω×2：200W×2；立体声/并联4Ω×2：300W×2；桥接8Ω：600W。</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5"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无线话筒</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1.采用PLL频率合成锁相环技术，微电脑集成中央处理器CPU总线控制系统。</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2.兼容手动选频和红外自动对频锁定频道， 杂讯锁定静噪控制及音码锁定静噪控制。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3.V/A显示屏在任何角度观察字体清晰同时显示信道号与工作频率。带8级射频电平显示，8级音频电平显示，频道菜单显示，静音显示。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4.先进的滤波及抗干扰功能能够有效阻隔外界不良信号及手机信号的干扰。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5.采用传统按键操控，内置高性能的语音压扩技术，支持平衡和非平衡两种选择输出端口。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6.系统指标：频率范围： 640-690MHZ  740-790MHz  807-830MHz、频道数目：≥500个、音频响应 ：80HZ-18KHZ(±2dB)、信噪比： ≥100dB、灵敏度 ：–105 dBm for 12 dB SINAD, typical、有效使用距离 ：空旷≥50米。</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7.接收器指标：平衡200Ω 负载-13dBV，非平衡600Ω、音频输出阻抗： 平衡200Ω；1路合并非平衡600Ω。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8.麦克风指标：输出功率 ：高功率30mW；低功率3mW。</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9.系统包括有一台主机+两台桌面式无线麦克风和两个手持话筒。</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0"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调音台</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1.支持≥8路麦克风输入兼容6路线路输入接口，支持≥2路立体声输入接口，≥4路RCA输入，话筒接口幻象电源：+48V。</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2.具有≥2组立体主输出、≥4路编组输出、≥4路辅助输出、≥1组立体声监听输出、≥1个耳机监听输出、≥2个效果输出、≥1组主混音断点插入、≥6个断点插入。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3.内置24位DSP效果器，提供100种预设效果。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4.具备13个60mm行程的高精密碳膜推子。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5.内置USB声卡模块，支持连接电脑进行音乐播放和声音录音；内置MP3播放器，支持1个USB接口接U盘播放音乐。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6.频率响应：20Hz-20kHz，±2dB；失真度：&lt;0.03% at+0dB,22Hz-22KHz A-weighted；灵敏度；+21dB~-30dB；信噪比：&lt;-100dBr A-weighted。</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0"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音频处理器</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1.数字音频处理器支持≥4路平衡式话筒/线路输入通道，采用裸线接口端子，平衡接法；支持≥4路平衡式线路输出，采用裸线接口端子，平衡接法。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2.输入通道支持前级放大、信号发生器、扩展器、压缩器、5段参量均衡、AM自动混音功能、AFC自适应反馈消除、AEC回声消除、ANC噪声消除。</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3.输出通道支持31段参量均衡器、延时器、分频器、高低通滤波器、限幅器。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4.支持24bit/48KHz卓越的高品质声音，支持输入通道48V幻象供电，频率响应：20Hz-20KHz，总谐波失真＜0.002%@1KHz,4dBu，数/模动态范围(A-计权)：120dB；最大输出电平≥+24dBu，最大输入电平≥+24dBu。</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5.支持通过ipad或iPhone或安卓手机APP软件进行操作控制，面板具备USB接口，支持多媒体存储，可进行播放或存储录播。</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6.配置双向RS-232接口，可用于控制外部设备；配置RS-485接口，可实现自动摄像跟踪功能。配置8通道可编程GPIO控制接口（可自定义输入输出）。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7.支持断电自动保护记忆功能。支持通道拷贝、粘贴、联控功能。支持通过浏览器访问设备，下载自带管理控制软件；软件界面直观、图形化，可工作在XP/Windows7.8.10等系统环境下。</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抑制器</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1.采用≥96KHz采样频率，32-bit DSP处理器，24-bitA/D及D/A转换；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2.支持数字信号输入输出通道提供coaxial，AES及光纤接口。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3.支持144 x 32的LCD显示屏显示参数功能，提供6段LED显示输出电平；每通道24个LED灯显示啸叫抑制状态数量；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4.每通道支持压缩、限幅、噪声门、功能设置，可切换工作模式为直通或反馈抑制；可任意编辑固定和动态反馈点数量，可一键清除啸叫点；单机可存储30组用户程序。</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0"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电源时序控制器</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1.设备采用标准1U机箱设计。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2.远程控制≥8通道电源时序打开/关闭—当船型开关处于off位置时有效。</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3.当远程控制有效时同时控制后板ALARM（报警）端口导通以起到级联控制ALARM（报警）功能。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4.单个通道最大负载功率≥2200W，所有通道负载总功率≥6000W。</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5.输入连接器：大功率线码式电源连接器。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6.输出连接器：多用途电源插座。</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7.USB输出接口，可以接LED灯。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8.额定输出电压：AC~220V50Hz。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9.额定输出电流：≥30A。</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10.可控制电源：≥8路。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11.每路动作延时时间：≤1秒。</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12.单路额定输出电源：≥10A。</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示教室综合布线</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1.提供连接示教室内核心平台配套各种线缆，其中视频线缆传输信号能力≥4K的标准。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2.线缆为高质量出厂定制线缆，减少现场焊接制作接头。</w:t>
            </w:r>
          </w:p>
        </w:tc>
        <w:tc>
          <w:tcPr>
            <w:tcW w:w="413"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14</w:t>
            </w:r>
          </w:p>
        </w:tc>
        <w:tc>
          <w:tcPr>
            <w:tcW w:w="65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网络机柜</w:t>
            </w:r>
          </w:p>
        </w:tc>
        <w:tc>
          <w:tcPr>
            <w:tcW w:w="355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标准19英寸42U机柜，符合消防认证IP30标准；同时安有万向脚轮和支撑脚固定；左右侧门可快速拆或装，带PDU。</w:t>
            </w:r>
          </w:p>
        </w:tc>
        <w:tc>
          <w:tcPr>
            <w:tcW w:w="413"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p>
    <w:p>
      <w:pPr>
        <w:rPr>
          <w:rFonts w:cs="宋体" w:asciiTheme="minorEastAsia" w:hAnsiTheme="minorEastAsia" w:eastAsiaTheme="minorEastAsia"/>
          <w:b/>
          <w:bCs/>
        </w:rPr>
      </w:pPr>
      <w:r>
        <w:rPr>
          <w:rFonts w:hint="eastAsia" w:cs="宋体" w:asciiTheme="minorEastAsia" w:hAnsiTheme="minorEastAsia" w:eastAsiaTheme="minorEastAsia"/>
          <w:b/>
          <w:bCs/>
        </w:rPr>
        <w:t>7</w:t>
      </w:r>
      <w:r>
        <w:rPr>
          <w:rFonts w:cs="宋体" w:asciiTheme="minorEastAsia" w:hAnsiTheme="minorEastAsia" w:eastAsiaTheme="minorEastAsia"/>
          <w:b/>
          <w:bCs/>
        </w:rPr>
        <w:t>.3</w:t>
      </w:r>
      <w:r>
        <w:rPr>
          <w:rFonts w:hint="eastAsia" w:cs="宋体" w:asciiTheme="minorEastAsia" w:hAnsiTheme="minorEastAsia" w:eastAsiaTheme="minorEastAsia"/>
          <w:b/>
          <w:bCs/>
        </w:rPr>
        <w:t>手术示教管理系统</w:t>
      </w:r>
    </w:p>
    <w:tbl>
      <w:tblPr>
        <w:tblStyle w:val="36"/>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134"/>
        <w:gridCol w:w="6216"/>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4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4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0" w:hRule="atLeast"/>
        </w:trPr>
        <w:tc>
          <w:tcPr>
            <w:tcW w:w="38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4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手术影像资源管理系统</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1.手术资源管理：手术信息查询；手术录像资料查看播放；在线上传发布手术资料；在线下载导出手术录像；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2.视频流媒体管理：实时视频流接入；视频流请求分发管理；示教直播管理；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3.系统WEB界面采用BS架构，直播和点播无需安装任何插件及客户端软件；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4.支持多间手术室同时录制及直播；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5.支持录制视频发布，并设置发布权限和发布分类；</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6.直播和点播支持多路同播；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7.点播页面支持视频和快照下载；支持实时快照和上传快照；</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8.点播页面和直播页面支持多条件查询；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9.具有权限管理，可以根据用户角色控制直播，点播等模块的访问权限；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10.在线编辑：支持快速剪辑视频，支持建立手术索引，方便在线快速查找到指定位置，在线编辑后，直接生成文件至服务器，无需后期上传。</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9" w:hRule="atLeast"/>
        </w:trPr>
        <w:tc>
          <w:tcPr>
            <w:tcW w:w="38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4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4K超高清示教终端</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基本架构：</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分体式终端，须采用嵌入式操作系统，非PC架构，通过遥控器进行会议控制包括控制声音、图像、会议管理等，非键盘鼠标操作，采用国产芯片。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音视频接口要求：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1.需配置具备至少4路视频输入接口，其中至少包含2路HDMI接口；至少2路视频高清输出接口，方便与会议室视频系统集成。上述接口需终端集成，不接受转接方式实现；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2.需配置具备至少6路音频输入接口；至少3路音频输出接口，方便与会议室音频系统集成；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3.需支持视频输出接口自适应，当HDMI1输出无连接时，HDMI2可以自动输出原HDMI1视频画面；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4.可以通过USB接口自动导入配置，进行设备安装部署。</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协议标准：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1.视频协议需支持H.264 SVC、H.265 SVC编码技术，能够适应不同线路带宽、不同设备能力、不同网络环境的组网需求；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2.音频协议需支持宽频高保真语音技术，支持OPUS、G.711、G.722音频编解码协议。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处理能力：</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1.需支持4K30fps、1080P60fps、1080P30fps分辨率并向下兼容；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2.需支持双流内容分享，支持4K高清双流；</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3.需支持语音优化：回声消除、自动降噪、自动增益控制、自动增强、突出人声，支持唇音同步技术。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内容共享：</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1.需支持同时发送和接收双流，即多会场同时发送双流，会场可根据需要调看不同的辅流内容，分辨率达4K30fps；</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2.可以共享手机内图片或共享手机屏幕到会议中；</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3.云平台可以配置启用允许一个会议中多个成员同时发送双流，支持最多50个人同时发送双流；</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4.参会人可以发起电子白板功能，实现多方白板互动。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网络适应性：</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1.需支持IPV4、IPV6双栈接入；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2.视频呼叫需支持64Kbps至8Mbps范围内动态自适应，并可实时显示当前自适应呼叫带宽。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显示要求：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1.需支持双屏显示输出，如远端会场图像、内容各占一屏；或远端发言会场、其他多分屏会场各占一屏；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2.可以通过翻页方式查看所有参会者画面。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通讯录：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1.终端可自动同步云端多级组织通讯录，可通过通讯录一键快速建立呼叫，可查看到通讯录中个人或终端设备的号码、上线、离线、忙线等信息。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终端自检：</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1.终端开机后可以自动对本机的网络状态、摄像头采集状态、扬声器输出状态、麦克风输入状态进行自检，并输出检测结果。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会议签到：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1.可以分享报名链接和二维码，进行签到；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2.手机客户端可以扫描二维码签到，硬件终端摄像机进行人脸信息采集和识别，实现人脸识别自动签到；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3.平台须可以自动统计签到结果，签到人员与未到人员可以分组显示。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会议录制：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1.具备录制功能，在会中可对正在召开的直播会议进行自主的录制，并可将会议内容进行保存、点播。</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9" w:hRule="atLeast"/>
        </w:trPr>
        <w:tc>
          <w:tcPr>
            <w:tcW w:w="38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4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移动端应用</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基本架构：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1.提供不少于30个点的接入能力，以手机移动端、电脑客户端等形式加入；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2.可支持Windows、MAC OS、安卓、IOS操作系统，支持1080P高清分辨率。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协议标准：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1.视频需支持H.264 SVC编码技术，能够适应不同线路带宽、不同设备能力、不同网络环境的组网需求；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2.需支持宽频高保真语音技术，支持G.711、G.722、OPUS音频编解码协议。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应用功能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1.需支持预约会议，支持点对点呼叫、加入多方会议；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2.需支持周期会议合并展示，可整体或单独修改某个会议；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3.需支持发起会议功能，通过微信、邮件、短信、链接分享方式发起会议邀请；</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4.需支持会议主持功能。既可以主持主动发起的会议也支持主持其他的会议；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5.主持功能能设置静音，设置主会场，设置轮询，结束会议等功能；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6.需支持通过手机端、PC端发起视频直播；</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7.需支持同时发送和接收双流，即多会场同时发送双流，会场可根据需要调看不同的辅流内容；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8.在多分屏会议中，须能点击任意小分屏画面实现该画面图像放大全屏；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9.需支持日程功能，显示待参加及已经结束的会议列表；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10.需支持通讯录功能，显示所在的单位名称和单位通讯录，包括该单位的所有用户、群组、各类终端及客户端；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11.需支持虚拟摄像头、美颜和虚拟背景；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12.需支持会议过程中改名，且立即生效；</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13.需支持设置密码；</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14.需支持锁定会议功能，会议锁定后分会议成员无法自行加入；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15.需支持等候室功能，需主持人同意后方可进入会议室；</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16.需支持通话中锁定工具栏，防止误触；</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文档共享</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1.需支持在会议中及会议外共享屏幕、音视频文件及其他视频源；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2.PPT演讲者模式下共享桌面时，需支持仅共享幻灯片正文内容，发送端可以观看到完整的PPT演讲者视图（翻页、备注等），接收端看到的是PPT内容，看不到PPT的备注；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3.共享内容时，需支持自动采集PC声音，无需接插额外音频线缆；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呼叫共振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1.需支持同一账号同时在PC客户端和手机APP上登陆，在接收呼叫时两个客户端同时振铃，接听其中一个客户端，另一个即停止振铃。</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视频录制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2.需支持在PC、手机软件终端会议界面启动录制，录制文件自动存储到当前账号云文件夹中。</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38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4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4K无损超高清手术影像终端</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1.支持4K60 4:4:4无损手术影像采集；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2.支持3840×2160p@60/50fps、3840×2160p@30/25/24fps、1920×1080p@60/50fps、1920×1080p@30/25/24fps分辨率的采集和编码，并可向下兼容常见分辨率；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3.输入接口：HDMI2.0、USB2.0、USB-B、3.5mm音频；</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4.输出接口：HDMI2.0、3.5mm音频；</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5.网络接口：SFP+×1、10/100/1000Mbps自适应网口×1；</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6.编码方式：H.265/H.264；</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7.流协议：支持三码流输出，其中一路4K60无损无压缩视频流、2路H.265/264视频流；支持UDP、TCP协议，支持RTSP、RTMP、HTTP流服务模式输出。</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bl>
    <w:p>
      <w:pPr>
        <w:rPr>
          <w:rFonts w:cs="宋体" w:asciiTheme="minorEastAsia" w:hAnsiTheme="minorEastAsia" w:eastAsiaTheme="minorEastAsia"/>
          <w:b/>
          <w:bCs/>
        </w:rPr>
      </w:pPr>
      <w:r>
        <w:rPr>
          <w:rFonts w:hint="eastAsia" w:cs="宋体" w:asciiTheme="minorEastAsia" w:hAnsiTheme="minorEastAsia" w:eastAsiaTheme="minorEastAsia"/>
          <w:b/>
          <w:bCs/>
        </w:rPr>
        <w:t>8</w:t>
      </w:r>
      <w:r>
        <w:rPr>
          <w:rFonts w:cs="宋体" w:asciiTheme="minorEastAsia" w:hAnsiTheme="minorEastAsia" w:eastAsiaTheme="minorEastAsia"/>
          <w:b/>
          <w:bCs/>
        </w:rPr>
        <w:t>.</w:t>
      </w:r>
      <w:r>
        <w:rPr>
          <w:rFonts w:hint="eastAsia" w:cs="宋体" w:asciiTheme="minorEastAsia" w:hAnsiTheme="minorEastAsia" w:eastAsiaTheme="minorEastAsia"/>
          <w:b/>
          <w:bCs/>
        </w:rPr>
        <w:t>数字化手术室系统</w:t>
      </w:r>
    </w:p>
    <w:p>
      <w:pPr>
        <w:rPr>
          <w:rFonts w:cs="宋体" w:asciiTheme="minorEastAsia" w:hAnsiTheme="minorEastAsia" w:eastAsiaTheme="minorEastAsia"/>
          <w:b/>
          <w:bCs/>
        </w:rPr>
      </w:pPr>
      <w:r>
        <w:rPr>
          <w:rFonts w:cs="宋体" w:asciiTheme="minorEastAsia" w:hAnsiTheme="minorEastAsia" w:eastAsiaTheme="minorEastAsia"/>
          <w:b/>
          <w:bCs/>
        </w:rPr>
        <w:t>8.1</w:t>
      </w:r>
      <w:r>
        <w:rPr>
          <w:rFonts w:hint="eastAsia" w:cs="宋体" w:asciiTheme="minorEastAsia" w:hAnsiTheme="minorEastAsia" w:eastAsiaTheme="minorEastAsia"/>
          <w:b/>
          <w:bCs/>
        </w:rPr>
        <w:t>数字化手术室集中管理系统</w:t>
      </w:r>
    </w:p>
    <w:tbl>
      <w:tblPr>
        <w:tblStyle w:val="36"/>
        <w:tblW w:w="51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161"/>
        <w:gridCol w:w="6205"/>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6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4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0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38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6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中心管理系统基础模块</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1.需采用LINUX等安全性高的操作系统，确保数据安全；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2.用户管理：用户信息编辑，同步OA系统用户；</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3.基础信息维护：医院名称，科室名称，手术间名称；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4.设备信息管理：设备配置信息，设备类别，ID，数量，规格统计；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5.角色管理：角色信息编辑，角色名称设置；角色权限分配：功能模块授权，功能操作授权，登录节点授权，设备使用授权，直播观看范围授权，录像访问范围授权；</w:t>
            </w:r>
          </w:p>
        </w:tc>
        <w:tc>
          <w:tcPr>
            <w:tcW w:w="407"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38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6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医疗系统中间接口管理系统</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1.医疗系统中间件接口管理系统（HIS、PACS、LIS、手麻）；</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2.手术系统中间件接口管理系统接口对接（环境、压差、环境、医气、UPS、隔离电源、净化机组）。</w:t>
            </w:r>
          </w:p>
        </w:tc>
        <w:tc>
          <w:tcPr>
            <w:tcW w:w="407"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38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6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数字化手术室集中管理系统互联</w:t>
            </w:r>
          </w:p>
        </w:tc>
        <w:tc>
          <w:tcPr>
            <w:tcW w:w="3548"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1.单台设备支持≥48路4K信号切换和交互；</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2.提供≥48个10G SFP+端口，≥2个共享的万兆10GBase-T接口提供≥10G自适应的RJ45连接；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3.全面支持SDN；</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4.支持4K60 4:4:4信号无损无延时路由切换；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5.支持本地/远程堆叠，可以与万兆或千兆型号混合堆叠支持高达8台设备堆叠，支持全三层网络功能；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6.每路端口配置万兆单模光模块，实现4K信号光纤接入。</w:t>
            </w:r>
          </w:p>
        </w:tc>
        <w:tc>
          <w:tcPr>
            <w:tcW w:w="40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bl>
    <w:p>
      <w:pPr>
        <w:rPr>
          <w:rFonts w:cs="宋体" w:asciiTheme="minorEastAsia" w:hAnsiTheme="minorEastAsia" w:eastAsiaTheme="minorEastAsia"/>
          <w:b/>
          <w:bCs/>
        </w:rPr>
      </w:pPr>
      <w:r>
        <w:rPr>
          <w:rFonts w:cs="宋体" w:asciiTheme="minorEastAsia" w:hAnsiTheme="minorEastAsia" w:eastAsiaTheme="minorEastAsia"/>
          <w:b/>
          <w:bCs/>
        </w:rPr>
        <w:t xml:space="preserve">8.2 </w:t>
      </w:r>
      <w:r>
        <w:rPr>
          <w:rFonts w:hint="eastAsia" w:cs="宋体" w:asciiTheme="minorEastAsia" w:hAnsiTheme="minorEastAsia" w:eastAsiaTheme="minorEastAsia"/>
          <w:b/>
          <w:bCs/>
        </w:rPr>
        <w:t>数字化手术室系统</w:t>
      </w:r>
    </w:p>
    <w:p>
      <w:pPr>
        <w:rPr>
          <w:rFonts w:cs="宋体" w:asciiTheme="minorEastAsia" w:hAnsiTheme="minorEastAsia" w:eastAsiaTheme="minorEastAsia"/>
          <w:b/>
          <w:bCs/>
        </w:rPr>
      </w:pPr>
      <w:r>
        <w:rPr>
          <w:rFonts w:hint="eastAsia" w:cs="宋体" w:asciiTheme="minorEastAsia" w:hAnsiTheme="minorEastAsia" w:eastAsiaTheme="minorEastAsia"/>
          <w:b/>
          <w:bCs/>
        </w:rPr>
        <w:t>8</w:t>
      </w:r>
      <w:r>
        <w:rPr>
          <w:rFonts w:cs="宋体" w:asciiTheme="minorEastAsia" w:hAnsiTheme="minorEastAsia" w:eastAsiaTheme="minorEastAsia"/>
          <w:b/>
          <w:bCs/>
        </w:rPr>
        <w:t xml:space="preserve">.2.1 </w:t>
      </w:r>
      <w:r>
        <w:rPr>
          <w:rFonts w:hint="eastAsia" w:cs="宋体" w:asciiTheme="minorEastAsia" w:hAnsiTheme="minorEastAsia" w:eastAsiaTheme="minorEastAsia"/>
          <w:b/>
          <w:bCs/>
        </w:rPr>
        <w:t>4K数字化手术室-（腔镜间*2间、骨科*</w:t>
      </w:r>
      <w:r>
        <w:rPr>
          <w:rFonts w:cs="宋体" w:asciiTheme="minorEastAsia" w:hAnsiTheme="minorEastAsia" w:eastAsiaTheme="minorEastAsia"/>
          <w:b/>
          <w:bCs/>
        </w:rPr>
        <w:t>1</w:t>
      </w:r>
      <w:r>
        <w:rPr>
          <w:rFonts w:hint="eastAsia" w:cs="宋体" w:asciiTheme="minorEastAsia" w:hAnsiTheme="minorEastAsia" w:eastAsiaTheme="minorEastAsia"/>
          <w:b/>
          <w:bCs/>
        </w:rPr>
        <w:t>间）</w:t>
      </w:r>
    </w:p>
    <w:tbl>
      <w:tblPr>
        <w:tblStyle w:val="36"/>
        <w:tblW w:w="51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28"/>
        <w:gridCol w:w="6236"/>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6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智慧手术交互显示终端</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1．屏幕尺寸：≥65英寸，宽高比16：9；</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2．分辨率：≥3840×2160@60，向下兼容常见分辨率；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3．屏幕亮度：≥500cd/㎡；</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4．接口：HDMI2.0、SFP+、Audio、千兆网口、USB、S232；</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5．色彩：≥10亿色；</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▲6．触控：全贴合电容触控，显示触控融为一体；</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7．可实现观片灯模式，可代替观片灯实现观片功能；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8．显示器支持视频影像解码功能，解码分辨率最大支持3840×2160@60Hz 4:4:4，并向下兼容1080P60Hz、1080P30Hz等各种常见分辨率；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9．全玻璃前壳，嵌入式设计，安装后与墙面平齐；</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10．具备多种显示模式，支持多画面显示模式；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11．显示屏采用超窄边框、超大屏占比设计，屏占比≥92.7%；</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12．两线式接入设计，显示系统只需接入220V电源和光纤，就可实现显示系统整体供电、解码、影像无损无延时传输、触摸控制等所有功能，提高系统稳定性、可靠性和抗干扰能力，降低施工部署难度和维护投入；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13．智能软控菜单，支持通过触控屏切换信号源、显示模式、显示屏亮度调节等设备操作；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14．内置电子白板、批注功能，可通过手势快速调取，便于术前、术中讨论，术后总结；</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15．嵌入式超窄边框、超薄一体化净化安装箱体，箱体精度高、易清洗、不生锈，可满足所有手术室嵌入安装要求；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16．嵌入式箱体采用前维护一体化液压伸缩支架，自带锁紧装置，按压弹出，便于安装及后续维护；</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17．前置USB3.0防水接口接口、电源开关；可外接其他外部设备；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18．支持触控透传，无需单独连接触控线即可实现对数字一体化工作站、接入的护士工作站等设备在不低于65寸触控屏上进行控制，实现患者PACS影像、病历等信息的控制功能；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19．超静音设计；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20.含整体安装套件。</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5"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4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4K医用显示系统（吊臂安装）</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1.医用级4K超高清显示器，屏幕对角线尺寸≥31寸；</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2.与整体手术室系统无缝整合，悬吊式安装在手术室内；</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3.有安全线路，如系统发生故障，可切换到直连方式连通主机和显视器；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4.支持内窥镜影像显示,分辨率≥4096×2160，宽高比≥16：9；</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5.对比度：≥1400:1；</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6.亮度：≥500cd/m2；</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7.色彩：≥10亿色；</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8.伽玛1.8、2.0、2.2、2.4、2.6，DICOM，高亮；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9.视频输入信号：HDMI≥1；DVI-D≥1；BNC≥5，支持3G/HD/SD-SDI；</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10.视频输出信号：DVI-D≥1；BNC≥5，支持3G/HD/SD-SDI；</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医用吊臂（显示）</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1.支持安装1台≥32英寸显示器；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2.吊臂展开的有效距离为≥180cm，满足日常承重需求，材料优质。</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4K无损超高清手术影像终端</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1.支持4K60 4:4:4无损手术影像采集；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2.支持3840×2160p@60/50fps、3840×2160p@30/25/24fps、1920×1080p@60/50fps、1920×1080p@30/25/24fps分辨率的采集和编码，并可向下兼容常见分辨率；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3.输入接口：HDMI2.0、USB2.0、USB-B、3.5mm音频；</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4.输出接口：HDMI2.0、3.5mm音频；</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5.网络接口：SFP+×1、10/100/1000Mbps自适应网口×1；</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6.编码方式：H.265/H.264；</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7.流协议：支持三码流输出，其中一路4K60无损无压缩视频流、2路H.265/264视频流；支持UDP、TCP协议，支持RTSP、RTMP、HTTP流服务模式输出。</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0"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手术室无线麦克风</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1.医用级麦克风，集声音采集与播放一体，支持1台主机最多同时连接2只头戴式话筒单元，可满足主刀、助手和其他主要人员同时收听远端声音和讲话；</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2.具备一键静音功能；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3.噪音控制功能，可有效控制环境噪音，麦克接收单元可自动过滤环境杂音只识别讲解者声音，确保通话质量；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4.低电报警功能，电池电量低于10%自动报警并语音提示电量不足；</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5.蓝牙连接，避免射频信号对手术室仪器设备影响问题，有效传输距离≥10米；</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6.支持与其他蓝牙设备连接，可通过蓝牙连接手机；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7.主机采用高性能芯片组，支持蓝牙5.0；</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8.多接口输入，支持3.5mm音频输入输出、USB接入，USB接口支持双向音频传输；</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9.充电式设计，内置高性能锂电池，支持50小时以上超长通话；</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10.主机支持音量控制，通过音量指示灯可显示5级音量；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11.高性能Type C充电接口，支持通过USB接口充电；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12.高集成设计，整机尺寸≤170×110×30mm，满足各种环境安装放置要求。</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5"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音频处理终端</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1.4*4数字音频矩阵；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2.DSP芯片：Ti 450MHz FLOPS双核；</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3.输入处理：前级放大、信号发生器、扩展器、压缩器、5段参量均衡、反相、自动增益、自动混音；</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4.输出处理：31段参量均衡器、延时器、分频器、高低通滤波器、限幅器、反相；</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5.功放模块：内置8Ω 2X145W D类数字功放；</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6.USB背景音乐播放与录制功能；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7.支持场景预设功能；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8.断电自动保护记忆功能；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9.支持RJ45和RS232。</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吸顶扬声器</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1.采用1只6.5寸中低音喇叭单元和1只1.5"球顶高音单元；</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2.采用吸顶安装方式，采用铁质网罩内贴防尘网棉；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3.具有精确设计的分频器优化功率响应及人声部分的中频表现力；</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4.额定功率≥100W；</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5.阻抗：8Ω；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6.灵敏度(1W/1M)≥92dB；</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7.频率响应(-10dB)：60Hz-20KHz；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8.安装开孔尺寸：≤250mm。</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5"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手术室专用4K高清全景摄像机</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1.支持不低于20倍光学变倍，16倍数字变倍；</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2.需支持内置Micro SD卡插槽，支持Micro SD卡存储；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3.接口需要具备1路音频输入、1路音频输出、1路报警输入、1路报警输出、1路HDMI2.0视频输出接口、1路3G-SDI视频输出接口、1个RS485接口、一个RS232接口、一个10M/100M自适应RJ45网络接口；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4.图像输出支持3840×2160p/25Hz；3840×2160p/30Hz；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3840×2160p/50Hz；3840×2160p/60Hz；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1920×1080p/25Hz；1920×1080p/30Hz；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1920×1080i/50Hz；1920×1080i/60Hz；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1920×1080p/50Hz；1920×1080p/60Hz。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5.云台转动范围：垂直旋转范围≥-30°～90°；水平旋转范围≥0°~350°。</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6.需支持在额定供电电压的±25%的范围内正常工作；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7.需支持多码流输出，包含主码流、子码流和第三码流，每路码流可独立配置分辨率及帧率；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8.需支持H.265、H.264、MJPEG视频编码格式，且H.264有Baseline/Main/High Profile编码能力，具有开启/关闭Smart264或Smart265功能；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9.需支持MP2L2、G.711ulaw、G.711alaw、G.726、G.722.1、AAC及PCM音频编码格式；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10.输出的图像中可叠加文字和符号信息，字符需包括通道名称、时间、预置点信息、坐标信息、镜头倍数等信息；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11.需支持≥24块多边形区域隐私遮蔽，遮盖区域支持多种颜色可选；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12.需具备背光补偿、宽动态、强光抑制功能；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13.应具备自动镜像的功能；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14.应具备≥300个预置点，支持存预置位和调预置位功能；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15.需按照所设置的预置位完成≥8条巡航路径,每条巡航至少可设置32个预置点；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16.需支持对监视画面中的人脸进行检测，可框选出检测到的人脸。</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17.中心分辨力应≥2000TVL；18.信噪比应≥55dB。</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4K术野摄像机</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1.需具备</w:t>
            </w:r>
            <w:r>
              <w:rPr>
                <w:rFonts w:hint="eastAsia" w:cs="宋体" w:asciiTheme="minorEastAsia" w:hAnsiTheme="minorEastAsia" w:eastAsiaTheme="minorEastAsia"/>
              </w:rPr>
              <w:t>≥1</w:t>
            </w:r>
            <w:r>
              <w:rPr>
                <w:rFonts w:hint="eastAsia" w:cs="宋体" w:asciiTheme="minorEastAsia" w:hAnsiTheme="minorEastAsia" w:eastAsiaTheme="minorEastAsia"/>
                <w:color w:val="000000"/>
              </w:rPr>
              <w:t>个HDBaseT输出接口；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2.信噪比不低于50dB；</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3.支持不低于20倍光学变倍能力；</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4.支持输出分辨率：3840*2160/30、3840*2160/25、1920*1080/60、1920*1080/50</w:t>
            </w:r>
            <w:r>
              <w:rPr>
                <w:rFonts w:hint="eastAsia" w:cs="宋体" w:asciiTheme="minorEastAsia" w:hAnsiTheme="minorEastAsia" w:eastAsiaTheme="minorEastAsia"/>
              </w:rPr>
              <w:t xml:space="preserve">、1920*1080/30、1920*1080/25 </w:t>
            </w:r>
            <w:r>
              <w:rPr>
                <w:rFonts w:hint="eastAsia" w:cs="宋体" w:asciiTheme="minorEastAsia" w:hAnsiTheme="minorEastAsia" w:eastAsiaTheme="minorEastAsia"/>
                <w:color w:val="000000"/>
              </w:rPr>
              <w:t>；</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5.需具备快速出图能力，从上电到出图时间不超过15s；</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6.支持遥控器、按键面板、远程配置等多种控制方式；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7.需支持普通模式和无影灯模式的场景模式切换；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8.需支持在80-120cm的拍摄范围内自动聚焦快速、清晰；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9.需支持变倍、调焦、冻结等一键操作；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10.机身需支持POE供电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11.支持HDBase-T技术，</w:t>
            </w:r>
            <w:r>
              <w:rPr>
                <w:rFonts w:hint="eastAsia" w:cs="宋体" w:asciiTheme="minorEastAsia" w:hAnsiTheme="minorEastAsia" w:eastAsiaTheme="minorEastAsia"/>
              </w:rPr>
              <w:t>≥</w:t>
            </w:r>
            <w:r>
              <w:rPr>
                <w:rFonts w:hint="eastAsia" w:cs="宋体" w:asciiTheme="minorEastAsia" w:hAnsiTheme="minorEastAsia" w:eastAsiaTheme="minorEastAsia"/>
                <w:color w:val="000000"/>
              </w:rPr>
              <w:t>传输距离达70米以上。</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医用吊臂（显示+术野）</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1.单轴双臂结构，双路悬挂设计，支持安装1台≥32寸显示器，1台术野摄像机；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2.吊臂展开的有效距离为≥180cm，满足日常承重需求。</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5"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1</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数字化手术控制系统</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一体化控制中心整体要求：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▲1.高度集成、模块化设计，一体化控制中心集成</w:t>
            </w:r>
            <w:r>
              <w:rPr>
                <w:rFonts w:hint="eastAsia" w:cs="宋体" w:asciiTheme="minorEastAsia" w:hAnsiTheme="minorEastAsia" w:eastAsiaTheme="minorEastAsia"/>
              </w:rPr>
              <w:t>≥</w:t>
            </w:r>
            <w:r>
              <w:rPr>
                <w:rFonts w:hint="eastAsia" w:cs="宋体" w:asciiTheme="minorEastAsia" w:hAnsiTheme="minorEastAsia" w:eastAsiaTheme="minorEastAsia"/>
                <w:color w:val="000000"/>
              </w:rPr>
              <w:t>32寸电容触控显示屏、医用防水键盘、一体化手术室管理工作站，系统整体达到产品级设计标准，具有高可靠、易安装、易维护、省空间、易消毒、高安全、完全符合手术室净化要求等特点；(投标时提供实物图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2.嵌入式安装结构，安装后与手术室墙面平齐，无任何突出，安全、易清理、易消毒；</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3.超窄边框模块化设计，嵌入安装结构边框≤2CM，可与内嵌式手术显示屏系统拼接安装，安装后上下边缘平齐，达到一体化视觉效果；</w:t>
            </w:r>
          </w:p>
          <w:p>
            <w:pPr>
              <w:rPr>
                <w:rFonts w:cs="宋体" w:asciiTheme="minorEastAsia" w:hAnsiTheme="minorEastAsia" w:eastAsiaTheme="minorEastAsia"/>
              </w:rPr>
            </w:pPr>
            <w:r>
              <w:rPr>
                <w:rFonts w:hint="eastAsia" w:cs="宋体" w:asciiTheme="minorEastAsia" w:hAnsiTheme="minorEastAsia" w:eastAsiaTheme="minorEastAsia"/>
                <w:color w:val="000000"/>
              </w:rPr>
              <w:t>4. 隐藏式医用防水键盘，高档铝合金托盘，键盘组件折叠后与一体化控制中心前壳、手术室墙面平齐无任何突出墙面，按压式弹出，打开后可通过医用键盘进行操控，医用键盘托盘设计有储物空间，可放置无线麦克风、遥控器等</w:t>
            </w:r>
            <w:r>
              <w:rPr>
                <w:rFonts w:hint="eastAsia" w:cs="宋体" w:asciiTheme="minorEastAsia" w:hAnsiTheme="minorEastAsia" w:eastAsiaTheme="minorEastAsia"/>
              </w:rPr>
              <w:t>设备，并提供无线麦克风、手机充电接口，有效解决手术室设备放置不方便、易丢失、充电不方便问题；</w:t>
            </w:r>
          </w:p>
          <w:p>
            <w:pPr>
              <w:rPr>
                <w:rFonts w:cs="宋体" w:asciiTheme="minorEastAsia" w:hAnsiTheme="minorEastAsia" w:eastAsiaTheme="minorEastAsia"/>
              </w:rPr>
            </w:pPr>
            <w:r>
              <w:rPr>
                <w:rFonts w:hint="eastAsia" w:cs="宋体" w:asciiTheme="minorEastAsia" w:hAnsiTheme="minorEastAsia" w:eastAsiaTheme="minorEastAsia"/>
              </w:rPr>
              <w:t>5.前置≥2路防水USB3.0接口和≥1路电源开关，可外接U盘、移动硬盘、移动光驱等设备；</w:t>
            </w:r>
          </w:p>
          <w:p>
            <w:pPr>
              <w:rPr>
                <w:rFonts w:cs="宋体" w:asciiTheme="minorEastAsia" w:hAnsiTheme="minorEastAsia" w:eastAsiaTheme="minorEastAsia"/>
              </w:rPr>
            </w:pPr>
            <w:r>
              <w:rPr>
                <w:rFonts w:hint="eastAsia" w:cs="宋体" w:asciiTheme="minorEastAsia" w:hAnsiTheme="minorEastAsia" w:eastAsiaTheme="minorEastAsia"/>
              </w:rPr>
              <w:t>6.防尘、防水、防锈、防腐蚀设计，整系统安装后与墙面平齐、密封符合百级手术室净化要求；</w:t>
            </w:r>
          </w:p>
          <w:p>
            <w:pPr>
              <w:rPr>
                <w:rFonts w:cs="宋体" w:asciiTheme="minorEastAsia" w:hAnsiTheme="minorEastAsia" w:eastAsiaTheme="minorEastAsia"/>
              </w:rPr>
            </w:pPr>
            <w:r>
              <w:rPr>
                <w:rFonts w:hint="eastAsia" w:cs="宋体" w:asciiTheme="minorEastAsia" w:hAnsiTheme="minorEastAsia" w:eastAsiaTheme="minorEastAsia"/>
              </w:rPr>
              <w:t>7.≥32寸电容触控专业显示屏，支持≥10点电容触控；</w:t>
            </w:r>
          </w:p>
          <w:p>
            <w:pPr>
              <w:rPr>
                <w:rFonts w:cs="宋体" w:asciiTheme="minorEastAsia" w:hAnsiTheme="minorEastAsia" w:eastAsiaTheme="minorEastAsia"/>
              </w:rPr>
            </w:pPr>
            <w:r>
              <w:rPr>
                <w:rFonts w:hint="eastAsia" w:cs="宋体" w:asciiTheme="minorEastAsia" w:hAnsiTheme="minorEastAsia" w:eastAsiaTheme="minorEastAsia"/>
              </w:rPr>
              <w:t>8.产品级设备连线标准，采用标准理线架，系统布线合理、标记清晰、接线规范，确保系统稳定；</w:t>
            </w:r>
          </w:p>
          <w:p>
            <w:pPr>
              <w:rPr>
                <w:rFonts w:cs="宋体" w:asciiTheme="minorEastAsia" w:hAnsiTheme="minorEastAsia" w:eastAsiaTheme="minorEastAsia"/>
                <w:color w:val="000000"/>
              </w:rPr>
            </w:pPr>
            <w:r>
              <w:rPr>
                <w:rFonts w:hint="eastAsia" w:cs="宋体" w:asciiTheme="minorEastAsia" w:hAnsiTheme="minorEastAsia" w:eastAsiaTheme="minorEastAsia"/>
              </w:rPr>
              <w:t>9.万兆光纤接入，系统数据交换及控制只需1根万兆光纤线即可实现视频传输、设备控制、集中管理</w:t>
            </w:r>
            <w:r>
              <w:rPr>
                <w:rFonts w:hint="eastAsia" w:cs="宋体" w:asciiTheme="minorEastAsia" w:hAnsiTheme="minorEastAsia" w:eastAsiaTheme="minorEastAsia"/>
                <w:color w:val="000000"/>
              </w:rPr>
              <w:t>等各种控制功能，提高信号抗干扰能力和系统整体稳定性。</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数字一体化工作站：</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1.配置≥I7十代处理器、≥16GB内存、≥256GB固态硬盘；</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2.HDMI/DP接口≥2个，支持两路及以上4K60信号输出；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r>
              <w:rPr>
                <w:rFonts w:cs="Calibri" w:asciiTheme="minorEastAsia" w:hAnsiTheme="minorEastAsia" w:eastAsiaTheme="minorEastAsia"/>
                <w:color w:val="000000"/>
              </w:rPr>
              <w:t xml:space="preserve"> </w:t>
            </w:r>
            <w:r>
              <w:rPr>
                <w:rFonts w:hint="eastAsia" w:cs="宋体" w:asciiTheme="minorEastAsia" w:hAnsiTheme="minorEastAsia" w:eastAsiaTheme="minorEastAsia"/>
                <w:color w:val="000000"/>
              </w:rPr>
              <w:t>应具备RJ45≥1、DB9≥1、USB3.0≥2、USB2.0≥6接口，并可根据需要进行扩展；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4.多设备接入和控制，支持同时接入多个全景相机、术野相机、内窥镜系统等设备控制信号，根据需要实现对应控制功能；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5.支持多个触控屏同时接入和控制，至少支持2个触控屏同时接入，不同触控屏可实现不同控制界面操作功能；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6.支持与数字化手术室触控显示屏无缝对接，可通过手术室内任一触控屏对工作站进行控制；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7.支持视频预览功能；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8.支持手术影像文件拷出，可通过控制中心USB接口将手术录制影像拷贝到外接存储设备或DVD光盘；</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电源管理系统：</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1.与一体化控制中心一体化设计、专门安装结构，产品级设计及安装标准，不占用手术室额外空间；</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2.一键开关机设计，只需通过一体化工作站防水开关即可实现所有数字化系统一键上电开机和一键系统关机，避免数字化设备数量多开关机不便问题；</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3.集中式供电系统，可为全景相机、术野相机、功放、32寸触摸控制屏、手术影像采集/解码设备提供高品质电源，避免电刀干扰等问题；数字一体化工作站开机系统自动上电，工作站关机后系统自动断电。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手术影像控制终端：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1.支持4K60 4:4:4无损手术影像采集；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2.支持3840×2160p@60/50fps、3840×2160p@30/25/24fps、1920×1080p@60/50fps、1920×1080p@30/25/24fps分辨率的采集和编码，并可向下兼容常见分辨率；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3.输入接口：HDMI2.0、USB2.0、USB-B、3.5mm音频；</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4.输出接口：HDMI2.0、3.5mm音频；</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5.网络接口：SFP+×1、10/100/1000Mbps自适应网口×1；</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6.编码方式：H.265/H.264；</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7.流协议：支持三码流输出，其中一路4K60无损无压缩视频流、2路H.265/264视频流；支持UDP、TCP协议，支持RTSP、RTMP、HTTP流服务模式输出。</w:t>
            </w:r>
          </w:p>
        </w:tc>
        <w:tc>
          <w:tcPr>
            <w:tcW w:w="399" w:type="pct"/>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2</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智能数字化手术室软件系统</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1.通过手术室可视化综合管理系统可对手术室内全景、术野、内镜、监护仪、术中超声、麻醉等接入影像进行切换和控制；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2.人性化操作界面，通过数字化手术室内触控屏可对数字化系统进行控制，实现数字化手术室所有操控功能；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3.影像路由控制，可预览所有接入设备影像并通过触控屏进行视频路由控制，可对所有输出屏输出信号及模式进行预览，只需通过将输入信号预览画面拖动到输出预览窗口即可实现信号路由操作；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★4.手术录制功能，可对所有接入的手术影像进行录制，所有接入数字化系统信号都可进行录制，不受信号接入数量限制；支持录制信号选择，可手动选择需要录制的信号；</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5.设备控制模块，在手术室内触控屏上可对手术室内全景摄像机、术野摄像机进行控制，并可实现对正在通话的示教室全景摄像机进行控制；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6.信息调阅，通过手术室内交互显示系统可调阅患者电子病例、PACS等信息；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7.支持患者信息和医生信息手动录入，患者信息可进行查询、添加、删除、修改等操作；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8.手术直播模块，手术室可控制手术观看权限、直播路数；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9.用户登陆功能，支持用户登陆，所有手术影像记录可以以用户相应权限为基础进行存储和控制；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10.影像拷贝功能，支持本地影像通过USB外接存储设备拷出，包括但不限于手术录像、手术截图；</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11.直播录制状态显示，可实时显示当前手术室手术直播状态和录制状态；</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12.支持集成对接医院HIS、PACS、EMR等信息系统，可将信息系统信息显示在手术室内≥65寸触控手术屏和内窥镜监视屏上，并通过这些触控屏对显示界面进行触控操作；</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13.背景音乐，支持背景音乐或视频上传、播放，背景视频播放画面可显示在手术室内任一≥65寸手术室显示屏或内窥监视屏上，用以缓解患者紧张情绪，营造轻松的手术氛围。</w:t>
            </w:r>
          </w:p>
          <w:p>
            <w:pPr>
              <w:rPr>
                <w:rFonts w:cs="宋体" w:asciiTheme="minorEastAsia" w:hAnsiTheme="minorEastAsia" w:eastAsiaTheme="minorEastAsia"/>
              </w:rPr>
            </w:pP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3</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术中患者医疗数据及影像数据交互集成系统</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间集中查询当台手术患者的核查数据、间内环境数据、预警数据、HIS信息、LIS信息、PACS信息，均可在手术间调阅信息，提升手术的安全及信息交互；支持间内环境的在线监测，包含不限于压差在线监测、空调在线监测、百级手术室尘埃粒子在线监测；可结合家属等候区公告系统及手术室医护协同系统构建患者谈话流程闭环。</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4</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灯光控制系统</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1.具有LED蓝光照明功能，可通过触摸屏进行控制；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★2.支持最少3个用户自定义的灯光预设模式，及一键式快速调用；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3.包含LED光源。</w:t>
            </w:r>
          </w:p>
        </w:tc>
        <w:tc>
          <w:tcPr>
            <w:tcW w:w="399" w:type="pct"/>
            <w:shd w:val="clear" w:color="auto" w:fill="auto"/>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cs="宋体" w:asciiTheme="minorEastAsia" w:hAnsiTheme="minorEastAsia" w:eastAsiaTheme="minorEastAsia"/>
                <w:color w:val="000000"/>
              </w:rPr>
              <w:t>5</w:t>
            </w:r>
          </w:p>
        </w:tc>
        <w:tc>
          <w:tcPr>
            <w:tcW w:w="64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4K手术室综合布线（含设备安装、系统调试）</w:t>
            </w:r>
          </w:p>
        </w:tc>
        <w:tc>
          <w:tcPr>
            <w:tcW w:w="3566"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包含全部光纤、布线、安装各种设备的工程：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1.视频线纯铜无磁性24K镀金接口；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2.HDMI线采用纯铜HDMI2.0工程线材，满足4096×2160@60Hz传输性能要求；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3.光纤线采用国标及以上线缆，满足万兆传输要求；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4.内嵌显示屏等设备安装满足手术室净化标注和规范要求；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5.数字化手术室线材铺设满足弱电布线规范，采用国标桥架和穿线管铺设。</w:t>
            </w:r>
          </w:p>
        </w:tc>
        <w:tc>
          <w:tcPr>
            <w:tcW w:w="3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bl>
    <w:p>
      <w:pPr>
        <w:rPr>
          <w:rFonts w:cs="宋体" w:asciiTheme="minorEastAsia" w:hAnsiTheme="minorEastAsia" w:eastAsiaTheme="minorEastAsia"/>
          <w:b/>
          <w:bCs/>
        </w:rPr>
      </w:pPr>
      <w:r>
        <w:rPr>
          <w:rFonts w:hint="eastAsia" w:cs="宋体" w:asciiTheme="minorEastAsia" w:hAnsiTheme="minorEastAsia" w:eastAsiaTheme="minorEastAsia"/>
          <w:b/>
          <w:bCs/>
        </w:rPr>
        <w:t>8</w:t>
      </w:r>
      <w:r>
        <w:rPr>
          <w:rFonts w:cs="宋体" w:asciiTheme="minorEastAsia" w:hAnsiTheme="minorEastAsia" w:eastAsiaTheme="minorEastAsia"/>
          <w:b/>
          <w:bCs/>
        </w:rPr>
        <w:t>.3</w:t>
      </w:r>
      <w:r>
        <w:rPr>
          <w:rFonts w:hint="eastAsia" w:cs="宋体" w:asciiTheme="minorEastAsia" w:hAnsiTheme="minorEastAsia" w:eastAsiaTheme="minorEastAsia"/>
          <w:b/>
          <w:bCs/>
        </w:rPr>
        <w:t>数字化手术室布线预留-（2间）</w:t>
      </w:r>
    </w:p>
    <w:tbl>
      <w:tblPr>
        <w:tblStyle w:val="36"/>
        <w:tblW w:w="51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121"/>
        <w:gridCol w:w="6241"/>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4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6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技术参数</w:t>
            </w:r>
          </w:p>
        </w:tc>
        <w:tc>
          <w:tcPr>
            <w:tcW w:w="40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5" w:hRule="atLeast"/>
        </w:trPr>
        <w:tc>
          <w:tcPr>
            <w:tcW w:w="39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4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数字化手术室综合布线预留</w:t>
            </w:r>
          </w:p>
        </w:tc>
        <w:tc>
          <w:tcPr>
            <w:tcW w:w="356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1.提供连接手术室内核心平台配套各种线缆，其中视频线缆传输信号能力不低于4K的标准；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2.线缆为高质量出厂定制线缆，减少现场焊接制作接头，提升安装效率和质量；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3.线缆预留长度不少于35米，满足各种面积手术室的安装需求；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 线缆要求如下，包含全部光纤、布线、安装各种设备的工程：</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1.视频线纯铜无磁性24K镀金接口；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2.HDMI线采用纯铜HDMI2.0工程线材，满足4096×2160@60Hz传输性能要求；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3.光纤线采用国标及以上线缆，满足万兆传输要求；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4.内嵌显示屏等设备安装满足手术室净化标注和规范要求；</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5.数字化手术室线材铺设满足弱电布线规范，采用国标桥架和穿线管铺设。</w:t>
            </w:r>
          </w:p>
        </w:tc>
        <w:tc>
          <w:tcPr>
            <w:tcW w:w="40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bl>
    <w:p>
      <w:pPr>
        <w:rPr>
          <w:rFonts w:cs="宋体" w:asciiTheme="minorEastAsia" w:hAnsiTheme="minorEastAsia" w:eastAsiaTheme="minorEastAsia"/>
          <w:b/>
          <w:bCs/>
        </w:rPr>
      </w:pPr>
      <w:r>
        <w:rPr>
          <w:rFonts w:cs="宋体" w:asciiTheme="minorEastAsia" w:hAnsiTheme="minorEastAsia" w:eastAsiaTheme="minorEastAsia"/>
          <w:b/>
          <w:bCs/>
        </w:rPr>
        <w:t>9.</w:t>
      </w:r>
      <w:r>
        <w:rPr>
          <w:rFonts w:hint="eastAsia" w:cs="宋体" w:asciiTheme="minorEastAsia" w:hAnsiTheme="minorEastAsia" w:eastAsiaTheme="minorEastAsia"/>
          <w:b/>
          <w:bCs/>
        </w:rPr>
        <w:t>信息化手术室系统</w:t>
      </w:r>
    </w:p>
    <w:tbl>
      <w:tblPr>
        <w:tblStyle w:val="36"/>
        <w:tblW w:w="51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21"/>
        <w:gridCol w:w="624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8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4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7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详细功能/技术参数</w:t>
            </w:r>
          </w:p>
        </w:tc>
        <w:tc>
          <w:tcPr>
            <w:tcW w:w="40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8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4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术中患者医疗数据及影像数据交互集成系统</w:t>
            </w:r>
          </w:p>
        </w:tc>
        <w:tc>
          <w:tcPr>
            <w:tcW w:w="357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手术间集中查询当台手术患者的核查数据、间内环境数据、预警数据、HIS信息、LIS信息、PACS信息，均可在手术间调阅信息，提升手术的安全及信息交互；支持间内环境的在线监测，包含不限于压差在线监测、空调在线监测、百级手术室尘埃粒子在线监测；可结合家属等候区公告系统及手术室医护协同系统构建患者谈话流程闭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tc>
        <w:tc>
          <w:tcPr>
            <w:tcW w:w="400"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8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4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触摸显示大屏（含OPS电脑）</w:t>
            </w:r>
          </w:p>
        </w:tc>
        <w:tc>
          <w:tcPr>
            <w:tcW w:w="357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屏幕采用≥65英寸UHD超高清LED液晶屏，屏占比≥85%，整机最薄处≤24mm，分辨率3840*2160，显示比例16:9，色彩度≥10bit ,可视角度≥178°，色域≥90%NTSC；为满足科室书写讨论需求，整机需采用红外触控技术或电容触控技术，支持≥10点书写，≥10点触摸，有效识别高度≤2mm，单点触摸响应时间≤10ms；为满足科室之间的音频传输需求，整机需内置不少于6个麦克风，不低于8米有效拾音距离，另采用功率不低于2*10W（中高音）+20W（低音）的网孔发声扬声器；采用模块化系统方案，配置安卓模块；</w:t>
            </w:r>
          </w:p>
        </w:tc>
        <w:tc>
          <w:tcPr>
            <w:tcW w:w="400"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8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4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显示屏嵌入式套件</w:t>
            </w:r>
          </w:p>
        </w:tc>
        <w:tc>
          <w:tcPr>
            <w:tcW w:w="3570"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≥65寸显示器嵌入式套件，与手术室内整体风格颜色保持一致。</w:t>
            </w:r>
          </w:p>
        </w:tc>
        <w:tc>
          <w:tcPr>
            <w:tcW w:w="400"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hint="eastAsia" w:cs="宋体" w:asciiTheme="minorEastAsia" w:hAnsiTheme="minorEastAsia" w:eastAsiaTheme="minorEastAsia"/>
          <w:b/>
          <w:bCs/>
        </w:rPr>
        <w:t>1</w:t>
      </w:r>
      <w:r>
        <w:rPr>
          <w:rFonts w:cs="宋体" w:asciiTheme="minorEastAsia" w:hAnsiTheme="minorEastAsia" w:eastAsiaTheme="minorEastAsia"/>
          <w:b/>
          <w:bCs/>
        </w:rPr>
        <w:t>0.</w:t>
      </w:r>
      <w:r>
        <w:rPr>
          <w:rFonts w:hint="eastAsia" w:cs="宋体" w:asciiTheme="minorEastAsia" w:hAnsiTheme="minorEastAsia" w:eastAsiaTheme="minorEastAsia"/>
          <w:b/>
          <w:bCs/>
        </w:rPr>
        <w:t>医疗物联网</w:t>
      </w:r>
    </w:p>
    <w:p>
      <w:pPr>
        <w:rPr>
          <w:rFonts w:cs="宋体" w:asciiTheme="minorEastAsia" w:hAnsiTheme="minorEastAsia" w:eastAsiaTheme="minorEastAsia"/>
          <w:b/>
          <w:bCs/>
        </w:rPr>
      </w:pPr>
      <w:r>
        <w:rPr>
          <w:rFonts w:hint="eastAsia" w:cs="宋体" w:asciiTheme="minorEastAsia" w:hAnsiTheme="minorEastAsia" w:eastAsiaTheme="minorEastAsia"/>
          <w:b/>
          <w:bCs/>
        </w:rPr>
        <w:t>1</w:t>
      </w:r>
      <w:r>
        <w:rPr>
          <w:rFonts w:cs="宋体" w:asciiTheme="minorEastAsia" w:hAnsiTheme="minorEastAsia" w:eastAsiaTheme="minorEastAsia"/>
          <w:b/>
          <w:bCs/>
        </w:rPr>
        <w:t>0.1</w:t>
      </w:r>
      <w:r>
        <w:rPr>
          <w:rFonts w:hint="eastAsia" w:cs="宋体" w:asciiTheme="minorEastAsia" w:hAnsiTheme="minorEastAsia" w:eastAsiaTheme="minorEastAsia"/>
          <w:b/>
          <w:bCs/>
        </w:rPr>
        <w:t>物联网集成平台</w:t>
      </w:r>
    </w:p>
    <w:tbl>
      <w:tblPr>
        <w:tblStyle w:val="36"/>
        <w:tblW w:w="51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168"/>
        <w:gridCol w:w="629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6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9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37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restar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68" w:type="pct"/>
            <w:vMerge w:val="restar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物联网集成平台</w:t>
            </w: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1.采用平台化建设医疗物联网应用；</w:t>
            </w:r>
          </w:p>
        </w:tc>
        <w:tc>
          <w:tcPr>
            <w:tcW w:w="372"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cs="宋体" w:asciiTheme="minorEastAsia" w:hAnsiTheme="minorEastAsia" w:eastAsiaTheme="minorEastAsia"/>
                <w:color w:val="000000"/>
              </w:rPr>
              <w:t>2</w:t>
            </w:r>
            <w:r>
              <w:rPr>
                <w:rFonts w:hint="eastAsia" w:cs="宋体" w:asciiTheme="minorEastAsia" w:hAnsiTheme="minorEastAsia" w:eastAsiaTheme="minorEastAsia"/>
                <w:color w:val="000000"/>
              </w:rPr>
              <w:t>.物联网技术统一接入和管理，</w:t>
            </w:r>
            <w:r>
              <w:rPr>
                <w:rFonts w:hint="eastAsia" w:cs="宋体" w:asciiTheme="minorEastAsia" w:hAnsiTheme="minorEastAsia" w:eastAsiaTheme="minorEastAsia"/>
              </w:rPr>
              <w:t>支持扩展；</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cs="宋体" w:asciiTheme="minorEastAsia" w:hAnsiTheme="minorEastAsia" w:eastAsiaTheme="minorEastAsia"/>
                <w:color w:val="000000"/>
              </w:rPr>
              <w:t>3</w:t>
            </w:r>
            <w:r>
              <w:rPr>
                <w:rFonts w:hint="eastAsia" w:cs="宋体" w:asciiTheme="minorEastAsia" w:hAnsiTheme="minorEastAsia" w:eastAsiaTheme="minorEastAsia"/>
                <w:color w:val="000000"/>
              </w:rPr>
              <w:t>.建立医疗物联网服务能力层，提供给所有的医疗物联网应用使用；</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cs="宋体" w:asciiTheme="minorEastAsia" w:hAnsiTheme="minorEastAsia" w:eastAsiaTheme="minorEastAsia"/>
                <w:color w:val="000000"/>
              </w:rPr>
              <w:t>4</w:t>
            </w:r>
            <w:r>
              <w:rPr>
                <w:rFonts w:hint="eastAsia" w:cs="宋体" w:asciiTheme="minorEastAsia" w:hAnsiTheme="minorEastAsia" w:eastAsiaTheme="minorEastAsia"/>
                <w:color w:val="000000"/>
              </w:rPr>
              <w:t>.医疗物联网应用可单个或多个组合使用物联网服务能力；</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cs="宋体" w:asciiTheme="minorEastAsia" w:hAnsiTheme="minorEastAsia" w:eastAsiaTheme="minorEastAsia"/>
                <w:color w:val="000000"/>
              </w:rPr>
              <w:t>5</w:t>
            </w:r>
            <w:r>
              <w:rPr>
                <w:rFonts w:hint="eastAsia" w:cs="宋体" w:asciiTheme="minorEastAsia" w:hAnsiTheme="minorEastAsia" w:eastAsiaTheme="minorEastAsia"/>
                <w:color w:val="000000"/>
              </w:rPr>
              <w:t>.医疗物联网应用平台可支持多个医疗物联网应用部署，支持将来扩展和部署更多的医疗物联网应用；</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cs="宋体" w:asciiTheme="minorEastAsia" w:hAnsiTheme="minorEastAsia" w:eastAsiaTheme="minorEastAsia"/>
                <w:color w:val="000000"/>
              </w:rPr>
              <w:t>6</w:t>
            </w:r>
            <w:r>
              <w:rPr>
                <w:rFonts w:hint="eastAsia" w:cs="宋体" w:asciiTheme="minorEastAsia" w:hAnsiTheme="minorEastAsia" w:eastAsiaTheme="minorEastAsia"/>
                <w:color w:val="000000"/>
              </w:rPr>
              <w:t>.不同的室内定位技术支持使用统一的地图技术进行可视化展现，采用同一套室内电子地图；</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cs="宋体" w:asciiTheme="minorEastAsia" w:hAnsiTheme="minorEastAsia" w:eastAsiaTheme="minorEastAsia"/>
                <w:color w:val="000000"/>
              </w:rPr>
              <w:t>7</w:t>
            </w:r>
            <w:r>
              <w:rPr>
                <w:rFonts w:hint="eastAsia" w:cs="宋体" w:asciiTheme="minorEastAsia" w:hAnsiTheme="minorEastAsia" w:eastAsiaTheme="minorEastAsia"/>
                <w:color w:val="000000"/>
              </w:rPr>
              <w:t>.所有的医疗物联网应用支持采用统一的地图技术和同一套室内电子地图，保证医疗物联网应用定位场景体验的一致性；</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cs="宋体" w:asciiTheme="minorEastAsia" w:hAnsiTheme="minorEastAsia" w:eastAsiaTheme="minorEastAsia"/>
                <w:color w:val="000000"/>
              </w:rPr>
              <w:t>8</w:t>
            </w:r>
            <w:r>
              <w:rPr>
                <w:rFonts w:hint="eastAsia" w:cs="宋体" w:asciiTheme="minorEastAsia" w:hAnsiTheme="minorEastAsia" w:eastAsiaTheme="minorEastAsia"/>
                <w:color w:val="000000"/>
              </w:rPr>
              <w:t>.支持医疗物联网应用和院内导航应用共用同一套iBeacon硬件，同时支持物联网终端被动定位的应用和移动终端主动定位的应用。</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 物联网设备管理</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1.统一接入和管理无线物联网技术的通信基站/网关/中继器/iBeacon；</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2.每一台物联网设备都必须注册到医疗物联网应用平台才能使用；</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3.可设置物联网设备的参数，可删除物联网设备，设备删除后不能在医疗物联网应用平台使用；</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4.支持监控物联网设备的状态和数据处理；</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5.物联网设备类型支持：蓝牙+LoRa、LoRa/LoRaWAN、有源RFID、无源RFID。</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 物联网终端管理</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1.统一管理所有物联网终端标签；</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2.每一台物联网终端标签都必须注册到医疗物联网应用平台才能使用；</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3.可设置物联网终端标签的参数，可删除物联网终端标签，终端标签删除后不能在医疗物联网应用平台使用；</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4.支持监控物联网终端标签的状态和数据处理；</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5.物联网终端标签类型支持：蓝牙+LoRa、LoRa/LoRaWAN、有源RFID、无源RFID。</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 统一的物联网终端标签数据处理</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1.支持蓝牙+LoRa、LoRa/LoRaWAN终端标签数据解析处理，不同的蓝牙+LoRa、LoRa/LoRaWAN终端标签数据有不同的解析处理模块；</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2.支持有源RFID终端标签数据解析处理，不同的有源RFID终端标签数据有不同的解析处理模块；</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3.支持无源RFID终端标签数据解析处理，遵循无源RFID终端标签数据标准。</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 医疗物联网应用公共基础服务</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1.提供给所有的医疗物联网应用统一使用，避免不同的医疗物联网应用重复开发相应的基础服务功能；</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2.提供统一的床位/座位管理；</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3.提供统一的院区/病区/科室管理；</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4.提供医疗物联网应用统一的电子围栏管理；</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5.统一的地图技术，管理医院同一套电子地图，提供给所有的医疗物联网应用进行使用；</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6.提供医疗物联网应用平台和医疗物联网应用的操作日志服务；</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7.提供医疗物联网应用平台的系统日志服务。</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 统一用户和权限管理</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1.提供统一的用户和权限管理，支持医疗物联网应用平台和所有的医疗物联网应用的用户和权限管理；</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2.所有的用户身份都必须是唯一的，用户身份不能相同重复；</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3.支持医疗物联网应用平台和医疗物联网应用的两级用户和权限管理模式，医疗物联网应用平台支持平台和医疗物联网应用的用户和权限管理，医疗物联网应用只有本应用的用户和权限管理；</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医疗物联网应用平台进行用户和权限管理，医疗物联网应用平台管理员可以同时管理医疗物联网应用平台和医疗物联网应用的用户和权限，支持用户可授权不同的医疗物联网应用权限，每个医疗物联网应用的权限也可以授权不同的功能；</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医疗物联网应用第一个管理员必须由医疗物联网应用平台增加和授权，医疗物联网应用已有管理员可增加管理员用户和权限；</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医疗物联网应用只能管理本医疗物联网应用内的用户和权限，可授权本应用不同的功能；</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医疗物联网应用增加用户和权限时，如果用户已存在，医疗物联网应用平台会利用现有存在的用户，只增加用户需要增加的医疗物联网应用权限，而不会实际新增用户；</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医疗物联网应用修改和删除用户身份，只是修改和删除医疗物联网应用本应用的用户身份和权限，不能修改和删除其他医疗物联网的用户身份和权限，完全删除用户身份和权限必须在医疗物联网应用平台才能真正删除用户身份和权限。</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 统一访问入口和认证</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1.提供医疗物联网应用统一访问的入口，简化用户的访问，避免多医疗物联网应用多入口的复杂访问方式；</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2.支持统一认证，所有的医疗物联网应用都通过医疗物联网应用平台进行认证，通过认证后可以进入医疗物联网应用平台；</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3.提供医疗物联网应用桌面，可展示全部用户授权的医疗物联网应用访问入口，点击任何一个医疗物联网应用入口即可进入到相应的医疗物联网应用界面；</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4.已认证有效的医疗物联网应用界面，如果需要跳转到其他的医疗物联网应用，可通过医疗物联网应用快捷切换入口进行医疗物联网应用的界面切换；</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3" w:type="pct"/>
            <w:vMerge w:val="continue"/>
            <w:vAlign w:val="center"/>
          </w:tcPr>
          <w:p>
            <w:pPr>
              <w:rPr>
                <w:rFonts w:cs="宋体" w:asciiTheme="minorEastAsia" w:hAnsiTheme="minorEastAsia" w:eastAsiaTheme="minorEastAsia"/>
                <w:color w:val="000000"/>
              </w:rPr>
            </w:pPr>
          </w:p>
        </w:tc>
        <w:tc>
          <w:tcPr>
            <w:tcW w:w="668" w:type="pct"/>
            <w:vMerge w:val="continue"/>
            <w:vAlign w:val="center"/>
          </w:tcPr>
          <w:p>
            <w:pPr>
              <w:rPr>
                <w:rFonts w:cs="宋体" w:asciiTheme="minorEastAsia" w:hAnsiTheme="minorEastAsia" w:eastAsiaTheme="minorEastAsia"/>
                <w:color w:val="000000"/>
              </w:rPr>
            </w:pP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已认证有效的医疗物联网应用的界面切换到其他医疗物联网应用，无需进行二次认证可直接切换；</w:t>
            </w:r>
          </w:p>
        </w:tc>
        <w:tc>
          <w:tcPr>
            <w:tcW w:w="372"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0" w:hRule="atLeast"/>
        </w:trPr>
        <w:tc>
          <w:tcPr>
            <w:tcW w:w="36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6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定位引擎及地图引擎</w:t>
            </w: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1.全院区域所有楼栋和室外空间统一展示，室内地图采用高精度地图；</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2.蓝牙室内定位技术在定位区域内在原地</w:t>
            </w:r>
            <w:r>
              <w:rPr>
                <w:rFonts w:hint="eastAsia" w:cs="宋体" w:asciiTheme="minorEastAsia" w:hAnsiTheme="minorEastAsia" w:eastAsiaTheme="minorEastAsia"/>
              </w:rPr>
              <w:t>≤</w:t>
            </w:r>
            <w:r>
              <w:rPr>
                <w:rFonts w:hint="eastAsia" w:cs="宋体" w:asciiTheme="minorEastAsia" w:hAnsiTheme="minorEastAsia" w:eastAsiaTheme="minorEastAsia"/>
                <w:color w:val="000000"/>
              </w:rPr>
              <w:t>5秒内完成准确的初始定位和初始方向；</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3.蓝牙室内定位精度要求平均达到 </w:t>
            </w:r>
            <w:r>
              <w:rPr>
                <w:rFonts w:hint="eastAsia" w:cs="宋体" w:asciiTheme="minorEastAsia" w:hAnsiTheme="minorEastAsia" w:eastAsiaTheme="minorEastAsia"/>
              </w:rPr>
              <w:t>≤</w:t>
            </w:r>
            <w:r>
              <w:rPr>
                <w:rFonts w:hint="eastAsia" w:cs="宋体" w:asciiTheme="minorEastAsia" w:hAnsiTheme="minorEastAsia" w:eastAsiaTheme="minorEastAsia"/>
                <w:color w:val="000000"/>
              </w:rPr>
              <w:t>3 米；</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4.支持2D和3D效果，支持2D/3D效果的切换；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5.支持地图的缩放、旋转和可选择随前进方向自动旋转或不旋转、平移；</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6.地图性能：地图渲染速度3s以内，路径规划2s以内；</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7.地图管理支持地图的导入和导出。</w:t>
            </w:r>
          </w:p>
        </w:tc>
        <w:tc>
          <w:tcPr>
            <w:tcW w:w="372"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hint="eastAsia" w:cs="宋体" w:asciiTheme="minorEastAsia" w:hAnsiTheme="minorEastAsia" w:eastAsiaTheme="minorEastAsia"/>
          <w:b/>
          <w:bCs/>
        </w:rPr>
        <w:t>1</w:t>
      </w:r>
      <w:r>
        <w:rPr>
          <w:rFonts w:cs="宋体" w:asciiTheme="minorEastAsia" w:hAnsiTheme="minorEastAsia" w:eastAsiaTheme="minorEastAsia"/>
          <w:b/>
          <w:bCs/>
        </w:rPr>
        <w:t>0.2</w:t>
      </w:r>
      <w:r>
        <w:rPr>
          <w:rFonts w:hint="eastAsia" w:cs="宋体" w:asciiTheme="minorEastAsia" w:hAnsiTheme="minorEastAsia" w:eastAsiaTheme="minorEastAsia"/>
          <w:b/>
          <w:bCs/>
        </w:rPr>
        <w:t>婴儿防盗系统</w:t>
      </w:r>
    </w:p>
    <w:tbl>
      <w:tblPr>
        <w:tblStyle w:val="36"/>
        <w:tblW w:w="51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105"/>
        <w:gridCol w:w="6286"/>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01"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3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97"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36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3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婴儿防盗系统</w:t>
            </w:r>
          </w:p>
        </w:tc>
        <w:tc>
          <w:tcPr>
            <w:tcW w:w="3597"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1.支持全区域定位覆盖；</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2.具有查看婴儿定位终端实时位置功能；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3.具有目标跟踪功能，可实时追踪单个婴儿；</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4.支持回放已绑定的婴儿定位终端历史轨迹；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5.具有数据统计分析功能，可统计各区域婴儿数量；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6.具有视频联动功能；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7.具有电子围栏功能：支持越界告警、迁出超时报警，围栏可对婴儿设置特定生效时间；</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8.具有定位终端异常报警功能：定位终端发生未经授权的拆卸及脱落均会发出报警，支持定位终端低电量报警；</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9.支持与医院的HIS系统对接，对接后可获取婴儿及家属信息；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10.支持扫一扫、一键解绑婴儿信息，可随时查看已解绑的婴儿信息；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11.具有迁出功能，可随时查看婴儿迁出事由与时间区间；</w:t>
            </w:r>
          </w:p>
        </w:tc>
        <w:tc>
          <w:tcPr>
            <w:tcW w:w="36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bl>
    <w:p>
      <w:pPr>
        <w:rPr>
          <w:rFonts w:cs="宋体" w:asciiTheme="minorEastAsia" w:hAnsiTheme="minorEastAsia" w:eastAsiaTheme="minorEastAsia"/>
          <w:b/>
          <w:bCs/>
        </w:rPr>
      </w:pPr>
      <w:r>
        <w:rPr>
          <w:rFonts w:hint="eastAsia" w:cs="宋体" w:asciiTheme="minorEastAsia" w:hAnsiTheme="minorEastAsia" w:eastAsiaTheme="minorEastAsia"/>
          <w:b/>
          <w:bCs/>
        </w:rPr>
        <w:t>1</w:t>
      </w:r>
      <w:r>
        <w:rPr>
          <w:rFonts w:cs="宋体" w:asciiTheme="minorEastAsia" w:hAnsiTheme="minorEastAsia" w:eastAsiaTheme="minorEastAsia"/>
          <w:b/>
          <w:bCs/>
        </w:rPr>
        <w:t>0.3</w:t>
      </w:r>
      <w:r>
        <w:rPr>
          <w:rFonts w:hint="eastAsia" w:cs="宋体" w:asciiTheme="minorEastAsia" w:hAnsiTheme="minorEastAsia" w:eastAsiaTheme="minorEastAsia"/>
          <w:b/>
          <w:bCs/>
        </w:rPr>
        <w:t>体征监测系统</w:t>
      </w:r>
    </w:p>
    <w:tbl>
      <w:tblPr>
        <w:tblStyle w:val="36"/>
        <w:tblW w:w="5143" w:type="pct"/>
        <w:tblInd w:w="0" w:type="dxa"/>
        <w:tblLayout w:type="autofit"/>
        <w:tblCellMar>
          <w:top w:w="0" w:type="dxa"/>
          <w:left w:w="108" w:type="dxa"/>
          <w:bottom w:w="0" w:type="dxa"/>
          <w:right w:w="108" w:type="dxa"/>
        </w:tblCellMar>
      </w:tblPr>
      <w:tblGrid>
        <w:gridCol w:w="713"/>
        <w:gridCol w:w="1112"/>
        <w:gridCol w:w="6294"/>
        <w:gridCol w:w="641"/>
      </w:tblGrid>
      <w:tr>
        <w:trPr>
          <w:trHeight w:val="278" w:hRule="atLeast"/>
        </w:trPr>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37" w:type="pct"/>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95" w:type="pct"/>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368" w:type="pct"/>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CellMar>
            <w:top w:w="0" w:type="dxa"/>
            <w:left w:w="108" w:type="dxa"/>
            <w:bottom w:w="0" w:type="dxa"/>
            <w:right w:w="108" w:type="dxa"/>
          </w:tblCellMar>
        </w:tblPrEx>
        <w:trPr>
          <w:trHeight w:val="5205" w:hRule="atLeast"/>
        </w:trPr>
        <w:tc>
          <w:tcPr>
            <w:tcW w:w="400" w:type="pct"/>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37" w:type="pc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体征监测系统</w:t>
            </w:r>
          </w:p>
        </w:tc>
        <w:tc>
          <w:tcPr>
            <w:tcW w:w="3595"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1.支持展示当前科室住院患者情况总览；</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2.支持查看并追踪患者体征数据包括：实时心率/呼吸率/体动频率监测、实时在离床状态监测，以及血压、血氧、体温、脉搏等多项数据；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3.可以实现同时对多个病床的实时监护；</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4.支持分屏显示，点击床位可大屏显示当前床位患者的各项体征情况；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5.历史记录功能，体征数据测量后形成曲线，可查看历史记录；</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6.异常情况提示，根据测量的各项体征数据，进行预警提示；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7.支持历史患者查询和历史异常事件查询；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8.可自定义设置体温、心率、血压等体征预警指标；</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9.可根据医院需求，提供与其他多媒体设备的显示以及系统对接、数据互传；</w:t>
            </w:r>
          </w:p>
        </w:tc>
        <w:tc>
          <w:tcPr>
            <w:tcW w:w="368" w:type="pc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bl>
    <w:p>
      <w:pPr>
        <w:rPr>
          <w:rFonts w:cs="宋体" w:asciiTheme="minorEastAsia" w:hAnsiTheme="minorEastAsia" w:eastAsiaTheme="minorEastAsia"/>
          <w:b/>
          <w:bCs/>
        </w:rPr>
      </w:pPr>
      <w:r>
        <w:rPr>
          <w:rFonts w:cs="宋体" w:asciiTheme="minorEastAsia" w:hAnsiTheme="minorEastAsia" w:eastAsiaTheme="minorEastAsia"/>
          <w:b/>
          <w:bCs/>
        </w:rPr>
        <w:t>10.4</w:t>
      </w:r>
      <w:r>
        <w:rPr>
          <w:rFonts w:hint="eastAsia" w:cs="宋体" w:asciiTheme="minorEastAsia" w:hAnsiTheme="minorEastAsia" w:eastAsiaTheme="minorEastAsia"/>
          <w:b/>
          <w:bCs/>
        </w:rPr>
        <w:t>冷链管理系统</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125"/>
        <w:gridCol w:w="597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1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1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1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0" w:hRule="atLeast"/>
        </w:trPr>
        <w:tc>
          <w:tcPr>
            <w:tcW w:w="41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6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冷链管理系统</w:t>
            </w:r>
          </w:p>
        </w:tc>
        <w:tc>
          <w:tcPr>
            <w:tcW w:w="3513"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1.温湿度实时监测，可灵活设置数据采集间隔，采集间隔为1分-24小时(可调)；温度：-40~100℃，超低温：-100~60℃，宽温：-200~300℃，±0.5℃，相对湿度：0~100%RH，±3%RH，分辨率0.1℃：</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2.系统支持无线、有线两种采集数据传输方式，系统支持各类采集模块，可扩展并读取200个以上的数据，可实现现场实时显示温湿度数据，现场声音报警以及现场的背光闪烁报警；</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3.报警提醒功能支持软件报警、短信报警；自由设定采集数据的上下限安全值，同时每个报警功能可自由设置延时报警时间；</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4.可通过多种方式查询历史记录，如:监测点楼层房间名称、监测设备名称、编号起始时间及结束时间,授权操作者姓名等；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5.所有数据可存储在电脑上,按要求记录各个监测点温、湿度变化曲线或表格及工作情况报告:可以定时自动保存、备份、归档；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6.对采集的温湿度数据能自动生成曲线,显示和打印历史曲线。有记录多种查我方式,可随时打自机由用户自由选择时间段和各位点,也可导出为EXCEL、TXT、WORD、PDF等表格存储；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7.展示图形可以自由的进行缩放,并能反映相应点的温(湿)度值,能对失控温度进行标注。</w:t>
            </w:r>
          </w:p>
        </w:tc>
        <w:tc>
          <w:tcPr>
            <w:tcW w:w="41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bl>
    <w:p>
      <w:pPr>
        <w:rPr>
          <w:rFonts w:cs="宋体" w:asciiTheme="minorEastAsia" w:hAnsiTheme="minorEastAsia" w:eastAsiaTheme="minorEastAsia"/>
          <w:b/>
          <w:bCs/>
        </w:rPr>
      </w:pPr>
      <w:r>
        <w:rPr>
          <w:rFonts w:hint="eastAsia" w:cs="宋体" w:asciiTheme="minorEastAsia" w:hAnsiTheme="minorEastAsia" w:eastAsiaTheme="minorEastAsia"/>
          <w:b/>
          <w:bCs/>
        </w:rPr>
        <w:t>1</w:t>
      </w:r>
      <w:r>
        <w:rPr>
          <w:rFonts w:cs="宋体" w:asciiTheme="minorEastAsia" w:hAnsiTheme="minorEastAsia" w:eastAsiaTheme="minorEastAsia"/>
          <w:b/>
          <w:bCs/>
        </w:rPr>
        <w:t>0.5</w:t>
      </w:r>
      <w:r>
        <w:rPr>
          <w:rFonts w:hint="eastAsia" w:cs="宋体" w:asciiTheme="minorEastAsia" w:hAnsiTheme="minorEastAsia" w:eastAsiaTheme="minorEastAsia"/>
          <w:b/>
          <w:bCs/>
        </w:rPr>
        <w:t>高值医疗设备管理系统</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97"/>
        <w:gridCol w:w="597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7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703"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0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详细功能</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5" w:hRule="atLeast"/>
        </w:trPr>
        <w:tc>
          <w:tcPr>
            <w:tcW w:w="37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703"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高值医疗设备管理系统</w:t>
            </w:r>
          </w:p>
        </w:tc>
        <w:tc>
          <w:tcPr>
            <w:tcW w:w="350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1.需支持统一接入管理，支持接入多种物联网设备运行管理终端（至少包括无源RFID标签，电磁类终端，运动类监测终端，压电类监测终端）接入；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2．支持高值医疗设备工作状态实时监控、开机、关机、运行、待机；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3．支持高值医疗设备工作量实时统计、开机率、使用率计算；</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★4．支持高值医疗设备工作量日报表、月报表、工作时长周报表、工作时长周表、单机效益评价表、设备使用评价表；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5．支持高值医疗设备实时定位，可根据区域自动盘点，统计设备总数量，位置异常的设备数量；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6．为保障医疗设备运行的安全性，支持高值医疗设备运行数据的监测不需要通过与设备建立接口提取，不需要接入设备电路；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7．需提供高值医疗设备虚拟调度中心，可根据设备状态，位置，调度预测算法实时调度；</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★8．需提供科室高值医疗设备饱和度分析模型，便于设备采购评估；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【投标时提供带“★”部分的证明材料 （证明材料包括但不限于检测报告、计算机软件著作权登记证书、官网或软件截图、产品彩页等）】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9．支持有源RFID标签所管理设备的一键盘点、一键报障、无源RFID标签所管理的设备的手持扫描盘点；</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10.支持无源RFID标签数据写入，标签打印；</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11.可实现多种实时数据查询，报警数据统计，历史数据查询；</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12.可支持与医院HRP现有系统的对接。</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w:t>
            </w:r>
          </w:p>
        </w:tc>
      </w:tr>
    </w:tbl>
    <w:p>
      <w:pPr>
        <w:rPr>
          <w:rFonts w:cs="宋体" w:asciiTheme="minorEastAsia" w:hAnsiTheme="minorEastAsia" w:eastAsiaTheme="minorEastAsia"/>
          <w:b/>
          <w:bCs/>
        </w:rPr>
      </w:pPr>
      <w:r>
        <w:rPr>
          <w:rFonts w:hint="eastAsia" w:cs="宋体" w:asciiTheme="minorEastAsia" w:hAnsiTheme="minorEastAsia" w:eastAsiaTheme="minorEastAsia"/>
          <w:b/>
          <w:bCs/>
        </w:rPr>
        <w:t>1</w:t>
      </w:r>
      <w:r>
        <w:rPr>
          <w:rFonts w:cs="宋体" w:asciiTheme="minorEastAsia" w:hAnsiTheme="minorEastAsia" w:eastAsiaTheme="minorEastAsia"/>
          <w:b/>
          <w:bCs/>
        </w:rPr>
        <w:t>0.6</w:t>
      </w:r>
      <w:r>
        <w:rPr>
          <w:rFonts w:hint="eastAsia" w:cs="宋体" w:asciiTheme="minorEastAsia" w:hAnsiTheme="minorEastAsia" w:eastAsiaTheme="minorEastAsia"/>
          <w:b/>
          <w:bCs/>
        </w:rPr>
        <w:t>物联网基础网络硬件设备</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67"/>
        <w:gridCol w:w="599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78"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8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52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技术参数</w:t>
            </w:r>
          </w:p>
        </w:tc>
        <w:tc>
          <w:tcPr>
            <w:tcW w:w="416"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物联网基站（LoRaWan）</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1.医疗物联网技术采用无线通信技术实现融合，应无条件免费开放，实现统一接入和管理；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2.支持频段范围：470MHz-510MHz；</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▲3.支持LoRaWan，支持低功耗远距离的LoRaWan技术协议，支持各类定位标签接入；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4.内嵌通信基站操作系统软件；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5.支持以太网通信，支持接入交换机；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6.供电方式：POE/DC；</w:t>
            </w:r>
          </w:p>
        </w:tc>
        <w:tc>
          <w:tcPr>
            <w:tcW w:w="416"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物联网网关（RFID+蓝牙）</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1.医疗物联网技术采用无线通信技术实现融合，应无条件免费开放，实现统一接入和管理；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▲2.内置RFID+蓝牙，支持2.4GHz RFID 传输，实现一网多用；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3.内嵌通信基站操作系统软件；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4.支持以太网通信，支持接入交换机；</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5.供电方式：POE/DC；</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室内定位信标</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1.支持Bluetooth BLE 4.0和国际标准iBeacon协议；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2.支持防篡改、防蹭用技术；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3.支持锂亚电池供电，室内款蓝牙信标工作续航至少达到3年；</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4.支持通过移动端部署和维护管理工具对蓝牙定位信标在室内地图上进行部署并上传iBeacon的信息，维护管理采集和显示iBeacon的信息和剩余电量；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5.支持方便快速更换已部署的蓝牙iBeacon定位信标节点，提供拆卸杆快捷方便拆卸和安装，不需要在医院病房和室内建筑布线，不影响医院病房运营；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6.防护等级≥IP53。</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室外定位信标</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1.支持Bluetooth BLE 4.0和国际标准iBeacon协议；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2.安全性支持：防篡改、防蹭用技术；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3.支持锂亚电池供电，工作续航至少达到8年；</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4.支持通过移动端部署和维护管理工具对蓝牙定位信标在室内地图上进行部署并上传iBeacon的信息，维护管理采集和显示iBeacon的信息和剩余电量；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5.部署方便快捷，不需要在室外布线，不影响医院正常运营；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6.防护等级≥IP68。</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汇聚交换机</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1.交换容量≥700Gbps，包转发率≥200Mpps；</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2.千兆光口≥24个（其中8个combo口），万兆SFP+口≥4个；</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3.支持模块化双电源，模块化双风扇，前/后通风，风道可调；</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4.支持二层VxLAN，支持三层VxLAN，支持EVPN； R</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5.支持基于端口的VLAN，支持基于协议的VLAN；</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6.为统一管理，要求汇聚交换机产品和核心交换机统一品牌。</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24口POE接入交换机</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1.交换容量：≥330Gbps；</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2.包转发率：≥50Mpps；</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3.接口要求：实配千兆电口≥24个，千兆光口≥4个；</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4.POE供电：支持POE/POE+供电，POE输出功率≥370W；</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5.VLAN特性 ：支持基于端口的VLAN，支持基于协议的VLAN；支持基于MAC的VLAN；</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6.为统一管理，要求接入交换机和核心交换机统一品牌。</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万兆单模光模块</w:t>
            </w:r>
          </w:p>
        </w:tc>
        <w:tc>
          <w:tcPr>
            <w:tcW w:w="352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1310nm、10km、LC、万兆。</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千兆单模光模块</w:t>
            </w:r>
          </w:p>
        </w:tc>
        <w:tc>
          <w:tcPr>
            <w:tcW w:w="3521"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1310nm、10km、LC、千兆。</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婴儿定位脚环</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1.内置不低于180mAh锂电池，电池可充电；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2.具有防拆报警功能；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3.支持LED灯显示工作状态；</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4.上报时间间隔可配置；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5.防护等级：不低于IP67；</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6.支持蓝牙定位方式；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7.终端要求安全无毒无公害，并符合电磁场人体暴露评估标准；</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婴儿脚环专用腕带</w:t>
            </w:r>
          </w:p>
        </w:tc>
        <w:tc>
          <w:tcPr>
            <w:tcW w:w="3521" w:type="pct"/>
            <w:shd w:val="clear" w:color="auto" w:fill="auto"/>
            <w:vAlign w:val="center"/>
          </w:tcPr>
          <w:p>
            <w:pPr>
              <w:jc w:val="both"/>
              <w:rPr>
                <w:rFonts w:cs="宋体" w:asciiTheme="minorEastAsia" w:hAnsiTheme="minorEastAsia" w:eastAsiaTheme="minorEastAsia"/>
                <w:color w:val="000000"/>
              </w:rPr>
            </w:pPr>
            <w:r>
              <w:rPr>
                <w:rFonts w:hint="eastAsia" w:cs="宋体" w:asciiTheme="minorEastAsia" w:hAnsiTheme="minorEastAsia" w:eastAsiaTheme="minorEastAsia"/>
                <w:color w:val="000000"/>
              </w:rPr>
              <w:t>1.腕带非皮肤接触面要求采用食品安全级硅胶材料；</w:t>
            </w:r>
          </w:p>
          <w:p>
            <w:pPr>
              <w:jc w:val="both"/>
              <w:rPr>
                <w:rFonts w:cs="宋体" w:asciiTheme="minorEastAsia" w:hAnsiTheme="minorEastAsia" w:eastAsiaTheme="minorEastAsia"/>
                <w:color w:val="000000"/>
              </w:rPr>
            </w:pPr>
            <w:r>
              <w:rPr>
                <w:rFonts w:hint="eastAsia" w:cs="宋体" w:asciiTheme="minorEastAsia" w:hAnsiTheme="minorEastAsia" w:eastAsiaTheme="minorEastAsia"/>
                <w:color w:val="000000"/>
              </w:rPr>
              <w:t>2.皮肤接触面为经编银纤维防辐射面料，面料柔和无刺激；</w:t>
            </w:r>
          </w:p>
          <w:p>
            <w:pPr>
              <w:jc w:val="both"/>
              <w:rPr>
                <w:rFonts w:cs="宋体" w:asciiTheme="minorEastAsia" w:hAnsiTheme="minorEastAsia" w:eastAsiaTheme="minorEastAsia"/>
                <w:color w:val="000000"/>
              </w:rPr>
            </w:pPr>
            <w:r>
              <w:rPr>
                <w:rFonts w:hint="eastAsia" w:cs="宋体" w:asciiTheme="minorEastAsia" w:hAnsiTheme="minorEastAsia" w:eastAsiaTheme="minorEastAsia"/>
                <w:color w:val="000000"/>
              </w:rPr>
              <w:t>3.腕带出厂经过消毒辐照灭菌处理；</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充电存储盒</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1.批量充电盒，同时支持不少于15个婴儿定位终端充电；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2.支持2小时充满电；</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3.支持批量充电管理；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4.具有短路保护、稳压保护功能；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5.可存放婴儿定位终端，使其处于非报警状态；</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声光电报警器</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1.频率支持2.4G；</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2.供电方式:POE供电或DC；</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3.报警器提示类型：声音+闪光；</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4.安装方式:挂墙或吸顶；</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定位标签</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1.支持Bluetooth BLE 4.0和国际标准iBeacon协议；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2.支持防篡改、防蹭用技术；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3.支持锂亚电池供电，室内款蓝牙信标工作续航至少达到3年；</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4.支持通过移动端部署和维护管理工具对蓝牙定位信标在室内地图上进行部署并上传iBeacon的信息，维护管理采集和显示iBeacon的信息和剩余电量；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5.支持方便快速更换已部署的蓝牙iBeacon定位信标节点，提供拆卸杆快捷方便拆卸和安装，不需要在医院病房和室内建筑布线，不影响医院病房运营；</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6.防护等级≥IP53。</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14</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高值设备资产标签</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高值设备资产标签需支持按照医院不同类型高值医疗设备进行分类，同时应具备资产定位、电子围栏、资产开关状态实时监测、一键报障、一键盘点功能。</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15</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冷链监测终端-单路</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蓝牙通讯、单路监测温湿度，断电报警、本机声光报警、电池续航、大屏显示</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16</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冷链监测终端-双路</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蓝牙通讯、单路监测温湿度，断电报警、本机声光报警、电池续航、大屏显示</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17</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电子体温计</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1.用于监测患者体温数据，进行动态实时连续的采集、分析统计；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2.使用蓝牙协议传输。</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18</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电子体温计背胶</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1.材质：硅凝胶；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2.佩戴寿命：一次佩戴可坚持不低于3天，能粘牢即可以继续使用。</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19</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智能床垫</w:t>
            </w:r>
          </w:p>
        </w:tc>
        <w:tc>
          <w:tcPr>
            <w:tcW w:w="3521" w:type="pct"/>
            <w:shd w:val="clear" w:color="auto" w:fill="auto"/>
            <w:vAlign w:val="center"/>
          </w:tcPr>
          <w:p>
            <w:pPr>
              <w:jc w:val="both"/>
              <w:rPr>
                <w:rFonts w:cs="宋体" w:asciiTheme="minorEastAsia" w:hAnsiTheme="minorEastAsia" w:eastAsiaTheme="minorEastAsia"/>
                <w:color w:val="000000"/>
              </w:rPr>
            </w:pPr>
            <w:r>
              <w:rPr>
                <w:rFonts w:hint="eastAsia" w:cs="宋体" w:asciiTheme="minorEastAsia" w:hAnsiTheme="minorEastAsia" w:eastAsiaTheme="minorEastAsia"/>
                <w:color w:val="000000"/>
              </w:rPr>
              <w:t>1.数据传输方式：蓝牙；</w:t>
            </w:r>
          </w:p>
          <w:p>
            <w:pPr>
              <w:jc w:val="both"/>
              <w:rPr>
                <w:rFonts w:cs="宋体" w:asciiTheme="minorEastAsia" w:hAnsiTheme="minorEastAsia" w:eastAsiaTheme="minorEastAsia"/>
                <w:color w:val="000000"/>
              </w:rPr>
            </w:pPr>
            <w:r>
              <w:rPr>
                <w:rFonts w:hint="eastAsia" w:cs="宋体" w:asciiTheme="minorEastAsia" w:hAnsiTheme="minorEastAsia" w:eastAsiaTheme="minorEastAsia"/>
                <w:color w:val="000000"/>
              </w:rPr>
              <w:t>2.可监测内容：实时心率、实时呼吸率、实时体动、实时BCG波形、实时在离床推送、实时心率/呼吸异常推送；</w:t>
            </w:r>
          </w:p>
          <w:p>
            <w:pPr>
              <w:jc w:val="both"/>
              <w:rPr>
                <w:rFonts w:cs="宋体" w:asciiTheme="minorEastAsia" w:hAnsiTheme="minorEastAsia" w:eastAsiaTheme="minorEastAsia"/>
                <w:color w:val="000000"/>
              </w:rPr>
            </w:pPr>
            <w:r>
              <w:rPr>
                <w:rFonts w:hint="eastAsia" w:cs="宋体" w:asciiTheme="minorEastAsia" w:hAnsiTheme="minorEastAsia" w:eastAsiaTheme="minorEastAsia"/>
                <w:color w:val="000000"/>
              </w:rPr>
              <w:t>3.心率监测更新频率1次/秒，监测范围：40~200bpm；</w:t>
            </w:r>
          </w:p>
          <w:p>
            <w:pPr>
              <w:jc w:val="both"/>
              <w:rPr>
                <w:rFonts w:cs="宋体" w:asciiTheme="minorEastAsia" w:hAnsiTheme="minorEastAsia" w:eastAsiaTheme="minorEastAsia"/>
                <w:color w:val="000000"/>
              </w:rPr>
            </w:pPr>
            <w:r>
              <w:rPr>
                <w:rFonts w:hint="eastAsia" w:cs="宋体" w:asciiTheme="minorEastAsia" w:hAnsiTheme="minorEastAsia" w:eastAsiaTheme="minorEastAsia"/>
                <w:color w:val="000000"/>
              </w:rPr>
              <w:t>4.呼吸率监测更新频率1次/秒，监测范围：6~45rpm；</w:t>
            </w:r>
          </w:p>
          <w:p>
            <w:pPr>
              <w:jc w:val="both"/>
              <w:rPr>
                <w:rFonts w:cs="宋体" w:asciiTheme="minorEastAsia" w:hAnsiTheme="minorEastAsia" w:eastAsiaTheme="minorEastAsia"/>
                <w:color w:val="000000"/>
              </w:rPr>
            </w:pPr>
            <w:r>
              <w:rPr>
                <w:rFonts w:hint="eastAsia" w:cs="宋体" w:asciiTheme="minorEastAsia" w:hAnsiTheme="minorEastAsia" w:eastAsiaTheme="minorEastAsia"/>
                <w:color w:val="000000"/>
              </w:rPr>
              <w:t>5.体动监测更新频率1次/秒，监测范围：微弱、中度、大幅体动；</w:t>
            </w:r>
          </w:p>
          <w:p>
            <w:pPr>
              <w:jc w:val="both"/>
              <w:rPr>
                <w:rFonts w:cs="宋体" w:asciiTheme="minorEastAsia" w:hAnsiTheme="minorEastAsia" w:eastAsiaTheme="minorEastAsia"/>
                <w:color w:val="000000"/>
              </w:rPr>
            </w:pPr>
            <w:r>
              <w:rPr>
                <w:rFonts w:hint="eastAsia" w:cs="宋体" w:asciiTheme="minorEastAsia" w:hAnsiTheme="minorEastAsia" w:eastAsiaTheme="minorEastAsia"/>
                <w:color w:val="000000"/>
              </w:rPr>
              <w:t>6.BCG波形监测更新频率1次/秒；</w:t>
            </w:r>
          </w:p>
          <w:p>
            <w:pPr>
              <w:jc w:val="both"/>
              <w:rPr>
                <w:rFonts w:cs="宋体" w:asciiTheme="minorEastAsia" w:hAnsiTheme="minorEastAsia" w:eastAsiaTheme="minorEastAsia"/>
                <w:color w:val="000000"/>
              </w:rPr>
            </w:pPr>
            <w:r>
              <w:rPr>
                <w:rFonts w:hint="eastAsia" w:cs="宋体" w:asciiTheme="minorEastAsia" w:hAnsiTheme="minorEastAsia" w:eastAsiaTheme="minorEastAsia"/>
                <w:color w:val="000000"/>
              </w:rPr>
              <w:t>7.在离床推送监测测范围用户可自行设置阈值，满足阈值后，3秒内推送；</w:t>
            </w:r>
          </w:p>
          <w:p>
            <w:pPr>
              <w:jc w:val="both"/>
              <w:rPr>
                <w:rFonts w:cs="宋体" w:asciiTheme="minorEastAsia" w:hAnsiTheme="minorEastAsia" w:eastAsiaTheme="minorEastAsia"/>
                <w:color w:val="000000"/>
              </w:rPr>
            </w:pPr>
            <w:r>
              <w:rPr>
                <w:rFonts w:hint="eastAsia" w:cs="宋体" w:asciiTheme="minorEastAsia" w:hAnsiTheme="minorEastAsia" w:eastAsiaTheme="minorEastAsia"/>
                <w:color w:val="000000"/>
              </w:rPr>
              <w:t>8.心率/呼吸异常推送监测测范围用户可自行设置阈值，满足阈值后，3秒内推送；</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20</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无线血压计</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1.数据传输方式：蓝牙；</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2.血氧测量范围：0mmHg~280mmHg，精度：±3%；</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3.脉率测量范围：40bpm~199bpm，精度：±5%；</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4.测量过程语音指导，测量结果语音播报；</w:t>
            </w:r>
          </w:p>
        </w:tc>
        <w:tc>
          <w:tcPr>
            <w:tcW w:w="416"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378"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21</w:t>
            </w:r>
          </w:p>
        </w:tc>
        <w:tc>
          <w:tcPr>
            <w:tcW w:w="685"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无线血氧仪</w:t>
            </w:r>
          </w:p>
        </w:tc>
        <w:tc>
          <w:tcPr>
            <w:tcW w:w="3521"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1.数据传输方式：蓝牙；</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2.测量佩戴方式：指夹式；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3.续航时间：一次充满电可连续使用</w:t>
            </w:r>
            <w:r>
              <w:rPr>
                <w:rFonts w:hint="eastAsia" w:cs="宋体" w:asciiTheme="minorEastAsia" w:hAnsiTheme="minorEastAsia" w:eastAsiaTheme="minorEastAsia"/>
              </w:rPr>
              <w:t>≥15</w:t>
            </w:r>
            <w:r>
              <w:rPr>
                <w:rFonts w:hint="eastAsia" w:cs="宋体" w:asciiTheme="minorEastAsia" w:hAnsiTheme="minorEastAsia" w:eastAsiaTheme="minorEastAsia"/>
                <w:color w:val="000000"/>
              </w:rPr>
              <w:t>小时</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4.血氧测量范围：10%~100%，精度：±2%；</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5.脉率测量范围：30bpm~240bpm，监测精度：±2%；</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6.带屏幕显示和语音播报；</w:t>
            </w:r>
          </w:p>
        </w:tc>
        <w:tc>
          <w:tcPr>
            <w:tcW w:w="416"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r>
        <w:rPr>
          <w:rFonts w:hint="eastAsia" w:cs="宋体" w:asciiTheme="minorEastAsia" w:hAnsiTheme="minorEastAsia" w:eastAsiaTheme="minorEastAsia"/>
          <w:b/>
          <w:bCs/>
        </w:rPr>
        <w:t>10.7 物联网基础网络综合布线</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65"/>
        <w:gridCol w:w="5959"/>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82"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序号</w:t>
            </w:r>
          </w:p>
        </w:tc>
        <w:tc>
          <w:tcPr>
            <w:tcW w:w="684"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系统名称</w:t>
            </w:r>
          </w:p>
        </w:tc>
        <w:tc>
          <w:tcPr>
            <w:tcW w:w="3499"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技术参数</w:t>
            </w:r>
          </w:p>
        </w:tc>
        <w:tc>
          <w:tcPr>
            <w:tcW w:w="435" w:type="pc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38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84"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六类非屏蔽网线</w:t>
            </w:r>
          </w:p>
        </w:tc>
        <w:tc>
          <w:tcPr>
            <w:tcW w:w="34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1.标准：YD/T 926.3，ISO/IEC 11801:2008；ANSI/TIA-568-C.2；</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2.金针：异形的金针空间排列，有效提升近端串音余量；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3.防尘盖：透明PC材料；</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4.插头与插座插合次数：≥1000次；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5.导线端接次数：≥250次；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6.打线方式： T568A/T568B；</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7.IDC与金针方向：180度；</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8.卡接导体线径：0.5mm～0.65mm，24AWG~22AWG；</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9.最高传输频率：250MHz；</w:t>
            </w:r>
          </w:p>
        </w:tc>
        <w:tc>
          <w:tcPr>
            <w:tcW w:w="435" w:type="pct"/>
            <w:vMerge w:val="restart"/>
            <w:shd w:val="clear" w:color="auto" w:fill="auto"/>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38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684"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光纤配线架</w:t>
            </w:r>
          </w:p>
        </w:tc>
        <w:tc>
          <w:tcPr>
            <w:tcW w:w="34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1.标准：YD/T778，ISO/IEC 11801，ANSI/TIA -568-C.3；</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2.安装方式：机架式；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3.4个光缆进线口，带固定PG头，盒内配置光缆护套固定装置，光缆加强件固定装置；</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可兼容：LC双工、SC单工、FC、ST适配器；</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5.进出光纤方便灵活，有充裕的光纤盘存空间，光纤和尾纤弯曲半径≥30mm；</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6.端口数量：≥24口；</w:t>
            </w:r>
          </w:p>
        </w:tc>
        <w:tc>
          <w:tcPr>
            <w:tcW w:w="435"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38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684"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数据配线架</w:t>
            </w:r>
          </w:p>
        </w:tc>
        <w:tc>
          <w:tcPr>
            <w:tcW w:w="34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1.后端自带线缆管理单元，采用双爪式免工具设计3.标准：YD/T 926.3，ISO/IEC 11801，ANSI/TIA - 568-C.2；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2.高度：1U， 端口数量：≥24口，</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3.线缆管理：自带后部线缆管理单元；</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4.标识管理：自带标识纸和标识盖，标识盖带指扣方便拆卸，端口带序号标识；</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5.线缆保护盖：PC 材料；</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6.进线方式：180°进线，IDC：45°；</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7.卡接导体规格：0.5mm～0.65mm，24AWG~22AWG；</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8.打线方式：T568A/T568B；</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9.插头与插座插合次数：≥1000次；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10.导线端接次数：≥250次；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11.最高传输频率：250MHz；</w:t>
            </w:r>
          </w:p>
        </w:tc>
        <w:tc>
          <w:tcPr>
            <w:tcW w:w="435"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38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684"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理线器</w:t>
            </w:r>
          </w:p>
        </w:tc>
        <w:tc>
          <w:tcPr>
            <w:tcW w:w="34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1.机架式；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2.高度：1U；</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3.上下各≥12口理线槽；</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4.厚度：1.0/1.2MM；</w:t>
            </w:r>
          </w:p>
        </w:tc>
        <w:tc>
          <w:tcPr>
            <w:tcW w:w="435"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38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684"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光纤跳线LC-LC</w:t>
            </w:r>
          </w:p>
        </w:tc>
        <w:tc>
          <w:tcPr>
            <w:tcW w:w="34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1.标准：YD/T1272，ISO/IEC 11801，ANSI/TIA-568-C.3；</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2.陶瓷插芯，</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3.单芯光缆护套外径：3mm；</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4.插入损耗（含重复性）：≤0.2dB；</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5.互换性：≤0.2dB；</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6.回波损耗：≥50dB（SM）,≥35dB（MM）；</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7.重复性≥1000次；</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8.接口类型：LC-LC。</w:t>
            </w:r>
          </w:p>
        </w:tc>
        <w:tc>
          <w:tcPr>
            <w:tcW w:w="435"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8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684"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六类水晶头</w:t>
            </w:r>
          </w:p>
        </w:tc>
        <w:tc>
          <w:tcPr>
            <w:tcW w:w="34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国标六类水晶头</w:t>
            </w:r>
          </w:p>
        </w:tc>
        <w:tc>
          <w:tcPr>
            <w:tcW w:w="435" w:type="pct"/>
            <w:vMerge w:val="continue"/>
            <w:vAlign w:val="center"/>
          </w:tcPr>
          <w:p>
            <w:pP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82"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684" w:type="pct"/>
            <w:shd w:val="clear" w:color="auto" w:fill="auto"/>
            <w:noWrap/>
            <w:vAlign w:val="center"/>
          </w:tcPr>
          <w:p>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综合布线实施</w:t>
            </w:r>
          </w:p>
        </w:tc>
        <w:tc>
          <w:tcPr>
            <w:tcW w:w="3499" w:type="pct"/>
            <w:shd w:val="clear" w:color="auto" w:fill="auto"/>
            <w:vAlign w:val="center"/>
          </w:tcPr>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综合布线实施</w:t>
            </w:r>
          </w:p>
        </w:tc>
        <w:tc>
          <w:tcPr>
            <w:tcW w:w="435" w:type="pct"/>
            <w:vMerge w:val="continue"/>
            <w:vAlign w:val="center"/>
          </w:tcPr>
          <w:p>
            <w:pPr>
              <w:rPr>
                <w:rFonts w:cs="宋体" w:asciiTheme="minorEastAsia" w:hAnsiTheme="minorEastAsia" w:eastAsiaTheme="minorEastAsia"/>
                <w:color w:val="000000"/>
              </w:rPr>
            </w:pPr>
          </w:p>
        </w:tc>
      </w:tr>
    </w:tbl>
    <w:p>
      <w:pPr>
        <w:rPr>
          <w:rFonts w:cs="宋体" w:asciiTheme="minorEastAsia" w:hAnsiTheme="minorEastAsia" w:eastAsiaTheme="minorEastAsia"/>
          <w:b/>
          <w:bCs/>
        </w:rPr>
      </w:pPr>
    </w:p>
    <w:p>
      <w:pPr>
        <w:pStyle w:val="137"/>
        <w:ind w:firstLine="0" w:firstLineChars="0"/>
      </w:pPr>
    </w:p>
    <w:p/>
    <w:p>
      <w:pPr>
        <w:rPr>
          <w:rFonts w:cs="宋体" w:asciiTheme="minorEastAsia" w:hAnsiTheme="minorEastAsia" w:eastAsiaTheme="minorEastAsia"/>
          <w:b/>
          <w:bCs/>
        </w:rPr>
      </w:pPr>
      <w:r>
        <w:rPr>
          <w:rFonts w:hint="eastAsia" w:cs="宋体" w:asciiTheme="minorEastAsia" w:hAnsiTheme="minorEastAsia" w:eastAsiaTheme="minorEastAsia"/>
          <w:b/>
        </w:rPr>
        <w:t>四、服务要求</w:t>
      </w:r>
    </w:p>
    <w:p>
      <w:pPr>
        <w:rPr>
          <w:rFonts w:cs="宋体" w:asciiTheme="minorEastAsia" w:hAnsiTheme="minorEastAsia" w:eastAsiaTheme="minorEastAsia"/>
        </w:rPr>
      </w:pPr>
      <w:r>
        <w:rPr>
          <w:rFonts w:hint="eastAsia" w:cs="宋体" w:asciiTheme="minorEastAsia" w:hAnsiTheme="minorEastAsia" w:eastAsiaTheme="minorEastAsia"/>
        </w:rPr>
        <w:t>（一）供货；</w:t>
      </w:r>
    </w:p>
    <w:p>
      <w:pPr>
        <w:ind w:firstLine="496" w:firstLineChars="200"/>
        <w:rPr>
          <w:rFonts w:cs="宋体" w:asciiTheme="minorEastAsia" w:hAnsiTheme="minorEastAsia" w:eastAsiaTheme="minorEastAsia"/>
        </w:rPr>
      </w:pPr>
      <w:r>
        <w:rPr>
          <w:rFonts w:hint="eastAsia" w:cs="宋体" w:asciiTheme="minorEastAsia" w:hAnsiTheme="minorEastAsia" w:eastAsiaTheme="minorEastAsia"/>
        </w:rPr>
        <w:t>1、供应商须保证合同货物采用原厂正品，合同商品须为全新的(包括零部件)、未使用过的，并在各方面均符合招标技术文件中所规定的质量标准、技术参数要求及规格和数量，如有问题，必需更换、补充。更换、补充等处理及相应的费用均由中标方自行负担（情况过于严重者，采购方有权无偿废除与其签订的合同）。</w:t>
      </w:r>
    </w:p>
    <w:p>
      <w:pPr>
        <w:pStyle w:val="137"/>
        <w:spacing w:line="240" w:lineRule="auto"/>
        <w:ind w:firstLine="423"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除合同另有规定外，投标人提供的全部货物均应按标准保护措施进行包装。该包装应适应于远距离运输、防潮、防震、防锈和防野蛮装卸，以确保货物安全无损运抵指定地点。由于包装不善所引起的货物损失均由投标人承担。</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3、每一包装单元内应附详细的装箱单和质量合格凭证,到货前不允许有开箱拆机现象及更换内部配件。</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4、交货地点:甲方指定地点。</w:t>
      </w:r>
    </w:p>
    <w:p>
      <w:pPr>
        <w:rPr>
          <w:rFonts w:cs="宋体" w:asciiTheme="minorEastAsia" w:hAnsiTheme="minorEastAsia" w:eastAsiaTheme="minorEastAsia"/>
        </w:rPr>
      </w:pPr>
      <w:r>
        <w:rPr>
          <w:rFonts w:hint="eastAsia" w:cs="宋体" w:asciiTheme="minorEastAsia" w:hAnsiTheme="minorEastAsia" w:eastAsiaTheme="minorEastAsia"/>
        </w:rPr>
        <w:t>（二）设备安装和调测；</w:t>
      </w:r>
    </w:p>
    <w:p>
      <w:pPr>
        <w:ind w:firstLine="496" w:firstLineChars="200"/>
        <w:rPr>
          <w:rFonts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、自设备安装工作开始，中标方应允许招标人指定的工作人员一起参与系统的安装、调测及解决遇到的各种问题。</w:t>
      </w:r>
    </w:p>
    <w:p>
      <w:pPr>
        <w:ind w:firstLine="496" w:firstLineChars="200"/>
        <w:rPr>
          <w:rFonts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、中标方安装的系统应能正常运转，并与其它相关设备(系统)正确连接，必须符合技术要求，所有软件能够在相应平台上正常运行、各种操作功能 要完全实现，系统测试结果与采购书的要求要吻合，并得到业主书面认可 后可视为本采购项目结束。</w:t>
      </w:r>
    </w:p>
    <w:p>
      <w:pPr>
        <w:ind w:firstLine="496" w:firstLineChars="200"/>
        <w:rPr>
          <w:rFonts w:cs="宋体" w:asciiTheme="minorEastAsia" w:hAnsiTheme="minorEastAsia" w:eastAsiaTheme="minorEastAsia"/>
        </w:rPr>
      </w:pPr>
      <w:r>
        <w:rPr>
          <w:rFonts w:cs="宋体" w:asciiTheme="minorEastAsia" w:hAnsiTheme="minorEastAsia" w:eastAsiaTheme="minorEastAsia"/>
        </w:rPr>
        <w:t>3</w:t>
      </w:r>
      <w:r>
        <w:rPr>
          <w:rFonts w:hint="eastAsia" w:cs="宋体" w:asciiTheme="minorEastAsia" w:hAnsiTheme="minorEastAsia" w:eastAsiaTheme="minorEastAsia"/>
        </w:rPr>
        <w:t>、在设备安装调试期间，如果设备出现不正常情况（如设备损坏、故障、达不到技术规范或设备说明书的指标），中标方应无条件并免费在不延误工期的情况下从速替换。</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4、投标人应遵守国家相关施工建设要求和采购人的各项规章制度，严格按照工作规范组织进行运维工作，制定切实可行的措施保障人员安全，设备安全，生产安全。</w:t>
      </w:r>
    </w:p>
    <w:p>
      <w:pPr>
        <w:rPr>
          <w:rFonts w:cs="宋体" w:asciiTheme="minorEastAsia" w:hAnsiTheme="minorEastAsia" w:eastAsiaTheme="minorEastAsia"/>
        </w:rPr>
      </w:pPr>
      <w:r>
        <w:rPr>
          <w:rFonts w:hint="eastAsia" w:cs="宋体" w:asciiTheme="minorEastAsia" w:hAnsiTheme="minorEastAsia" w:eastAsiaTheme="minorEastAsia"/>
        </w:rPr>
        <w:t>（三）验收与运行；</w:t>
      </w:r>
    </w:p>
    <w:p>
      <w:pPr>
        <w:ind w:firstLine="496" w:firstLineChars="200"/>
        <w:rPr>
          <w:rFonts w:cs="宋体" w:asciiTheme="minorEastAsia" w:hAnsiTheme="minorEastAsia" w:eastAsiaTheme="minorEastAsia"/>
          <w:highlight w:val="yellow"/>
        </w:rPr>
      </w:pPr>
      <w:r>
        <w:rPr>
          <w:rFonts w:hint="eastAsia" w:cs="宋体" w:asciiTheme="minorEastAsia" w:hAnsiTheme="minorEastAsia" w:eastAsiaTheme="minorEastAsia"/>
        </w:rPr>
        <w:t>系统安装调试完成后，经中标方自检，具备交付条件，给采购人提交验收申请，采购人委派专人监督和试用。在设备试运行期间，如果发现由于中标方的责任造成任何设备系统的功能和性能不符合本采购书的要求，或由于设备故障的发生导致设备停止运行，中标方应承诺在24小时内做出响应并及时修复或更换，所有费用亦由中标方承担，同时相应顺延试运行期。</w:t>
      </w:r>
    </w:p>
    <w:p>
      <w:pPr>
        <w:pStyle w:val="137"/>
        <w:spacing w:line="240" w:lineRule="auto"/>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（四）质量验收标准或规范</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按国家有关规定以及采购人招标文件的质量要求和技术指标、投标人的投标文件及承诺与本合同约定标准进行验收。</w:t>
      </w:r>
    </w:p>
    <w:p>
      <w:pPr>
        <w:pStyle w:val="137"/>
        <w:spacing w:line="240" w:lineRule="auto"/>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（五）产品质保期</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1、交付完毕通过验收投入使用之日起贰年。</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2、质保免费维护期满后为有偿维护，每年维护费用维护期限双方协商确定，质保期满后投标人对采购人提供终身技术咨询服务。</w:t>
      </w:r>
    </w:p>
    <w:p>
      <w:pPr>
        <w:pStyle w:val="137"/>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（六）售后服务要求</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试运行期间的技术支持与服务产品试运行期间，投标人应向采购人提供免费的技术支持和服务，服务内容应包括但不限于下述内容：技术协助、升级服务、调优、故障排除等。服务方式包括电话支持、文档提供、现场支持等多种以解决实际问题为目的的方式。</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2、产品试运行期间，投标人应提供7×24小时技术支持和服务，如出现技术故障，工程师在 2个小时内使系统得以正常运行。如在8小时内（含节假日）未解决故障和问题，投标人应采取紧急预案，使系统得以正常运行。</w:t>
      </w:r>
    </w:p>
    <w:p>
      <w:pPr>
        <w:pStyle w:val="137"/>
        <w:spacing w:line="240" w:lineRule="auto"/>
        <w:ind w:firstLine="497"/>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、质量保证期内的技术支持与售后服务</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投标人针对本项目的质量保证期为自终验合格之日起贰年（包括软硬），投标人在实施过程应派遣不少于1</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名工程师常驻用户现场提供项目实施服务，项目质量保证期内应派遣不少于</w:t>
      </w:r>
      <w:r>
        <w:rPr>
          <w:rFonts w:cs="宋体" w:asciiTheme="minorEastAsia" w:hAnsiTheme="minorEastAsia" w:eastAsiaTheme="minorEastAsia"/>
          <w:sz w:val="24"/>
          <w:szCs w:val="24"/>
        </w:rPr>
        <w:t>3名</w:t>
      </w:r>
      <w:r>
        <w:rPr>
          <w:rFonts w:hint="eastAsia" w:cs="宋体" w:asciiTheme="minorEastAsia" w:hAnsiTheme="minorEastAsia" w:eastAsiaTheme="minorEastAsia"/>
          <w:sz w:val="24"/>
          <w:szCs w:val="24"/>
        </w:rPr>
        <w:t>工程师常驻用户现场提供项目运维服务，并向采购人提供投标人与实施驻场人员签订的有劳务或劳动合同复印件。（说明：投标人应按招标文件要求提供承诺函。）</w:t>
      </w:r>
    </w:p>
    <w:p>
      <w:pPr>
        <w:pStyle w:val="137"/>
        <w:spacing w:line="240" w:lineRule="auto"/>
        <w:ind w:firstLine="497"/>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、运维服务要求</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1）运维服务基本要求</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投标人应有良好的服务理念和完善的运维服务体系，能够提供本地技术服务,以便实施运维人员及时解决采购人软件运行中出现的问题和采购人业务发展中的新需求。</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针对本次招标信息系统内容，面向采购人所有院区提供 7×24小时驻场保障服务，包括：各类使用问题进行及时排查处理；对采购人单位各科室工作人员进行应用系统使用操作指导；信息系统使用过程中的问题受理、事务处理、故障排除；信息系统的流程改造；新增需求，新增内部、外部接口等。通过定期巡检和排查工作，对维护性问题及时处理，对涉及系统 BUG 问题进行处理，做到尽早发现问题、尽快消除安全隐患、提前预防重大事故发生，从而保障采购人信息系统安全稳定运行。定期到各院区各科室走访，了解实际使用中的问题，提出合理的流程优化及改进建议。</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投标人及其运维人员，不得随意查看、复制、泄露采购人的医疗、管理、系统及应用等各种信息，如有违约，采购人持有追究其法律责任的权利。</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2）服务响应时间要求</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按照对采购人实际工作的影响程度，针对日常运维、程序 BUG修复、接口对接、二次开发四个方面，满足以下要求：</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日常运维，定期到临床科室巡检，搜集临床使用过程中的相关问题，在接到系统使用中的简单问题时，响应要求并保障稳定的人力资源持续提供 7×24 小时电话受理和现场服务工作。</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程序 BUG 修复，在巡检过程中主动发现或接到采购人反映，确认是程序 BUG 的，24 小时内处理完毕；</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接口对接，对于上级各主管部门政策性要求必须对接的，要在政策规定的时间内完成对接要求；对于院内系统需要对接的，须与采购人充分沟通后，在双方认可的合理时间内，必须完成对接要求。</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地化修改方面，上级部门要求必须更改时，在上级部门要求的时间内必须更改完成；或者随着业务的不断深入，在采购人认为系统必须做出相应改动以适应新的业务要求时，投标人须与采购人充分沟通，在双方认可的合理时间内，必须完成开发要求。</w:t>
      </w:r>
      <w:r>
        <w:rPr>
          <w:rFonts w:cs="宋体" w:asciiTheme="minorEastAsia" w:hAnsiTheme="minorEastAsia" w:eastAsiaTheme="minorEastAsia"/>
          <w:sz w:val="24"/>
          <w:szCs w:val="24"/>
        </w:rPr>
        <w:cr/>
      </w:r>
      <w:r>
        <w:rPr>
          <w:rFonts w:hint="eastAsia" w:cs="宋体" w:asciiTheme="minorEastAsia" w:hAnsiTheme="minorEastAsia" w:eastAsiaTheme="minorEastAsia"/>
          <w:sz w:val="24"/>
          <w:szCs w:val="24"/>
        </w:rPr>
        <w:t>（七）培训要求</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为更好的使用智能化及物联网应用系统，投标人应对采购人进行系统、有效的培训服务。在该项目的每个实施阶段根据培训要求为各相关单位人员提供相应的培训。在组织培训过程中，提供系统结构、性能、使用、维护、定制和升级等各方面的培训内容，并提供全套培训教材和培训计划。同时应针对不同的培训对象制定不同的培训方案，确保每个参加培训的人员能掌握系统的使用方法。</w:t>
      </w:r>
    </w:p>
    <w:p>
      <w:pPr>
        <w:pStyle w:val="137"/>
        <w:spacing w:line="240" w:lineRule="auto"/>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（八）商务要求</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1、质保期：贰年。</w:t>
      </w:r>
    </w:p>
    <w:p>
      <w:pPr>
        <w:ind w:firstLine="496" w:firstLineChars="200"/>
        <w:rPr>
          <w:rFonts w:cs="宋体" w:asciiTheme="minorEastAsia" w:hAnsiTheme="minorEastAsia" w:eastAsiaTheme="minorEastAsia"/>
        </w:rPr>
      </w:pPr>
      <w:r>
        <w:rPr>
          <w:rFonts w:hint="eastAsia" w:cs="宋体" w:asciiTheme="minorEastAsia" w:hAnsiTheme="minorEastAsia" w:eastAsiaTheme="minorEastAsia"/>
        </w:rPr>
        <w:t>2、付款方式：</w:t>
      </w:r>
    </w:p>
    <w:p>
      <w:pPr>
        <w:pStyle w:val="19"/>
        <w:ind w:firstLine="496"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）第一阶段付款：递交详细实施方案与阶段性验收目标并签订合同，支付合同总价30%作为预付款；</w:t>
      </w:r>
    </w:p>
    <w:p>
      <w:pPr>
        <w:pStyle w:val="19"/>
        <w:ind w:firstLine="496"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）第二阶段付款：设备到货并完成所有开发软件原型确认进行书面确认后，支付合同总价的30%；</w:t>
      </w:r>
    </w:p>
    <w:p>
      <w:pPr>
        <w:pStyle w:val="19"/>
        <w:ind w:firstLine="496" w:firstLineChars="200"/>
        <w:rPr>
          <w:rFonts w:cs="宋体" w:asciiTheme="minorEastAsia" w:hAnsiTheme="minorEastAsia" w:eastAsiaTheme="minorEastAsia"/>
          <w:sz w:val="24"/>
        </w:rPr>
      </w:pPr>
      <w:r>
        <w:rPr>
          <w:rFonts w:cs="宋体" w:asciiTheme="minorEastAsia" w:hAnsiTheme="minorEastAsia" w:eastAsiaTheme="minorEastAsia"/>
          <w:sz w:val="24"/>
        </w:rPr>
        <w:t>3</w:t>
      </w:r>
      <w:r>
        <w:rPr>
          <w:rFonts w:hint="eastAsia" w:cs="宋体" w:asciiTheme="minorEastAsia" w:hAnsiTheme="minorEastAsia" w:eastAsiaTheme="minorEastAsia"/>
          <w:sz w:val="24"/>
        </w:rPr>
        <w:t>）第三阶段付款：项目实施完成并调试上线运行及验收完成，支付合同总价的37%；</w:t>
      </w:r>
    </w:p>
    <w:p>
      <w:pPr>
        <w:pStyle w:val="19"/>
        <w:ind w:firstLine="496" w:firstLineChars="200"/>
        <w:rPr>
          <w:rFonts w:cs="宋体" w:asciiTheme="minorEastAsia" w:hAnsiTheme="minorEastAsia" w:eastAsiaTheme="minorEastAsia"/>
          <w:sz w:val="24"/>
        </w:rPr>
      </w:pPr>
      <w:r>
        <w:rPr>
          <w:rFonts w:cs="宋体" w:asciiTheme="minorEastAsia" w:hAnsiTheme="minorEastAsia" w:eastAsiaTheme="minorEastAsia"/>
          <w:sz w:val="24"/>
        </w:rPr>
        <w:t>4</w:t>
      </w:r>
      <w:r>
        <w:rPr>
          <w:rFonts w:hint="eastAsia" w:cs="宋体" w:asciiTheme="minorEastAsia" w:hAnsiTheme="minorEastAsia" w:eastAsiaTheme="minorEastAsia"/>
          <w:sz w:val="24"/>
        </w:rPr>
        <w:t>）第四阶段付款：本项目终验合格后，支付剩余的合同总价3%。</w:t>
      </w:r>
    </w:p>
    <w:p>
      <w:pPr>
        <w:ind w:firstLine="496" w:firstLineChars="200"/>
        <w:rPr>
          <w:rFonts w:cs="宋体" w:asciiTheme="minorEastAsia" w:hAnsiTheme="minorEastAsia" w:eastAsiaTheme="minorEastAsia"/>
        </w:rPr>
      </w:pPr>
      <w:r>
        <w:rPr>
          <w:rFonts w:hint="eastAsia" w:cs="宋体" w:asciiTheme="minorEastAsia" w:hAnsiTheme="minorEastAsia" w:eastAsiaTheme="minorEastAsia"/>
        </w:rPr>
        <w:t>注：根据入场实施方案进行确定实施阶段目标。</w:t>
      </w:r>
    </w:p>
    <w:p>
      <w:pPr>
        <w:pStyle w:val="137"/>
        <w:spacing w:line="240" w:lineRule="auto"/>
        <w:ind w:firstLine="992" w:firstLineChars="4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质保期结束后，运维服务另行招标。</w:t>
      </w:r>
    </w:p>
    <w:p>
      <w:pPr>
        <w:pStyle w:val="137"/>
        <w:spacing w:line="240" w:lineRule="auto"/>
        <w:ind w:firstLine="0" w:firstLineChars="0"/>
        <w:rPr>
          <w:rFonts w:cs="宋体" w:asciiTheme="minorEastAsia" w:hAnsiTheme="minorEastAsia" w:eastAsiaTheme="minorEastAsia"/>
          <w:sz w:val="24"/>
          <w:szCs w:val="24"/>
        </w:rPr>
      </w:pPr>
      <w:r>
        <w:rPr>
          <w:rFonts w:cs="宋体" w:asciiTheme="minorEastAsia" w:hAnsiTheme="minorEastAsia" w:eastAsiaTheme="minorEastAsia"/>
          <w:sz w:val="24"/>
          <w:szCs w:val="24"/>
        </w:rPr>
        <w:t>（九）</w:t>
      </w:r>
      <w:r>
        <w:rPr>
          <w:rFonts w:hint="eastAsia" w:cs="宋体" w:asciiTheme="minorEastAsia" w:hAnsiTheme="minorEastAsia" w:eastAsiaTheme="minorEastAsia"/>
          <w:sz w:val="24"/>
          <w:szCs w:val="24"/>
        </w:rPr>
        <w:t>其它要求</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在评标过程中，评标委员会认为投标人投标报价明显低于其他通过符合性审查投标人的投标报价，有可能影响产品质量或者不能诚信履约的，评标委员会应当要求其在评标现场合理的时间内提供书面说明，必要时提交相关证明材料。投标人提交的书面说明、相关证明材料（如涉及），应当加盖投标人（法定名称）电子签章，在评标委员会要求的时间内通过云平台进行递交，否则无效。如因断电、断网、系统故障或其他不可抗力等因素，导致系统无法使用的，由投标人按评标委员会的要求进行澄清或者说明。投标人不能证明其投标报价合理性的，评标委员会应当将其投标文件作为无效处理。</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2、投标人为本项目提供的所有产品、辅材符合现行的强制性国家相关标准、行业标准。</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3、本项目涉及的第三方接口费用包含在投标报价中。（说明：投标人应按招标文件要求提供承诺函。）</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基于智慧医院运营协同平台、智慧门诊、智慧病区、智慧手术、医疗物联网、智慧后勤应基于平台化进行建设规划，遵循总体规划、分步实施、持续可升级扩展的原则，应相互兼容。（说明：投标人应按招标文件要求提供承诺函。）</w:t>
      </w:r>
    </w:p>
    <w:p>
      <w:pPr>
        <w:pStyle w:val="137"/>
        <w:spacing w:line="240" w:lineRule="auto"/>
        <w:ind w:firstLine="49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5、本次项目系统集成所涉及的施工安装费用、线材辅材等都包含在投标报价中。（说明：投标人应按招标文件要求提供承诺函。）</w:t>
      </w:r>
    </w:p>
    <w:p>
      <w:pPr>
        <w:pStyle w:val="137"/>
        <w:spacing w:line="240" w:lineRule="auto"/>
        <w:ind w:firstLine="497"/>
        <w:rPr>
          <w:rFonts w:asciiTheme="minorEastAsia" w:hAnsiTheme="minorEastAsia" w:eastAsiaTheme="minorEastAsia"/>
          <w:sz w:val="24"/>
          <w:szCs w:val="24"/>
        </w:rPr>
        <w:sectPr>
          <w:headerReference r:id="rId7" w:type="first"/>
          <w:footerReference r:id="rId9" w:type="first"/>
          <w:headerReference r:id="rId6" w:type="default"/>
          <w:footerReference r:id="rId8" w:type="default"/>
          <w:pgSz w:w="11906" w:h="16838"/>
          <w:pgMar w:top="1440" w:right="1803" w:bottom="1440" w:left="1803" w:header="850" w:footer="992" w:gutter="0"/>
          <w:pgNumType w:start="1"/>
          <w:cols w:space="0" w:num="1"/>
          <w:titlePg/>
          <w:docGrid w:type="linesAndChars" w:linePitch="395" w:charSpace="1724"/>
        </w:sectPr>
      </w:pPr>
      <w:r>
        <w:rPr>
          <w:rFonts w:hint="eastAsia" w:asciiTheme="minorEastAsia" w:hAnsiTheme="minorEastAsia" w:eastAsiaTheme="minorEastAsia"/>
          <w:sz w:val="24"/>
          <w:szCs w:val="24"/>
        </w:rPr>
        <w:t>6、</w:t>
      </w:r>
      <w:r>
        <w:rPr>
          <w:rFonts w:hint="eastAsia" w:cs="宋体" w:asciiTheme="minorEastAsia" w:hAnsiTheme="minorEastAsia" w:eastAsiaTheme="minorEastAsia"/>
          <w:sz w:val="24"/>
          <w:szCs w:val="24"/>
        </w:rPr>
        <w:t>为满足医院医疗物联网持续建设和发展，投标人及生产厂商应将所有医疗物联网应用均集成到物联网集成平台统一管控，需提供免费开放接入医疗物联网平台能力的承诺函并加盖投标人公章（鲜章）。</w:t>
      </w:r>
    </w:p>
    <w:p>
      <w:pPr>
        <w:pStyle w:val="6"/>
        <w:pageBreakBefore/>
        <w:numPr>
          <w:ilvl w:val="0"/>
          <w:numId w:val="2"/>
        </w:numPr>
        <w:spacing w:before="395" w:beforeLines="100" w:after="395" w:afterLines="10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bookmarkStart w:id="76" w:name="_Toc135129534"/>
      <w:r>
        <w:rPr>
          <w:rFonts w:hint="eastAsia" w:cs="宋体" w:asciiTheme="minorEastAsia" w:hAnsiTheme="minorEastAsia" w:eastAsiaTheme="minorEastAsia"/>
          <w:sz w:val="24"/>
          <w:szCs w:val="24"/>
        </w:rPr>
        <w:t>合同</w:t>
      </w:r>
      <w:bookmarkEnd w:id="75"/>
      <w:r>
        <w:rPr>
          <w:rFonts w:hint="eastAsia" w:cs="宋体" w:asciiTheme="minorEastAsia" w:hAnsiTheme="minorEastAsia" w:eastAsiaTheme="minorEastAsia"/>
          <w:sz w:val="24"/>
          <w:szCs w:val="24"/>
        </w:rPr>
        <w:t>范本（仅供参考）</w:t>
      </w:r>
      <w:bookmarkEnd w:id="76"/>
    </w:p>
    <w:p>
      <w:pPr>
        <w:jc w:val="center"/>
        <w:rPr>
          <w:rFonts w:asciiTheme="minorEastAsia" w:hAnsiTheme="minorEastAsia" w:eastAsiaTheme="minorEastAsia"/>
          <w:b/>
          <w:spacing w:val="4"/>
        </w:rPr>
      </w:pPr>
      <w:bookmarkStart w:id="77" w:name="_Toc100219616"/>
      <w:r>
        <w:rPr>
          <w:rFonts w:hint="eastAsia" w:asciiTheme="minorEastAsia" w:hAnsiTheme="minorEastAsia" w:eastAsiaTheme="minorEastAsia"/>
          <w:b/>
          <w:spacing w:val="4"/>
        </w:rPr>
        <w:t>西安市中心医院货物类</w:t>
      </w:r>
    </w:p>
    <w:p>
      <w:pPr>
        <w:ind w:firstLine="728" w:firstLineChars="350"/>
        <w:rPr>
          <w:rFonts w:asciiTheme="minorEastAsia" w:hAnsiTheme="minorEastAsia" w:eastAsiaTheme="minorEastAsia"/>
          <w:b/>
          <w:spacing w:val="-20"/>
        </w:rPr>
      </w:pPr>
    </w:p>
    <w:p>
      <w:pPr>
        <w:ind w:firstLine="3472" w:firstLineChars="1400"/>
        <w:jc w:val="both"/>
        <w:rPr>
          <w:rFonts w:asciiTheme="minorEastAsia" w:hAnsiTheme="minorEastAsia" w:eastAsiaTheme="minorEastAsia"/>
          <w:b/>
        </w:rPr>
      </w:pPr>
      <w:r>
        <w:rPr>
          <w:rFonts w:hint="eastAsia" w:asciiTheme="minorEastAsia" w:hAnsiTheme="minorEastAsia" w:eastAsiaTheme="minorEastAsia"/>
          <w:b/>
        </w:rPr>
        <w:t>合  同</w:t>
      </w:r>
    </w:p>
    <w:p>
      <w:pPr>
        <w:jc w:val="center"/>
        <w:rPr>
          <w:rFonts w:asciiTheme="minorEastAsia" w:hAnsiTheme="minorEastAsia" w:eastAsiaTheme="minorEastAsia"/>
          <w:b/>
        </w:rPr>
      </w:pPr>
    </w:p>
    <w:p>
      <w:pPr>
        <w:ind w:firstLine="2728" w:firstLineChars="1100"/>
        <w:rPr>
          <w:rFonts w:asciiTheme="minorEastAsia" w:hAnsiTheme="minorEastAsia" w:eastAsiaTheme="minorEastAsia"/>
          <w:u w:val="single"/>
        </w:rPr>
      </w:pPr>
      <w:r>
        <w:rPr>
          <w:rFonts w:hint="eastAsia" w:asciiTheme="minorEastAsia" w:hAnsiTheme="minorEastAsia" w:eastAsiaTheme="minorEastAsia"/>
        </w:rPr>
        <w:t>项目名称：</w:t>
      </w:r>
      <w:r>
        <w:rPr>
          <w:rFonts w:hint="eastAsia" w:asciiTheme="minorEastAsia" w:hAnsiTheme="minorEastAsia" w:eastAsiaTheme="minorEastAsia"/>
          <w:u w:val="single"/>
        </w:rPr>
        <w:t xml:space="preserve">            </w:t>
      </w:r>
    </w:p>
    <w:p>
      <w:pPr>
        <w:ind w:firstLine="2728" w:firstLineChars="1100"/>
        <w:rPr>
          <w:rFonts w:asciiTheme="minorEastAsia" w:hAnsiTheme="minorEastAsia" w:eastAsiaTheme="minorEastAsia"/>
        </w:rPr>
      </w:pPr>
      <w:r>
        <w:rPr>
          <w:rFonts w:hint="eastAsia" w:asciiTheme="minorEastAsia" w:hAnsiTheme="minorEastAsia" w:eastAsiaTheme="minorEastAsia"/>
        </w:rPr>
        <w:t>项目编号：</w:t>
      </w:r>
      <w:r>
        <w:rPr>
          <w:rFonts w:hint="eastAsia" w:asciiTheme="minorEastAsia" w:hAnsiTheme="minorEastAsia" w:eastAsiaTheme="minorEastAsia"/>
          <w:u w:val="single"/>
        </w:rPr>
        <w:t xml:space="preserve">            </w:t>
      </w: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ind w:firstLine="2232" w:firstLineChars="900"/>
        <w:rPr>
          <w:rFonts w:asciiTheme="minorEastAsia" w:hAnsiTheme="minorEastAsia" w:eastAsiaTheme="minorEastAsia"/>
        </w:rPr>
      </w:pPr>
      <w:r>
        <w:rPr>
          <w:rFonts w:hint="eastAsia" w:asciiTheme="minorEastAsia" w:hAnsiTheme="minorEastAsia" w:eastAsiaTheme="minorEastAsia"/>
        </w:rPr>
        <w:t>甲  方：西安市中心医院</w:t>
      </w:r>
    </w:p>
    <w:p>
      <w:pPr>
        <w:tabs>
          <w:tab w:val="left" w:pos="480"/>
        </w:tabs>
        <w:ind w:firstLine="2232" w:firstLineChars="900"/>
        <w:rPr>
          <w:rFonts w:asciiTheme="minorEastAsia" w:hAnsiTheme="minorEastAsia" w:eastAsiaTheme="minorEastAsia"/>
        </w:rPr>
      </w:pPr>
      <w:r>
        <w:rPr>
          <w:rFonts w:hint="eastAsia" w:asciiTheme="minorEastAsia" w:hAnsiTheme="minorEastAsia" w:eastAsiaTheme="minorEastAsia"/>
        </w:rPr>
        <w:t>乙  方：</w:t>
      </w:r>
    </w:p>
    <w:p>
      <w:pPr>
        <w:rPr>
          <w:rFonts w:asciiTheme="minorEastAsia" w:hAnsiTheme="minorEastAsia" w:eastAsiaTheme="minorEastAsia"/>
        </w:rPr>
      </w:pPr>
      <w:r>
        <w:rPr>
          <w:rFonts w:hint="eastAsia" w:asciiTheme="minorEastAsia" w:hAnsiTheme="minorEastAsia" w:eastAsiaTheme="minorEastAsia"/>
        </w:rPr>
        <w:t xml:space="preserve">            </w:t>
      </w:r>
    </w:p>
    <w:p>
      <w:pPr>
        <w:jc w:val="center"/>
        <w:rPr>
          <w:rFonts w:asciiTheme="minorEastAsia" w:hAnsiTheme="minorEastAsia" w:eastAsiaTheme="minorEastAsia"/>
        </w:rPr>
      </w:pPr>
    </w:p>
    <w:p>
      <w:pPr>
        <w:jc w:val="center"/>
        <w:rPr>
          <w:rFonts w:asciiTheme="minorEastAsia" w:hAnsiTheme="minorEastAsia" w:eastAsiaTheme="minorEastAsia"/>
        </w:rPr>
      </w:pPr>
    </w:p>
    <w:p>
      <w:pPr>
        <w:ind w:firstLine="2976" w:firstLineChars="1200"/>
        <w:rPr>
          <w:rFonts w:asciiTheme="minorEastAsia" w:hAnsiTheme="minorEastAsia" w:eastAsiaTheme="minorEastAsia"/>
        </w:rPr>
      </w:pPr>
      <w:r>
        <w:rPr>
          <w:rFonts w:hint="eastAsia" w:asciiTheme="minorEastAsia" w:hAnsiTheme="minorEastAsia" w:eastAsiaTheme="minorEastAsia"/>
        </w:rPr>
        <w:t xml:space="preserve">二O二 </w:t>
      </w:r>
      <w:r>
        <w:rPr>
          <w:rFonts w:asciiTheme="minorEastAsia" w:hAnsiTheme="minorEastAsia" w:eastAsiaTheme="minorEastAsia"/>
        </w:rPr>
        <w:t xml:space="preserve"> </w:t>
      </w:r>
      <w:r>
        <w:rPr>
          <w:rFonts w:hint="eastAsia" w:asciiTheme="minorEastAsia" w:hAnsiTheme="minorEastAsia" w:eastAsiaTheme="minorEastAsia"/>
        </w:rPr>
        <w:t>年  月</w:t>
      </w:r>
    </w:p>
    <w:p>
      <w:pPr>
        <w:rPr>
          <w:rFonts w:asciiTheme="minorEastAsia" w:hAnsiTheme="minorEastAsia" w:eastAsiaTheme="minorEastAsia"/>
        </w:rPr>
      </w:pPr>
      <w:r>
        <w:rPr>
          <w:rFonts w:hint="eastAsia" w:asciiTheme="minorEastAsia" w:hAnsiTheme="minorEastAsia" w:eastAsiaTheme="minorEastAsia"/>
        </w:rPr>
        <w:t xml:space="preserve">            </w:t>
      </w: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甲方：西安市中心医院 </w:t>
      </w:r>
    </w:p>
    <w:p>
      <w:pPr>
        <w:rPr>
          <w:rFonts w:asciiTheme="minorEastAsia" w:hAnsiTheme="minorEastAsia" w:eastAsiaTheme="minorEastAsia"/>
        </w:rPr>
      </w:pPr>
      <w:r>
        <w:rPr>
          <w:rFonts w:hint="eastAsia" w:asciiTheme="minorEastAsia" w:hAnsiTheme="minorEastAsia" w:eastAsiaTheme="minorEastAsia"/>
        </w:rPr>
        <w:t>乙方：XXXXXXXXXXXXXX</w:t>
      </w:r>
    </w:p>
    <w:p>
      <w:pPr>
        <w:ind w:firstLine="496" w:firstLineChars="200"/>
        <w:rPr>
          <w:rFonts w:asciiTheme="minorEastAsia" w:hAnsiTheme="minorEastAsia" w:eastAsiaTheme="minorEastAsia"/>
        </w:rPr>
      </w:pPr>
      <w:r>
        <w:rPr>
          <w:rFonts w:hint="eastAsia" w:asciiTheme="minorEastAsia" w:hAnsiTheme="minorEastAsia" w:eastAsiaTheme="minorEastAsia"/>
        </w:rPr>
        <w:t>甲方经过招标采购，确定乙方为成交供应商。经甲、乙双方协商、确认，达成如下条款。</w:t>
      </w:r>
    </w:p>
    <w:p>
      <w:pPr>
        <w:tabs>
          <w:tab w:val="left" w:pos="480"/>
        </w:tabs>
        <w:ind w:firstLine="496" w:firstLineChars="200"/>
        <w:rPr>
          <w:rFonts w:asciiTheme="minorEastAsia" w:hAnsiTheme="minorEastAsia" w:eastAsiaTheme="minorEastAsia"/>
          <w:b/>
        </w:rPr>
      </w:pPr>
      <w:r>
        <w:rPr>
          <w:rFonts w:hint="eastAsia" w:asciiTheme="minorEastAsia" w:hAnsiTheme="minorEastAsia" w:eastAsiaTheme="minorEastAsia"/>
          <w:b/>
        </w:rPr>
        <w:t>一、合同标的货物、系统内容及数量</w:t>
      </w:r>
    </w:p>
    <w:tbl>
      <w:tblPr>
        <w:tblStyle w:val="3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274"/>
        <w:gridCol w:w="1188"/>
        <w:gridCol w:w="1232"/>
        <w:gridCol w:w="1078"/>
        <w:gridCol w:w="925"/>
        <w:gridCol w:w="1160"/>
        <w:gridCol w:w="1102"/>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2" w:type="dxa"/>
            <w:vAlign w:val="center"/>
          </w:tcPr>
          <w:p>
            <w:pPr>
              <w:tabs>
                <w:tab w:val="left" w:pos="480"/>
              </w:tabs>
              <w:jc w:val="center"/>
              <w:rPr>
                <w:rFonts w:asciiTheme="minorEastAsia" w:hAnsiTheme="minorEastAsia" w:eastAsiaTheme="minorEastAsia"/>
              </w:rPr>
            </w:pPr>
            <w:r>
              <w:rPr>
                <w:rFonts w:hint="eastAsia" w:asciiTheme="minorEastAsia" w:hAnsiTheme="minorEastAsia" w:eastAsiaTheme="minorEastAsia"/>
              </w:rPr>
              <w:t>序号</w:t>
            </w:r>
          </w:p>
        </w:tc>
        <w:tc>
          <w:tcPr>
            <w:tcW w:w="1274" w:type="dxa"/>
            <w:vAlign w:val="center"/>
          </w:tcPr>
          <w:p>
            <w:pPr>
              <w:tabs>
                <w:tab w:val="left" w:pos="480"/>
              </w:tabs>
              <w:jc w:val="center"/>
              <w:rPr>
                <w:rFonts w:asciiTheme="minorEastAsia" w:hAnsiTheme="minorEastAsia" w:eastAsiaTheme="minorEastAsia"/>
              </w:rPr>
            </w:pPr>
            <w:r>
              <w:rPr>
                <w:rFonts w:hint="eastAsia" w:asciiTheme="minorEastAsia" w:hAnsiTheme="minorEastAsia" w:eastAsiaTheme="minorEastAsia"/>
              </w:rPr>
              <w:t>设备名称</w:t>
            </w:r>
          </w:p>
        </w:tc>
        <w:tc>
          <w:tcPr>
            <w:tcW w:w="1188" w:type="dxa"/>
            <w:vAlign w:val="center"/>
          </w:tcPr>
          <w:p>
            <w:pPr>
              <w:tabs>
                <w:tab w:val="left" w:pos="480"/>
              </w:tabs>
              <w:jc w:val="center"/>
              <w:rPr>
                <w:rFonts w:asciiTheme="minorEastAsia" w:hAnsiTheme="minorEastAsia" w:eastAsiaTheme="minorEastAsia"/>
              </w:rPr>
            </w:pPr>
            <w:r>
              <w:rPr>
                <w:rFonts w:hint="eastAsia" w:asciiTheme="minorEastAsia" w:hAnsiTheme="minorEastAsia" w:eastAsiaTheme="minorEastAsia"/>
              </w:rPr>
              <w:t>规格参数</w:t>
            </w:r>
          </w:p>
        </w:tc>
        <w:tc>
          <w:tcPr>
            <w:tcW w:w="1232" w:type="dxa"/>
            <w:vAlign w:val="center"/>
          </w:tcPr>
          <w:p>
            <w:pPr>
              <w:tabs>
                <w:tab w:val="left" w:pos="480"/>
              </w:tabs>
              <w:spacing w:line="240" w:lineRule="exact"/>
              <w:jc w:val="center"/>
              <w:rPr>
                <w:rFonts w:asciiTheme="minorEastAsia" w:hAnsiTheme="minorEastAsia" w:eastAsiaTheme="minorEastAsia"/>
              </w:rPr>
            </w:pPr>
            <w:r>
              <w:rPr>
                <w:rFonts w:hint="eastAsia" w:asciiTheme="minorEastAsia" w:hAnsiTheme="minorEastAsia" w:eastAsiaTheme="minorEastAsia"/>
              </w:rPr>
              <w:t>生产</w:t>
            </w:r>
          </w:p>
          <w:p>
            <w:pPr>
              <w:tabs>
                <w:tab w:val="left" w:pos="480"/>
              </w:tabs>
              <w:spacing w:line="240" w:lineRule="exact"/>
              <w:jc w:val="center"/>
              <w:rPr>
                <w:rFonts w:asciiTheme="minorEastAsia" w:hAnsiTheme="minorEastAsia" w:eastAsiaTheme="minorEastAsia"/>
              </w:rPr>
            </w:pPr>
            <w:r>
              <w:rPr>
                <w:rFonts w:hint="eastAsia" w:asciiTheme="minorEastAsia" w:hAnsiTheme="minorEastAsia" w:eastAsiaTheme="minorEastAsia"/>
              </w:rPr>
              <w:t>厂家</w:t>
            </w:r>
          </w:p>
        </w:tc>
        <w:tc>
          <w:tcPr>
            <w:tcW w:w="1078" w:type="dxa"/>
            <w:vAlign w:val="center"/>
          </w:tcPr>
          <w:p>
            <w:pPr>
              <w:tabs>
                <w:tab w:val="left" w:pos="480"/>
              </w:tabs>
              <w:spacing w:line="240" w:lineRule="exact"/>
              <w:jc w:val="center"/>
              <w:rPr>
                <w:rFonts w:asciiTheme="minorEastAsia" w:hAnsiTheme="minorEastAsia" w:eastAsiaTheme="minorEastAsia"/>
              </w:rPr>
            </w:pPr>
            <w:r>
              <w:rPr>
                <w:rFonts w:hint="eastAsia" w:asciiTheme="minorEastAsia" w:hAnsiTheme="minorEastAsia" w:eastAsiaTheme="minorEastAsia"/>
              </w:rPr>
              <w:t>计量</w:t>
            </w:r>
          </w:p>
          <w:p>
            <w:pPr>
              <w:tabs>
                <w:tab w:val="left" w:pos="480"/>
              </w:tabs>
              <w:spacing w:line="240" w:lineRule="exact"/>
              <w:jc w:val="center"/>
              <w:rPr>
                <w:rFonts w:asciiTheme="minorEastAsia" w:hAnsiTheme="minorEastAsia" w:eastAsiaTheme="minorEastAsia"/>
              </w:rPr>
            </w:pPr>
            <w:r>
              <w:rPr>
                <w:rFonts w:hint="eastAsia" w:asciiTheme="minorEastAsia" w:hAnsiTheme="minorEastAsia" w:eastAsiaTheme="minorEastAsia"/>
              </w:rPr>
              <w:t>单位</w:t>
            </w:r>
          </w:p>
        </w:tc>
        <w:tc>
          <w:tcPr>
            <w:tcW w:w="925" w:type="dxa"/>
            <w:vAlign w:val="center"/>
          </w:tcPr>
          <w:p>
            <w:pPr>
              <w:tabs>
                <w:tab w:val="left" w:pos="480"/>
              </w:tabs>
              <w:spacing w:line="240" w:lineRule="exact"/>
              <w:jc w:val="center"/>
              <w:rPr>
                <w:rFonts w:asciiTheme="minorEastAsia" w:hAnsiTheme="minorEastAsia" w:eastAsiaTheme="minorEastAsia"/>
              </w:rPr>
            </w:pPr>
            <w:r>
              <w:rPr>
                <w:rFonts w:hint="eastAsia" w:asciiTheme="minorEastAsia" w:hAnsiTheme="minorEastAsia" w:eastAsiaTheme="minorEastAsia"/>
              </w:rPr>
              <w:t>数量</w:t>
            </w:r>
          </w:p>
        </w:tc>
        <w:tc>
          <w:tcPr>
            <w:tcW w:w="1160" w:type="dxa"/>
            <w:vAlign w:val="center"/>
          </w:tcPr>
          <w:p>
            <w:pPr>
              <w:tabs>
                <w:tab w:val="left" w:pos="480"/>
              </w:tabs>
              <w:spacing w:line="280" w:lineRule="exact"/>
              <w:jc w:val="center"/>
              <w:rPr>
                <w:rFonts w:asciiTheme="minorEastAsia" w:hAnsiTheme="minorEastAsia" w:eastAsiaTheme="minorEastAsia"/>
              </w:rPr>
            </w:pPr>
            <w:r>
              <w:rPr>
                <w:rFonts w:hint="eastAsia" w:asciiTheme="minorEastAsia" w:hAnsiTheme="minorEastAsia" w:eastAsiaTheme="minorEastAsia"/>
              </w:rPr>
              <w:t>单价</w:t>
            </w:r>
          </w:p>
          <w:p>
            <w:pPr>
              <w:tabs>
                <w:tab w:val="left" w:pos="480"/>
              </w:tabs>
              <w:spacing w:line="280" w:lineRule="exact"/>
              <w:jc w:val="center"/>
              <w:rPr>
                <w:rFonts w:asciiTheme="minorEastAsia" w:hAnsiTheme="minorEastAsia" w:eastAsiaTheme="minorEastAsia"/>
              </w:rPr>
            </w:pPr>
            <w:r>
              <w:rPr>
                <w:rFonts w:hint="eastAsia" w:asciiTheme="minorEastAsia" w:hAnsiTheme="minorEastAsia" w:eastAsiaTheme="minorEastAsia"/>
              </w:rPr>
              <w:t>（万元</w:t>
            </w:r>
            <w:r>
              <w:rPr>
                <w:rFonts w:asciiTheme="minorEastAsia" w:hAnsiTheme="minorEastAsia" w:eastAsiaTheme="minorEastAsia"/>
              </w:rPr>
              <w:t>）</w:t>
            </w:r>
          </w:p>
        </w:tc>
        <w:tc>
          <w:tcPr>
            <w:tcW w:w="1102" w:type="dxa"/>
            <w:vAlign w:val="center"/>
          </w:tcPr>
          <w:p>
            <w:pPr>
              <w:tabs>
                <w:tab w:val="left" w:pos="480"/>
              </w:tabs>
              <w:spacing w:line="280" w:lineRule="exact"/>
              <w:jc w:val="center"/>
              <w:rPr>
                <w:rFonts w:asciiTheme="minorEastAsia" w:hAnsiTheme="minorEastAsia" w:eastAsiaTheme="minorEastAsia"/>
              </w:rPr>
            </w:pPr>
            <w:r>
              <w:rPr>
                <w:rFonts w:hint="eastAsia" w:asciiTheme="minorEastAsia" w:hAnsiTheme="minorEastAsia" w:eastAsiaTheme="minorEastAsia"/>
              </w:rPr>
              <w:t>金额</w:t>
            </w:r>
          </w:p>
          <w:p>
            <w:pPr>
              <w:tabs>
                <w:tab w:val="left" w:pos="480"/>
              </w:tabs>
              <w:spacing w:line="280" w:lineRule="exact"/>
              <w:jc w:val="center"/>
              <w:rPr>
                <w:rFonts w:asciiTheme="minorEastAsia" w:hAnsiTheme="minorEastAsia" w:eastAsiaTheme="minorEastAsia"/>
              </w:rPr>
            </w:pPr>
            <w:r>
              <w:rPr>
                <w:rFonts w:hint="eastAsia" w:asciiTheme="minorEastAsia" w:hAnsiTheme="minorEastAsia" w:eastAsiaTheme="minorEastAsia"/>
              </w:rPr>
              <w:t>（万元）</w:t>
            </w:r>
          </w:p>
        </w:tc>
        <w:tc>
          <w:tcPr>
            <w:tcW w:w="961" w:type="dxa"/>
            <w:vAlign w:val="center"/>
          </w:tcPr>
          <w:p>
            <w:pPr>
              <w:tabs>
                <w:tab w:val="left" w:pos="480"/>
              </w:tabs>
              <w:spacing w:line="280" w:lineRule="exact"/>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2" w:type="dxa"/>
            <w:vAlign w:val="center"/>
          </w:tcPr>
          <w:p>
            <w:pPr>
              <w:tabs>
                <w:tab w:val="left" w:pos="480"/>
              </w:tabs>
              <w:jc w:val="center"/>
              <w:rPr>
                <w:rFonts w:asciiTheme="minorEastAsia" w:hAnsiTheme="minorEastAsia" w:eastAsiaTheme="minorEastAsia"/>
              </w:rPr>
            </w:pPr>
            <w:r>
              <w:rPr>
                <w:rFonts w:hint="eastAsia" w:asciiTheme="minorEastAsia" w:hAnsiTheme="minorEastAsia" w:eastAsiaTheme="minorEastAsia"/>
              </w:rPr>
              <w:t>1</w:t>
            </w:r>
          </w:p>
        </w:tc>
        <w:tc>
          <w:tcPr>
            <w:tcW w:w="1274" w:type="dxa"/>
            <w:vAlign w:val="center"/>
          </w:tcPr>
          <w:p>
            <w:pPr>
              <w:tabs>
                <w:tab w:val="left" w:pos="480"/>
              </w:tabs>
              <w:jc w:val="center"/>
              <w:rPr>
                <w:rFonts w:asciiTheme="minorEastAsia" w:hAnsiTheme="minorEastAsia" w:eastAsiaTheme="minorEastAsia"/>
              </w:rPr>
            </w:pPr>
          </w:p>
        </w:tc>
        <w:tc>
          <w:tcPr>
            <w:tcW w:w="1188" w:type="dxa"/>
          </w:tcPr>
          <w:p>
            <w:pPr>
              <w:tabs>
                <w:tab w:val="left" w:pos="480"/>
              </w:tabs>
              <w:jc w:val="center"/>
              <w:rPr>
                <w:rFonts w:asciiTheme="minorEastAsia" w:hAnsiTheme="minorEastAsia" w:eastAsiaTheme="minorEastAsia"/>
              </w:rPr>
            </w:pPr>
          </w:p>
        </w:tc>
        <w:tc>
          <w:tcPr>
            <w:tcW w:w="1232" w:type="dxa"/>
          </w:tcPr>
          <w:p>
            <w:pPr>
              <w:tabs>
                <w:tab w:val="left" w:pos="480"/>
              </w:tabs>
              <w:jc w:val="center"/>
              <w:rPr>
                <w:rFonts w:asciiTheme="minorEastAsia" w:hAnsiTheme="minorEastAsia" w:eastAsiaTheme="minorEastAsia"/>
              </w:rPr>
            </w:pPr>
          </w:p>
        </w:tc>
        <w:tc>
          <w:tcPr>
            <w:tcW w:w="1078" w:type="dxa"/>
            <w:vAlign w:val="center"/>
          </w:tcPr>
          <w:p>
            <w:pPr>
              <w:tabs>
                <w:tab w:val="left" w:pos="480"/>
              </w:tabs>
              <w:jc w:val="center"/>
              <w:rPr>
                <w:rFonts w:asciiTheme="minorEastAsia" w:hAnsiTheme="minorEastAsia" w:eastAsiaTheme="minorEastAsia"/>
              </w:rPr>
            </w:pPr>
          </w:p>
        </w:tc>
        <w:tc>
          <w:tcPr>
            <w:tcW w:w="925" w:type="dxa"/>
          </w:tcPr>
          <w:p>
            <w:pPr>
              <w:tabs>
                <w:tab w:val="left" w:pos="480"/>
              </w:tabs>
              <w:jc w:val="center"/>
              <w:rPr>
                <w:rFonts w:asciiTheme="minorEastAsia" w:hAnsiTheme="minorEastAsia" w:eastAsiaTheme="minorEastAsia"/>
              </w:rPr>
            </w:pPr>
          </w:p>
        </w:tc>
        <w:tc>
          <w:tcPr>
            <w:tcW w:w="1160" w:type="dxa"/>
            <w:vAlign w:val="center"/>
          </w:tcPr>
          <w:p>
            <w:pPr>
              <w:tabs>
                <w:tab w:val="left" w:pos="480"/>
              </w:tabs>
              <w:jc w:val="center"/>
              <w:rPr>
                <w:rFonts w:asciiTheme="minorEastAsia" w:hAnsiTheme="minorEastAsia" w:eastAsiaTheme="minorEastAsia"/>
              </w:rPr>
            </w:pPr>
          </w:p>
        </w:tc>
        <w:tc>
          <w:tcPr>
            <w:tcW w:w="1102" w:type="dxa"/>
          </w:tcPr>
          <w:p>
            <w:pPr>
              <w:tabs>
                <w:tab w:val="left" w:pos="480"/>
              </w:tabs>
              <w:jc w:val="center"/>
              <w:rPr>
                <w:rFonts w:asciiTheme="minorEastAsia" w:hAnsiTheme="minorEastAsia" w:eastAsiaTheme="minorEastAsia"/>
              </w:rPr>
            </w:pPr>
          </w:p>
        </w:tc>
        <w:tc>
          <w:tcPr>
            <w:tcW w:w="961" w:type="dxa"/>
          </w:tcPr>
          <w:p>
            <w:pPr>
              <w:tabs>
                <w:tab w:val="left" w:pos="480"/>
              </w:tabs>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2" w:type="dxa"/>
            <w:vAlign w:val="center"/>
          </w:tcPr>
          <w:p>
            <w:pPr>
              <w:tabs>
                <w:tab w:val="left" w:pos="480"/>
              </w:tabs>
              <w:jc w:val="center"/>
              <w:rPr>
                <w:rFonts w:asciiTheme="minorEastAsia" w:hAnsiTheme="minorEastAsia" w:eastAsiaTheme="minorEastAsia"/>
              </w:rPr>
            </w:pPr>
            <w:r>
              <w:rPr>
                <w:rFonts w:hint="eastAsia" w:asciiTheme="minorEastAsia" w:hAnsiTheme="minorEastAsia" w:eastAsiaTheme="minorEastAsia"/>
              </w:rPr>
              <w:t>2</w:t>
            </w:r>
          </w:p>
        </w:tc>
        <w:tc>
          <w:tcPr>
            <w:tcW w:w="1274" w:type="dxa"/>
            <w:vAlign w:val="center"/>
          </w:tcPr>
          <w:p>
            <w:pPr>
              <w:tabs>
                <w:tab w:val="left" w:pos="480"/>
              </w:tabs>
              <w:jc w:val="center"/>
              <w:rPr>
                <w:rFonts w:asciiTheme="minorEastAsia" w:hAnsiTheme="minorEastAsia" w:eastAsiaTheme="minorEastAsia"/>
              </w:rPr>
            </w:pPr>
          </w:p>
        </w:tc>
        <w:tc>
          <w:tcPr>
            <w:tcW w:w="1188" w:type="dxa"/>
          </w:tcPr>
          <w:p>
            <w:pPr>
              <w:tabs>
                <w:tab w:val="left" w:pos="480"/>
              </w:tabs>
              <w:jc w:val="center"/>
              <w:rPr>
                <w:rFonts w:asciiTheme="minorEastAsia" w:hAnsiTheme="minorEastAsia" w:eastAsiaTheme="minorEastAsia"/>
              </w:rPr>
            </w:pPr>
          </w:p>
        </w:tc>
        <w:tc>
          <w:tcPr>
            <w:tcW w:w="1232" w:type="dxa"/>
          </w:tcPr>
          <w:p>
            <w:pPr>
              <w:tabs>
                <w:tab w:val="left" w:pos="480"/>
              </w:tabs>
              <w:jc w:val="center"/>
              <w:rPr>
                <w:rFonts w:asciiTheme="minorEastAsia" w:hAnsiTheme="minorEastAsia" w:eastAsiaTheme="minorEastAsia"/>
              </w:rPr>
            </w:pPr>
          </w:p>
        </w:tc>
        <w:tc>
          <w:tcPr>
            <w:tcW w:w="1078" w:type="dxa"/>
            <w:vAlign w:val="center"/>
          </w:tcPr>
          <w:p>
            <w:pPr>
              <w:tabs>
                <w:tab w:val="left" w:pos="480"/>
              </w:tabs>
              <w:jc w:val="center"/>
              <w:rPr>
                <w:rFonts w:asciiTheme="minorEastAsia" w:hAnsiTheme="minorEastAsia" w:eastAsiaTheme="minorEastAsia"/>
              </w:rPr>
            </w:pPr>
          </w:p>
        </w:tc>
        <w:tc>
          <w:tcPr>
            <w:tcW w:w="925" w:type="dxa"/>
          </w:tcPr>
          <w:p>
            <w:pPr>
              <w:tabs>
                <w:tab w:val="left" w:pos="480"/>
              </w:tabs>
              <w:jc w:val="center"/>
              <w:rPr>
                <w:rFonts w:asciiTheme="minorEastAsia" w:hAnsiTheme="minorEastAsia" w:eastAsiaTheme="minorEastAsia"/>
              </w:rPr>
            </w:pPr>
          </w:p>
        </w:tc>
        <w:tc>
          <w:tcPr>
            <w:tcW w:w="1160" w:type="dxa"/>
            <w:vAlign w:val="center"/>
          </w:tcPr>
          <w:p>
            <w:pPr>
              <w:tabs>
                <w:tab w:val="left" w:pos="480"/>
              </w:tabs>
              <w:jc w:val="center"/>
              <w:rPr>
                <w:rFonts w:asciiTheme="minorEastAsia" w:hAnsiTheme="minorEastAsia" w:eastAsiaTheme="minorEastAsia"/>
              </w:rPr>
            </w:pPr>
          </w:p>
        </w:tc>
        <w:tc>
          <w:tcPr>
            <w:tcW w:w="1102" w:type="dxa"/>
          </w:tcPr>
          <w:p>
            <w:pPr>
              <w:tabs>
                <w:tab w:val="left" w:pos="480"/>
              </w:tabs>
              <w:jc w:val="center"/>
              <w:rPr>
                <w:rFonts w:asciiTheme="minorEastAsia" w:hAnsiTheme="minorEastAsia" w:eastAsiaTheme="minorEastAsia"/>
              </w:rPr>
            </w:pPr>
          </w:p>
        </w:tc>
        <w:tc>
          <w:tcPr>
            <w:tcW w:w="961" w:type="dxa"/>
          </w:tcPr>
          <w:p>
            <w:pPr>
              <w:tabs>
                <w:tab w:val="left" w:pos="480"/>
              </w:tabs>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12" w:type="dxa"/>
            <w:gridSpan w:val="9"/>
            <w:vAlign w:val="center"/>
          </w:tcPr>
          <w:p>
            <w:pPr>
              <w:tabs>
                <w:tab w:val="left" w:pos="480"/>
              </w:tabs>
              <w:rPr>
                <w:rFonts w:asciiTheme="minorEastAsia" w:hAnsiTheme="minorEastAsia" w:eastAsiaTheme="minorEastAsia"/>
              </w:rPr>
            </w:pPr>
            <w:r>
              <w:rPr>
                <w:rFonts w:hint="eastAsia" w:asciiTheme="minorEastAsia" w:hAnsiTheme="minorEastAsia" w:eastAsiaTheme="minorEastAsia"/>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2" w:type="dxa"/>
            <w:vAlign w:val="center"/>
          </w:tcPr>
          <w:p>
            <w:pPr>
              <w:tabs>
                <w:tab w:val="left" w:pos="480"/>
              </w:tabs>
              <w:jc w:val="center"/>
              <w:rPr>
                <w:rFonts w:asciiTheme="minorEastAsia" w:hAnsiTheme="minorEastAsia" w:eastAsiaTheme="minorEastAsia"/>
              </w:rPr>
            </w:pPr>
            <w:r>
              <w:rPr>
                <w:rFonts w:hint="eastAsia" w:asciiTheme="minorEastAsia" w:hAnsiTheme="minorEastAsia" w:eastAsiaTheme="minorEastAsia"/>
              </w:rPr>
              <w:t>说明</w:t>
            </w:r>
          </w:p>
        </w:tc>
        <w:tc>
          <w:tcPr>
            <w:tcW w:w="8920" w:type="dxa"/>
            <w:gridSpan w:val="8"/>
            <w:vAlign w:val="center"/>
          </w:tcPr>
          <w:p>
            <w:pPr>
              <w:tabs>
                <w:tab w:val="left" w:pos="480"/>
              </w:tabs>
              <w:jc w:val="center"/>
              <w:rPr>
                <w:rFonts w:asciiTheme="minorEastAsia" w:hAnsiTheme="minorEastAsia" w:eastAsiaTheme="minorEastAsia"/>
              </w:rPr>
            </w:pPr>
          </w:p>
        </w:tc>
      </w:tr>
    </w:tbl>
    <w:p>
      <w:pPr>
        <w:tabs>
          <w:tab w:val="left" w:pos="480"/>
        </w:tabs>
        <w:ind w:firstLine="485" w:firstLineChars="196"/>
        <w:rPr>
          <w:rFonts w:asciiTheme="minorEastAsia" w:hAnsiTheme="minorEastAsia" w:eastAsiaTheme="minorEastAsia"/>
          <w:b/>
        </w:rPr>
      </w:pPr>
      <w:r>
        <w:rPr>
          <w:rFonts w:hint="eastAsia" w:asciiTheme="minorEastAsia" w:hAnsiTheme="minorEastAsia" w:eastAsiaTheme="minorEastAsia"/>
          <w:b/>
        </w:rPr>
        <w:t>二、合同价款</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（一）合同总价款为人民币（大写）                    （¥            ）。</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二）合同总价包括：税费、货物费、软件系统开发和使用费用、运输费（含保险费）、安装调试费、检测验收费及其它乙方履行合同义务所需的全部费用。本合同执行期间合同总价不变，甲方无需向乙方另行支付费用。</w:t>
      </w:r>
    </w:p>
    <w:p>
      <w:pPr>
        <w:tabs>
          <w:tab w:val="left" w:pos="480"/>
        </w:tabs>
        <w:ind w:firstLine="496" w:firstLineChars="200"/>
        <w:rPr>
          <w:rFonts w:asciiTheme="minorEastAsia" w:hAnsiTheme="minorEastAsia" w:eastAsiaTheme="minorEastAsia"/>
          <w:b/>
          <w:bCs/>
        </w:rPr>
      </w:pPr>
      <w:r>
        <w:rPr>
          <w:rFonts w:hint="eastAsia" w:asciiTheme="minorEastAsia" w:hAnsiTheme="minorEastAsia" w:eastAsiaTheme="minorEastAsia"/>
          <w:b/>
          <w:bCs/>
        </w:rPr>
        <w:t>三、款项结算</w:t>
      </w:r>
    </w:p>
    <w:p>
      <w:pPr>
        <w:pStyle w:val="19"/>
        <w:ind w:firstLine="496"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1、第一阶段付款：递交详细实施方案与阶段性验收目标并签订合同，支付合同总价30%作为预付款；</w:t>
      </w:r>
    </w:p>
    <w:p>
      <w:pPr>
        <w:pStyle w:val="19"/>
        <w:ind w:firstLine="496"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2、第二阶段付款：设备到货并完成所有开发软件原型书面确认后，支付合同总价的30%；</w:t>
      </w:r>
    </w:p>
    <w:p>
      <w:pPr>
        <w:pStyle w:val="19"/>
        <w:ind w:firstLine="496" w:firstLineChars="200"/>
        <w:rPr>
          <w:rFonts w:cs="宋体" w:asciiTheme="minorEastAsia" w:hAnsiTheme="minorEastAsia" w:eastAsiaTheme="minorEastAsia"/>
          <w:sz w:val="24"/>
        </w:rPr>
      </w:pPr>
      <w:r>
        <w:rPr>
          <w:rFonts w:hint="eastAsia" w:cs="宋体" w:asciiTheme="minorEastAsia" w:hAnsiTheme="minorEastAsia" w:eastAsiaTheme="minorEastAsia"/>
          <w:sz w:val="24"/>
        </w:rPr>
        <w:t>3、第三阶段付款：项目实施完成并调试上线运行及验收完成，支付合同总价的37%；</w:t>
      </w:r>
    </w:p>
    <w:p>
      <w:pPr>
        <w:pStyle w:val="19"/>
        <w:ind w:firstLine="496"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4、第四阶段付款：本项目整体验收合格后，支付剩余的合同总价3%。</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注：质保期结束后，运维服务另行招标。</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五）结算方式：乙方持发票（按合同总价值开甲方）、供货合同、发票复印件在甲方处结算。乙方延期提供发票或提供的发票不符合甲方要求的，甲方有权拒付合同款项且不承担任何法律责任。因乙方原因导致甲方不能及时付款的，甲方无需承担任何责任。</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（六）付款批次：于  年  月  日支付  元；</w:t>
      </w:r>
    </w:p>
    <w:p>
      <w:pPr>
        <w:tabs>
          <w:tab w:val="left" w:pos="480"/>
        </w:tabs>
        <w:ind w:firstLine="372" w:firstLineChars="150"/>
        <w:rPr>
          <w:rFonts w:asciiTheme="minorEastAsia" w:hAnsiTheme="minorEastAsia" w:eastAsiaTheme="minorEastAsia"/>
          <w:b/>
        </w:rPr>
      </w:pPr>
      <w:r>
        <w:rPr>
          <w:rFonts w:hint="eastAsia" w:asciiTheme="minorEastAsia" w:hAnsiTheme="minorEastAsia" w:eastAsiaTheme="minorEastAsia"/>
          <w:b/>
        </w:rPr>
        <w:t>四、双方的权利和义务</w:t>
      </w:r>
    </w:p>
    <w:p>
      <w:pPr>
        <w:ind w:firstLine="248" w:firstLineChars="100"/>
        <w:rPr>
          <w:rFonts w:asciiTheme="minorEastAsia" w:hAnsiTheme="minorEastAsia" w:eastAsiaTheme="minorEastAsia"/>
        </w:rPr>
      </w:pPr>
      <w:r>
        <w:rPr>
          <w:rFonts w:hint="eastAsia" w:asciiTheme="minorEastAsia" w:hAnsiTheme="minorEastAsia" w:eastAsiaTheme="minorEastAsia"/>
        </w:rPr>
        <w:t>（一）甲方的权利和义务</w:t>
      </w:r>
    </w:p>
    <w:p>
      <w:pPr>
        <w:ind w:firstLine="496" w:firstLineChars="200"/>
        <w:rPr>
          <w:rFonts w:asciiTheme="minorEastAsia" w:hAnsiTheme="minorEastAsia" w:eastAsiaTheme="minorEastAsia"/>
        </w:rPr>
      </w:pPr>
      <w:r>
        <w:rPr>
          <w:rFonts w:hint="eastAsia" w:asciiTheme="minorEastAsia" w:hAnsiTheme="minorEastAsia" w:eastAsiaTheme="minorEastAsia"/>
        </w:rPr>
        <w:t>1.甲方提供场地配合乙方安装调试，按招标文件来规范乙方。</w:t>
      </w:r>
    </w:p>
    <w:p>
      <w:pPr>
        <w:ind w:firstLine="496" w:firstLineChars="200"/>
        <w:rPr>
          <w:rFonts w:asciiTheme="minorEastAsia" w:hAnsiTheme="minorEastAsia" w:eastAsiaTheme="minorEastAsia"/>
        </w:rPr>
      </w:pPr>
      <w:r>
        <w:rPr>
          <w:rFonts w:hint="eastAsia" w:asciiTheme="minorEastAsia" w:hAnsiTheme="minorEastAsia" w:eastAsiaTheme="minorEastAsia"/>
        </w:rPr>
        <w:t>2.甲方优先享有乙方提供的技术咨询、培训服务和国家规定的“三包”服务等售后服务内容。</w:t>
      </w:r>
    </w:p>
    <w:p>
      <w:pPr>
        <w:ind w:firstLine="248" w:firstLineChars="100"/>
        <w:rPr>
          <w:rFonts w:asciiTheme="minorEastAsia" w:hAnsiTheme="minorEastAsia" w:eastAsiaTheme="minorEastAsia"/>
        </w:rPr>
      </w:pPr>
      <w:r>
        <w:rPr>
          <w:rFonts w:hint="eastAsia" w:asciiTheme="minorEastAsia" w:hAnsiTheme="minorEastAsia" w:eastAsiaTheme="minorEastAsia"/>
        </w:rPr>
        <w:t>（二）乙方的权利和义务</w:t>
      </w:r>
    </w:p>
    <w:p>
      <w:pPr>
        <w:ind w:firstLine="496" w:firstLineChars="200"/>
        <w:rPr>
          <w:rFonts w:asciiTheme="minorEastAsia" w:hAnsiTheme="minorEastAsia" w:eastAsiaTheme="minorEastAsia"/>
        </w:rPr>
      </w:pPr>
      <w:r>
        <w:rPr>
          <w:rFonts w:hint="eastAsia" w:asciiTheme="minorEastAsia" w:hAnsiTheme="minorEastAsia" w:eastAsiaTheme="minorEastAsia"/>
        </w:rPr>
        <w:t xml:space="preserve">1.乙方按照合同约定保证提供达到现行合同约定且符合国家标准、行业标准的全新原厂设备以及服务招投标文件约定的功能与参数。 </w:t>
      </w:r>
    </w:p>
    <w:p>
      <w:pPr>
        <w:ind w:firstLine="496" w:firstLineChars="200"/>
        <w:rPr>
          <w:rFonts w:asciiTheme="minorEastAsia" w:hAnsiTheme="minorEastAsia" w:eastAsiaTheme="minorEastAsia"/>
        </w:rPr>
      </w:pPr>
      <w:r>
        <w:rPr>
          <w:rFonts w:hint="eastAsia" w:asciiTheme="minorEastAsia" w:hAnsiTheme="minorEastAsia" w:eastAsiaTheme="minorEastAsia"/>
        </w:rPr>
        <w:t>2.按时到货安装，并承担招标文件所规定的义务。</w:t>
      </w:r>
    </w:p>
    <w:p>
      <w:pPr>
        <w:ind w:firstLine="496" w:firstLineChars="200"/>
        <w:rPr>
          <w:rFonts w:asciiTheme="minorEastAsia" w:hAnsiTheme="minorEastAsia" w:eastAsiaTheme="minorEastAsia"/>
          <w:bCs/>
        </w:rPr>
      </w:pPr>
      <w:r>
        <w:rPr>
          <w:rFonts w:asciiTheme="minorEastAsia" w:hAnsiTheme="minorEastAsia" w:eastAsiaTheme="minorEastAsia"/>
          <w:bCs/>
        </w:rPr>
        <w:t>3</w:t>
      </w:r>
      <w:r>
        <w:rPr>
          <w:rFonts w:hint="eastAsia" w:asciiTheme="minorEastAsia" w:hAnsiTheme="minorEastAsia" w:eastAsiaTheme="minorEastAsia"/>
          <w:bCs/>
        </w:rPr>
        <w:t>.乙方按照本合同约定在履行系统维护和技术服务的过程中，不允许利用甲方提供的工作条件和相关资料，进行与本项目无关的工作。否则，由此造成的全部损失由乙方承担。如因乙方原因致使甲方遭受经济及法律追诉的，由乙方完全承担。乙方应该向甲方公开数据字典和数据结构，便于甲方灵活调取、统计。</w:t>
      </w:r>
    </w:p>
    <w:p>
      <w:pPr>
        <w:ind w:firstLine="496" w:firstLineChars="20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乙方应保证所提供软件系统和服务或其任何一部分均不会侵犯任何第三方的专利权、商标权或著作权。乙方保证所提供的产品及服务所有权完全属于乙方且无任何抵押、查封等产权瑕疵。如有权利瑕疵的，视为乙方违约。乙方应负担由此而产生的一切损失。</w:t>
      </w:r>
    </w:p>
    <w:p>
      <w:pPr>
        <w:ind w:firstLine="496" w:firstLineChars="200"/>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.乙方负责对甲方的系统数据或因履行本合同获取的一切甲方非公开信息（包括但不限于经营信息、患者信息、技术信息等）进行保密，保证不泄露给任何第三方。</w:t>
      </w:r>
    </w:p>
    <w:p>
      <w:pPr>
        <w:tabs>
          <w:tab w:val="left" w:pos="480"/>
        </w:tabs>
        <w:ind w:firstLine="485" w:firstLineChars="196"/>
        <w:rPr>
          <w:rFonts w:asciiTheme="minorEastAsia" w:hAnsiTheme="minorEastAsia" w:eastAsiaTheme="minorEastAsia"/>
        </w:rPr>
      </w:pPr>
      <w:r>
        <w:rPr>
          <w:rFonts w:hint="eastAsia" w:asciiTheme="minorEastAsia" w:hAnsiTheme="minorEastAsia" w:eastAsiaTheme="minorEastAsia"/>
          <w:b/>
        </w:rPr>
        <w:t>五、交货条件：</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（一）交货地点：甲方指定地点。</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（二）交付期：自合同签订之日起     个日历日，完成货物及系统的运输、安装、调试并正常运行。</w:t>
      </w:r>
    </w:p>
    <w:p>
      <w:pPr>
        <w:tabs>
          <w:tab w:val="left" w:pos="480"/>
        </w:tabs>
        <w:ind w:firstLine="620" w:firstLineChars="250"/>
        <w:rPr>
          <w:rFonts w:asciiTheme="minorEastAsia" w:hAnsiTheme="minorEastAsia" w:eastAsiaTheme="minorEastAsia"/>
        </w:rPr>
      </w:pPr>
      <w:r>
        <w:rPr>
          <w:rFonts w:asciiTheme="minorEastAsia" w:hAnsiTheme="minorEastAsia" w:eastAsiaTheme="minorEastAsia"/>
        </w:rPr>
        <w:t>(三）交付条件：货物产地、规格、型号和数量与合同要求一致，货物</w:t>
      </w:r>
      <w:r>
        <w:rPr>
          <w:rFonts w:hint="eastAsia" w:asciiTheme="minorEastAsia" w:hAnsiTheme="minorEastAsia" w:eastAsiaTheme="minorEastAsia"/>
        </w:rPr>
        <w:t>及系统安装、调试并正常运行后，由乙方进行自检，合格后提供附带市级法定机构出具的计量检定</w:t>
      </w:r>
      <w:r>
        <w:rPr>
          <w:rFonts w:asciiTheme="minorEastAsia" w:hAnsiTheme="minorEastAsia" w:eastAsiaTheme="minorEastAsia"/>
        </w:rPr>
        <w:t>/校准证书方可达到交付条件。</w:t>
      </w:r>
    </w:p>
    <w:p>
      <w:pPr>
        <w:tabs>
          <w:tab w:val="left" w:pos="480"/>
        </w:tabs>
        <w:ind w:firstLine="620" w:firstLineChars="250"/>
        <w:rPr>
          <w:rFonts w:asciiTheme="minorEastAsia" w:hAnsiTheme="minorEastAsia" w:eastAsiaTheme="minorEastAsia"/>
        </w:rPr>
      </w:pPr>
      <w:r>
        <w:rPr>
          <w:rFonts w:hint="eastAsia" w:asciiTheme="minorEastAsia" w:hAnsiTheme="minorEastAsia" w:eastAsiaTheme="minorEastAsia"/>
        </w:rPr>
        <w:t>（四）乙方须保证合同货物采用原厂正品，合同商品须为全新的</w:t>
      </w:r>
      <w:r>
        <w:rPr>
          <w:rFonts w:asciiTheme="minorEastAsia" w:hAnsiTheme="minorEastAsia" w:eastAsiaTheme="minorEastAsia"/>
        </w:rPr>
        <w:t>(包括零部件)、未使用过的，并在各方面均符合招标技术文件中所规定的质量标准、技术参数要求及规格和数量，如有问题，必需更换、补充。更换、补充等处理及相应的费用均由</w:t>
      </w:r>
      <w:r>
        <w:rPr>
          <w:rFonts w:hint="eastAsia" w:asciiTheme="minorEastAsia" w:hAnsiTheme="minorEastAsia" w:eastAsiaTheme="minorEastAsia"/>
        </w:rPr>
        <w:t>乙方自行负担。</w:t>
      </w:r>
    </w:p>
    <w:p>
      <w:pPr>
        <w:tabs>
          <w:tab w:val="left" w:pos="480"/>
        </w:tabs>
        <w:ind w:firstLine="620" w:firstLineChars="250"/>
        <w:rPr>
          <w:rFonts w:asciiTheme="minorEastAsia" w:hAnsiTheme="minorEastAsia" w:eastAsiaTheme="minorEastAsia"/>
        </w:rPr>
      </w:pPr>
      <w:r>
        <w:rPr>
          <w:rFonts w:hint="eastAsia" w:asciiTheme="minorEastAsia" w:hAnsiTheme="minorEastAsia" w:eastAsiaTheme="minorEastAsia"/>
        </w:rPr>
        <w:t>（五）除合同另有规定外，乙方提供的全部货物均应按标准保护措施进行包装。该包装应适应于远距离运输、防潮、防震、防锈和防野蛮装卸，以确保货物安全无损运抵指定地点。由于包装不善所引起的货物损失均由投标人承担。</w:t>
      </w:r>
    </w:p>
    <w:p>
      <w:pPr>
        <w:tabs>
          <w:tab w:val="left" w:pos="480"/>
        </w:tabs>
        <w:ind w:firstLine="496" w:firstLineChars="200"/>
        <w:rPr>
          <w:rFonts w:asciiTheme="minorEastAsia" w:hAnsiTheme="minorEastAsia" w:eastAsiaTheme="minorEastAsia"/>
          <w:b/>
        </w:rPr>
      </w:pPr>
      <w:r>
        <w:rPr>
          <w:rFonts w:hint="eastAsia" w:asciiTheme="minorEastAsia" w:hAnsiTheme="minorEastAsia" w:eastAsiaTheme="minorEastAsia"/>
        </w:rPr>
        <w:t>（六）每一包装单元内应附详细的装箱单和质量合格凭证</w:t>
      </w:r>
      <w:r>
        <w:rPr>
          <w:rFonts w:asciiTheme="minorEastAsia" w:hAnsiTheme="minorEastAsia" w:eastAsiaTheme="minorEastAsia"/>
        </w:rPr>
        <w:t>,到货前不允许有开箱拆机现象及更换内部配件。</w:t>
      </w:r>
      <w:r>
        <w:rPr>
          <w:rFonts w:hint="eastAsia" w:asciiTheme="minorEastAsia" w:hAnsiTheme="minorEastAsia" w:eastAsiaTheme="minorEastAsia"/>
          <w:b/>
        </w:rPr>
        <w:t>六、运输</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（一）运输由乙方负责，运杂费已包含在合同总价内，包括从货物供应地点所含的运输费、装卸费、仓储费、保险费等。</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（二）运输方式由乙方自行选择，但必须保证按期交货。</w:t>
      </w:r>
    </w:p>
    <w:p>
      <w:pPr>
        <w:tabs>
          <w:tab w:val="left" w:pos="480"/>
        </w:tabs>
        <w:ind w:firstLine="485" w:firstLineChars="196"/>
        <w:rPr>
          <w:rFonts w:asciiTheme="minorEastAsia" w:hAnsiTheme="minorEastAsia" w:eastAsiaTheme="minorEastAsia"/>
          <w:bCs/>
        </w:rPr>
      </w:pPr>
      <w:r>
        <w:rPr>
          <w:rFonts w:hint="eastAsia" w:asciiTheme="minorEastAsia" w:hAnsiTheme="minorEastAsia" w:eastAsiaTheme="minorEastAsia"/>
          <w:bCs/>
        </w:rPr>
        <w:t>（三）货物及系统验收合格前，货物毁损、灭失的风险由乙方承担。</w:t>
      </w:r>
    </w:p>
    <w:p>
      <w:pPr>
        <w:tabs>
          <w:tab w:val="left" w:pos="480"/>
        </w:tabs>
        <w:ind w:firstLine="485" w:firstLineChars="196"/>
        <w:rPr>
          <w:rFonts w:asciiTheme="minorEastAsia" w:hAnsiTheme="minorEastAsia" w:eastAsiaTheme="minorEastAsia"/>
          <w:b/>
        </w:rPr>
      </w:pPr>
      <w:r>
        <w:rPr>
          <w:rFonts w:hint="eastAsia" w:asciiTheme="minorEastAsia" w:hAnsiTheme="minorEastAsia" w:eastAsiaTheme="minorEastAsia"/>
          <w:b/>
        </w:rPr>
        <w:t>七、安装与调试</w:t>
      </w:r>
    </w:p>
    <w:p>
      <w:pPr>
        <w:tabs>
          <w:tab w:val="left" w:pos="480"/>
        </w:tabs>
        <w:ind w:firstLine="485" w:firstLineChars="196"/>
        <w:rPr>
          <w:rFonts w:asciiTheme="minorEastAsia" w:hAnsiTheme="minorEastAsia" w:eastAsiaTheme="minorEastAsia"/>
          <w:bCs/>
        </w:rPr>
      </w:pPr>
      <w:r>
        <w:rPr>
          <w:rFonts w:hint="eastAsia" w:asciiTheme="minorEastAsia" w:hAnsiTheme="minorEastAsia" w:eastAsiaTheme="minorEastAsia"/>
          <w:bCs/>
        </w:rPr>
        <w:t>（一）自设备安装工作开始，乙方应与甲方指定的工作人员一起参与系统的安装、调测及解决遇到的各种问题。</w:t>
      </w:r>
    </w:p>
    <w:p>
      <w:pPr>
        <w:tabs>
          <w:tab w:val="left" w:pos="480"/>
        </w:tabs>
        <w:ind w:firstLine="485" w:firstLineChars="196"/>
        <w:rPr>
          <w:rFonts w:asciiTheme="minorEastAsia" w:hAnsiTheme="minorEastAsia" w:eastAsiaTheme="minorEastAsia"/>
          <w:bCs/>
        </w:rPr>
      </w:pPr>
      <w:r>
        <w:rPr>
          <w:rFonts w:hint="eastAsia" w:asciiTheme="minorEastAsia" w:hAnsiTheme="minorEastAsia" w:eastAsiaTheme="minorEastAsia"/>
          <w:bCs/>
        </w:rPr>
        <w:t>（二）乙方安装的系统应能正常运转，并与其它相关设备(系统)正确连接，必须符合技术要求，所有软件能够在相应平台上正常运行、各种操作功能 要完全实现，系统测试结果与招标文件的要求要吻合，并得到甲方书面认可方可视为本采购项目结束。</w:t>
      </w:r>
    </w:p>
    <w:p>
      <w:pPr>
        <w:tabs>
          <w:tab w:val="left" w:pos="480"/>
        </w:tabs>
        <w:ind w:firstLine="485" w:firstLineChars="196"/>
        <w:rPr>
          <w:rFonts w:asciiTheme="minorEastAsia" w:hAnsiTheme="minorEastAsia" w:eastAsiaTheme="minorEastAsia"/>
          <w:bCs/>
        </w:rPr>
      </w:pPr>
      <w:r>
        <w:rPr>
          <w:rFonts w:hint="eastAsia" w:asciiTheme="minorEastAsia" w:hAnsiTheme="minorEastAsia" w:eastAsiaTheme="minorEastAsia"/>
          <w:bCs/>
        </w:rPr>
        <w:t>（三）在设备安装调试期间，如果设备出现不正常情况（如设备损坏、故障、达不到技术规范或设备说明书的指标），乙方应无条件并免费在不延误工期的情况下从速替换。</w:t>
      </w:r>
    </w:p>
    <w:p>
      <w:pPr>
        <w:tabs>
          <w:tab w:val="left" w:pos="480"/>
        </w:tabs>
        <w:ind w:firstLine="485" w:firstLineChars="196"/>
        <w:rPr>
          <w:rFonts w:asciiTheme="minorEastAsia" w:hAnsiTheme="minorEastAsia" w:eastAsiaTheme="minorEastAsia"/>
          <w:bCs/>
        </w:rPr>
      </w:pPr>
      <w:r>
        <w:rPr>
          <w:rFonts w:hint="eastAsia" w:asciiTheme="minorEastAsia" w:hAnsiTheme="minorEastAsia" w:eastAsiaTheme="minorEastAsia"/>
          <w:bCs/>
        </w:rPr>
        <w:t>（四）乙方应遵守国家相关施工建设要求和甲方的各项规章制度，严格按照工作规范组织进行运维工作，制定切实可行的措施保障人员安全，设备安全，生产安全。若因本项目履行造成甲方、乙方、甲乙双方工作人员及任意第三方人身损害或财产损失的，均由乙方承担全部责任，与甲方无关。</w:t>
      </w:r>
    </w:p>
    <w:p>
      <w:pPr>
        <w:tabs>
          <w:tab w:val="left" w:pos="480"/>
        </w:tabs>
        <w:ind w:firstLine="485" w:firstLineChars="196"/>
        <w:rPr>
          <w:rFonts w:asciiTheme="minorEastAsia" w:hAnsiTheme="minorEastAsia" w:eastAsiaTheme="minorEastAsia"/>
          <w:b/>
        </w:rPr>
      </w:pPr>
      <w:r>
        <w:rPr>
          <w:rFonts w:hint="eastAsia" w:asciiTheme="minorEastAsia" w:hAnsiTheme="minorEastAsia" w:eastAsiaTheme="minorEastAsia"/>
          <w:b/>
        </w:rPr>
        <w:t>八、质量保证</w:t>
      </w:r>
    </w:p>
    <w:p>
      <w:pPr>
        <w:tabs>
          <w:tab w:val="left" w:pos="480"/>
        </w:tabs>
        <w:ind w:firstLine="485" w:firstLineChars="196"/>
        <w:rPr>
          <w:rFonts w:asciiTheme="minorEastAsia" w:hAnsiTheme="minorEastAsia" w:eastAsiaTheme="minorEastAsia"/>
        </w:rPr>
      </w:pPr>
      <w:r>
        <w:rPr>
          <w:rFonts w:hint="eastAsia" w:asciiTheme="minorEastAsia" w:hAnsiTheme="minorEastAsia" w:eastAsiaTheme="minorEastAsia"/>
        </w:rPr>
        <w:t>乙方所供货物及系统必须执行下列条款：</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（一）保证技术指标先进、质量性能可靠、进货渠道正常，配置合理，全面满足招标要求。</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（二）符合国家有关规范要求，确保达到最佳运行状态。</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（三）具有良好的外观，适合安装场所的使用。</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（四）自安装、调试正常运行并验收合格之日起：</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1、免费保修</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 xml:space="preserve"> 年，终身维护，免费保修期内，同一主要部件出现质量问题经过两次维修后仍无法正常使用，可以更换同型号、同规格的全新产品，服务响应时间不超过24小时（工作日），解决问题不超过24小时（工作日），对问题一周内暂不能解决的，为不影响甲方正常工作，乙方在2日内免费提供替代产品，确保正常运行；</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7</w:t>
      </w:r>
      <w:r>
        <w:rPr>
          <w:rFonts w:hint="eastAsia" w:asciiTheme="minorEastAsia" w:hAnsiTheme="minorEastAsia" w:eastAsiaTheme="minorEastAsia"/>
        </w:rPr>
        <w:t>天内，如出现质量问题，可以选择换货或退货</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3、8至15天内，如出现质量问题，可选择换货。</w:t>
      </w:r>
    </w:p>
    <w:p>
      <w:pPr>
        <w:ind w:firstLine="496" w:firstLineChars="200"/>
        <w:rPr>
          <w:rFonts w:asciiTheme="minorEastAsia" w:hAnsiTheme="minorEastAsia" w:eastAsiaTheme="minorEastAsia"/>
          <w:bCs/>
        </w:rPr>
      </w:pPr>
      <w:r>
        <w:rPr>
          <w:rFonts w:hint="eastAsia" w:asciiTheme="minorEastAsia" w:hAnsiTheme="minorEastAsia" w:eastAsiaTheme="minorEastAsia"/>
          <w:bCs/>
        </w:rPr>
        <w:t>（五）乙方保证其提供设备和系统后期可与甲方各类信息化网络系统免费无缝链接。乙方在设备安装调试完成后协助甲方完成设备之间信息化系统的连接和建立，承诺在甲方使用产品期间免费对该产品进行系统升级和维护。</w:t>
      </w:r>
    </w:p>
    <w:p>
      <w:pPr>
        <w:ind w:firstLine="496" w:firstLineChars="200"/>
        <w:rPr>
          <w:rFonts w:asciiTheme="minorEastAsia" w:hAnsiTheme="minorEastAsia" w:eastAsiaTheme="minorEastAsia"/>
          <w:b/>
        </w:rPr>
      </w:pPr>
      <w:r>
        <w:rPr>
          <w:rFonts w:hint="eastAsia" w:asciiTheme="minorEastAsia" w:hAnsiTheme="minorEastAsia" w:eastAsiaTheme="minorEastAsia"/>
          <w:b/>
        </w:rPr>
        <w:t>九、售后及运维服务</w:t>
      </w:r>
    </w:p>
    <w:p>
      <w:pPr>
        <w:ind w:firstLine="496" w:firstLineChars="200"/>
        <w:rPr>
          <w:rFonts w:asciiTheme="minorEastAsia" w:hAnsiTheme="minorEastAsia" w:eastAsiaTheme="minorEastAsia"/>
          <w:b/>
        </w:rPr>
      </w:pPr>
      <w:r>
        <w:rPr>
          <w:rFonts w:hint="eastAsia" w:asciiTheme="minorEastAsia" w:hAnsiTheme="minorEastAsia" w:eastAsiaTheme="minorEastAsia"/>
        </w:rPr>
        <w:t>乙方所供货物提供以下售后服务：</w:t>
      </w:r>
    </w:p>
    <w:p>
      <w:pPr>
        <w:ind w:firstLine="496" w:firstLineChars="200"/>
        <w:rPr>
          <w:rFonts w:asciiTheme="minorEastAsia" w:hAnsiTheme="minorEastAsia" w:eastAsiaTheme="minorEastAsia"/>
        </w:rPr>
      </w:pPr>
      <w:r>
        <w:rPr>
          <w:rFonts w:hint="eastAsia" w:asciiTheme="minorEastAsia" w:hAnsiTheme="minorEastAsia" w:eastAsiaTheme="minorEastAsia"/>
        </w:rPr>
        <w:t>（一）质保期内：</w:t>
      </w:r>
    </w:p>
    <w:p>
      <w:pPr>
        <w:ind w:firstLine="496" w:firstLineChars="200"/>
        <w:rPr>
          <w:rFonts w:asciiTheme="minorEastAsia" w:hAnsiTheme="minorEastAsia" w:eastAsiaTheme="minorEastAsia"/>
        </w:rPr>
      </w:pPr>
      <w:r>
        <w:rPr>
          <w:rFonts w:hint="eastAsia" w:asciiTheme="minorEastAsia" w:hAnsiTheme="minorEastAsia" w:eastAsiaTheme="minorEastAsia"/>
        </w:rPr>
        <w:t>1、发生质量问题，接到甲方通知后，应于当日派出专业的维修人员到现场进行检测维修，发生的全部费用由乙方承担，若需送回生产厂，乙方承担往返费用；</w:t>
      </w:r>
    </w:p>
    <w:p>
      <w:pPr>
        <w:ind w:firstLine="496" w:firstLineChars="200"/>
        <w:rPr>
          <w:rFonts w:asciiTheme="minorEastAsia" w:hAnsiTheme="minorEastAsia" w:eastAsiaTheme="minorEastAsia"/>
        </w:rPr>
      </w:pPr>
      <w:r>
        <w:rPr>
          <w:rFonts w:hint="eastAsia" w:asciiTheme="minorEastAsia" w:hAnsiTheme="minorEastAsia" w:eastAsiaTheme="minorEastAsia"/>
        </w:rPr>
        <w:t>2、定期派技术人员到现场走访，给予检查维护，每年对设备提供一次免费校准服务并提供校准报告，提供设备系统免费升级服务；</w:t>
      </w:r>
    </w:p>
    <w:p>
      <w:pPr>
        <w:tabs>
          <w:tab w:val="left" w:pos="480"/>
        </w:tabs>
        <w:snapToGrid w:val="0"/>
        <w:ind w:firstLine="497"/>
        <w:rPr>
          <w:rFonts w:cs="仿宋" w:asciiTheme="minorEastAsia" w:hAnsiTheme="minorEastAsia" w:eastAsiaTheme="minorEastAsia"/>
        </w:rPr>
      </w:pPr>
      <w:r>
        <w:rPr>
          <w:rFonts w:hint="eastAsia" w:asciiTheme="minorEastAsia" w:hAnsiTheme="minorEastAsia" w:eastAsiaTheme="minorEastAsia"/>
        </w:rPr>
        <w:t>3、排除故障的期限不得超过24小时（工作日）。否则甲方有权指定第三方维修，维修费用由乙方承担或从未付合同款项中扣除，未付合同款不足的部分，由乙方另行支付</w:t>
      </w:r>
      <w:r>
        <w:rPr>
          <w:rFonts w:hint="eastAsia" w:cs="仿宋" w:asciiTheme="minorEastAsia" w:hAnsiTheme="minorEastAsia" w:eastAsiaTheme="minorEastAsia"/>
        </w:rPr>
        <w:t>。</w:t>
      </w:r>
    </w:p>
    <w:p>
      <w:pPr>
        <w:tabs>
          <w:tab w:val="left" w:pos="480"/>
        </w:tabs>
        <w:snapToGrid w:val="0"/>
        <w:ind w:firstLine="497"/>
        <w:rPr>
          <w:rFonts w:cs="仿宋" w:asciiTheme="minorEastAsia" w:hAnsiTheme="minorEastAsia" w:eastAsiaTheme="minorEastAsia"/>
        </w:rPr>
      </w:pPr>
      <w:r>
        <w:rPr>
          <w:rFonts w:cs="仿宋" w:asciiTheme="minorEastAsia" w:hAnsiTheme="minorEastAsia" w:eastAsiaTheme="minorEastAsia"/>
        </w:rPr>
        <w:t>4</w:t>
      </w:r>
      <w:r>
        <w:rPr>
          <w:rFonts w:hint="eastAsia" w:cs="仿宋" w:asciiTheme="minorEastAsia" w:hAnsiTheme="minorEastAsia" w:eastAsiaTheme="minorEastAsia"/>
        </w:rPr>
        <w:t>、运维服务要求</w:t>
      </w:r>
    </w:p>
    <w:p>
      <w:pPr>
        <w:tabs>
          <w:tab w:val="left" w:pos="480"/>
        </w:tabs>
        <w:snapToGrid w:val="0"/>
        <w:ind w:firstLine="496" w:firstLineChars="200"/>
        <w:rPr>
          <w:rFonts w:cs="仿宋" w:asciiTheme="minorEastAsia" w:hAnsiTheme="minorEastAsia" w:eastAsiaTheme="minorEastAsia"/>
        </w:rPr>
      </w:pPr>
      <w:r>
        <w:rPr>
          <w:rFonts w:cs="仿宋" w:asciiTheme="minorEastAsia" w:hAnsiTheme="minorEastAsia" w:eastAsiaTheme="minorEastAsia"/>
        </w:rPr>
        <w:t>1）运维服务基本要求</w:t>
      </w:r>
    </w:p>
    <w:p>
      <w:pPr>
        <w:tabs>
          <w:tab w:val="left" w:pos="480"/>
        </w:tabs>
        <w:snapToGrid w:val="0"/>
        <w:ind w:firstLine="496" w:firstLineChars="200"/>
        <w:rPr>
          <w:rFonts w:cs="仿宋" w:asciiTheme="minorEastAsia" w:hAnsiTheme="minorEastAsia" w:eastAsiaTheme="minorEastAsia"/>
        </w:rPr>
      </w:pPr>
      <w:r>
        <w:rPr>
          <w:rFonts w:hint="eastAsia" w:cs="仿宋" w:asciiTheme="minorEastAsia" w:hAnsiTheme="minorEastAsia" w:eastAsiaTheme="minorEastAsia"/>
        </w:rPr>
        <w:t>乙方应有良好的服务理念和完善的运维服务体系，能够提供本地技术服务</w:t>
      </w:r>
      <w:r>
        <w:rPr>
          <w:rFonts w:cs="仿宋" w:asciiTheme="minorEastAsia" w:hAnsiTheme="minorEastAsia" w:eastAsiaTheme="minorEastAsia"/>
        </w:rPr>
        <w:t>,以便实施运维人员及时解决采购人软件运行中出现的问题和</w:t>
      </w:r>
      <w:r>
        <w:rPr>
          <w:rFonts w:hint="eastAsia" w:cs="仿宋" w:asciiTheme="minorEastAsia" w:hAnsiTheme="minorEastAsia" w:eastAsiaTheme="minorEastAsia"/>
        </w:rPr>
        <w:t>甲方业务发展中的新需求。</w:t>
      </w:r>
    </w:p>
    <w:p>
      <w:pPr>
        <w:tabs>
          <w:tab w:val="left" w:pos="480"/>
        </w:tabs>
        <w:snapToGrid w:val="0"/>
        <w:ind w:firstLine="496" w:firstLineChars="200"/>
        <w:rPr>
          <w:rFonts w:cs="仿宋" w:asciiTheme="minorEastAsia" w:hAnsiTheme="minorEastAsia" w:eastAsiaTheme="minorEastAsia"/>
        </w:rPr>
      </w:pPr>
      <w:r>
        <w:rPr>
          <w:rFonts w:hint="eastAsia" w:cs="仿宋" w:asciiTheme="minorEastAsia" w:hAnsiTheme="minorEastAsia" w:eastAsiaTheme="minorEastAsia"/>
        </w:rPr>
        <w:t>针对本次招标信息系统内容，面向甲方所有院区提供</w:t>
      </w:r>
      <w:r>
        <w:rPr>
          <w:rFonts w:cs="仿宋" w:asciiTheme="minorEastAsia" w:hAnsiTheme="minorEastAsia" w:eastAsiaTheme="minorEastAsia"/>
        </w:rPr>
        <w:t xml:space="preserve"> 7×24小时驻场保障服务，包括：各类使用问题进行及时排查处理；对</w:t>
      </w:r>
      <w:r>
        <w:rPr>
          <w:rFonts w:hint="eastAsia" w:cs="仿宋" w:asciiTheme="minorEastAsia" w:hAnsiTheme="minorEastAsia" w:eastAsiaTheme="minorEastAsia"/>
        </w:rPr>
        <w:t>甲方单位各科室工作人员进行应用系统使用操作指导；信息系统使用过程中的问题受理、事务处理、故障排除；信息系统的流程改造；新增需求，新增内部、外部接口等。通过定期巡检和排查工作，对维护性问题及时处理，对涉及系统</w:t>
      </w:r>
      <w:r>
        <w:rPr>
          <w:rFonts w:cs="仿宋" w:asciiTheme="minorEastAsia" w:hAnsiTheme="minorEastAsia" w:eastAsiaTheme="minorEastAsia"/>
        </w:rPr>
        <w:t xml:space="preserve"> BUG </w:t>
      </w:r>
      <w:r>
        <w:rPr>
          <w:rFonts w:hint="eastAsia" w:cs="仿宋" w:asciiTheme="minorEastAsia" w:hAnsiTheme="minorEastAsia" w:eastAsiaTheme="minorEastAsia"/>
        </w:rPr>
        <w:t>问题进行处理，做到尽早发现问题、尽快消除安全隐患、提前预防重大事故发生，从而保障甲方信息系统安全稳定运行。定期到各院区各科室走访，了解实际使用中的问题，提出合理的流程优化及改进建议。</w:t>
      </w:r>
    </w:p>
    <w:p>
      <w:pPr>
        <w:tabs>
          <w:tab w:val="left" w:pos="480"/>
        </w:tabs>
        <w:snapToGrid w:val="0"/>
        <w:ind w:firstLine="496" w:firstLineChars="200"/>
        <w:rPr>
          <w:rFonts w:cs="仿宋" w:asciiTheme="minorEastAsia" w:hAnsiTheme="minorEastAsia" w:eastAsiaTheme="minorEastAsia"/>
        </w:rPr>
      </w:pPr>
      <w:r>
        <w:rPr>
          <w:rFonts w:hint="eastAsia" w:cs="仿宋" w:asciiTheme="minorEastAsia" w:hAnsiTheme="minorEastAsia" w:eastAsiaTheme="minorEastAsia"/>
        </w:rPr>
        <w:t>乙方及其运维人员，不得随意查看、复制、泄露采购人的医疗、管理、系统及应用等各种信息，如有违约，采购人持有追究其法律责任的权利。</w:t>
      </w:r>
    </w:p>
    <w:p>
      <w:pPr>
        <w:tabs>
          <w:tab w:val="left" w:pos="480"/>
        </w:tabs>
        <w:snapToGrid w:val="0"/>
        <w:ind w:firstLine="496" w:firstLineChars="200"/>
        <w:rPr>
          <w:rFonts w:cs="仿宋" w:asciiTheme="minorEastAsia" w:hAnsiTheme="minorEastAsia" w:eastAsiaTheme="minorEastAsia"/>
        </w:rPr>
      </w:pPr>
      <w:r>
        <w:rPr>
          <w:rFonts w:cs="仿宋" w:asciiTheme="minorEastAsia" w:hAnsiTheme="minorEastAsia" w:eastAsiaTheme="minorEastAsia"/>
        </w:rPr>
        <w:t>2）服务响应时间要求</w:t>
      </w:r>
    </w:p>
    <w:p>
      <w:pPr>
        <w:tabs>
          <w:tab w:val="left" w:pos="480"/>
        </w:tabs>
        <w:snapToGrid w:val="0"/>
        <w:ind w:firstLine="496" w:firstLineChars="200"/>
        <w:rPr>
          <w:rFonts w:cs="仿宋" w:asciiTheme="minorEastAsia" w:hAnsiTheme="minorEastAsia" w:eastAsiaTheme="minorEastAsia"/>
        </w:rPr>
      </w:pPr>
      <w:r>
        <w:rPr>
          <w:rFonts w:hint="eastAsia" w:cs="仿宋" w:asciiTheme="minorEastAsia" w:hAnsiTheme="minorEastAsia" w:eastAsiaTheme="minorEastAsia"/>
        </w:rPr>
        <w:t>按照对甲方实际工作的影响程度，针对日常运维、程序</w:t>
      </w:r>
      <w:r>
        <w:rPr>
          <w:rFonts w:cs="仿宋" w:asciiTheme="minorEastAsia" w:hAnsiTheme="minorEastAsia" w:eastAsiaTheme="minorEastAsia"/>
        </w:rPr>
        <w:t xml:space="preserve"> BUG修复、接口对接、二次开发四个方面，满足以下要求：</w:t>
      </w:r>
    </w:p>
    <w:p>
      <w:pPr>
        <w:tabs>
          <w:tab w:val="left" w:pos="480"/>
        </w:tabs>
        <w:snapToGrid w:val="0"/>
        <w:ind w:firstLine="496" w:firstLineChars="200"/>
        <w:rPr>
          <w:rFonts w:cs="仿宋" w:asciiTheme="minorEastAsia" w:hAnsiTheme="minorEastAsia" w:eastAsiaTheme="minorEastAsia"/>
        </w:rPr>
      </w:pPr>
      <w:r>
        <w:rPr>
          <w:rFonts w:hint="eastAsia" w:cs="仿宋" w:asciiTheme="minorEastAsia" w:hAnsiTheme="minorEastAsia" w:eastAsiaTheme="minorEastAsia"/>
        </w:rPr>
        <w:t>日常运维，定期到临床科室巡检，搜集临床使用过程中的相关问题，在接到系统使用中的简单问题时，响应要求并保障稳定的人力资源持续提供</w:t>
      </w:r>
      <w:r>
        <w:rPr>
          <w:rFonts w:cs="仿宋" w:asciiTheme="minorEastAsia" w:hAnsiTheme="minorEastAsia" w:eastAsiaTheme="minorEastAsia"/>
        </w:rPr>
        <w:t xml:space="preserve"> 7×24 </w:t>
      </w:r>
      <w:r>
        <w:rPr>
          <w:rFonts w:hint="eastAsia" w:cs="仿宋" w:asciiTheme="minorEastAsia" w:hAnsiTheme="minorEastAsia" w:eastAsiaTheme="minorEastAsia"/>
        </w:rPr>
        <w:t>小时电话受理和现场服务工作。</w:t>
      </w:r>
    </w:p>
    <w:p>
      <w:pPr>
        <w:tabs>
          <w:tab w:val="left" w:pos="480"/>
        </w:tabs>
        <w:snapToGrid w:val="0"/>
        <w:ind w:firstLine="496" w:firstLineChars="200"/>
        <w:rPr>
          <w:rFonts w:cs="仿宋" w:asciiTheme="minorEastAsia" w:hAnsiTheme="minorEastAsia" w:eastAsiaTheme="minorEastAsia"/>
        </w:rPr>
      </w:pPr>
      <w:r>
        <w:rPr>
          <w:rFonts w:hint="eastAsia" w:cs="仿宋" w:asciiTheme="minorEastAsia" w:hAnsiTheme="minorEastAsia" w:eastAsiaTheme="minorEastAsia"/>
        </w:rPr>
        <w:t>程序</w:t>
      </w:r>
      <w:r>
        <w:rPr>
          <w:rFonts w:cs="仿宋" w:asciiTheme="minorEastAsia" w:hAnsiTheme="minorEastAsia" w:eastAsiaTheme="minorEastAsia"/>
        </w:rPr>
        <w:t xml:space="preserve"> BUG </w:t>
      </w:r>
      <w:r>
        <w:rPr>
          <w:rFonts w:hint="eastAsia" w:cs="仿宋" w:asciiTheme="minorEastAsia" w:hAnsiTheme="minorEastAsia" w:eastAsiaTheme="minorEastAsia"/>
        </w:rPr>
        <w:t>修复，在巡检过程中主动发现或接到甲方反映，确认是程序</w:t>
      </w:r>
      <w:r>
        <w:rPr>
          <w:rFonts w:cs="仿宋" w:asciiTheme="minorEastAsia" w:hAnsiTheme="minorEastAsia" w:eastAsiaTheme="minorEastAsia"/>
        </w:rPr>
        <w:t xml:space="preserve"> BUG </w:t>
      </w:r>
      <w:r>
        <w:rPr>
          <w:rFonts w:hint="eastAsia" w:cs="仿宋" w:asciiTheme="minorEastAsia" w:hAnsiTheme="minorEastAsia" w:eastAsiaTheme="minorEastAsia"/>
        </w:rPr>
        <w:t>的，</w:t>
      </w:r>
      <w:r>
        <w:rPr>
          <w:rFonts w:cs="仿宋" w:asciiTheme="minorEastAsia" w:hAnsiTheme="minorEastAsia" w:eastAsiaTheme="minorEastAsia"/>
        </w:rPr>
        <w:t xml:space="preserve">24 </w:t>
      </w:r>
      <w:r>
        <w:rPr>
          <w:rFonts w:hint="eastAsia" w:cs="仿宋" w:asciiTheme="minorEastAsia" w:hAnsiTheme="minorEastAsia" w:eastAsiaTheme="minorEastAsia"/>
        </w:rPr>
        <w:t>小时内处理完毕；</w:t>
      </w:r>
    </w:p>
    <w:p>
      <w:pPr>
        <w:tabs>
          <w:tab w:val="left" w:pos="480"/>
        </w:tabs>
        <w:snapToGrid w:val="0"/>
        <w:ind w:firstLine="496" w:firstLineChars="200"/>
        <w:rPr>
          <w:rFonts w:cs="仿宋" w:asciiTheme="minorEastAsia" w:hAnsiTheme="minorEastAsia" w:eastAsiaTheme="minorEastAsia"/>
        </w:rPr>
      </w:pPr>
      <w:r>
        <w:rPr>
          <w:rFonts w:hint="eastAsia" w:cs="仿宋" w:asciiTheme="minorEastAsia" w:hAnsiTheme="minorEastAsia" w:eastAsiaTheme="minorEastAsia"/>
        </w:rPr>
        <w:t>接口对接，对于上级各主管部门政策性要求必须对接的，要在政策规定的时间内完成对接要求；对于院内系统需要对接的，须与甲方充分沟通后，在双方认可的合理时间内，必须完成对接要求。</w:t>
      </w:r>
    </w:p>
    <w:p>
      <w:pPr>
        <w:tabs>
          <w:tab w:val="left" w:pos="480"/>
        </w:tabs>
        <w:snapToGrid w:val="0"/>
        <w:ind w:firstLine="496" w:firstLineChars="200"/>
        <w:rPr>
          <w:rFonts w:cs="仿宋" w:asciiTheme="minorEastAsia" w:hAnsiTheme="minorEastAsia" w:eastAsiaTheme="minorEastAsia"/>
        </w:rPr>
      </w:pPr>
      <w:r>
        <w:rPr>
          <w:rFonts w:hint="eastAsia" w:cs="仿宋" w:asciiTheme="minorEastAsia" w:hAnsiTheme="minorEastAsia" w:eastAsiaTheme="minorEastAsia"/>
        </w:rPr>
        <w:t>本地化修改方面，上级部门要求必须更改时，在上级部门要求的时间内必须更改完成；或者随着业务的不断深入，在甲方认为系统必须做出相应改动以适应新的业务要求时，乙方须与甲方充分沟通，在双方认可的合理时间内，必须完成开发要求。</w:t>
      </w:r>
    </w:p>
    <w:p>
      <w:pPr>
        <w:ind w:firstLine="496" w:firstLineChars="200"/>
        <w:rPr>
          <w:rFonts w:asciiTheme="minorEastAsia" w:hAnsiTheme="minorEastAsia" w:eastAsiaTheme="minorEastAsia"/>
        </w:rPr>
      </w:pPr>
      <w:r>
        <w:rPr>
          <w:rFonts w:hint="eastAsia" w:asciiTheme="minorEastAsia" w:hAnsiTheme="minorEastAsia" w:eastAsiaTheme="minorEastAsia"/>
        </w:rPr>
        <w:t xml:space="preserve">（二）质保期满后：乙方负责承担维修服务，甲方负责承担相关费用。 </w:t>
      </w:r>
    </w:p>
    <w:p>
      <w:pPr>
        <w:tabs>
          <w:tab w:val="left" w:pos="480"/>
        </w:tabs>
        <w:ind w:firstLine="485" w:firstLineChars="196"/>
        <w:rPr>
          <w:rFonts w:asciiTheme="minorEastAsia" w:hAnsiTheme="minorEastAsia" w:eastAsiaTheme="minorEastAsia"/>
          <w:b/>
        </w:rPr>
      </w:pPr>
      <w:r>
        <w:rPr>
          <w:rFonts w:hint="eastAsia" w:asciiTheme="minorEastAsia" w:hAnsiTheme="minorEastAsia" w:eastAsiaTheme="minorEastAsia"/>
          <w:b/>
        </w:rPr>
        <w:t>十、技术与服务</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（一）技术资料：</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1、货物合格证；</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2、货物使用说明书（中文）；</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3、进口货物商检证明和报关单；</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4、检验测试报告；</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5、其它资料。</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（二）服务承诺：以澄清表、合同和随货物的相关文件为准。</w:t>
      </w:r>
    </w:p>
    <w:p>
      <w:pPr>
        <w:tabs>
          <w:tab w:val="left" w:pos="480"/>
        </w:tabs>
        <w:ind w:firstLine="485" w:firstLineChars="196"/>
        <w:rPr>
          <w:rFonts w:asciiTheme="minorEastAsia" w:hAnsiTheme="minorEastAsia" w:eastAsiaTheme="minorEastAsia"/>
          <w:b/>
        </w:rPr>
      </w:pPr>
      <w:r>
        <w:rPr>
          <w:rFonts w:hint="eastAsia" w:asciiTheme="minorEastAsia" w:hAnsiTheme="minorEastAsia" w:eastAsiaTheme="minorEastAsia"/>
          <w:b/>
        </w:rPr>
        <w:t>十一、验收</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（一）货物到达甲方指定地点后，由甲乙双方共同验收。验收合格后，填写</w:t>
      </w:r>
      <w:r>
        <w:rPr>
          <w:rFonts w:hint="eastAsia" w:asciiTheme="minorEastAsia" w:hAnsiTheme="minorEastAsia" w:eastAsiaTheme="minorEastAsia"/>
          <w:bCs/>
        </w:rPr>
        <w:t>西安市中心医院设备验收单（一式六份并注明合同编号）</w:t>
      </w:r>
      <w:r>
        <w:rPr>
          <w:rFonts w:hint="eastAsia" w:asciiTheme="minorEastAsia" w:hAnsiTheme="minorEastAsia" w:eastAsiaTheme="minorEastAsia"/>
        </w:rPr>
        <w:t>作为对货物的最终认可。</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（二）乙方向甲方提交货物实施过程中的所有资料,以便甲方日后管理和维护。</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三）系统安装调试完成后，经乙方自检，具备交付条件，给甲方提交验收申请，甲方委派专人监督和试用。在设备试运行期间，如果发现任何设备系统的功能和性能不符合本项目招标文件或投标文件的要求，或由于设备故障的发生导致设备停止运行，乙方应承诺在24小时内做出响应并及时修复或更换，所有费用亦由乙方承担。</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（四）因乙方原因导致未能通过验收进而造成项目逾期的，乙方仍应承担逾期交付的违约责任。（五）验收依据：</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1、西安市中心医院报价单、澄清表、排名表；</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2、本合同及附件文本；</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3、国家相应的标准、规范。</w:t>
      </w:r>
    </w:p>
    <w:p>
      <w:pPr>
        <w:tabs>
          <w:tab w:val="left" w:pos="480"/>
        </w:tabs>
        <w:ind w:firstLine="497"/>
        <w:rPr>
          <w:rFonts w:asciiTheme="minorEastAsia" w:hAnsiTheme="minorEastAsia" w:eastAsiaTheme="minorEastAsia"/>
        </w:rPr>
      </w:pPr>
      <w:r>
        <w:rPr>
          <w:rFonts w:hint="eastAsia" w:asciiTheme="minorEastAsia" w:hAnsiTheme="minorEastAsia" w:eastAsiaTheme="minorEastAsia"/>
        </w:rPr>
        <w:t>4、国家有关规定以及招标文件的质量要求和技术指标、投标文件及承诺与本合同约定标准进行验收。</w:t>
      </w:r>
    </w:p>
    <w:p>
      <w:pPr>
        <w:tabs>
          <w:tab w:val="left" w:pos="480"/>
        </w:tabs>
        <w:ind w:firstLine="497"/>
        <w:rPr>
          <w:rFonts w:asciiTheme="minorEastAsia" w:hAnsiTheme="minorEastAsia" w:eastAsiaTheme="minorEastAsia"/>
          <w:b/>
          <w:bCs/>
        </w:rPr>
      </w:pPr>
      <w:r>
        <w:rPr>
          <w:rFonts w:hint="eastAsia" w:asciiTheme="minorEastAsia" w:hAnsiTheme="minorEastAsia" w:eastAsiaTheme="minorEastAsia"/>
          <w:b/>
          <w:bCs/>
        </w:rPr>
        <w:t>十二、培训</w:t>
      </w:r>
    </w:p>
    <w:p>
      <w:pPr>
        <w:tabs>
          <w:tab w:val="left" w:pos="480"/>
        </w:tabs>
        <w:ind w:firstLine="497"/>
        <w:rPr>
          <w:rFonts w:asciiTheme="minorEastAsia" w:hAnsiTheme="minorEastAsia" w:eastAsiaTheme="minorEastAsia"/>
        </w:rPr>
      </w:pPr>
      <w:r>
        <w:rPr>
          <w:rFonts w:hint="eastAsia" w:asciiTheme="minorEastAsia" w:hAnsiTheme="minorEastAsia" w:eastAsiaTheme="minorEastAsia"/>
        </w:rPr>
        <w:t>1、为更好的使用智能化及物联网应用系统，乙方应对甲方进行系统、有效的培训服务。在该项目的每个实施阶段根据培训要求为各相关单位人员提供相应的培训。在组织培训过程中，提供系统结构、性能、使用、维护、定制和升级等各方面的培训内容，并提供全套培训教材和培训计划。同时应针对不同的培训对象制定不同的培训方案，确保每个参加培训的人员能掌握系统的使用方法。</w:t>
      </w:r>
    </w:p>
    <w:p>
      <w:pPr>
        <w:tabs>
          <w:tab w:val="left" w:pos="480"/>
        </w:tabs>
        <w:ind w:firstLine="497"/>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、乙方应按甲方要求向甲方提供免费产品使用培训，使甲方工作人员能正常操作使用相关产品，并对甲方的网络管理员进行免费培训，使其熟练掌握相关产品日常维护。</w:t>
      </w:r>
    </w:p>
    <w:p>
      <w:pPr>
        <w:tabs>
          <w:tab w:val="left" w:pos="480"/>
        </w:tabs>
        <w:ind w:firstLine="485" w:firstLineChars="196"/>
        <w:rPr>
          <w:rFonts w:asciiTheme="minorEastAsia" w:hAnsiTheme="minorEastAsia" w:eastAsiaTheme="minorEastAsia"/>
          <w:b/>
        </w:rPr>
      </w:pPr>
      <w:r>
        <w:rPr>
          <w:rFonts w:hint="eastAsia" w:asciiTheme="minorEastAsia" w:hAnsiTheme="minorEastAsia" w:eastAsiaTheme="minorEastAsia"/>
          <w:b/>
        </w:rPr>
        <w:t>十三、违约责任</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（一）按《政府采购法》、《民法典》中的相关条款执行。</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二）乙方未按合同要求提供货物、软件系统或所提供货物质量、所提供系统的功能不能满足本合同、招标文件、投标文件等相关文件要求时，乙方必须无条件按甲方要求的时限进行更换，提高技术，完善质量，否则，甲方有权解除合同，解除合同书面通知书到达乙方之日视为合同已解除，并按以下两种方式追究乙方的违约责任：</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1、乙方赔偿甲方解除合同的全部损失（包括但不限于重新采购产生的费用、合同未履行导致设备不能按规划交付使用或系统未能按时上线使用可能产生的租赁费用及其它由此造成的甲方对第三方的违约损失）；</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2、乙方支付甲方违约金，违约金计算方法：以合同总价为基数，支付甲方合同总价的30%为违约金。</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同时，甲方有权对乙方的违约行为报监管机构进行相应的处罚。</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三）乙方未按合同第五条第（二）款约定的时限完成货物及系统的运输、安装、调试并正常运行的，每逾期一天，乙方应按照合同总价款的【】%向甲方支付违约金；迟延交货超过【】天的，视为乙方根本违约，甲方有权依据本条第（二）款之约定单方解除本合同。</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（四）若乙方未按合同约定的时限提供售后、运维及质保服务的或排除故障的，每出现一次，应向甲方支付【 】元的违约金，合同期内前述情形累计出现【 】次的，甲方有权依据本条第（二）款之约定单方解除本合同。</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（五）乙方违约时，甲方为主张权利而支出的律师费、保全费、保全保险费、差旅费等费用由乙方承担。</w:t>
      </w:r>
    </w:p>
    <w:p>
      <w:pPr>
        <w:tabs>
          <w:tab w:val="left" w:pos="480"/>
        </w:tabs>
        <w:ind w:firstLine="496" w:firstLineChars="200"/>
        <w:rPr>
          <w:rFonts w:asciiTheme="minorEastAsia" w:hAnsiTheme="minorEastAsia" w:eastAsiaTheme="minorEastAsia"/>
          <w:b/>
        </w:rPr>
      </w:pPr>
      <w:r>
        <w:rPr>
          <w:rFonts w:hint="eastAsia" w:asciiTheme="minorEastAsia" w:hAnsiTheme="minorEastAsia" w:eastAsiaTheme="minorEastAsia"/>
          <w:b/>
        </w:rPr>
        <w:t>十四、合同争议解决的方式</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本合同在履行过程中发生的争议，由甲、乙双方当事人协商解决，协商不成的按下列第</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u w:val="single"/>
        </w:rPr>
        <w:t>②</w:t>
      </w:r>
      <w:r>
        <w:rPr>
          <w:rFonts w:asciiTheme="minorEastAsia" w:hAnsiTheme="minorEastAsia" w:eastAsiaTheme="minorEastAsia"/>
          <w:u w:val="single"/>
        </w:rPr>
        <w:t xml:space="preserve">  </w:t>
      </w:r>
      <w:r>
        <w:rPr>
          <w:rFonts w:hint="eastAsia" w:asciiTheme="minorEastAsia" w:hAnsiTheme="minorEastAsia" w:eastAsiaTheme="minorEastAsia"/>
        </w:rPr>
        <w:t>种方式解决：</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（一）提交</w:t>
      </w:r>
      <w:r>
        <w:rPr>
          <w:rFonts w:hint="eastAsia" w:asciiTheme="minorEastAsia" w:hAnsiTheme="minorEastAsia" w:eastAsiaTheme="minorEastAsia"/>
          <w:u w:val="single"/>
        </w:rPr>
        <w:t>西安</w:t>
      </w:r>
      <w:r>
        <w:rPr>
          <w:rFonts w:hint="eastAsia" w:asciiTheme="minorEastAsia" w:hAnsiTheme="minorEastAsia" w:eastAsiaTheme="minorEastAsia"/>
        </w:rPr>
        <w:t>仲裁委员会仲裁；</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（二）依法向</w:t>
      </w:r>
      <w:r>
        <w:rPr>
          <w:rFonts w:hint="eastAsia" w:asciiTheme="minorEastAsia" w:hAnsiTheme="minorEastAsia" w:eastAsiaTheme="minorEastAsia"/>
          <w:u w:val="single"/>
        </w:rPr>
        <w:t>甲方所在地</w:t>
      </w:r>
      <w:r>
        <w:rPr>
          <w:rFonts w:hint="eastAsia" w:asciiTheme="minorEastAsia" w:hAnsiTheme="minorEastAsia" w:eastAsiaTheme="minorEastAsia"/>
        </w:rPr>
        <w:t>人民法院起诉。</w:t>
      </w:r>
    </w:p>
    <w:p>
      <w:pPr>
        <w:tabs>
          <w:tab w:val="left" w:pos="480"/>
        </w:tabs>
        <w:ind w:firstLine="485" w:firstLineChars="196"/>
        <w:rPr>
          <w:rFonts w:asciiTheme="minorEastAsia" w:hAnsiTheme="minorEastAsia" w:eastAsiaTheme="minorEastAsia"/>
          <w:b/>
        </w:rPr>
      </w:pPr>
      <w:r>
        <w:rPr>
          <w:rFonts w:hint="eastAsia" w:asciiTheme="minorEastAsia" w:hAnsiTheme="minorEastAsia" w:eastAsiaTheme="minorEastAsia"/>
          <w:b/>
        </w:rPr>
        <w:t>十五、合同生效</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本合同一式陆份，甲方执伍份，乙方执壹份，本合同甲、乙双方签字盖章后生效，合同执行完毕后，自动终止（合同的服务承诺则长期有效）。</w:t>
      </w:r>
    </w:p>
    <w:p>
      <w:pPr>
        <w:tabs>
          <w:tab w:val="left" w:pos="480"/>
        </w:tabs>
        <w:ind w:firstLine="485" w:firstLineChars="196"/>
        <w:rPr>
          <w:rFonts w:asciiTheme="minorEastAsia" w:hAnsiTheme="minorEastAsia" w:eastAsiaTheme="minorEastAsia"/>
          <w:b/>
        </w:rPr>
      </w:pPr>
      <w:r>
        <w:rPr>
          <w:rFonts w:hint="eastAsia" w:asciiTheme="minorEastAsia" w:hAnsiTheme="minorEastAsia" w:eastAsiaTheme="minorEastAsia"/>
          <w:b/>
        </w:rPr>
        <w:t>十六、其他事项</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（一）招标文件、投标文件报价单、澄清表、中标通知书、合同附件均成为合同不可分割的部分。</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（二）合同未尽事宜，由甲、乙双方协商、确认后，作为合同补充，与原合同具有同等法律效力。</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（三）合同一经签订，不得擅自变更、中止或终止合同。对确需变更、调整或中止、终止合同的，应按规定履行相应的手续。</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（四）本合同按照中华人民共和国的现行法律进行解释。</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（五）供应商规模：</w:t>
      </w:r>
      <w:r>
        <w:rPr>
          <w:rFonts w:hint="eastAsia" w:asciiTheme="minorEastAsia" w:hAnsiTheme="minorEastAsia" w:eastAsiaTheme="minorEastAsia"/>
          <w:u w:val="single"/>
        </w:rPr>
        <w:t xml:space="preserve">                </w:t>
      </w:r>
      <w:r>
        <w:rPr>
          <w:rFonts w:hint="eastAsia" w:asciiTheme="minorEastAsia" w:hAnsiTheme="minorEastAsia" w:eastAsiaTheme="minorEastAsia"/>
        </w:rPr>
        <w:t>（大型企业/中型企业/小微型企业）</w:t>
      </w:r>
    </w:p>
    <w:p>
      <w:pPr>
        <w:tabs>
          <w:tab w:val="left" w:pos="480"/>
        </w:tabs>
        <w:ind w:firstLine="496" w:firstLineChars="200"/>
        <w:rPr>
          <w:rFonts w:asciiTheme="minorEastAsia" w:hAnsiTheme="minorEastAsia" w:eastAsiaTheme="minorEastAsia"/>
          <w:u w:val="single"/>
        </w:rPr>
      </w:pPr>
      <w:r>
        <w:rPr>
          <w:rFonts w:hint="eastAsia" w:asciiTheme="minorEastAsia" w:hAnsiTheme="minorEastAsia" w:eastAsiaTheme="minorEastAsia"/>
        </w:rPr>
        <w:t>（六） 甲方联系人：</w:t>
      </w:r>
      <w:r>
        <w:rPr>
          <w:rFonts w:hint="eastAsia" w:asciiTheme="minorEastAsia" w:hAnsiTheme="minorEastAsia" w:eastAsiaTheme="minorEastAsia"/>
          <w:u w:val="single"/>
        </w:rPr>
        <w:t xml:space="preserve">           </w:t>
      </w:r>
      <w:r>
        <w:rPr>
          <w:rFonts w:hint="eastAsia" w:asciiTheme="minorEastAsia" w:hAnsiTheme="minorEastAsia" w:eastAsiaTheme="minorEastAsia"/>
        </w:rPr>
        <w:t>；联系电话：</w:t>
      </w:r>
      <w:r>
        <w:rPr>
          <w:rFonts w:hint="eastAsia" w:asciiTheme="minorEastAsia" w:hAnsiTheme="minorEastAsia" w:eastAsiaTheme="minorEastAsia"/>
          <w:u w:val="single"/>
        </w:rPr>
        <w:t xml:space="preserve">            </w:t>
      </w:r>
    </w:p>
    <w:p>
      <w:pPr>
        <w:tabs>
          <w:tab w:val="left" w:pos="480"/>
        </w:tabs>
        <w:ind w:firstLine="1240" w:firstLineChars="500"/>
        <w:rPr>
          <w:rFonts w:asciiTheme="minorEastAsia" w:hAnsiTheme="minorEastAsia" w:eastAsiaTheme="minorEastAsia"/>
        </w:rPr>
      </w:pPr>
      <w:r>
        <w:rPr>
          <w:rFonts w:hint="eastAsia" w:asciiTheme="minorEastAsia" w:hAnsiTheme="minorEastAsia" w:eastAsiaTheme="minorEastAsia"/>
        </w:rPr>
        <w:t xml:space="preserve"> 乙方联系人：</w:t>
      </w:r>
      <w:r>
        <w:rPr>
          <w:rFonts w:hint="eastAsia" w:asciiTheme="minorEastAsia" w:hAnsiTheme="minorEastAsia" w:eastAsiaTheme="minorEastAsia"/>
          <w:u w:val="single"/>
        </w:rPr>
        <w:t xml:space="preserve">           </w:t>
      </w:r>
      <w:r>
        <w:rPr>
          <w:rFonts w:hint="eastAsia" w:asciiTheme="minorEastAsia" w:hAnsiTheme="minorEastAsia" w:eastAsiaTheme="minorEastAsia"/>
        </w:rPr>
        <w:t>；联系电话：</w:t>
      </w:r>
      <w:r>
        <w:rPr>
          <w:rFonts w:hint="eastAsia" w:asciiTheme="minorEastAsia" w:hAnsiTheme="minorEastAsia" w:eastAsiaTheme="minorEastAsia"/>
          <w:u w:val="single"/>
        </w:rPr>
        <w:t xml:space="preserve">            </w:t>
      </w:r>
    </w:p>
    <w:p>
      <w:pPr>
        <w:rPr>
          <w:rFonts w:asciiTheme="minorEastAsia" w:hAnsiTheme="minorEastAsia" w:eastAsiaTheme="minorEastAsia"/>
        </w:rPr>
      </w:pPr>
    </w:p>
    <w:p>
      <w:pPr>
        <w:tabs>
          <w:tab w:val="left" w:pos="480"/>
        </w:tabs>
        <w:rPr>
          <w:rFonts w:asciiTheme="minorEastAsia" w:hAnsiTheme="minorEastAsia" w:eastAsiaTheme="minorEastAsia"/>
        </w:rPr>
      </w:pP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（以下无正文）</w:t>
      </w:r>
    </w:p>
    <w:p>
      <w:pPr>
        <w:tabs>
          <w:tab w:val="left" w:pos="480"/>
        </w:tabs>
        <w:rPr>
          <w:rFonts w:asciiTheme="minorEastAsia" w:hAnsiTheme="minorEastAsia" w:eastAsiaTheme="minorEastAsia"/>
        </w:rPr>
      </w:pPr>
    </w:p>
    <w:p>
      <w:pPr>
        <w:tabs>
          <w:tab w:val="left" w:pos="480"/>
        </w:tabs>
        <w:rPr>
          <w:rFonts w:asciiTheme="minorEastAsia" w:hAnsiTheme="minorEastAsia" w:eastAsiaTheme="minorEastAsia"/>
        </w:rPr>
      </w:pPr>
    </w:p>
    <w:p>
      <w:pPr>
        <w:tabs>
          <w:tab w:val="left" w:pos="480"/>
        </w:tabs>
        <w:rPr>
          <w:rFonts w:asciiTheme="minorEastAsia" w:hAnsiTheme="minorEastAsia" w:eastAsiaTheme="minorEastAsia"/>
        </w:rPr>
      </w:pP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甲  方（法人公章）                          乙  方（法人公章）</w:t>
      </w:r>
    </w:p>
    <w:p>
      <w:pPr>
        <w:tabs>
          <w:tab w:val="left" w:pos="480"/>
        </w:tabs>
        <w:ind w:firstLine="496" w:firstLineChars="200"/>
        <w:rPr>
          <w:rFonts w:asciiTheme="minorEastAsia" w:hAnsiTheme="minorEastAsia" w:eastAsiaTheme="minorEastAsia"/>
        </w:rPr>
      </w:pP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 xml:space="preserve">法定代表人：                                法定代表人： </w:t>
      </w:r>
    </w:p>
    <w:p>
      <w:pPr>
        <w:tabs>
          <w:tab w:val="left" w:pos="480"/>
        </w:tabs>
        <w:ind w:firstLine="496" w:firstLineChars="200"/>
        <w:rPr>
          <w:rFonts w:asciiTheme="minorEastAsia" w:hAnsiTheme="minorEastAsia" w:eastAsiaTheme="minorEastAsia"/>
        </w:rPr>
      </w:pP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代理人：                                    代理人：</w:t>
      </w:r>
    </w:p>
    <w:p>
      <w:pPr>
        <w:tabs>
          <w:tab w:val="left" w:pos="480"/>
        </w:tabs>
        <w:ind w:firstLine="5952" w:firstLineChars="2400"/>
        <w:rPr>
          <w:rFonts w:asciiTheme="minorEastAsia" w:hAnsiTheme="minorEastAsia" w:eastAsiaTheme="minorEastAsia"/>
        </w:rPr>
      </w:pPr>
      <w:r>
        <w:rPr>
          <w:rFonts w:hint="eastAsia" w:asciiTheme="minorEastAsia" w:hAnsiTheme="minorEastAsia" w:eastAsiaTheme="minorEastAsia"/>
        </w:rPr>
        <w:t>开户银行：</w:t>
      </w:r>
    </w:p>
    <w:p>
      <w:pPr>
        <w:tabs>
          <w:tab w:val="left" w:pos="480"/>
        </w:tabs>
        <w:ind w:firstLine="5952" w:firstLineChars="2400"/>
        <w:rPr>
          <w:rFonts w:asciiTheme="minorEastAsia" w:hAnsiTheme="minorEastAsia" w:eastAsiaTheme="minorEastAsia"/>
        </w:rPr>
      </w:pPr>
      <w:r>
        <w:rPr>
          <w:rFonts w:hint="eastAsia" w:asciiTheme="minorEastAsia" w:hAnsiTheme="minorEastAsia" w:eastAsiaTheme="minorEastAsia"/>
        </w:rPr>
        <w:t>帐  号：</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 xml:space="preserve">单位名称：西安市中心医院                  </w:t>
      </w:r>
      <w:r>
        <w:rPr>
          <w:rFonts w:asciiTheme="minorEastAsia" w:hAnsiTheme="minorEastAsia" w:eastAsiaTheme="minorEastAsia"/>
        </w:rPr>
        <w:t xml:space="preserve">  </w:t>
      </w:r>
      <w:r>
        <w:rPr>
          <w:rFonts w:hint="eastAsia" w:asciiTheme="minorEastAsia" w:hAnsiTheme="minorEastAsia" w:eastAsiaTheme="minorEastAsia"/>
        </w:rPr>
        <w:t>单位名称：</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 xml:space="preserve">地  址：西安市新城区西五路161号          </w:t>
      </w:r>
      <w:r>
        <w:rPr>
          <w:rFonts w:asciiTheme="minorEastAsia" w:hAnsiTheme="minorEastAsia" w:eastAsiaTheme="minorEastAsia"/>
        </w:rPr>
        <w:t xml:space="preserve">  </w:t>
      </w:r>
      <w:r>
        <w:rPr>
          <w:rFonts w:hint="eastAsia" w:asciiTheme="minorEastAsia" w:hAnsiTheme="minorEastAsia" w:eastAsiaTheme="minorEastAsia"/>
        </w:rPr>
        <w:t>地  址：</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 xml:space="preserve">联系电话：                                </w:t>
      </w:r>
      <w:r>
        <w:rPr>
          <w:rFonts w:asciiTheme="minorEastAsia" w:hAnsiTheme="minorEastAsia" w:eastAsiaTheme="minorEastAsia"/>
        </w:rPr>
        <w:t xml:space="preserve">  </w:t>
      </w:r>
      <w:r>
        <w:rPr>
          <w:rFonts w:hint="eastAsia" w:asciiTheme="minorEastAsia" w:hAnsiTheme="minorEastAsia" w:eastAsiaTheme="minorEastAsia"/>
        </w:rPr>
        <w:t>联系电话：</w:t>
      </w:r>
    </w:p>
    <w:p>
      <w:pPr>
        <w:tabs>
          <w:tab w:val="left" w:pos="480"/>
        </w:tabs>
        <w:ind w:firstLine="496" w:firstLineChars="200"/>
        <w:rPr>
          <w:rFonts w:asciiTheme="minorEastAsia" w:hAnsiTheme="minorEastAsia" w:eastAsiaTheme="minorEastAsia"/>
        </w:rPr>
      </w:pPr>
      <w:r>
        <w:rPr>
          <w:rFonts w:hint="eastAsia" w:asciiTheme="minorEastAsia" w:hAnsiTheme="minorEastAsia" w:eastAsiaTheme="minorEastAsia"/>
        </w:rPr>
        <w:t xml:space="preserve">签订日期：                                </w:t>
      </w:r>
      <w:r>
        <w:rPr>
          <w:rFonts w:asciiTheme="minorEastAsia" w:hAnsiTheme="minorEastAsia" w:eastAsiaTheme="minorEastAsia"/>
        </w:rPr>
        <w:t xml:space="preserve">  </w:t>
      </w:r>
      <w:r>
        <w:rPr>
          <w:rFonts w:hint="eastAsia" w:asciiTheme="minorEastAsia" w:hAnsiTheme="minorEastAsia" w:eastAsiaTheme="minorEastAsia"/>
        </w:rPr>
        <w:t xml:space="preserve">签订日期：  </w:t>
      </w:r>
    </w:p>
    <w:p>
      <w:pPr>
        <w:rPr>
          <w:rFonts w:asciiTheme="minorEastAsia" w:hAnsiTheme="minorEastAsia" w:eastAsiaTheme="minorEastAsia"/>
        </w:rPr>
      </w:pPr>
    </w:p>
    <w:p>
      <w:pPr>
        <w:ind w:left="500" w:leftChars="202"/>
        <w:rPr>
          <w:rFonts w:asciiTheme="minorEastAsia" w:hAnsiTheme="minorEastAsia" w:eastAsiaTheme="minorEastAsia"/>
        </w:rPr>
      </w:pPr>
    </w:p>
    <w:p>
      <w:pPr>
        <w:ind w:left="500" w:leftChars="202"/>
        <w:rPr>
          <w:rFonts w:asciiTheme="minorEastAsia" w:hAnsiTheme="minorEastAsia" w:eastAsiaTheme="minorEastAsia"/>
        </w:rPr>
      </w:pPr>
    </w:p>
    <w:p>
      <w:pPr>
        <w:ind w:left="500" w:leftChars="202"/>
        <w:rPr>
          <w:rFonts w:asciiTheme="minorEastAsia" w:hAnsiTheme="minorEastAsia" w:eastAsiaTheme="minorEastAsia"/>
        </w:rPr>
      </w:pPr>
    </w:p>
    <w:p>
      <w:pPr>
        <w:rPr>
          <w:rFonts w:cs="宋体" w:asciiTheme="minorEastAsia" w:hAnsiTheme="minorEastAsia" w:eastAsiaTheme="minorEastAsia"/>
        </w:rPr>
      </w:pPr>
      <w:bookmarkStart w:id="78" w:name="_Toc23780"/>
      <w:r>
        <w:rPr>
          <w:rFonts w:hint="eastAsia" w:cs="仿宋_GB2312" w:asciiTheme="minorEastAsia" w:hAnsiTheme="minorEastAsia" w:eastAsiaTheme="minorEastAsia"/>
        </w:rPr>
        <w:br w:type="page"/>
      </w:r>
      <w:bookmarkEnd w:id="78"/>
    </w:p>
    <w:p>
      <w:pPr>
        <w:pStyle w:val="6"/>
        <w:rPr>
          <w:rFonts w:cs="宋体" w:asciiTheme="minorEastAsia" w:hAnsiTheme="minorEastAsia" w:eastAsiaTheme="minorEastAsia"/>
          <w:sz w:val="24"/>
          <w:szCs w:val="24"/>
        </w:rPr>
      </w:pPr>
      <w:bookmarkStart w:id="79" w:name="_Toc135129535"/>
      <w:r>
        <w:rPr>
          <w:rFonts w:hint="eastAsia" w:cs="宋体" w:asciiTheme="minorEastAsia" w:hAnsiTheme="minorEastAsia" w:eastAsiaTheme="minorEastAsia"/>
          <w:sz w:val="24"/>
          <w:szCs w:val="24"/>
        </w:rPr>
        <w:t>第五章  投标文件构成及格式</w:t>
      </w:r>
      <w:bookmarkEnd w:id="77"/>
      <w:bookmarkEnd w:id="79"/>
    </w:p>
    <w:p>
      <w:pPr>
        <w:spacing w:line="560" w:lineRule="exact"/>
        <w:ind w:firstLine="496" w:firstLineChars="200"/>
        <w:jc w:val="both"/>
        <w:rPr>
          <w:rFonts w:cs="宋体" w:asciiTheme="minorEastAsia" w:hAnsiTheme="minorEastAsia" w:eastAsiaTheme="minorEastAsia"/>
        </w:rPr>
      </w:pPr>
    </w:p>
    <w:p>
      <w:pPr>
        <w:spacing w:line="560" w:lineRule="exact"/>
        <w:ind w:firstLine="496" w:firstLineChars="200"/>
        <w:jc w:val="both"/>
        <w:rPr>
          <w:rFonts w:cs="宋体" w:asciiTheme="minorEastAsia" w:hAnsiTheme="minorEastAsia" w:eastAsiaTheme="minorEastAsia"/>
        </w:rPr>
      </w:pPr>
    </w:p>
    <w:p>
      <w:pPr>
        <w:spacing w:line="560" w:lineRule="exact"/>
        <w:jc w:val="both"/>
        <w:rPr>
          <w:rFonts w:cs="宋体" w:asciiTheme="minorEastAsia" w:hAnsiTheme="minorEastAsia" w:eastAsiaTheme="minorEastAsia"/>
        </w:rPr>
      </w:pPr>
    </w:p>
    <w:p>
      <w:pPr>
        <w:snapToGrid w:val="0"/>
        <w:spacing w:line="360" w:lineRule="auto"/>
        <w:jc w:val="center"/>
        <w:rPr>
          <w:rFonts w:cs="宋体" w:asciiTheme="minorEastAsia" w:hAnsiTheme="minorEastAsia" w:eastAsiaTheme="minorEastAsia"/>
          <w:b/>
          <w:bCs/>
        </w:rPr>
      </w:pPr>
      <w:r>
        <w:rPr>
          <w:rFonts w:hint="eastAsia" w:cs="宋体" w:asciiTheme="minorEastAsia" w:hAnsiTheme="minorEastAsia" w:eastAsiaTheme="minorEastAsia"/>
          <w:b/>
          <w:bCs/>
        </w:rPr>
        <w:t>西安市中心医院经开院区智能化</w:t>
      </w:r>
    </w:p>
    <w:p>
      <w:pPr>
        <w:snapToGrid w:val="0"/>
        <w:spacing w:line="360" w:lineRule="auto"/>
        <w:jc w:val="center"/>
        <w:rPr>
          <w:rFonts w:cs="宋体" w:asciiTheme="minorEastAsia" w:hAnsiTheme="minorEastAsia" w:eastAsiaTheme="minorEastAsia"/>
          <w:b/>
          <w:bCs/>
        </w:rPr>
      </w:pPr>
      <w:r>
        <w:rPr>
          <w:rFonts w:hint="eastAsia" w:cs="宋体" w:asciiTheme="minorEastAsia" w:hAnsiTheme="minorEastAsia" w:eastAsiaTheme="minorEastAsia"/>
          <w:b/>
          <w:bCs/>
        </w:rPr>
        <w:t>物联网系统建设项目</w:t>
      </w:r>
    </w:p>
    <w:p>
      <w:pPr>
        <w:snapToGrid w:val="0"/>
        <w:jc w:val="center"/>
        <w:rPr>
          <w:rFonts w:cs="宋体" w:asciiTheme="minorEastAsia" w:hAnsiTheme="minorEastAsia" w:eastAsiaTheme="minorEastAsia"/>
          <w:b/>
          <w:bCs/>
        </w:rPr>
      </w:pPr>
    </w:p>
    <w:p>
      <w:pPr>
        <w:snapToGrid w:val="0"/>
        <w:jc w:val="center"/>
        <w:rPr>
          <w:rFonts w:cs="宋体" w:asciiTheme="minorEastAsia" w:hAnsiTheme="minorEastAsia" w:eastAsiaTheme="minorEastAsia"/>
          <w:b/>
          <w:bCs/>
        </w:rPr>
      </w:pPr>
    </w:p>
    <w:p>
      <w:pPr>
        <w:snapToGrid w:val="0"/>
        <w:jc w:val="center"/>
        <w:rPr>
          <w:rFonts w:cs="宋体" w:asciiTheme="minorEastAsia" w:hAnsiTheme="minorEastAsia" w:eastAsiaTheme="minorEastAsia"/>
          <w:b/>
          <w:bCs/>
        </w:rPr>
      </w:pPr>
      <w:r>
        <w:rPr>
          <w:rFonts w:hint="eastAsia" w:cs="宋体" w:asciiTheme="minorEastAsia" w:hAnsiTheme="minorEastAsia" w:eastAsiaTheme="minorEastAsia"/>
          <w:b/>
          <w:bCs/>
        </w:rPr>
        <w:t>投标文件</w:t>
      </w: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spacing w:line="560" w:lineRule="exact"/>
        <w:ind w:firstLine="496" w:firstLineChars="200"/>
        <w:jc w:val="center"/>
        <w:rPr>
          <w:rFonts w:cs="宋体" w:asciiTheme="minorEastAsia" w:hAnsiTheme="minorEastAsia" w:eastAsiaTheme="minorEastAsia"/>
        </w:rPr>
      </w:pPr>
      <w:r>
        <w:rPr>
          <w:rFonts w:hint="eastAsia" w:cs="宋体" w:asciiTheme="minorEastAsia" w:hAnsiTheme="minorEastAsia" w:eastAsiaTheme="minorEastAsia"/>
          <w:b/>
          <w:bCs/>
        </w:rPr>
        <w:t>项目编号：ZMZB2023ZXYY-74</w:t>
      </w:r>
    </w:p>
    <w:p>
      <w:pPr>
        <w:spacing w:line="560" w:lineRule="exact"/>
        <w:ind w:firstLine="496" w:firstLineChars="200"/>
        <w:jc w:val="both"/>
        <w:rPr>
          <w:rFonts w:cs="宋体" w:asciiTheme="minorEastAsia" w:hAnsiTheme="minorEastAsia" w:eastAsiaTheme="minorEastAsia"/>
        </w:rPr>
      </w:pPr>
    </w:p>
    <w:p>
      <w:pPr>
        <w:spacing w:line="560" w:lineRule="exact"/>
        <w:ind w:firstLine="496" w:firstLineChars="200"/>
        <w:jc w:val="both"/>
        <w:rPr>
          <w:rFonts w:cs="宋体" w:asciiTheme="minorEastAsia" w:hAnsiTheme="minorEastAsia" w:eastAsiaTheme="minorEastAsia"/>
        </w:rPr>
      </w:pPr>
    </w:p>
    <w:p>
      <w:pPr>
        <w:spacing w:line="560" w:lineRule="exact"/>
        <w:ind w:firstLine="496" w:firstLineChars="200"/>
        <w:jc w:val="both"/>
        <w:rPr>
          <w:rFonts w:cs="宋体" w:asciiTheme="minorEastAsia" w:hAnsiTheme="minorEastAsia" w:eastAsiaTheme="minorEastAsia"/>
        </w:rPr>
      </w:pPr>
    </w:p>
    <w:p>
      <w:pPr>
        <w:spacing w:line="560" w:lineRule="exact"/>
        <w:jc w:val="both"/>
        <w:rPr>
          <w:rFonts w:cs="宋体" w:asciiTheme="minorEastAsia" w:hAnsiTheme="minorEastAsia" w:eastAsiaTheme="minorEastAsia"/>
        </w:rPr>
      </w:pPr>
    </w:p>
    <w:p>
      <w:pPr>
        <w:snapToGrid w:val="0"/>
        <w:spacing w:line="360" w:lineRule="auto"/>
        <w:ind w:firstLine="496" w:firstLineChars="200"/>
        <w:rPr>
          <w:rFonts w:cs="宋体" w:asciiTheme="minorEastAsia" w:hAnsiTheme="minorEastAsia" w:eastAsiaTheme="minorEastAsia"/>
          <w:lang w:val="zh-CN"/>
        </w:rPr>
      </w:pPr>
    </w:p>
    <w:p>
      <w:pPr>
        <w:snapToGrid w:val="0"/>
        <w:spacing w:line="360" w:lineRule="auto"/>
        <w:ind w:firstLine="496" w:firstLineChars="200"/>
        <w:rPr>
          <w:rFonts w:cs="宋体" w:asciiTheme="minorEastAsia" w:hAnsiTheme="minorEastAsia" w:eastAsiaTheme="minorEastAsia"/>
          <w:u w:val="single"/>
        </w:rPr>
      </w:pPr>
      <w:r>
        <w:rPr>
          <w:rFonts w:hint="eastAsia" w:cs="宋体" w:asciiTheme="minorEastAsia" w:hAnsiTheme="minorEastAsia" w:eastAsiaTheme="minorEastAsia"/>
          <w:lang w:val="zh-CN"/>
        </w:rPr>
        <w:t>供应商（单位名称）：</w:t>
      </w:r>
      <w:r>
        <w:rPr>
          <w:rFonts w:hint="eastAsia" w:cs="宋体" w:asciiTheme="minorEastAsia" w:hAnsiTheme="minorEastAsia" w:eastAsiaTheme="minorEastAsia"/>
        </w:rPr>
        <w:t>______________</w:t>
      </w:r>
    </w:p>
    <w:p>
      <w:pPr>
        <w:snapToGrid w:val="0"/>
        <w:spacing w:line="360" w:lineRule="auto"/>
        <w:ind w:firstLine="496" w:firstLineChars="200"/>
        <w:rPr>
          <w:rFonts w:cs="宋体" w:asciiTheme="minorEastAsia" w:hAnsiTheme="minorEastAsia" w:eastAsiaTheme="minorEastAsia"/>
          <w:u w:val="single"/>
        </w:rPr>
      </w:pPr>
      <w:r>
        <w:rPr>
          <w:rFonts w:hint="eastAsia" w:cs="宋体" w:asciiTheme="minorEastAsia" w:hAnsiTheme="minorEastAsia" w:eastAsiaTheme="minorEastAsia"/>
        </w:rPr>
        <w:t>日期</w:t>
      </w:r>
      <w:r>
        <w:rPr>
          <w:rFonts w:hint="eastAsia" w:cs="宋体" w:asciiTheme="minorEastAsia" w:hAnsiTheme="minorEastAsia" w:eastAsiaTheme="minorEastAsia"/>
          <w:lang w:val="zh-CN"/>
        </w:rPr>
        <w:t>：</w:t>
      </w:r>
      <w:r>
        <w:rPr>
          <w:rFonts w:hint="eastAsia" w:cs="宋体" w:asciiTheme="minorEastAsia" w:hAnsiTheme="minorEastAsia" w:eastAsiaTheme="minorEastAsia"/>
        </w:rPr>
        <w:t>______</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br w:type="page"/>
      </w:r>
    </w:p>
    <w:p>
      <w:pPr>
        <w:spacing w:line="560" w:lineRule="exact"/>
        <w:ind w:firstLine="496" w:firstLineChars="200"/>
        <w:jc w:val="center"/>
        <w:rPr>
          <w:rFonts w:cs="宋体" w:asciiTheme="minorEastAsia" w:hAnsiTheme="minorEastAsia" w:eastAsiaTheme="minorEastAsia"/>
        </w:rPr>
      </w:pPr>
    </w:p>
    <w:p>
      <w:pPr>
        <w:spacing w:line="560" w:lineRule="exact"/>
        <w:ind w:firstLine="496" w:firstLineChars="200"/>
        <w:jc w:val="center"/>
        <w:rPr>
          <w:rFonts w:cs="宋体" w:asciiTheme="minorEastAsia" w:hAnsiTheme="minorEastAsia" w:eastAsiaTheme="minorEastAsia"/>
        </w:rPr>
      </w:pPr>
      <w:r>
        <w:rPr>
          <w:rFonts w:hint="eastAsia" w:cs="宋体" w:asciiTheme="minorEastAsia" w:hAnsiTheme="minorEastAsia" w:eastAsiaTheme="minorEastAsia"/>
        </w:rPr>
        <w:t>目    录</w:t>
      </w:r>
    </w:p>
    <w:p>
      <w:pPr>
        <w:spacing w:line="560" w:lineRule="exact"/>
        <w:ind w:firstLine="496" w:firstLineChars="200"/>
        <w:jc w:val="both"/>
        <w:rPr>
          <w:rFonts w:cs="宋体" w:asciiTheme="minorEastAsia" w:hAnsiTheme="minorEastAsia" w:eastAsiaTheme="minorEastAsia"/>
        </w:rPr>
      </w:pPr>
    </w:p>
    <w:p>
      <w:pPr>
        <w:pStyle w:val="5"/>
        <w:snapToGrid w:val="0"/>
        <w:spacing w:line="480" w:lineRule="auto"/>
        <w:ind w:firstLine="496" w:firstLineChars="200"/>
        <w:rPr>
          <w:rFonts w:cs="宋体" w:asciiTheme="minorEastAsia" w:hAnsiTheme="minorEastAsia" w:eastAsiaTheme="minorEastAsia"/>
          <w:b/>
          <w:bCs/>
          <w:color w:val="000000"/>
          <w:sz w:val="24"/>
        </w:rPr>
      </w:pPr>
      <w:bookmarkStart w:id="80" w:name="_Toc3727_WPSOffice_Level1"/>
      <w:r>
        <w:rPr>
          <w:rFonts w:hint="eastAsia" w:cs="宋体" w:asciiTheme="minorEastAsia" w:hAnsiTheme="minorEastAsia" w:eastAsiaTheme="minorEastAsia"/>
          <w:b/>
          <w:bCs/>
          <w:color w:val="000000"/>
          <w:sz w:val="24"/>
        </w:rPr>
        <w:t>第一章  投标函</w:t>
      </w:r>
      <w:bookmarkEnd w:id="80"/>
    </w:p>
    <w:p>
      <w:pPr>
        <w:snapToGrid w:val="0"/>
        <w:spacing w:line="480" w:lineRule="auto"/>
        <w:ind w:firstLine="496" w:firstLineChars="200"/>
        <w:rPr>
          <w:rFonts w:cs="宋体" w:asciiTheme="minorEastAsia" w:hAnsiTheme="minorEastAsia" w:eastAsiaTheme="minorEastAsia"/>
          <w:b/>
          <w:color w:val="000000"/>
        </w:rPr>
      </w:pPr>
      <w:bookmarkStart w:id="81" w:name="_Toc23436_WPSOffice_Level1"/>
      <w:r>
        <w:rPr>
          <w:rFonts w:hint="eastAsia" w:cs="宋体" w:asciiTheme="minorEastAsia" w:hAnsiTheme="minorEastAsia" w:eastAsiaTheme="minorEastAsia"/>
          <w:b/>
          <w:color w:val="000000"/>
        </w:rPr>
        <w:t>第二</w:t>
      </w:r>
      <w:r>
        <w:rPr>
          <w:rFonts w:hint="eastAsia" w:cs="宋体" w:asciiTheme="minorEastAsia" w:hAnsiTheme="minorEastAsia" w:eastAsiaTheme="minorEastAsia"/>
          <w:b/>
          <w:bCs/>
          <w:color w:val="000000"/>
        </w:rPr>
        <w:t xml:space="preserve">章  </w:t>
      </w:r>
      <w:r>
        <w:rPr>
          <w:rFonts w:hint="eastAsia" w:cs="宋体" w:asciiTheme="minorEastAsia" w:hAnsiTheme="minorEastAsia" w:eastAsiaTheme="minorEastAsia"/>
          <w:b/>
          <w:color w:val="000000"/>
        </w:rPr>
        <w:t>开标一览表</w:t>
      </w:r>
      <w:bookmarkEnd w:id="81"/>
    </w:p>
    <w:p>
      <w:pPr>
        <w:pStyle w:val="5"/>
        <w:snapToGrid w:val="0"/>
        <w:spacing w:line="480" w:lineRule="auto"/>
        <w:ind w:firstLine="496" w:firstLineChars="200"/>
        <w:rPr>
          <w:rFonts w:cs="宋体" w:asciiTheme="minorEastAsia" w:hAnsiTheme="minorEastAsia" w:eastAsiaTheme="minorEastAsia"/>
          <w:b/>
          <w:color w:val="000000"/>
          <w:sz w:val="24"/>
        </w:rPr>
      </w:pPr>
      <w:bookmarkStart w:id="82" w:name="_Toc11444_WPSOffice_Level1"/>
      <w:r>
        <w:rPr>
          <w:rFonts w:hint="eastAsia" w:cs="宋体" w:asciiTheme="minorEastAsia" w:hAnsiTheme="minorEastAsia" w:eastAsiaTheme="minorEastAsia"/>
          <w:b/>
          <w:color w:val="000000"/>
          <w:sz w:val="24"/>
        </w:rPr>
        <w:t>第三</w:t>
      </w:r>
      <w:r>
        <w:rPr>
          <w:rFonts w:hint="eastAsia" w:cs="宋体" w:asciiTheme="minorEastAsia" w:hAnsiTheme="minorEastAsia" w:eastAsiaTheme="minorEastAsia"/>
          <w:b/>
          <w:bCs/>
          <w:color w:val="000000"/>
          <w:sz w:val="24"/>
        </w:rPr>
        <w:t xml:space="preserve">章  </w:t>
      </w:r>
      <w:bookmarkEnd w:id="82"/>
      <w:r>
        <w:rPr>
          <w:rFonts w:hint="eastAsia" w:cs="宋体" w:asciiTheme="minorEastAsia" w:hAnsiTheme="minorEastAsia" w:eastAsiaTheme="minorEastAsia"/>
          <w:b/>
          <w:color w:val="000000"/>
          <w:sz w:val="24"/>
        </w:rPr>
        <w:t>资格证明文件</w:t>
      </w:r>
    </w:p>
    <w:p>
      <w:pPr>
        <w:pStyle w:val="5"/>
        <w:snapToGrid w:val="0"/>
        <w:spacing w:line="480" w:lineRule="auto"/>
        <w:ind w:firstLine="496" w:firstLineChars="200"/>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sz w:val="24"/>
        </w:rPr>
        <w:t>第四</w:t>
      </w:r>
      <w:r>
        <w:rPr>
          <w:rFonts w:hint="eastAsia" w:cs="宋体" w:asciiTheme="minorEastAsia" w:hAnsiTheme="minorEastAsia" w:eastAsiaTheme="minorEastAsia"/>
          <w:b/>
          <w:bCs/>
          <w:color w:val="000000"/>
          <w:sz w:val="24"/>
        </w:rPr>
        <w:t>章  供应商概况</w:t>
      </w:r>
    </w:p>
    <w:p>
      <w:pPr>
        <w:pStyle w:val="5"/>
        <w:snapToGrid w:val="0"/>
        <w:spacing w:line="480" w:lineRule="auto"/>
        <w:ind w:firstLine="496" w:firstLineChars="200"/>
        <w:rPr>
          <w:rFonts w:cs="宋体" w:asciiTheme="minorEastAsia" w:hAnsiTheme="minorEastAsia" w:eastAsiaTheme="minorEastAsia"/>
          <w:b/>
          <w:bCs/>
          <w:color w:val="000000"/>
          <w:sz w:val="24"/>
        </w:rPr>
      </w:pPr>
      <w:bookmarkStart w:id="83" w:name="_Toc5905_WPSOffice_Level1"/>
      <w:r>
        <w:rPr>
          <w:rFonts w:hint="eastAsia" w:cs="宋体" w:asciiTheme="minorEastAsia" w:hAnsiTheme="minorEastAsia" w:eastAsiaTheme="minorEastAsia"/>
          <w:b/>
          <w:color w:val="000000"/>
          <w:sz w:val="24"/>
        </w:rPr>
        <w:t>第五</w:t>
      </w:r>
      <w:r>
        <w:rPr>
          <w:rFonts w:hint="eastAsia" w:cs="宋体" w:asciiTheme="minorEastAsia" w:hAnsiTheme="minorEastAsia" w:eastAsiaTheme="minorEastAsia"/>
          <w:b/>
          <w:bCs/>
          <w:color w:val="000000"/>
          <w:sz w:val="24"/>
        </w:rPr>
        <w:t>章  供应商参加政府采购活动承诺书</w:t>
      </w:r>
    </w:p>
    <w:p>
      <w:pPr>
        <w:pStyle w:val="5"/>
        <w:snapToGrid w:val="0"/>
        <w:spacing w:line="480" w:lineRule="auto"/>
        <w:ind w:firstLine="496" w:firstLineChars="200"/>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第六章  商务和技术响应偏离表</w:t>
      </w:r>
    </w:p>
    <w:p>
      <w:pPr>
        <w:pStyle w:val="5"/>
        <w:snapToGrid w:val="0"/>
        <w:spacing w:line="480" w:lineRule="auto"/>
        <w:ind w:firstLine="496" w:firstLineChars="200"/>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第七章  技术与服务方案</w:t>
      </w:r>
    </w:p>
    <w:p>
      <w:pPr>
        <w:pStyle w:val="5"/>
        <w:snapToGrid w:val="0"/>
        <w:spacing w:line="480" w:lineRule="auto"/>
        <w:ind w:firstLine="496" w:firstLineChars="200"/>
        <w:rPr>
          <w:rFonts w:cs="宋体" w:asciiTheme="minorEastAsia" w:hAnsiTheme="minorEastAsia" w:eastAsiaTheme="minorEastAsia"/>
          <w:b/>
          <w:bCs/>
          <w:color w:val="000000"/>
          <w:sz w:val="24"/>
        </w:rPr>
      </w:pPr>
      <w:r>
        <w:rPr>
          <w:rFonts w:hint="eastAsia" w:cs="宋体" w:asciiTheme="minorEastAsia" w:hAnsiTheme="minorEastAsia" w:eastAsiaTheme="minorEastAsia"/>
          <w:b/>
          <w:color w:val="000000"/>
          <w:sz w:val="24"/>
        </w:rPr>
        <w:t>第</w:t>
      </w:r>
      <w:bookmarkEnd w:id="83"/>
      <w:r>
        <w:rPr>
          <w:rFonts w:hint="eastAsia" w:cs="宋体" w:asciiTheme="minorEastAsia" w:hAnsiTheme="minorEastAsia" w:eastAsiaTheme="minorEastAsia"/>
          <w:b/>
          <w:color w:val="000000"/>
          <w:sz w:val="24"/>
        </w:rPr>
        <w:t>八</w:t>
      </w:r>
      <w:r>
        <w:rPr>
          <w:rFonts w:hint="eastAsia" w:cs="宋体" w:asciiTheme="minorEastAsia" w:hAnsiTheme="minorEastAsia" w:eastAsiaTheme="minorEastAsia"/>
          <w:b/>
          <w:bCs/>
          <w:color w:val="000000"/>
          <w:sz w:val="24"/>
        </w:rPr>
        <w:t>章  服务承诺</w:t>
      </w:r>
    </w:p>
    <w:p>
      <w:pPr>
        <w:pStyle w:val="5"/>
        <w:snapToGrid w:val="0"/>
        <w:spacing w:line="480" w:lineRule="auto"/>
        <w:ind w:firstLine="496" w:firstLineChars="200"/>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第九章  供应商业绩一览表</w:t>
      </w:r>
    </w:p>
    <w:p>
      <w:pPr>
        <w:pStyle w:val="5"/>
        <w:snapToGrid w:val="0"/>
        <w:spacing w:line="480" w:lineRule="auto"/>
        <w:ind w:firstLine="496" w:firstLineChars="200"/>
        <w:rPr>
          <w:rFonts w:cs="宋体" w:asciiTheme="minorEastAsia" w:hAnsiTheme="minorEastAsia" w:eastAsiaTheme="minorEastAsia"/>
          <w:b/>
          <w:bCs/>
          <w:color w:val="000000"/>
          <w:sz w:val="24"/>
        </w:rPr>
      </w:pPr>
      <w:bookmarkStart w:id="84" w:name="_Toc1523_WPSOffice_Level1"/>
      <w:r>
        <w:rPr>
          <w:rFonts w:hint="eastAsia" w:cs="宋体" w:asciiTheme="minorEastAsia" w:hAnsiTheme="minorEastAsia" w:eastAsiaTheme="minorEastAsia"/>
          <w:b/>
          <w:bCs/>
          <w:color w:val="000000"/>
          <w:sz w:val="24"/>
        </w:rPr>
        <w:t xml:space="preserve">第十章  </w:t>
      </w:r>
      <w:bookmarkEnd w:id="84"/>
      <w:r>
        <w:rPr>
          <w:rFonts w:hint="eastAsia" w:cs="宋体" w:asciiTheme="minorEastAsia" w:hAnsiTheme="minorEastAsia" w:eastAsiaTheme="minorEastAsia"/>
          <w:b/>
          <w:bCs/>
          <w:color w:val="000000"/>
          <w:sz w:val="24"/>
        </w:rPr>
        <w:t>供应商认为有必要说明的其他问题</w:t>
      </w:r>
    </w:p>
    <w:p>
      <w:pPr>
        <w:rPr>
          <w:rFonts w:cs="宋体" w:asciiTheme="minorEastAsia" w:hAnsiTheme="minorEastAsia" w:eastAsiaTheme="minorEastAsia"/>
        </w:rPr>
      </w:pPr>
      <w:r>
        <w:rPr>
          <w:rFonts w:hint="eastAsia" w:cs="宋体" w:asciiTheme="minorEastAsia" w:hAnsiTheme="minorEastAsia" w:eastAsiaTheme="minorEastAsia"/>
        </w:rPr>
        <w:br w:type="page"/>
      </w:r>
    </w:p>
    <w:p>
      <w:pPr>
        <w:pStyle w:val="7"/>
        <w:ind w:firstLine="497"/>
        <w:jc w:val="center"/>
        <w:rPr>
          <w:rFonts w:cs="宋体" w:asciiTheme="minorEastAsia" w:hAnsiTheme="minorEastAsia" w:eastAsiaTheme="minorEastAsia"/>
          <w:sz w:val="24"/>
          <w:szCs w:val="24"/>
        </w:rPr>
      </w:pPr>
      <w:bookmarkStart w:id="85" w:name="_Toc135129536"/>
      <w:r>
        <w:rPr>
          <w:rFonts w:hint="eastAsia" w:cs="宋体" w:asciiTheme="minorEastAsia" w:hAnsiTheme="minorEastAsia" w:eastAsiaTheme="minorEastAsia"/>
          <w:sz w:val="24"/>
          <w:szCs w:val="24"/>
        </w:rPr>
        <w:t>第一部分  投标函</w:t>
      </w:r>
      <w:bookmarkEnd w:id="85"/>
    </w:p>
    <w:p>
      <w:pPr>
        <w:spacing w:line="560" w:lineRule="exact"/>
        <w:jc w:val="both"/>
        <w:rPr>
          <w:rFonts w:cs="宋体" w:asciiTheme="minorEastAsia" w:hAnsiTheme="minorEastAsia" w:eastAsiaTheme="minorEastAsia"/>
        </w:rPr>
      </w:pPr>
      <w:r>
        <w:rPr>
          <w:rFonts w:hint="eastAsia" w:cs="宋体" w:asciiTheme="minorEastAsia" w:hAnsiTheme="minorEastAsia" w:eastAsiaTheme="minorEastAsia"/>
        </w:rPr>
        <w:t>陕西卓佲项目管理有限公司：</w:t>
      </w:r>
    </w:p>
    <w:p>
      <w:pPr>
        <w:spacing w:line="560" w:lineRule="exact"/>
        <w:ind w:firstLine="496" w:firstLineChars="200"/>
        <w:rPr>
          <w:rFonts w:cs="宋体" w:asciiTheme="minorEastAsia" w:hAnsiTheme="minorEastAsia" w:eastAsiaTheme="minorEastAsia"/>
        </w:rPr>
      </w:pPr>
      <w:r>
        <w:rPr>
          <w:rFonts w:hint="eastAsia" w:cs="宋体" w:asciiTheme="minorEastAsia" w:hAnsiTheme="minorEastAsia" w:eastAsiaTheme="minorEastAsia"/>
        </w:rPr>
        <w:t>我单位收到项目名称为：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（项目编号为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）的招标文件，经详细研究，我公司决定参加本次招标活动。为此，我方郑重承诺以下诸点，并负法律责任。</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1．我方已详细阅读了招标文件，完全理解并同意招标文件的所有事项及内容。</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3．我方同意向贵单位提供与本次招标有关的全部证明材料，并保证所提交的证明材料真实、合法、有效。</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4．我方理解最低价不是成交的唯一条件，并尊重评标委员会的评审结果。</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5．我方投标文件在开启之日起___个日历日（应不少于90个日历日）内有效。</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6．若我方成交，我方承诺：（1）将投标文件有效期延长至合同执行完毕；（2）遵照招标文件中的要求，完成本项目的合同责任和义务。</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7．所有关于此次招标活动的函电，请按下列方式联系：</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供应商：（供应商全称并加盖公章）</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法定代表人或委托代理人：（签字或盖章）</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联系电话：</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通讯地址：</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邮    编：</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电子邮箱：</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日    期：    年  月  日</w:t>
      </w:r>
    </w:p>
    <w:p>
      <w:pPr>
        <w:rPr>
          <w:rFonts w:cs="宋体" w:asciiTheme="minorEastAsia" w:hAnsiTheme="minorEastAsia" w:eastAsiaTheme="minorEastAsia"/>
        </w:rPr>
      </w:pPr>
      <w:r>
        <w:rPr>
          <w:rFonts w:hint="eastAsia" w:cs="宋体" w:asciiTheme="minorEastAsia" w:hAnsiTheme="minorEastAsia" w:eastAsiaTheme="minorEastAsia"/>
        </w:rPr>
        <w:br w:type="page"/>
      </w:r>
    </w:p>
    <w:p>
      <w:pPr>
        <w:pStyle w:val="7"/>
        <w:numPr>
          <w:ilvl w:val="0"/>
          <w:numId w:val="3"/>
        </w:numPr>
        <w:ind w:firstLine="497"/>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bookmarkStart w:id="86" w:name="_Toc135129537"/>
      <w:r>
        <w:rPr>
          <w:rFonts w:hint="eastAsia" w:cs="宋体" w:asciiTheme="minorEastAsia" w:hAnsiTheme="minorEastAsia" w:eastAsiaTheme="minorEastAsia"/>
          <w:sz w:val="24"/>
          <w:szCs w:val="24"/>
        </w:rPr>
        <w:t>开标一览表</w:t>
      </w:r>
      <w:bookmarkEnd w:id="86"/>
    </w:p>
    <w:p>
      <w:pPr>
        <w:wordWrap w:val="0"/>
        <w:spacing w:line="360" w:lineRule="auto"/>
        <w:rPr>
          <w:rFonts w:cs="宋体" w:asciiTheme="minorEastAsia" w:hAnsiTheme="minorEastAsia" w:eastAsiaTheme="minorEastAsia"/>
          <w:u w:val="single"/>
        </w:rPr>
      </w:pPr>
      <w:r>
        <w:rPr>
          <w:rFonts w:hint="eastAsia" w:cs="宋体" w:asciiTheme="minorEastAsia" w:hAnsiTheme="minorEastAsia" w:eastAsiaTheme="minorEastAsia"/>
        </w:rPr>
        <w:t>项目名称：</w:t>
      </w:r>
      <w:r>
        <w:rPr>
          <w:rFonts w:hint="eastAsia" w:cs="宋体" w:asciiTheme="minorEastAsia" w:hAnsiTheme="minorEastAsia" w:eastAsiaTheme="minorEastAsia"/>
          <w:u w:val="single"/>
        </w:rPr>
        <w:t>西安市中心医院经开院区智能化及物联网系统项目</w:t>
      </w:r>
    </w:p>
    <w:p>
      <w:pPr>
        <w:pStyle w:val="4"/>
        <w:ind w:firstLine="0"/>
        <w:rPr>
          <w:rFonts w:cs="宋体" w:asciiTheme="minorEastAsia" w:hAnsiTheme="minorEastAsia" w:eastAsiaTheme="minorEastAsia"/>
          <w:kern w:val="2"/>
        </w:rPr>
      </w:pPr>
      <w:r>
        <w:rPr>
          <w:rFonts w:hint="eastAsia" w:cs="宋体" w:asciiTheme="minorEastAsia" w:hAnsiTheme="minorEastAsia" w:eastAsiaTheme="minorEastAsia"/>
          <w:kern w:val="2"/>
        </w:rPr>
        <w:t>项目编号：ZMZB2023ZXYY-74</w:t>
      </w:r>
    </w:p>
    <w:p>
      <w:pPr>
        <w:rPr>
          <w:rFonts w:asciiTheme="minorEastAsia" w:hAnsiTheme="minorEastAsia" w:eastAsiaTheme="minorEastAsia"/>
        </w:rPr>
      </w:pPr>
      <w:r>
        <w:rPr>
          <w:rFonts w:hint="eastAsia" w:cs="宋体" w:asciiTheme="minorEastAsia" w:hAnsiTheme="minorEastAsia" w:eastAsiaTheme="minorEastAsia"/>
        </w:rPr>
        <w:t xml:space="preserve">单位：元  </w:t>
      </w:r>
    </w:p>
    <w:tbl>
      <w:tblPr>
        <w:tblStyle w:val="36"/>
        <w:tblW w:w="10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683"/>
        <w:gridCol w:w="1922"/>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2460" w:type="dxa"/>
            <w:tcBorders>
              <w:tl2br w:val="single" w:color="auto" w:sz="4" w:space="0"/>
            </w:tcBorders>
          </w:tcPr>
          <w:p>
            <w:pPr>
              <w:kinsoku w:val="0"/>
              <w:spacing w:line="480" w:lineRule="auto"/>
              <w:ind w:right="-235" w:rightChars="-95" w:firstLine="992" w:firstLineChars="400"/>
              <w:rPr>
                <w:rFonts w:cs="宋体" w:asciiTheme="minorEastAsia" w:hAnsiTheme="minorEastAsia" w:eastAsiaTheme="minorEastAsia"/>
              </w:rPr>
            </w:pPr>
            <w:r>
              <w:rPr>
                <w:rFonts w:hint="eastAsia" w:cs="宋体" w:asciiTheme="minorEastAsia" w:hAnsiTheme="minorEastAsia" w:eastAsiaTheme="minorEastAsia"/>
              </w:rPr>
              <w:t>报价内容</w:t>
            </w:r>
          </w:p>
          <w:p>
            <w:pPr>
              <w:kinsoku w:val="0"/>
              <w:spacing w:line="480" w:lineRule="auto"/>
              <w:ind w:left="10" w:right="-235" w:rightChars="-95" w:firstLine="517" w:firstLineChars="209"/>
              <w:rPr>
                <w:rFonts w:cs="宋体" w:asciiTheme="minorEastAsia" w:hAnsiTheme="minorEastAsia" w:eastAsiaTheme="minorEastAsia"/>
              </w:rPr>
            </w:pPr>
          </w:p>
          <w:p>
            <w:pPr>
              <w:kinsoku w:val="0"/>
              <w:spacing w:line="480" w:lineRule="auto"/>
              <w:ind w:right="-235" w:rightChars="-95"/>
              <w:rPr>
                <w:rFonts w:cs="宋体" w:asciiTheme="minorEastAsia" w:hAnsiTheme="minorEastAsia" w:eastAsiaTheme="minorEastAsia"/>
              </w:rPr>
            </w:pPr>
            <w:r>
              <w:rPr>
                <w:rFonts w:hint="eastAsia" w:cs="宋体" w:asciiTheme="minorEastAsia" w:hAnsiTheme="minorEastAsia" w:eastAsiaTheme="minorEastAsia"/>
              </w:rPr>
              <w:t>投标内容</w:t>
            </w:r>
          </w:p>
        </w:tc>
        <w:tc>
          <w:tcPr>
            <w:tcW w:w="1683" w:type="dxa"/>
            <w:vAlign w:val="center"/>
          </w:tcPr>
          <w:p>
            <w:pPr>
              <w:kinsoku w:val="0"/>
              <w:spacing w:line="480" w:lineRule="auto"/>
              <w:ind w:right="-235" w:rightChars="-95"/>
              <w:jc w:val="center"/>
              <w:rPr>
                <w:rFonts w:cs="宋体" w:asciiTheme="minorEastAsia" w:hAnsiTheme="minorEastAsia" w:eastAsiaTheme="minorEastAsia"/>
              </w:rPr>
            </w:pPr>
            <w:r>
              <w:rPr>
                <w:rFonts w:hint="eastAsia" w:cs="宋体" w:asciiTheme="minorEastAsia" w:hAnsiTheme="minorEastAsia" w:eastAsiaTheme="minorEastAsia"/>
              </w:rPr>
              <w:t>总报价</w:t>
            </w:r>
          </w:p>
        </w:tc>
        <w:tc>
          <w:tcPr>
            <w:tcW w:w="1922" w:type="dxa"/>
            <w:vAlign w:val="center"/>
          </w:tcPr>
          <w:p>
            <w:pPr>
              <w:kinsoku w:val="0"/>
              <w:ind w:right="-235" w:rightChars="-95"/>
              <w:jc w:val="center"/>
              <w:rPr>
                <w:rFonts w:cs="宋体" w:asciiTheme="minorEastAsia" w:hAnsiTheme="minorEastAsia" w:eastAsiaTheme="minorEastAsia"/>
              </w:rPr>
            </w:pPr>
            <w:r>
              <w:rPr>
                <w:rFonts w:hint="eastAsia" w:cs="宋体" w:asciiTheme="minorEastAsia" w:hAnsiTheme="minorEastAsia" w:eastAsiaTheme="minorEastAsia"/>
              </w:rPr>
              <w:t>交付期</w:t>
            </w:r>
          </w:p>
        </w:tc>
        <w:tc>
          <w:tcPr>
            <w:tcW w:w="4274" w:type="dxa"/>
            <w:vAlign w:val="center"/>
          </w:tcPr>
          <w:p>
            <w:pPr>
              <w:kinsoku w:val="0"/>
              <w:ind w:right="-235" w:rightChars="-95"/>
              <w:jc w:val="center"/>
              <w:rPr>
                <w:rFonts w:cs="宋体" w:asciiTheme="minorEastAsia" w:hAnsiTheme="minorEastAsia" w:eastAsiaTheme="minorEastAsia"/>
              </w:rPr>
            </w:pPr>
            <w:r>
              <w:rPr>
                <w:rFonts w:hint="eastAsia" w:cs="宋体" w:asciiTheme="minorEastAsia" w:hAnsiTheme="minorEastAsia" w:eastAsiaTheme="minorEastAsia"/>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460" w:type="dxa"/>
            <w:vAlign w:val="center"/>
          </w:tcPr>
          <w:p>
            <w:pPr>
              <w:kinsoku w:val="0"/>
              <w:ind w:right="69" w:rightChars="28"/>
              <w:jc w:val="center"/>
              <w:rPr>
                <w:rFonts w:cs="宋体" w:asciiTheme="minorEastAsia" w:hAnsiTheme="minorEastAsia" w:eastAsiaTheme="minorEastAsia"/>
              </w:rPr>
            </w:pPr>
            <w:r>
              <w:rPr>
                <w:rFonts w:hint="eastAsia" w:cs="宋体" w:asciiTheme="minorEastAsia" w:hAnsiTheme="minorEastAsia" w:eastAsiaTheme="minorEastAsia"/>
              </w:rPr>
              <w:t>西安市中心医院经开院区智能化及物联网系统项目</w:t>
            </w:r>
          </w:p>
        </w:tc>
        <w:tc>
          <w:tcPr>
            <w:tcW w:w="1683" w:type="dxa"/>
            <w:vAlign w:val="center"/>
          </w:tcPr>
          <w:p>
            <w:pPr>
              <w:kinsoku w:val="0"/>
              <w:spacing w:line="480" w:lineRule="auto"/>
              <w:ind w:left="10" w:right="-235" w:rightChars="-95" w:firstLine="517" w:firstLineChars="209"/>
              <w:jc w:val="center"/>
              <w:rPr>
                <w:rFonts w:cs="宋体" w:asciiTheme="minorEastAsia" w:hAnsiTheme="minorEastAsia" w:eastAsiaTheme="minorEastAsia"/>
              </w:rPr>
            </w:pPr>
          </w:p>
        </w:tc>
        <w:tc>
          <w:tcPr>
            <w:tcW w:w="1922" w:type="dxa"/>
            <w:vAlign w:val="center"/>
          </w:tcPr>
          <w:p>
            <w:pPr>
              <w:kinsoku w:val="0"/>
              <w:spacing w:line="480" w:lineRule="auto"/>
              <w:ind w:left="10" w:right="-235" w:rightChars="-95" w:firstLine="517" w:firstLineChars="209"/>
              <w:jc w:val="center"/>
              <w:rPr>
                <w:rFonts w:cs="宋体" w:asciiTheme="minorEastAsia" w:hAnsiTheme="minorEastAsia" w:eastAsiaTheme="minorEastAsia"/>
              </w:rPr>
            </w:pPr>
          </w:p>
        </w:tc>
        <w:tc>
          <w:tcPr>
            <w:tcW w:w="4274" w:type="dxa"/>
            <w:vAlign w:val="center"/>
          </w:tcPr>
          <w:p>
            <w:pPr>
              <w:kinsoku w:val="0"/>
              <w:spacing w:line="480" w:lineRule="auto"/>
              <w:ind w:left="10" w:right="-235" w:rightChars="-95" w:firstLine="517" w:firstLineChars="209"/>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339" w:type="dxa"/>
            <w:gridSpan w:val="4"/>
          </w:tcPr>
          <w:p>
            <w:pPr>
              <w:kinsoku w:val="0"/>
              <w:ind w:right="-235" w:rightChars="-95"/>
              <w:rPr>
                <w:rFonts w:cs="宋体" w:asciiTheme="minorEastAsia" w:hAnsiTheme="minorEastAsia" w:eastAsiaTheme="minorEastAsia"/>
                <w:b/>
                <w:bCs/>
              </w:rPr>
            </w:pPr>
          </w:p>
          <w:p>
            <w:pPr>
              <w:kinsoku w:val="0"/>
              <w:ind w:right="-235" w:rightChars="-95"/>
              <w:rPr>
                <w:rFonts w:cs="宋体" w:asciiTheme="minorEastAsia" w:hAnsiTheme="minorEastAsia" w:eastAsiaTheme="minorEastAsia"/>
              </w:rPr>
            </w:pPr>
            <w:r>
              <w:rPr>
                <w:rFonts w:hint="eastAsia" w:cs="宋体" w:asciiTheme="minorEastAsia" w:hAnsiTheme="minorEastAsia" w:eastAsiaTheme="minorEastAsia"/>
              </w:rPr>
              <w:t>总报价：（大写）________________（小写）_________________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339" w:type="dxa"/>
            <w:gridSpan w:val="4"/>
            <w:vAlign w:val="center"/>
          </w:tcPr>
          <w:p>
            <w:pPr>
              <w:kinsoku w:val="0"/>
              <w:spacing w:line="480" w:lineRule="auto"/>
              <w:rPr>
                <w:rFonts w:cs="宋体" w:asciiTheme="minorEastAsia" w:hAnsiTheme="minorEastAsia" w:eastAsiaTheme="minorEastAsia"/>
                <w:color w:val="000000"/>
              </w:rPr>
            </w:pPr>
            <w:r>
              <w:rPr>
                <w:rFonts w:hint="eastAsia" w:cs="宋体" w:asciiTheme="minorEastAsia" w:hAnsiTheme="minorEastAsia" w:eastAsiaTheme="minorEastAsia"/>
                <w:color w:val="000000"/>
              </w:rPr>
              <w:t>备注：表内报价内容以元为单位，精确到小数点后两位；</w:t>
            </w:r>
          </w:p>
        </w:tc>
      </w:tr>
    </w:tbl>
    <w:p>
      <w:pPr>
        <w:adjustRightInd w:val="0"/>
        <w:snapToGrid w:val="0"/>
        <w:spacing w:line="480" w:lineRule="auto"/>
        <w:rPr>
          <w:rFonts w:cs="宋体" w:asciiTheme="minorEastAsia" w:hAnsiTheme="minorEastAsia" w:eastAsiaTheme="minorEastAsia"/>
        </w:rPr>
      </w:pPr>
    </w:p>
    <w:p>
      <w:pPr>
        <w:adjustRightInd w:val="0"/>
        <w:snapToGrid w:val="0"/>
        <w:spacing w:line="480" w:lineRule="auto"/>
        <w:rPr>
          <w:rFonts w:cs="宋体" w:asciiTheme="minorEastAsia" w:hAnsiTheme="minorEastAsia" w:eastAsiaTheme="minorEastAsia"/>
        </w:rPr>
      </w:pPr>
      <w:r>
        <w:rPr>
          <w:rFonts w:hint="eastAsia" w:cs="宋体" w:asciiTheme="minorEastAsia" w:hAnsiTheme="minorEastAsia" w:eastAsiaTheme="minorEastAsia"/>
        </w:rPr>
        <w:t>供应商（单位名称及公章）：___________________________</w:t>
      </w:r>
    </w:p>
    <w:p>
      <w:pPr>
        <w:adjustRightInd w:val="0"/>
        <w:snapToGrid w:val="0"/>
        <w:spacing w:line="480" w:lineRule="auto"/>
        <w:rPr>
          <w:rFonts w:asciiTheme="minorEastAsia" w:hAnsiTheme="minorEastAsia" w:eastAsiaTheme="minorEastAsia"/>
        </w:rPr>
      </w:pPr>
      <w:r>
        <w:rPr>
          <w:rFonts w:hint="eastAsia" w:cs="宋体" w:asciiTheme="minorEastAsia" w:hAnsiTheme="minorEastAsia" w:eastAsiaTheme="minorEastAsia"/>
        </w:rPr>
        <w:t>法定代表人或被授权人（签字或盖章）：__________________</w:t>
      </w:r>
    </w:p>
    <w:p>
      <w:pPr>
        <w:adjustRightInd w:val="0"/>
        <w:snapToGrid w:val="0"/>
        <w:spacing w:line="480" w:lineRule="auto"/>
        <w:rPr>
          <w:rFonts w:cs="宋体" w:asciiTheme="minorEastAsia" w:hAnsiTheme="minorEastAsia" w:eastAsiaTheme="minorEastAsia"/>
        </w:rPr>
      </w:pPr>
      <w:r>
        <w:rPr>
          <w:rFonts w:hint="eastAsia" w:cs="宋体" w:asciiTheme="minorEastAsia" w:hAnsiTheme="minorEastAsia" w:eastAsiaTheme="minorEastAsia"/>
        </w:rPr>
        <w:t>时间：_______年________月_______日</w:t>
      </w:r>
    </w:p>
    <w:p>
      <w:pPr>
        <w:spacing w:line="560" w:lineRule="exact"/>
        <w:ind w:firstLine="496" w:firstLineChars="200"/>
        <w:jc w:val="both"/>
        <w:rPr>
          <w:rFonts w:cs="宋体" w:asciiTheme="minorEastAsia" w:hAnsiTheme="minorEastAsia" w:eastAsiaTheme="minorEastAsia"/>
        </w:rPr>
      </w:pPr>
    </w:p>
    <w:p>
      <w:pPr>
        <w:spacing w:line="560" w:lineRule="exact"/>
        <w:ind w:firstLine="496" w:firstLineChars="200"/>
        <w:jc w:val="both"/>
        <w:rPr>
          <w:rFonts w:cs="宋体" w:asciiTheme="minorEastAsia" w:hAnsiTheme="minorEastAsia" w:eastAsiaTheme="minorEastAsia"/>
        </w:rPr>
      </w:pP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br w:type="page"/>
      </w:r>
    </w:p>
    <w:p>
      <w:pPr>
        <w:jc w:val="center"/>
        <w:rPr>
          <w:rFonts w:cs="宋体" w:asciiTheme="minorEastAsia" w:hAnsiTheme="minorEastAsia" w:eastAsiaTheme="minorEastAsia"/>
        </w:rPr>
      </w:pPr>
      <w:r>
        <w:rPr>
          <w:rFonts w:hint="eastAsia" w:cs="宋体" w:asciiTheme="minorEastAsia" w:hAnsiTheme="minorEastAsia" w:eastAsiaTheme="minorEastAsia"/>
        </w:rPr>
        <w:t>分项报价表</w:t>
      </w:r>
    </w:p>
    <w:p>
      <w:pPr>
        <w:wordWrap w:val="0"/>
        <w:spacing w:line="360" w:lineRule="auto"/>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项目名称：西安市中心医院经开院区智能化及物联网系统项目   </w:t>
      </w:r>
    </w:p>
    <w:p>
      <w:pPr>
        <w:wordWrap w:val="0"/>
        <w:spacing w:line="360" w:lineRule="auto"/>
        <w:rPr>
          <w:rFonts w:cs="宋体" w:asciiTheme="minorEastAsia" w:hAnsiTheme="minorEastAsia" w:eastAsiaTheme="minorEastAsia"/>
          <w:color w:val="000000"/>
          <w:u w:val="single"/>
        </w:rPr>
      </w:pPr>
      <w:r>
        <w:rPr>
          <w:rFonts w:hint="eastAsia" w:cs="宋体" w:asciiTheme="minorEastAsia" w:hAnsiTheme="minorEastAsia" w:eastAsiaTheme="minorEastAsia"/>
          <w:color w:val="000000"/>
        </w:rPr>
        <w:t>项目编号：</w:t>
      </w:r>
      <w:r>
        <w:rPr>
          <w:rFonts w:hint="eastAsia" w:cs="宋体" w:asciiTheme="minorEastAsia" w:hAnsiTheme="minorEastAsia" w:eastAsiaTheme="minorEastAsia"/>
          <w:color w:val="000000"/>
          <w:u w:val="single"/>
        </w:rPr>
        <w:t xml:space="preserve"> ZMZB2023ZXYY-74</w:t>
      </w:r>
    </w:p>
    <w:p>
      <w:pPr>
        <w:wordWrap w:val="0"/>
        <w:spacing w:line="360" w:lineRule="auto"/>
        <w:rPr>
          <w:rFonts w:cs="宋体" w:asciiTheme="minorEastAsia" w:hAnsiTheme="minorEastAsia" w:eastAsiaTheme="minorEastAsia"/>
          <w:b/>
          <w:color w:val="000000"/>
        </w:rPr>
      </w:pPr>
      <w:r>
        <w:rPr>
          <w:rFonts w:hint="eastAsia" w:cs="宋体" w:asciiTheme="minorEastAsia" w:hAnsiTheme="minorEastAsia" w:eastAsiaTheme="minorEastAsia"/>
          <w:color w:val="000000"/>
        </w:rPr>
        <w:t>共  页，第  页</w:t>
      </w:r>
    </w:p>
    <w:tbl>
      <w:tblPr>
        <w:tblStyle w:val="36"/>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rPr>
                <w:rFonts w:cs="宋体" w:asciiTheme="minorEastAsia" w:hAnsiTheme="minorEastAsia" w:eastAsiaTheme="minorEastAsia"/>
              </w:rPr>
            </w:pPr>
            <w:r>
              <w:rPr>
                <w:rFonts w:hint="eastAsia" w:cs="宋体" w:asciiTheme="minorEastAsia" w:hAnsiTheme="minorEastAsia" w:eastAsiaTheme="minorEastAsia"/>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cs="宋体" w:asciiTheme="minorEastAsia" w:hAnsiTheme="minorEastAsia" w:eastAsiaTheme="minorEastAsia"/>
              </w:rPr>
            </w:pPr>
            <w:r>
              <w:rPr>
                <w:rFonts w:hint="eastAsia" w:cs="宋体" w:asciiTheme="minorEastAsia" w:hAnsiTheme="minorEastAsia" w:eastAsiaTheme="minorEastAsia"/>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cs="宋体" w:asciiTheme="minorEastAsia" w:hAnsiTheme="minorEastAsia" w:eastAsiaTheme="minorEastAsia"/>
              </w:rPr>
            </w:pPr>
            <w:r>
              <w:rPr>
                <w:rFonts w:hint="eastAsia" w:cs="宋体" w:asciiTheme="minorEastAsia" w:hAnsiTheme="minorEastAsia" w:eastAsiaTheme="minorEastAsia"/>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cs="宋体" w:asciiTheme="minorEastAsia" w:hAnsiTheme="minorEastAsia" w:eastAsiaTheme="minorEastAsia"/>
              </w:rPr>
            </w:pPr>
            <w:r>
              <w:rPr>
                <w:rFonts w:hint="eastAsia" w:cs="宋体" w:asciiTheme="minorEastAsia" w:hAnsiTheme="minorEastAsia" w:eastAsiaTheme="minorEastAsia"/>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cs="宋体" w:asciiTheme="minorEastAsia" w:hAnsiTheme="minorEastAsia" w:eastAsiaTheme="minorEastAsia"/>
              </w:rPr>
            </w:pPr>
            <w:r>
              <w:rPr>
                <w:rFonts w:hint="eastAsia" w:cs="宋体" w:asciiTheme="minorEastAsia" w:hAnsiTheme="minorEastAsia" w:eastAsiaTheme="minorEastAsia"/>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cs="宋体" w:asciiTheme="minorEastAsia" w:hAnsiTheme="minorEastAsia" w:eastAsiaTheme="minorEastAsia"/>
              </w:rPr>
            </w:pPr>
            <w:r>
              <w:rPr>
                <w:rFonts w:hint="eastAsia" w:cs="宋体" w:asciiTheme="minorEastAsia" w:hAnsiTheme="minorEastAsia" w:eastAsiaTheme="minorEastAsia"/>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cs="宋体" w:asciiTheme="minorEastAsia" w:hAnsiTheme="minorEastAsia" w:eastAsiaTheme="minorEastAsia"/>
              </w:rPr>
            </w:pPr>
            <w:r>
              <w:rPr>
                <w:rFonts w:hint="eastAsia" w:cs="宋体" w:asciiTheme="minorEastAsia" w:hAnsiTheme="minorEastAsia" w:eastAsiaTheme="minorEastAsia"/>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cs="宋体" w:asciiTheme="minorEastAsia" w:hAnsiTheme="minorEastAsia" w:eastAsiaTheme="minorEastAsia"/>
              </w:rPr>
            </w:pPr>
            <w:r>
              <w:rPr>
                <w:rFonts w:hint="eastAsia" w:cs="宋体" w:asciiTheme="minorEastAsia" w:hAnsiTheme="minorEastAsia" w:eastAsiaTheme="minorEastAsia"/>
              </w:rPr>
              <w:t>单价</w:t>
            </w:r>
          </w:p>
          <w:p>
            <w:pPr>
              <w:spacing w:after="120"/>
              <w:jc w:val="center"/>
              <w:rPr>
                <w:rFonts w:cs="宋体" w:asciiTheme="minorEastAsia" w:hAnsiTheme="minorEastAsia" w:eastAsiaTheme="minorEastAsia"/>
                <w:bCs/>
              </w:rPr>
            </w:pPr>
            <w:r>
              <w:rPr>
                <w:rFonts w:hint="eastAsia" w:cs="宋体" w:asciiTheme="minorEastAsia" w:hAnsiTheme="minorEastAsia" w:eastAsiaTheme="minorEastAsia"/>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cs="宋体" w:asciiTheme="minorEastAsia" w:hAnsiTheme="minorEastAsia" w:eastAsiaTheme="minorEastAsia"/>
                <w:bCs/>
              </w:rPr>
            </w:pPr>
            <w:r>
              <w:rPr>
                <w:rFonts w:hint="eastAsia" w:cs="宋体" w:asciiTheme="minorEastAsia" w:hAnsiTheme="minorEastAsia" w:eastAsiaTheme="minorEastAsia"/>
                <w:bCs/>
              </w:rPr>
              <w:t>总价</w:t>
            </w:r>
          </w:p>
          <w:p>
            <w:pPr>
              <w:spacing w:after="120"/>
              <w:jc w:val="center"/>
              <w:rPr>
                <w:rFonts w:cs="宋体" w:asciiTheme="minorEastAsia" w:hAnsiTheme="minorEastAsia" w:eastAsiaTheme="minorEastAsia"/>
                <w:bCs/>
              </w:rPr>
            </w:pPr>
            <w:r>
              <w:rPr>
                <w:rFonts w:hint="eastAsia" w:cs="宋体" w:asciiTheme="minorEastAsia" w:hAnsiTheme="minorEastAsia" w:eastAsiaTheme="minorEastAsia"/>
                <w:bCs/>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rFonts w:asciiTheme="minorEastAsia" w:hAnsiTheme="minorEastAsia" w:eastAsiaTheme="minorEastAsia"/>
              </w:rPr>
            </w:p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cs="宋体" w:asciiTheme="minorEastAsia" w:hAnsiTheme="minorEastAsia" w:eastAsiaTheme="minorEastAsia"/>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cs="宋体" w:asciiTheme="minorEastAsia" w:hAnsiTheme="minorEastAsia" w:eastAsiaTheme="minorEastAsia"/>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cs="宋体" w:asciiTheme="minorEastAsia" w:hAnsiTheme="minorEastAsia" w:eastAsiaTheme="minorEastAsia"/>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cs="宋体" w:asciiTheme="minorEastAsia" w:hAnsiTheme="minorEastAsia" w:eastAsiaTheme="minorEastAsia"/>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cs="宋体" w:asciiTheme="minorEastAsia" w:hAnsiTheme="minorEastAsia" w:eastAsiaTheme="minorEastAsia"/>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cs="宋体" w:asciiTheme="minorEastAsia" w:hAnsiTheme="minorEastAsia" w:eastAsiaTheme="minorEastAsia"/>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cs="宋体" w:asciiTheme="minorEastAsia" w:hAnsiTheme="minorEastAsia" w:eastAsiaTheme="minorEastAsia"/>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pPr>
              <w:rPr>
                <w:rFonts w:asciiTheme="minorEastAsia" w:hAnsiTheme="minorEastAsia" w:eastAsiaTheme="minorEastAsia"/>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cs="宋体" w:asciiTheme="minorEastAsia" w:hAnsiTheme="minorEastAsia" w:eastAsiaTheme="minorEastAsia"/>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cs="宋体" w:asciiTheme="minorEastAsia" w:hAnsiTheme="minorEastAsia" w:eastAsiaTheme="minorEastAsia"/>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rFonts w:asciiTheme="minorEastAsia" w:hAnsiTheme="minorEastAsia" w:eastAsiaTheme="minorEastAsia"/>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cs="宋体" w:asciiTheme="minorEastAsia" w:hAnsiTheme="minorEastAsia" w:eastAsiaTheme="minorEastAsia"/>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cs="宋体" w:asciiTheme="minorEastAsia" w:hAnsiTheme="minorEastAsia" w:eastAsiaTheme="minorEastAsia"/>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rFonts w:asciiTheme="minorEastAsia" w:hAnsiTheme="minorEastAsia" w:eastAsiaTheme="minorEastAsia"/>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cs="宋体" w:asciiTheme="minorEastAsia" w:hAnsiTheme="minorEastAsia" w:eastAsiaTheme="minorEastAsia"/>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rFonts w:asciiTheme="minorEastAsia" w:hAnsiTheme="minorEastAsia" w:eastAsiaTheme="minorEastAsia"/>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cs="宋体" w:asciiTheme="minorEastAsia" w:hAnsiTheme="minorEastAsia" w:eastAsiaTheme="minorEastAsia"/>
                <w:b/>
              </w:rPr>
            </w:pPr>
            <w:r>
              <w:rPr>
                <w:rFonts w:hint="eastAsia" w:cs="宋体" w:asciiTheme="minorEastAsia" w:hAnsiTheme="minorEastAsia" w:eastAsiaTheme="minorEastAsia"/>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cs="宋体" w:asciiTheme="minorEastAsia" w:hAnsiTheme="minorEastAsia" w:eastAsiaTheme="minorEastAsia"/>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pPr>
              <w:rPr>
                <w:rFonts w:asciiTheme="minorEastAsia" w:hAnsiTheme="minorEastAsia" w:eastAsiaTheme="minorEastAsia"/>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cs="宋体" w:asciiTheme="minorEastAsia" w:hAnsiTheme="minorEastAsia" w:eastAsiaTheme="minorEastAsia"/>
              </w:rPr>
            </w:pPr>
            <w:r>
              <w:rPr>
                <w:rFonts w:hint="eastAsia" w:cs="宋体" w:asciiTheme="minorEastAsia" w:hAnsiTheme="minorEastAsia" w:eastAsiaTheme="minorEastAsia"/>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r>
              <w:rPr>
                <w:rFonts w:hint="eastAsia" w:cs="宋体" w:asciiTheme="minorEastAsia" w:hAnsiTheme="minorEastAsia" w:eastAsiaTheme="minorEastAsia"/>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cs="宋体" w:asciiTheme="minorEastAsia" w:hAnsiTheme="minorEastAsia" w:eastAsiaTheme="minorEastAsia"/>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安装调试费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r>
              <w:rPr>
                <w:rFonts w:hint="eastAsia" w:cs="宋体" w:asciiTheme="minorEastAsia" w:hAnsiTheme="minorEastAsia" w:eastAsiaTheme="minorEastAsia"/>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运杂费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rPr>
                <w:rFonts w:cs="宋体" w:asciiTheme="minorEastAsia" w:hAnsiTheme="minorEastAsia" w:eastAsiaTheme="minorEastAsia"/>
              </w:rPr>
            </w:pPr>
            <w:r>
              <w:rPr>
                <w:rFonts w:hint="eastAsia" w:cs="宋体" w:asciiTheme="minorEastAsia" w:hAnsiTheme="minorEastAsia" w:eastAsiaTheme="minorEastAsia"/>
              </w:rPr>
              <w:t>大写：</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小写：</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cs="宋体" w:asciiTheme="minorEastAsia" w:hAnsiTheme="minorEastAsia" w:eastAsiaTheme="minorEastAsia"/>
              </w:rPr>
            </w:pPr>
            <w:r>
              <w:rPr>
                <w:rFonts w:hint="eastAsia" w:cs="宋体" w:asciiTheme="minorEastAsia" w:hAnsiTheme="minorEastAsia" w:eastAsiaTheme="minorEastAsia"/>
                <w:spacing w:val="-6"/>
              </w:rPr>
              <w:t>保留小数点后两位。</w:t>
            </w:r>
          </w:p>
        </w:tc>
      </w:tr>
    </w:tbl>
    <w:p>
      <w:pPr>
        <w:adjustRightInd w:val="0"/>
        <w:snapToGrid w:val="0"/>
        <w:spacing w:line="480" w:lineRule="auto"/>
        <w:rPr>
          <w:rFonts w:asciiTheme="minorEastAsia" w:hAnsiTheme="minorEastAsia" w:eastAsiaTheme="minorEastAsia"/>
          <w:color w:val="000000"/>
        </w:rPr>
      </w:pPr>
      <w:r>
        <w:rPr>
          <w:rFonts w:hint="eastAsia" w:asciiTheme="minorEastAsia" w:hAnsiTheme="minorEastAsia" w:eastAsiaTheme="minorEastAsia"/>
          <w:color w:val="000000"/>
        </w:rPr>
        <w:t>供应商（单位名称及公章）：</w:t>
      </w:r>
      <w:r>
        <w:rPr>
          <w:rFonts w:hint="eastAsia" w:cs="宋体" w:asciiTheme="minorEastAsia" w:hAnsiTheme="minorEastAsia" w:eastAsiaTheme="minorEastAsia"/>
        </w:rPr>
        <w:t>___________________________</w:t>
      </w:r>
    </w:p>
    <w:p>
      <w:pPr>
        <w:adjustRightInd w:val="0"/>
        <w:snapToGrid w:val="0"/>
        <w:spacing w:line="480" w:lineRule="auto"/>
        <w:rPr>
          <w:rFonts w:asciiTheme="minorEastAsia" w:hAnsiTheme="minorEastAsia" w:eastAsiaTheme="minorEastAsia"/>
          <w:color w:val="000000"/>
        </w:rPr>
      </w:pPr>
      <w:r>
        <w:rPr>
          <w:rFonts w:hint="eastAsia" w:asciiTheme="minorEastAsia" w:hAnsiTheme="minorEastAsia" w:eastAsiaTheme="minorEastAsia"/>
          <w:color w:val="000000"/>
        </w:rPr>
        <w:t>法定代表人或被授权人（签字或盖章）：</w:t>
      </w:r>
      <w:r>
        <w:rPr>
          <w:rFonts w:hint="eastAsia" w:cs="宋体" w:asciiTheme="minorEastAsia" w:hAnsiTheme="minorEastAsia" w:eastAsiaTheme="minorEastAsia"/>
        </w:rPr>
        <w:t>___________________________</w:t>
      </w:r>
    </w:p>
    <w:p>
      <w:pPr>
        <w:adjustRightInd w:val="0"/>
        <w:snapToGrid w:val="0"/>
        <w:spacing w:line="480" w:lineRule="auto"/>
        <w:rPr>
          <w:rFonts w:cs="宋体" w:asciiTheme="minorEastAsia" w:hAnsiTheme="minorEastAsia" w:eastAsiaTheme="minorEastAsia"/>
        </w:rPr>
      </w:pPr>
      <w:r>
        <w:rPr>
          <w:rFonts w:hint="eastAsia" w:asciiTheme="minorEastAsia" w:hAnsiTheme="minorEastAsia" w:eastAsiaTheme="minorEastAsia"/>
          <w:color w:val="000000"/>
        </w:rPr>
        <w:t>日期：</w:t>
      </w:r>
      <w:r>
        <w:rPr>
          <w:rFonts w:hint="eastAsia" w:cs="宋体" w:asciiTheme="minorEastAsia" w:hAnsiTheme="minorEastAsia" w:eastAsiaTheme="minorEastAsia"/>
        </w:rPr>
        <w:t>_______年________月_______日</w:t>
      </w:r>
    </w:p>
    <w:p>
      <w:pPr>
        <w:adjustRightInd w:val="0"/>
        <w:snapToGrid w:val="0"/>
        <w:spacing w:line="480" w:lineRule="auto"/>
        <w:rPr>
          <w:rFonts w:asciiTheme="minorEastAsia" w:hAnsiTheme="minorEastAsia" w:eastAsiaTheme="minorEastAsia"/>
          <w:color w:val="000000"/>
        </w:rPr>
        <w:sectPr>
          <w:pgSz w:w="11906" w:h="16838"/>
          <w:pgMar w:top="1440" w:right="1803" w:bottom="1440" w:left="1803" w:header="850" w:footer="992" w:gutter="0"/>
          <w:cols w:space="0" w:num="1"/>
          <w:titlePg/>
          <w:docGrid w:type="linesAndChars" w:linePitch="395" w:charSpace="1724"/>
        </w:sectPr>
      </w:pPr>
    </w:p>
    <w:p>
      <w:pPr>
        <w:pStyle w:val="7"/>
        <w:ind w:firstLine="480"/>
        <w:jc w:val="center"/>
        <w:rPr>
          <w:rFonts w:cs="宋体" w:asciiTheme="minorEastAsia" w:hAnsiTheme="minorEastAsia" w:eastAsiaTheme="minorEastAsia"/>
          <w:sz w:val="24"/>
          <w:szCs w:val="24"/>
        </w:rPr>
      </w:pPr>
      <w:bookmarkStart w:id="87" w:name="_Toc135129538"/>
      <w:r>
        <w:rPr>
          <w:rFonts w:hint="eastAsia" w:cs="宋体" w:asciiTheme="minorEastAsia" w:hAnsiTheme="minorEastAsia" w:eastAsiaTheme="minorEastAsia"/>
          <w:sz w:val="24"/>
          <w:szCs w:val="24"/>
        </w:rPr>
        <w:t>第三部分  资格证明文件</w:t>
      </w:r>
      <w:bookmarkEnd w:id="87"/>
    </w:p>
    <w:p>
      <w:pPr>
        <w:spacing w:line="560" w:lineRule="exact"/>
        <w:ind w:firstLine="480" w:firstLineChars="200"/>
        <w:jc w:val="both"/>
        <w:rPr>
          <w:rFonts w:cs="宋体" w:asciiTheme="minorEastAsia" w:hAnsiTheme="minorEastAsia" w:eastAsiaTheme="minorEastAsia"/>
        </w:rPr>
      </w:pPr>
      <w:r>
        <w:rPr>
          <w:rFonts w:hint="eastAsia" w:cs="宋体" w:asciiTheme="minorEastAsia" w:hAnsiTheme="minorEastAsia" w:eastAsiaTheme="minorEastAsia"/>
        </w:rPr>
        <w:t>按照招标文件第一章《投标邀请函》所列“供应商资格要求”提供各项资格证明文件，未按要求提供的，其投标文件将被视为无效文件。</w:t>
      </w:r>
    </w:p>
    <w:p>
      <w:pPr>
        <w:rPr>
          <w:rFonts w:cs="宋体" w:asciiTheme="minorEastAsia" w:hAnsiTheme="minorEastAsia" w:eastAsiaTheme="minorEastAsia"/>
        </w:rPr>
      </w:pPr>
      <w:r>
        <w:rPr>
          <w:rFonts w:hint="eastAsia" w:cs="宋体" w:asciiTheme="minorEastAsia" w:hAnsiTheme="minorEastAsia" w:eastAsiaTheme="minorEastAsia"/>
        </w:rPr>
        <w:t>（一）基本资格条件</w:t>
      </w:r>
    </w:p>
    <w:p>
      <w:pPr>
        <w:pStyle w:val="19"/>
        <w:rPr>
          <w:rFonts w:cs="宋体" w:asciiTheme="minorEastAsia" w:hAnsiTheme="minorEastAsia" w:eastAsiaTheme="minorEastAsia"/>
          <w:sz w:val="24"/>
        </w:rPr>
      </w:pPr>
      <w:r>
        <w:rPr>
          <w:rFonts w:hint="eastAsia" w:cs="宋体" w:asciiTheme="minorEastAsia" w:hAnsiTheme="minorEastAsia" w:eastAsiaTheme="minorEastAsia"/>
          <w:sz w:val="24"/>
        </w:rPr>
        <w:t>满足《中华人民共和国政府采购法》第二十二条规定的</w:t>
      </w:r>
    </w:p>
    <w:p>
      <w:pPr>
        <w:pStyle w:val="19"/>
        <w:jc w:val="center"/>
        <w:rPr>
          <w:rFonts w:cs="宋体" w:asciiTheme="minorEastAsia" w:hAnsiTheme="minorEastAsia" w:eastAsiaTheme="minorEastAsia"/>
          <w:sz w:val="24"/>
        </w:rPr>
      </w:pPr>
      <w:r>
        <w:rPr>
          <w:rFonts w:hint="eastAsia" w:cs="宋体" w:asciiTheme="minorEastAsia" w:hAnsiTheme="minorEastAsia" w:eastAsiaTheme="minorEastAsia"/>
          <w:sz w:val="24"/>
        </w:rPr>
        <w:t>资格承诺（格式）</w:t>
      </w:r>
    </w:p>
    <w:p>
      <w:pPr>
        <w:snapToGrid w:val="0"/>
        <w:spacing w:line="480" w:lineRule="auto"/>
        <w:rPr>
          <w:rFonts w:cs="宋体" w:asciiTheme="minorEastAsia" w:hAnsiTheme="minorEastAsia" w:eastAsiaTheme="minorEastAsia"/>
        </w:rPr>
      </w:pPr>
      <w:r>
        <w:rPr>
          <w:rFonts w:hint="eastAsia" w:cs="宋体" w:asciiTheme="minorEastAsia" w:hAnsiTheme="minorEastAsia" w:eastAsiaTheme="minorEastAsia"/>
        </w:rPr>
        <w:t>(采购人名称）_______________________：</w:t>
      </w:r>
    </w:p>
    <w:p>
      <w:pPr>
        <w:snapToGrid w:val="0"/>
        <w:spacing w:line="48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我单位参与陕西卓佲项目管理有限公司组织________________________(项目名称)公开招标，我公司符合《中华人民共和国政府采购法》规定的供应商资格条件：</w:t>
      </w:r>
    </w:p>
    <w:p>
      <w:pPr>
        <w:numPr>
          <w:ilvl w:val="0"/>
          <w:numId w:val="4"/>
        </w:numPr>
        <w:spacing w:line="500" w:lineRule="exact"/>
        <w:rPr>
          <w:rFonts w:cs="宋体" w:asciiTheme="minorEastAsia" w:hAnsiTheme="minorEastAsia" w:eastAsiaTheme="minorEastAsia"/>
        </w:rPr>
      </w:pPr>
      <w:r>
        <w:rPr>
          <w:rFonts w:hint="eastAsia" w:cs="宋体" w:asciiTheme="minorEastAsia" w:hAnsiTheme="minorEastAsia" w:eastAsiaTheme="minorEastAsia"/>
        </w:rPr>
        <w:t>具有独立承担民事责任的能力；</w:t>
      </w:r>
    </w:p>
    <w:p>
      <w:pPr>
        <w:numPr>
          <w:ilvl w:val="0"/>
          <w:numId w:val="4"/>
        </w:numPr>
        <w:spacing w:line="500" w:lineRule="exact"/>
        <w:rPr>
          <w:rFonts w:cs="宋体" w:asciiTheme="minorEastAsia" w:hAnsiTheme="minorEastAsia" w:eastAsiaTheme="minorEastAsia"/>
        </w:rPr>
      </w:pPr>
      <w:r>
        <w:rPr>
          <w:rFonts w:hint="eastAsia" w:cs="宋体" w:asciiTheme="minorEastAsia" w:hAnsiTheme="minorEastAsia" w:eastAsiaTheme="minorEastAsia"/>
        </w:rPr>
        <w:t>具有良好的商业信誉和健全的财务会计制度；</w:t>
      </w:r>
    </w:p>
    <w:p>
      <w:pPr>
        <w:numPr>
          <w:ilvl w:val="0"/>
          <w:numId w:val="4"/>
        </w:numPr>
        <w:spacing w:line="500" w:lineRule="exact"/>
        <w:rPr>
          <w:rFonts w:cs="宋体" w:asciiTheme="minorEastAsia" w:hAnsiTheme="minorEastAsia" w:eastAsiaTheme="minorEastAsia"/>
        </w:rPr>
      </w:pPr>
      <w:r>
        <w:rPr>
          <w:rFonts w:hint="eastAsia" w:cs="宋体" w:asciiTheme="minorEastAsia" w:hAnsiTheme="minorEastAsia" w:eastAsiaTheme="minorEastAsia"/>
        </w:rPr>
        <w:t>具有履行合同所必需的设备和专业技术能力；</w:t>
      </w:r>
    </w:p>
    <w:p>
      <w:pPr>
        <w:numPr>
          <w:ilvl w:val="0"/>
          <w:numId w:val="4"/>
        </w:numPr>
        <w:spacing w:line="500" w:lineRule="exact"/>
        <w:rPr>
          <w:rFonts w:cs="宋体" w:asciiTheme="minorEastAsia" w:hAnsiTheme="minorEastAsia" w:eastAsiaTheme="minorEastAsia"/>
        </w:rPr>
      </w:pPr>
      <w:r>
        <w:rPr>
          <w:rFonts w:hint="eastAsia" w:cs="宋体" w:asciiTheme="minorEastAsia" w:hAnsiTheme="minorEastAsia" w:eastAsiaTheme="minorEastAsia"/>
        </w:rPr>
        <w:t>具有依法缴纳税收和社会保障资金的良好记录；</w:t>
      </w:r>
    </w:p>
    <w:p>
      <w:pPr>
        <w:numPr>
          <w:ilvl w:val="0"/>
          <w:numId w:val="4"/>
        </w:numPr>
        <w:spacing w:line="500" w:lineRule="exact"/>
        <w:rPr>
          <w:rFonts w:cs="宋体" w:asciiTheme="minorEastAsia" w:hAnsiTheme="minorEastAsia" w:eastAsiaTheme="minorEastAsia"/>
        </w:rPr>
      </w:pPr>
      <w:r>
        <w:rPr>
          <w:rFonts w:hint="eastAsia" w:cs="宋体" w:asciiTheme="minorEastAsia" w:hAnsiTheme="minorEastAsia" w:eastAsiaTheme="minorEastAsia"/>
        </w:rPr>
        <w:t>参加此项采购活动前三年内，在经营活动中没有重大违法记录；</w:t>
      </w:r>
    </w:p>
    <w:p>
      <w:pPr>
        <w:numPr>
          <w:ilvl w:val="0"/>
          <w:numId w:val="4"/>
        </w:numPr>
        <w:spacing w:line="500" w:lineRule="exact"/>
        <w:rPr>
          <w:rFonts w:cs="宋体" w:asciiTheme="minorEastAsia" w:hAnsiTheme="minorEastAsia" w:eastAsiaTheme="minorEastAsia"/>
        </w:rPr>
      </w:pPr>
      <w:r>
        <w:rPr>
          <w:rFonts w:hint="eastAsia" w:cs="宋体" w:asciiTheme="minorEastAsia" w:hAnsiTheme="minorEastAsia" w:eastAsiaTheme="minorEastAsia"/>
        </w:rPr>
        <w:t>法律、行政法规规定的其他条件。</w:t>
      </w:r>
    </w:p>
    <w:p>
      <w:pPr>
        <w:pStyle w:val="19"/>
        <w:rPr>
          <w:rFonts w:cs="宋体" w:asciiTheme="minorEastAsia" w:hAnsiTheme="minorEastAsia" w:eastAsiaTheme="minorEastAsia"/>
          <w:sz w:val="24"/>
        </w:rPr>
      </w:pPr>
    </w:p>
    <w:p>
      <w:pPr>
        <w:snapToGrid w:val="0"/>
        <w:spacing w:line="48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我方对此声明负全部法律责任。</w:t>
      </w:r>
    </w:p>
    <w:p>
      <w:pPr>
        <w:pStyle w:val="5"/>
        <w:spacing w:line="480" w:lineRule="auto"/>
        <w:rPr>
          <w:rFonts w:cs="宋体" w:asciiTheme="minorEastAsia" w:hAnsiTheme="minorEastAsia" w:eastAsiaTheme="minorEastAsia"/>
          <w:sz w:val="24"/>
        </w:rPr>
      </w:pPr>
      <w:r>
        <w:rPr>
          <w:rFonts w:hint="eastAsia" w:cs="宋体" w:asciiTheme="minorEastAsia" w:hAnsiTheme="minorEastAsia" w:eastAsiaTheme="minorEastAsia"/>
          <w:sz w:val="24"/>
        </w:rPr>
        <w:t>供应商（单位名称及公章）：______________________</w:t>
      </w:r>
    </w:p>
    <w:p>
      <w:pPr>
        <w:pStyle w:val="5"/>
        <w:spacing w:line="480" w:lineRule="auto"/>
        <w:rPr>
          <w:rFonts w:cs="宋体" w:asciiTheme="minorEastAsia" w:hAnsiTheme="minorEastAsia" w:eastAsiaTheme="minorEastAsia"/>
          <w:sz w:val="24"/>
        </w:rPr>
      </w:pPr>
      <w:r>
        <w:rPr>
          <w:rFonts w:hint="eastAsia" w:cs="宋体" w:asciiTheme="minorEastAsia" w:hAnsiTheme="minorEastAsia" w:eastAsiaTheme="minorEastAsia"/>
          <w:sz w:val="24"/>
        </w:rPr>
        <w:t>法定代表人或被授权人（签字或盖章）：______________________</w:t>
      </w:r>
    </w:p>
    <w:p>
      <w:pPr>
        <w:adjustRightInd w:val="0"/>
        <w:snapToGrid w:val="0"/>
        <w:spacing w:line="480" w:lineRule="auto"/>
        <w:rPr>
          <w:rFonts w:cs="宋体" w:asciiTheme="minorEastAsia" w:hAnsiTheme="minorEastAsia" w:eastAsiaTheme="minorEastAsia"/>
        </w:rPr>
      </w:pPr>
      <w:r>
        <w:rPr>
          <w:rFonts w:hint="eastAsia" w:cs="宋体" w:asciiTheme="minorEastAsia" w:hAnsiTheme="minorEastAsia" w:eastAsiaTheme="minorEastAsia"/>
        </w:rPr>
        <w:t>日    期：______________________</w:t>
      </w:r>
    </w:p>
    <w:p>
      <w:pPr>
        <w:rPr>
          <w:rFonts w:cs="宋体" w:asciiTheme="minorEastAsia" w:hAnsiTheme="minorEastAsia" w:eastAsiaTheme="minorEastAsia"/>
        </w:rPr>
      </w:pPr>
      <w:bookmarkStart w:id="88" w:name="_Toc30568"/>
      <w:bookmarkStart w:id="89" w:name="_Toc28294"/>
      <w:bookmarkStart w:id="90" w:name="_Toc9106"/>
      <w:bookmarkStart w:id="91" w:name="_Toc32575"/>
      <w:bookmarkStart w:id="92" w:name="_Toc14575"/>
      <w:bookmarkStart w:id="93" w:name="_Toc26570"/>
      <w:bookmarkStart w:id="94" w:name="_Toc29109"/>
      <w:bookmarkStart w:id="95" w:name="_Toc18738"/>
      <w:r>
        <w:rPr>
          <w:rFonts w:hint="eastAsia" w:cs="宋体" w:asciiTheme="minorEastAsia" w:hAnsiTheme="minorEastAsia" w:eastAsiaTheme="minorEastAsia"/>
        </w:rPr>
        <w:br w:type="page"/>
      </w:r>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（二）特定资格条件</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1、具有独立承担民事责任能力的法人、其他组织或自然人，提供合法有效的统一社会信用代码营业执照（事业单位提供事业单位法人证书，自然人应提供身份证）；</w:t>
      </w:r>
    </w:p>
    <w:p>
      <w:pPr>
        <w:keepNext/>
        <w:keepLines/>
        <w:spacing w:line="413" w:lineRule="auto"/>
        <w:ind w:firstLine="480" w:firstLineChars="200"/>
        <w:rPr>
          <w:rFonts w:cs="宋体" w:asciiTheme="minorEastAsia" w:hAnsiTheme="minorEastAsia" w:eastAsiaTheme="minorEastAsia"/>
        </w:rPr>
        <w:sectPr>
          <w:headerReference r:id="rId10" w:type="default"/>
          <w:pgSz w:w="11906" w:h="16838"/>
          <w:pgMar w:top="1440" w:right="1803" w:bottom="1440" w:left="1803" w:header="851" w:footer="992" w:gutter="0"/>
          <w:cols w:space="720" w:num="1"/>
          <w:docGrid w:type="lines" w:linePitch="319" w:charSpace="0"/>
        </w:sectPr>
      </w:pPr>
      <w:r>
        <w:rPr>
          <w:rFonts w:hint="eastAsia" w:cs="宋体" w:asciiTheme="minorEastAsia" w:hAnsiTheme="minorEastAsia" w:eastAsiaTheme="minorEastAsia"/>
        </w:rPr>
        <w:t>2、财务状况证明：供应商提供2021年度或2022年度经审计完整的财务审计报告（成立时间至提交投标文件截止时间不足一年的可提供成立后任意时段的资产负债表），或其开标前三个月内供应商开户银行基本账户银行出具的资信证明，或财政部门认可的政府采购专业担保机构出具的投标担保函；</w:t>
      </w:r>
    </w:p>
    <w:p>
      <w:pPr>
        <w:keepNext/>
        <w:keepLines/>
        <w:spacing w:line="413" w:lineRule="auto"/>
        <w:jc w:val="center"/>
        <w:rPr>
          <w:rFonts w:cs="宋体" w:asciiTheme="minorEastAsia" w:hAnsiTheme="minorEastAsia" w:eastAsiaTheme="minorEastAsia"/>
        </w:rPr>
      </w:pPr>
      <w:r>
        <w:rPr>
          <w:rFonts w:hint="eastAsia" w:cs="宋体" w:asciiTheme="minorEastAsia" w:hAnsiTheme="minorEastAsia" w:eastAsiaTheme="minorEastAsia"/>
        </w:rPr>
        <w:t>3、履行合同所必需的设备和专业技术能力声明（格式）</w:t>
      </w:r>
    </w:p>
    <w:p>
      <w:pPr>
        <w:rPr>
          <w:rFonts w:cs="宋体" w:asciiTheme="minorEastAsia" w:hAnsiTheme="minorEastAsia" w:eastAsiaTheme="minorEastAsia"/>
        </w:rPr>
      </w:pPr>
    </w:p>
    <w:p>
      <w:pPr>
        <w:snapToGrid w:val="0"/>
        <w:spacing w:line="480" w:lineRule="auto"/>
        <w:rPr>
          <w:rFonts w:cs="宋体" w:asciiTheme="minorEastAsia" w:hAnsiTheme="minorEastAsia" w:eastAsiaTheme="minorEastAsia"/>
        </w:rPr>
      </w:pPr>
      <w:r>
        <w:rPr>
          <w:rFonts w:hint="eastAsia" w:cs="宋体" w:asciiTheme="minorEastAsia" w:hAnsiTheme="minorEastAsia" w:eastAsiaTheme="minorEastAsia"/>
        </w:rPr>
        <w:t>(采购人名称）_______________________：</w:t>
      </w:r>
    </w:p>
    <w:p>
      <w:pPr>
        <w:snapToGrid w:val="0"/>
        <w:spacing w:line="480" w:lineRule="auto"/>
        <w:ind w:firstLine="720" w:firstLineChars="300"/>
        <w:rPr>
          <w:rFonts w:cs="宋体" w:asciiTheme="minorEastAsia" w:hAnsiTheme="minorEastAsia" w:eastAsiaTheme="minorEastAsia"/>
        </w:rPr>
      </w:pPr>
      <w:r>
        <w:rPr>
          <w:rFonts w:hint="eastAsia" w:cs="宋体" w:asciiTheme="minorEastAsia" w:hAnsiTheme="minorEastAsia" w:eastAsiaTheme="minorEastAsia"/>
        </w:rPr>
        <w:t>我单位参与陕西卓佲项目管理有限公司组织的____________________(项目名称)，我单位郑重声明：我方</w:t>
      </w:r>
      <w:r>
        <w:rPr>
          <w:rFonts w:hint="eastAsia" w:cs="宋体" w:asciiTheme="minorEastAsia" w:hAnsiTheme="minorEastAsia" w:eastAsiaTheme="minorEastAsia"/>
          <w:b/>
          <w:bCs/>
        </w:rPr>
        <w:t>具有履行合同所必需的设备和专业技术能力</w:t>
      </w:r>
      <w:r>
        <w:rPr>
          <w:rFonts w:hint="eastAsia" w:cs="宋体" w:asciiTheme="minorEastAsia" w:hAnsiTheme="minorEastAsia" w:eastAsiaTheme="minorEastAsia"/>
        </w:rPr>
        <w:t>，符合《中华人民共和国政府采购法》规定的供应商资格条件，我方对此声明负全部法律责任。</w:t>
      </w:r>
    </w:p>
    <w:p>
      <w:pPr>
        <w:snapToGrid w:val="0"/>
        <w:spacing w:line="48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特此声明。</w:t>
      </w:r>
    </w:p>
    <w:p>
      <w:pPr>
        <w:pStyle w:val="5"/>
        <w:spacing w:line="500" w:lineRule="exact"/>
        <w:rPr>
          <w:rFonts w:cs="宋体" w:asciiTheme="minorEastAsia" w:hAnsiTheme="minorEastAsia" w:eastAsiaTheme="minorEastAsia"/>
          <w:sz w:val="24"/>
        </w:rPr>
      </w:pPr>
    </w:p>
    <w:p>
      <w:pPr>
        <w:pStyle w:val="5"/>
        <w:spacing w:line="480" w:lineRule="auto"/>
        <w:rPr>
          <w:rFonts w:cs="宋体" w:asciiTheme="minorEastAsia" w:hAnsiTheme="minorEastAsia" w:eastAsiaTheme="minorEastAsia"/>
          <w:sz w:val="24"/>
        </w:rPr>
      </w:pPr>
    </w:p>
    <w:p>
      <w:pPr>
        <w:pStyle w:val="5"/>
        <w:spacing w:line="480" w:lineRule="auto"/>
        <w:rPr>
          <w:rFonts w:cs="宋体" w:asciiTheme="minorEastAsia" w:hAnsiTheme="minorEastAsia" w:eastAsiaTheme="minorEastAsia"/>
          <w:sz w:val="24"/>
        </w:rPr>
      </w:pPr>
      <w:r>
        <w:rPr>
          <w:rFonts w:hint="eastAsia" w:cs="宋体" w:asciiTheme="minorEastAsia" w:hAnsiTheme="minorEastAsia" w:eastAsiaTheme="minorEastAsia"/>
          <w:sz w:val="24"/>
        </w:rPr>
        <w:t>供应商（单位名称及公章）：______________________</w:t>
      </w:r>
    </w:p>
    <w:p>
      <w:pPr>
        <w:pStyle w:val="5"/>
        <w:spacing w:line="480" w:lineRule="auto"/>
        <w:rPr>
          <w:rFonts w:cs="宋体" w:asciiTheme="minorEastAsia" w:hAnsiTheme="minorEastAsia" w:eastAsiaTheme="minorEastAsia"/>
          <w:sz w:val="24"/>
        </w:rPr>
      </w:pPr>
      <w:r>
        <w:rPr>
          <w:rFonts w:hint="eastAsia" w:cs="宋体" w:asciiTheme="minorEastAsia" w:hAnsiTheme="minorEastAsia" w:eastAsiaTheme="minorEastAsia"/>
          <w:sz w:val="24"/>
        </w:rPr>
        <w:t>法定代表人或被授权人（签字或盖章）：______________________</w:t>
      </w:r>
    </w:p>
    <w:p>
      <w:pPr>
        <w:adjustRightInd w:val="0"/>
        <w:snapToGrid w:val="0"/>
        <w:spacing w:line="480" w:lineRule="auto"/>
        <w:rPr>
          <w:rFonts w:cs="宋体" w:asciiTheme="minorEastAsia" w:hAnsiTheme="minorEastAsia" w:eastAsiaTheme="minorEastAsia"/>
        </w:rPr>
      </w:pPr>
      <w:r>
        <w:rPr>
          <w:rFonts w:hint="eastAsia" w:cs="宋体" w:asciiTheme="minorEastAsia" w:hAnsiTheme="minorEastAsia" w:eastAsiaTheme="minorEastAsia"/>
        </w:rPr>
        <w:t>日    期：______________________</w:t>
      </w:r>
    </w:p>
    <w:p>
      <w:pPr>
        <w:spacing w:line="360" w:lineRule="auto"/>
        <w:ind w:firstLine="480" w:firstLineChars="200"/>
        <w:rPr>
          <w:rFonts w:cs="宋体" w:asciiTheme="minorEastAsia" w:hAnsiTheme="minorEastAsia" w:eastAsiaTheme="minorEastAsia"/>
        </w:rPr>
        <w:sectPr>
          <w:pgSz w:w="11906" w:h="16838"/>
          <w:pgMar w:top="1440" w:right="1803" w:bottom="1440" w:left="1803" w:header="851" w:footer="992" w:gutter="0"/>
          <w:cols w:space="720" w:num="1"/>
          <w:docGrid w:type="lines" w:linePitch="319" w:charSpace="0"/>
        </w:sectPr>
      </w:pP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4、社会保障资金缴纳证明：提供2022年8月以来至少一个月的社会保障资金缴存单据或社保机构开具的社会保险参保缴费情况证明。依法不需要缴纳社会保障资金的供应商应提供相关文件证明；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5、税收缴纳证明：提供2022年8月以来至少一个月的纳税证明或完税证明，依法免税的单位应提供相关证明材料；</w:t>
      </w: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tabs>
          <w:tab w:val="left" w:pos="2850"/>
        </w:tabs>
        <w:rPr>
          <w:rFonts w:cs="宋体" w:asciiTheme="minorEastAsia" w:hAnsiTheme="minorEastAsia" w:eastAsiaTheme="minorEastAsia"/>
        </w:rPr>
      </w:pPr>
      <w:r>
        <w:rPr>
          <w:rFonts w:hint="eastAsia" w:cs="宋体" w:asciiTheme="minorEastAsia" w:hAnsiTheme="minorEastAsia" w:eastAsiaTheme="minorEastAsia"/>
        </w:rPr>
        <w:tab/>
      </w:r>
    </w:p>
    <w:p>
      <w:pPr>
        <w:pStyle w:val="4"/>
        <w:rPr>
          <w:rFonts w:asciiTheme="minorEastAsia" w:hAnsiTheme="minorEastAsia" w:eastAsiaTheme="minorEastAsia"/>
        </w:rPr>
      </w:pPr>
    </w:p>
    <w:p>
      <w:pPr>
        <w:tabs>
          <w:tab w:val="left" w:pos="2235"/>
        </w:tabs>
        <w:rPr>
          <w:rFonts w:cs="宋体" w:asciiTheme="minorEastAsia" w:hAnsiTheme="minorEastAsia" w:eastAsiaTheme="minorEastAsia"/>
        </w:rPr>
      </w:pPr>
      <w:r>
        <w:rPr>
          <w:rFonts w:hint="eastAsia" w:cs="宋体" w:asciiTheme="minorEastAsia" w:hAnsiTheme="minorEastAsia" w:eastAsiaTheme="minorEastAsia"/>
        </w:rPr>
        <w:tab/>
      </w:r>
    </w:p>
    <w:p>
      <w:pPr>
        <w:rPr>
          <w:rFonts w:cs="宋体" w:asciiTheme="minorEastAsia" w:hAnsiTheme="minorEastAsia" w:eastAsiaTheme="minorEastAsia"/>
        </w:rPr>
      </w:pPr>
      <w:r>
        <w:rPr>
          <w:rFonts w:cs="宋体" w:asciiTheme="minorEastAsia" w:hAnsiTheme="minorEastAsia" w:eastAsiaTheme="minorEastAsia"/>
        </w:rPr>
        <w:br w:type="page"/>
      </w:r>
    </w:p>
    <w:p>
      <w:pPr>
        <w:jc w:val="center"/>
        <w:rPr>
          <w:rFonts w:cs="宋体" w:asciiTheme="minorEastAsia" w:hAnsiTheme="minorEastAsia" w:eastAsiaTheme="minorEastAsia"/>
        </w:rPr>
      </w:pPr>
    </w:p>
    <w:p>
      <w:pPr>
        <w:keepNext/>
        <w:keepLines/>
        <w:spacing w:line="413" w:lineRule="auto"/>
        <w:jc w:val="center"/>
        <w:rPr>
          <w:rFonts w:cs="宋体" w:asciiTheme="minorEastAsia" w:hAnsiTheme="minorEastAsia" w:eastAsiaTheme="minorEastAsia"/>
        </w:rPr>
      </w:pPr>
      <w:r>
        <w:rPr>
          <w:rFonts w:hint="eastAsia" w:cs="宋体" w:asciiTheme="minorEastAsia" w:hAnsiTheme="minorEastAsia" w:eastAsiaTheme="minorEastAsia"/>
        </w:rPr>
        <w:t>6、无重大违法记录声明（格式）</w:t>
      </w:r>
    </w:p>
    <w:p>
      <w:pPr>
        <w:rPr>
          <w:rFonts w:cs="宋体" w:asciiTheme="minorEastAsia" w:hAnsiTheme="minorEastAsia" w:eastAsiaTheme="minorEastAsia"/>
        </w:rPr>
      </w:pPr>
    </w:p>
    <w:p>
      <w:pPr>
        <w:snapToGrid w:val="0"/>
        <w:spacing w:line="480" w:lineRule="auto"/>
        <w:rPr>
          <w:rFonts w:cs="宋体" w:asciiTheme="minorEastAsia" w:hAnsiTheme="minorEastAsia" w:eastAsiaTheme="minorEastAsia"/>
        </w:rPr>
      </w:pPr>
      <w:r>
        <w:rPr>
          <w:rFonts w:hint="eastAsia" w:cs="宋体" w:asciiTheme="minorEastAsia" w:hAnsiTheme="minorEastAsia" w:eastAsiaTheme="minorEastAsia"/>
        </w:rPr>
        <w:t>(采购人名称）_______________________：</w:t>
      </w:r>
    </w:p>
    <w:p>
      <w:pPr>
        <w:snapToGrid w:val="0"/>
        <w:spacing w:line="48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snapToGrid w:val="0"/>
        <w:spacing w:line="48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特此声明。</w:t>
      </w:r>
    </w:p>
    <w:p>
      <w:pPr>
        <w:pStyle w:val="5"/>
        <w:spacing w:line="500" w:lineRule="exact"/>
        <w:rPr>
          <w:rFonts w:cs="宋体" w:asciiTheme="minorEastAsia" w:hAnsiTheme="minorEastAsia" w:eastAsiaTheme="minorEastAsia"/>
          <w:sz w:val="24"/>
        </w:rPr>
      </w:pPr>
    </w:p>
    <w:p>
      <w:pPr>
        <w:pStyle w:val="5"/>
        <w:spacing w:line="480" w:lineRule="auto"/>
        <w:rPr>
          <w:rFonts w:cs="宋体" w:asciiTheme="minorEastAsia" w:hAnsiTheme="minorEastAsia" w:eastAsiaTheme="minorEastAsia"/>
          <w:sz w:val="24"/>
        </w:rPr>
      </w:pPr>
    </w:p>
    <w:p>
      <w:pPr>
        <w:pStyle w:val="5"/>
        <w:spacing w:line="480" w:lineRule="auto"/>
        <w:rPr>
          <w:rFonts w:cs="宋体" w:asciiTheme="minorEastAsia" w:hAnsiTheme="minorEastAsia" w:eastAsiaTheme="minorEastAsia"/>
          <w:sz w:val="24"/>
        </w:rPr>
      </w:pPr>
      <w:r>
        <w:rPr>
          <w:rFonts w:hint="eastAsia" w:cs="宋体" w:asciiTheme="minorEastAsia" w:hAnsiTheme="minorEastAsia" w:eastAsiaTheme="minorEastAsia"/>
          <w:sz w:val="24"/>
        </w:rPr>
        <w:t>供应商（单位名称及公章）：______________________</w:t>
      </w:r>
    </w:p>
    <w:p>
      <w:pPr>
        <w:pStyle w:val="5"/>
        <w:spacing w:line="480" w:lineRule="auto"/>
        <w:rPr>
          <w:rFonts w:cs="宋体" w:asciiTheme="minorEastAsia" w:hAnsiTheme="minorEastAsia" w:eastAsiaTheme="minorEastAsia"/>
          <w:sz w:val="24"/>
        </w:rPr>
      </w:pPr>
      <w:r>
        <w:rPr>
          <w:rFonts w:hint="eastAsia" w:cs="宋体" w:asciiTheme="minorEastAsia" w:hAnsiTheme="minorEastAsia" w:eastAsiaTheme="minorEastAsia"/>
          <w:sz w:val="24"/>
        </w:rPr>
        <w:t>法定代表人或被授权人（签字或盖章）：______________________</w:t>
      </w:r>
    </w:p>
    <w:p>
      <w:pPr>
        <w:adjustRightInd w:val="0"/>
        <w:snapToGrid w:val="0"/>
        <w:spacing w:line="480" w:lineRule="auto"/>
        <w:rPr>
          <w:rFonts w:cs="宋体" w:asciiTheme="minorEastAsia" w:hAnsiTheme="minorEastAsia" w:eastAsiaTheme="minorEastAsia"/>
        </w:rPr>
      </w:pPr>
      <w:r>
        <w:rPr>
          <w:rFonts w:hint="eastAsia" w:cs="宋体" w:asciiTheme="minorEastAsia" w:hAnsiTheme="minorEastAsia" w:eastAsiaTheme="minorEastAsia"/>
        </w:rPr>
        <w:t>日    期：______________________</w:t>
      </w: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jc w:val="center"/>
        <w:rPr>
          <w:rFonts w:cs="宋体" w:asciiTheme="minorEastAsia" w:hAnsiTheme="minorEastAsia" w:eastAsiaTheme="minorEastAsia"/>
        </w:rPr>
      </w:pPr>
    </w:p>
    <w:p>
      <w:pPr>
        <w:rPr>
          <w:rFonts w:cs="宋体" w:asciiTheme="minorEastAsia" w:hAnsiTheme="minorEastAsia" w:eastAsiaTheme="minorEastAsia"/>
        </w:rPr>
      </w:pPr>
      <w:r>
        <w:rPr>
          <w:rFonts w:cs="宋体" w:asciiTheme="minorEastAsia" w:hAnsiTheme="minorEastAsia" w:eastAsiaTheme="minorEastAsia"/>
        </w:rPr>
        <w:br w:type="page"/>
      </w:r>
    </w:p>
    <w:p>
      <w:pPr>
        <w:jc w:val="center"/>
        <w:rPr>
          <w:rFonts w:cs="宋体" w:asciiTheme="minorEastAsia" w:hAnsiTheme="minorEastAsia" w:eastAsiaTheme="minorEastAsia"/>
        </w:rPr>
      </w:pPr>
    </w:p>
    <w:p>
      <w:pPr>
        <w:jc w:val="center"/>
        <w:rPr>
          <w:rFonts w:cs="宋体" w:asciiTheme="minorEastAsia" w:hAnsiTheme="minorEastAsia" w:eastAsiaTheme="minorEastAsia"/>
        </w:rPr>
      </w:pPr>
      <w:r>
        <w:rPr>
          <w:rFonts w:hint="eastAsia" w:cs="宋体" w:asciiTheme="minorEastAsia" w:hAnsiTheme="minorEastAsia" w:eastAsiaTheme="minorEastAsia"/>
        </w:rPr>
        <w:t>7-1法定代表人证明书（格式）</w:t>
      </w:r>
    </w:p>
    <w:tbl>
      <w:tblPr>
        <w:tblStyle w:val="36"/>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rPr>
                <w:rFonts w:cs="宋体" w:asciiTheme="minorEastAsia" w:hAnsiTheme="minorEastAsia" w:eastAsiaTheme="minorEastAsia"/>
              </w:rPr>
            </w:pPr>
            <w:r>
              <w:rPr>
                <w:rFonts w:hint="eastAsia" w:cs="宋体" w:asciiTheme="minorEastAsia" w:hAnsiTheme="minorEastAsia" w:eastAsiaTheme="minorEastAsia"/>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企</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业</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法</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人</w:t>
            </w:r>
          </w:p>
        </w:tc>
        <w:tc>
          <w:tcPr>
            <w:tcW w:w="2160" w:type="dxa"/>
            <w:vAlign w:val="center"/>
          </w:tcPr>
          <w:p>
            <w:pPr>
              <w:tabs>
                <w:tab w:val="left" w:pos="210"/>
              </w:tabs>
              <w:spacing w:line="360" w:lineRule="auto"/>
              <w:rPr>
                <w:rFonts w:cs="宋体" w:asciiTheme="minorEastAsia" w:hAnsiTheme="minorEastAsia" w:eastAsiaTheme="minorEastAsia"/>
              </w:rPr>
            </w:pPr>
            <w:r>
              <w:rPr>
                <w:rFonts w:hint="eastAsia" w:cs="宋体" w:asciiTheme="minorEastAsia" w:hAnsiTheme="minorEastAsia" w:eastAsiaTheme="minorEastAsia"/>
              </w:rPr>
              <w:t>企业名称</w:t>
            </w:r>
          </w:p>
        </w:tc>
        <w:tc>
          <w:tcPr>
            <w:tcW w:w="6656" w:type="dxa"/>
            <w:gridSpan w:val="4"/>
            <w:vAlign w:val="center"/>
          </w:tcPr>
          <w:p>
            <w:pPr>
              <w:tabs>
                <w:tab w:val="left" w:pos="210"/>
              </w:tabs>
              <w:spacing w:line="360" w:lineRule="auto"/>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cs="宋体" w:asciiTheme="minorEastAsia" w:hAnsiTheme="minorEastAsia" w:eastAsiaTheme="minorEastAsia"/>
              </w:rPr>
            </w:pPr>
          </w:p>
        </w:tc>
        <w:tc>
          <w:tcPr>
            <w:tcW w:w="2160" w:type="dxa"/>
            <w:vAlign w:val="center"/>
          </w:tcPr>
          <w:p>
            <w:pPr>
              <w:tabs>
                <w:tab w:val="left" w:pos="210"/>
              </w:tabs>
              <w:spacing w:line="360" w:lineRule="auto"/>
              <w:rPr>
                <w:rFonts w:cs="宋体" w:asciiTheme="minorEastAsia" w:hAnsiTheme="minorEastAsia" w:eastAsiaTheme="minorEastAsia"/>
              </w:rPr>
            </w:pPr>
            <w:r>
              <w:rPr>
                <w:rFonts w:hint="eastAsia" w:cs="宋体" w:asciiTheme="minorEastAsia" w:hAnsiTheme="minorEastAsia" w:eastAsiaTheme="minorEastAsia"/>
              </w:rPr>
              <w:t>法定地址</w:t>
            </w:r>
          </w:p>
        </w:tc>
        <w:tc>
          <w:tcPr>
            <w:tcW w:w="6656" w:type="dxa"/>
            <w:gridSpan w:val="4"/>
            <w:vAlign w:val="center"/>
          </w:tcPr>
          <w:p>
            <w:pPr>
              <w:tabs>
                <w:tab w:val="left" w:pos="210"/>
              </w:tabs>
              <w:spacing w:line="360" w:lineRule="auto"/>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cs="宋体" w:asciiTheme="minorEastAsia" w:hAnsiTheme="minorEastAsia" w:eastAsiaTheme="minorEastAsia"/>
              </w:rPr>
            </w:pPr>
          </w:p>
        </w:tc>
        <w:tc>
          <w:tcPr>
            <w:tcW w:w="2160" w:type="dxa"/>
            <w:vAlign w:val="center"/>
          </w:tcPr>
          <w:p>
            <w:pPr>
              <w:tabs>
                <w:tab w:val="left" w:pos="210"/>
              </w:tabs>
              <w:spacing w:line="360" w:lineRule="auto"/>
              <w:rPr>
                <w:rFonts w:cs="宋体" w:asciiTheme="minorEastAsia" w:hAnsiTheme="minorEastAsia" w:eastAsiaTheme="minorEastAsia"/>
              </w:rPr>
            </w:pPr>
            <w:r>
              <w:rPr>
                <w:rFonts w:hint="eastAsia" w:cs="宋体" w:asciiTheme="minorEastAsia" w:hAnsiTheme="minorEastAsia" w:eastAsiaTheme="minorEastAsia"/>
              </w:rPr>
              <w:t>邮政编码</w:t>
            </w:r>
          </w:p>
        </w:tc>
        <w:tc>
          <w:tcPr>
            <w:tcW w:w="6656" w:type="dxa"/>
            <w:gridSpan w:val="4"/>
            <w:vAlign w:val="center"/>
          </w:tcPr>
          <w:p>
            <w:pPr>
              <w:tabs>
                <w:tab w:val="left" w:pos="210"/>
              </w:tabs>
              <w:spacing w:line="360" w:lineRule="auto"/>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cs="宋体" w:asciiTheme="minorEastAsia" w:hAnsiTheme="minorEastAsia" w:eastAsiaTheme="minorEastAsia"/>
              </w:rPr>
            </w:pPr>
          </w:p>
        </w:tc>
        <w:tc>
          <w:tcPr>
            <w:tcW w:w="2160" w:type="dxa"/>
            <w:vAlign w:val="center"/>
          </w:tcPr>
          <w:p>
            <w:pPr>
              <w:tabs>
                <w:tab w:val="left" w:pos="210"/>
              </w:tabs>
              <w:spacing w:line="360" w:lineRule="auto"/>
              <w:rPr>
                <w:rFonts w:cs="宋体" w:asciiTheme="minorEastAsia" w:hAnsiTheme="minorEastAsia" w:eastAsiaTheme="minorEastAsia"/>
              </w:rPr>
            </w:pPr>
            <w:r>
              <w:rPr>
                <w:rFonts w:hint="eastAsia" w:cs="宋体" w:asciiTheme="minorEastAsia" w:hAnsiTheme="minorEastAsia" w:eastAsiaTheme="minorEastAsia"/>
              </w:rPr>
              <w:t>工商登记机关</w:t>
            </w:r>
          </w:p>
        </w:tc>
        <w:tc>
          <w:tcPr>
            <w:tcW w:w="6656" w:type="dxa"/>
            <w:gridSpan w:val="4"/>
            <w:vAlign w:val="center"/>
          </w:tcPr>
          <w:p>
            <w:pPr>
              <w:tabs>
                <w:tab w:val="left" w:pos="210"/>
              </w:tabs>
              <w:spacing w:line="360" w:lineRule="auto"/>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cs="宋体" w:asciiTheme="minorEastAsia" w:hAnsiTheme="minorEastAsia" w:eastAsiaTheme="minorEastAsia"/>
              </w:rPr>
            </w:pPr>
          </w:p>
        </w:tc>
        <w:tc>
          <w:tcPr>
            <w:tcW w:w="2160" w:type="dxa"/>
            <w:vAlign w:val="center"/>
          </w:tcPr>
          <w:p>
            <w:pPr>
              <w:tabs>
                <w:tab w:val="left" w:pos="210"/>
              </w:tabs>
              <w:spacing w:line="360" w:lineRule="auto"/>
              <w:rPr>
                <w:rFonts w:cs="宋体" w:asciiTheme="minorEastAsia" w:hAnsiTheme="minorEastAsia" w:eastAsiaTheme="minorEastAsia"/>
              </w:rPr>
            </w:pPr>
            <w:r>
              <w:rPr>
                <w:rFonts w:hint="eastAsia" w:cs="宋体" w:asciiTheme="minorEastAsia" w:hAnsiTheme="minorEastAsia" w:eastAsiaTheme="minorEastAsia"/>
              </w:rPr>
              <w:t>统一社会信用代码</w:t>
            </w:r>
          </w:p>
        </w:tc>
        <w:tc>
          <w:tcPr>
            <w:tcW w:w="6656" w:type="dxa"/>
            <w:gridSpan w:val="4"/>
            <w:vAlign w:val="center"/>
          </w:tcPr>
          <w:p>
            <w:pPr>
              <w:tabs>
                <w:tab w:val="left" w:pos="210"/>
              </w:tabs>
              <w:spacing w:line="360" w:lineRule="auto"/>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法</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定</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代</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表</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人</w:t>
            </w:r>
          </w:p>
        </w:tc>
        <w:tc>
          <w:tcPr>
            <w:tcW w:w="2160" w:type="dxa"/>
            <w:vAlign w:val="center"/>
          </w:tcPr>
          <w:p>
            <w:pPr>
              <w:tabs>
                <w:tab w:val="left" w:pos="210"/>
              </w:tabs>
              <w:spacing w:line="360" w:lineRule="auto"/>
              <w:rPr>
                <w:rFonts w:cs="宋体" w:asciiTheme="minorEastAsia" w:hAnsiTheme="minorEastAsia" w:eastAsiaTheme="minorEastAsia"/>
              </w:rPr>
            </w:pPr>
            <w:r>
              <w:rPr>
                <w:rFonts w:hint="eastAsia" w:cs="宋体" w:asciiTheme="minorEastAsia" w:hAnsiTheme="minorEastAsia" w:eastAsiaTheme="minorEastAsia"/>
              </w:rPr>
              <w:t>姓名</w:t>
            </w:r>
          </w:p>
        </w:tc>
        <w:tc>
          <w:tcPr>
            <w:tcW w:w="2340" w:type="dxa"/>
            <w:gridSpan w:val="2"/>
            <w:vAlign w:val="center"/>
          </w:tcPr>
          <w:p>
            <w:pPr>
              <w:tabs>
                <w:tab w:val="left" w:pos="210"/>
              </w:tabs>
              <w:spacing w:line="360" w:lineRule="auto"/>
              <w:ind w:firstLine="480" w:firstLineChars="200"/>
              <w:rPr>
                <w:rFonts w:cs="宋体" w:asciiTheme="minorEastAsia" w:hAnsiTheme="minorEastAsia" w:eastAsiaTheme="minorEastAsia"/>
              </w:rPr>
            </w:pPr>
          </w:p>
        </w:tc>
        <w:tc>
          <w:tcPr>
            <w:tcW w:w="2156" w:type="dxa"/>
            <w:vAlign w:val="center"/>
          </w:tcPr>
          <w:p>
            <w:pPr>
              <w:tabs>
                <w:tab w:val="left" w:pos="210"/>
              </w:tabs>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性别</w:t>
            </w:r>
          </w:p>
        </w:tc>
        <w:tc>
          <w:tcPr>
            <w:tcW w:w="2160" w:type="dxa"/>
            <w:vAlign w:val="center"/>
          </w:tcPr>
          <w:p>
            <w:pPr>
              <w:tabs>
                <w:tab w:val="left" w:pos="210"/>
              </w:tabs>
              <w:spacing w:line="360" w:lineRule="auto"/>
              <w:ind w:firstLine="480" w:firstLineChars="20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cs="宋体" w:asciiTheme="minorEastAsia" w:hAnsiTheme="minorEastAsia" w:eastAsiaTheme="minorEastAsia"/>
              </w:rPr>
            </w:pPr>
          </w:p>
        </w:tc>
        <w:tc>
          <w:tcPr>
            <w:tcW w:w="2160" w:type="dxa"/>
            <w:vAlign w:val="center"/>
          </w:tcPr>
          <w:p>
            <w:pPr>
              <w:tabs>
                <w:tab w:val="left" w:pos="210"/>
              </w:tabs>
              <w:spacing w:line="360" w:lineRule="auto"/>
              <w:rPr>
                <w:rFonts w:cs="宋体" w:asciiTheme="minorEastAsia" w:hAnsiTheme="minorEastAsia" w:eastAsiaTheme="minorEastAsia"/>
              </w:rPr>
            </w:pPr>
            <w:r>
              <w:rPr>
                <w:rFonts w:hint="eastAsia" w:cs="宋体" w:asciiTheme="minorEastAsia" w:hAnsiTheme="minorEastAsia" w:eastAsiaTheme="minorEastAsia"/>
              </w:rPr>
              <w:t>职务</w:t>
            </w:r>
          </w:p>
        </w:tc>
        <w:tc>
          <w:tcPr>
            <w:tcW w:w="2340" w:type="dxa"/>
            <w:gridSpan w:val="2"/>
            <w:vAlign w:val="center"/>
          </w:tcPr>
          <w:p>
            <w:pPr>
              <w:tabs>
                <w:tab w:val="left" w:pos="210"/>
              </w:tabs>
              <w:spacing w:line="360" w:lineRule="auto"/>
              <w:rPr>
                <w:rFonts w:cs="宋体" w:asciiTheme="minorEastAsia" w:hAnsiTheme="minorEastAsia" w:eastAsiaTheme="minorEastAsia"/>
              </w:rPr>
            </w:pPr>
          </w:p>
        </w:tc>
        <w:tc>
          <w:tcPr>
            <w:tcW w:w="2156" w:type="dxa"/>
            <w:vAlign w:val="center"/>
          </w:tcPr>
          <w:p>
            <w:pPr>
              <w:tabs>
                <w:tab w:val="left" w:pos="210"/>
              </w:tabs>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联系电话</w:t>
            </w:r>
          </w:p>
        </w:tc>
        <w:tc>
          <w:tcPr>
            <w:tcW w:w="2160" w:type="dxa"/>
            <w:vAlign w:val="center"/>
          </w:tcPr>
          <w:p>
            <w:pPr>
              <w:tabs>
                <w:tab w:val="left" w:pos="210"/>
              </w:tabs>
              <w:spacing w:line="360" w:lineRule="auto"/>
              <w:ind w:firstLine="480" w:firstLineChars="20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80" w:firstLineChars="200"/>
              <w:jc w:val="center"/>
              <w:rPr>
                <w:rFonts w:cs="宋体" w:asciiTheme="minorEastAsia" w:hAnsiTheme="minorEastAsia" w:eastAsiaTheme="minorEastAsia"/>
              </w:rPr>
            </w:pPr>
          </w:p>
        </w:tc>
        <w:tc>
          <w:tcPr>
            <w:tcW w:w="2160" w:type="dxa"/>
            <w:vAlign w:val="center"/>
          </w:tcPr>
          <w:p>
            <w:pPr>
              <w:tabs>
                <w:tab w:val="left" w:pos="210"/>
              </w:tabs>
              <w:spacing w:line="360" w:lineRule="auto"/>
              <w:rPr>
                <w:rFonts w:cs="宋体" w:asciiTheme="minorEastAsia" w:hAnsiTheme="minorEastAsia" w:eastAsiaTheme="minorEastAsia"/>
              </w:rPr>
            </w:pPr>
            <w:r>
              <w:rPr>
                <w:rFonts w:hint="eastAsia" w:cs="宋体" w:asciiTheme="minorEastAsia" w:hAnsiTheme="minorEastAsia" w:eastAsiaTheme="minorEastAsia"/>
              </w:rPr>
              <w:t>传真</w:t>
            </w:r>
          </w:p>
        </w:tc>
        <w:tc>
          <w:tcPr>
            <w:tcW w:w="6656" w:type="dxa"/>
            <w:gridSpan w:val="4"/>
            <w:vAlign w:val="center"/>
          </w:tcPr>
          <w:p>
            <w:pPr>
              <w:tabs>
                <w:tab w:val="left" w:pos="210"/>
              </w:tabs>
              <w:spacing w:line="360" w:lineRule="auto"/>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法</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定</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代</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表</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人</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身</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份</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证</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复</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印</w:t>
            </w:r>
          </w:p>
          <w:p>
            <w:pPr>
              <w:tabs>
                <w:tab w:val="left" w:pos="210"/>
              </w:tabs>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件</w:t>
            </w:r>
          </w:p>
        </w:tc>
        <w:tc>
          <w:tcPr>
            <w:tcW w:w="4316" w:type="dxa"/>
            <w:gridSpan w:val="2"/>
            <w:vMerge w:val="restart"/>
            <w:vAlign w:val="center"/>
          </w:tcPr>
          <w:p>
            <w:pPr>
              <w:tabs>
                <w:tab w:val="left" w:pos="210"/>
              </w:tabs>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（正反面）</w:t>
            </w:r>
          </w:p>
        </w:tc>
        <w:tc>
          <w:tcPr>
            <w:tcW w:w="4500" w:type="dxa"/>
            <w:gridSpan w:val="3"/>
            <w:vAlign w:val="center"/>
          </w:tcPr>
          <w:p>
            <w:pPr>
              <w:tabs>
                <w:tab w:val="left" w:pos="210"/>
              </w:tabs>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80" w:firstLineChars="200"/>
              <w:rPr>
                <w:rFonts w:cs="宋体" w:asciiTheme="minorEastAsia" w:hAnsiTheme="minorEastAsia" w:eastAsiaTheme="minorEastAsia"/>
              </w:rPr>
            </w:pPr>
          </w:p>
        </w:tc>
        <w:tc>
          <w:tcPr>
            <w:tcW w:w="4316" w:type="dxa"/>
            <w:gridSpan w:val="2"/>
            <w:vMerge w:val="continue"/>
            <w:vAlign w:val="center"/>
          </w:tcPr>
          <w:p>
            <w:pPr>
              <w:tabs>
                <w:tab w:val="left" w:pos="210"/>
              </w:tabs>
              <w:spacing w:line="360" w:lineRule="auto"/>
              <w:ind w:firstLine="480" w:firstLineChars="200"/>
              <w:rPr>
                <w:rFonts w:cs="宋体" w:asciiTheme="minorEastAsia" w:hAnsiTheme="minorEastAsia" w:eastAsiaTheme="minorEastAsia"/>
              </w:rPr>
            </w:pPr>
          </w:p>
        </w:tc>
        <w:tc>
          <w:tcPr>
            <w:tcW w:w="4500" w:type="dxa"/>
            <w:gridSpan w:val="3"/>
            <w:vAlign w:val="bottom"/>
          </w:tcPr>
          <w:p>
            <w:pPr>
              <w:tabs>
                <w:tab w:val="left" w:pos="210"/>
              </w:tabs>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（公章）</w:t>
            </w:r>
          </w:p>
          <w:p>
            <w:pPr>
              <w:tabs>
                <w:tab w:val="left" w:pos="210"/>
              </w:tabs>
              <w:spacing w:line="360" w:lineRule="auto"/>
              <w:rPr>
                <w:rFonts w:cs="宋体" w:asciiTheme="minorEastAsia" w:hAnsiTheme="minorEastAsia" w:eastAsiaTheme="minorEastAsia"/>
              </w:rPr>
            </w:pPr>
          </w:p>
          <w:p>
            <w:pPr>
              <w:tabs>
                <w:tab w:val="left" w:pos="210"/>
              </w:tabs>
              <w:spacing w:line="360" w:lineRule="auto"/>
              <w:rPr>
                <w:rFonts w:cs="宋体" w:asciiTheme="minorEastAsia" w:hAnsiTheme="minorEastAsia" w:eastAsiaTheme="minorEastAsia"/>
              </w:rPr>
            </w:pPr>
          </w:p>
          <w:p>
            <w:pPr>
              <w:tabs>
                <w:tab w:val="left" w:pos="210"/>
              </w:tabs>
              <w:spacing w:line="360" w:lineRule="auto"/>
              <w:rPr>
                <w:rFonts w:cs="宋体" w:asciiTheme="minorEastAsia" w:hAnsiTheme="minorEastAsia" w:eastAsiaTheme="minorEastAsia"/>
              </w:rPr>
            </w:pPr>
          </w:p>
          <w:p>
            <w:pPr>
              <w:adjustRightInd w:val="0"/>
              <w:snapToGrid w:val="0"/>
              <w:spacing w:line="480" w:lineRule="auto"/>
              <w:ind w:firstLine="480" w:firstLineChars="200"/>
              <w:jc w:val="right"/>
              <w:rPr>
                <w:rFonts w:cs="宋体" w:asciiTheme="minorEastAsia" w:hAnsiTheme="minorEastAsia" w:eastAsiaTheme="minorEastAsia"/>
              </w:rPr>
            </w:pPr>
            <w:r>
              <w:rPr>
                <w:rFonts w:hint="eastAsia" w:cs="宋体" w:asciiTheme="minorEastAsia" w:hAnsiTheme="minorEastAsia" w:eastAsiaTheme="minorEastAsia"/>
              </w:rPr>
              <w:t>_________年______月 _____日</w:t>
            </w:r>
          </w:p>
        </w:tc>
      </w:tr>
    </w:tbl>
    <w:p>
      <w:pPr>
        <w:pStyle w:val="5"/>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b/>
          <w:sz w:val="24"/>
        </w:rPr>
        <w:br w:type="page"/>
      </w:r>
      <w:r>
        <w:rPr>
          <w:rFonts w:hint="eastAsia" w:cs="宋体" w:asciiTheme="minorEastAsia" w:hAnsiTheme="minorEastAsia" w:eastAsiaTheme="minorEastAsia"/>
          <w:b/>
          <w:sz w:val="24"/>
        </w:rPr>
        <w:t>7-2法定代表人授权书（格式）</w:t>
      </w:r>
    </w:p>
    <w:p>
      <w:pPr>
        <w:pStyle w:val="5"/>
        <w:spacing w:line="500" w:lineRule="exact"/>
        <w:rPr>
          <w:rFonts w:cs="宋体" w:asciiTheme="minorEastAsia" w:hAnsiTheme="minorEastAsia" w:eastAsiaTheme="minorEastAsia"/>
          <w:sz w:val="24"/>
        </w:rPr>
      </w:pPr>
      <w:r>
        <w:rPr>
          <w:rFonts w:hint="eastAsia" w:cs="宋体" w:asciiTheme="minorEastAsia" w:hAnsiTheme="minorEastAsia" w:eastAsiaTheme="minorEastAsia"/>
          <w:sz w:val="24"/>
        </w:rPr>
        <w:t>陕西卓佲项目管理有限公司：</w:t>
      </w:r>
    </w:p>
    <w:p>
      <w:pPr>
        <w:tabs>
          <w:tab w:val="left" w:pos="8820"/>
        </w:tabs>
        <w:spacing w:line="360" w:lineRule="auto"/>
        <w:ind w:firstLine="570"/>
        <w:rPr>
          <w:rFonts w:cs="宋体" w:asciiTheme="minorEastAsia" w:hAnsiTheme="minorEastAsia" w:eastAsiaTheme="minorEastAsia"/>
          <w:u w:val="single"/>
        </w:rPr>
      </w:pPr>
      <w:r>
        <w:rPr>
          <w:rFonts w:hint="eastAsia" w:cs="宋体" w:asciiTheme="minorEastAsia" w:hAnsiTheme="minorEastAsia" w:eastAsiaTheme="minorEastAsia"/>
        </w:rPr>
        <w:t>本授权委托书声明：我</w:t>
      </w:r>
      <w:r>
        <w:rPr>
          <w:rFonts w:hint="eastAsia" w:cs="宋体" w:asciiTheme="minorEastAsia" w:hAnsiTheme="minorEastAsia" w:eastAsiaTheme="minorEastAsia"/>
          <w:u w:val="single"/>
        </w:rPr>
        <w:t xml:space="preserve">（法定代表人姓名）   </w:t>
      </w:r>
      <w:r>
        <w:rPr>
          <w:rFonts w:hint="eastAsia" w:cs="宋体" w:asciiTheme="minorEastAsia" w:hAnsiTheme="minorEastAsia" w:eastAsiaTheme="minorEastAsia"/>
        </w:rPr>
        <w:t>系注册于</w:t>
      </w:r>
      <w:r>
        <w:rPr>
          <w:rFonts w:hint="eastAsia" w:cs="宋体" w:asciiTheme="minorEastAsia" w:hAnsiTheme="minorEastAsia" w:eastAsiaTheme="minorEastAsia"/>
          <w:u w:val="single"/>
        </w:rPr>
        <w:t xml:space="preserve">  （供应商地址）     </w:t>
      </w:r>
      <w:r>
        <w:rPr>
          <w:rFonts w:hint="eastAsia" w:cs="宋体" w:asciiTheme="minorEastAsia" w:hAnsiTheme="minorEastAsia" w:eastAsiaTheme="minorEastAsia"/>
        </w:rPr>
        <w:t>的</w:t>
      </w:r>
      <w:r>
        <w:rPr>
          <w:rFonts w:hint="eastAsia" w:cs="宋体" w:asciiTheme="minorEastAsia" w:hAnsiTheme="minorEastAsia" w:eastAsiaTheme="minorEastAsia"/>
          <w:u w:val="single"/>
        </w:rPr>
        <w:t xml:space="preserve">（供应商名称）  </w:t>
      </w:r>
      <w:r>
        <w:rPr>
          <w:rFonts w:hint="eastAsia" w:cs="宋体" w:asciiTheme="minorEastAsia" w:hAnsiTheme="minorEastAsia" w:eastAsiaTheme="minorEastAsia"/>
        </w:rPr>
        <w:t>的法定代表人，现代表公司授权</w:t>
      </w:r>
      <w:r>
        <w:rPr>
          <w:rFonts w:hint="eastAsia" w:cs="宋体" w:asciiTheme="minorEastAsia" w:hAnsiTheme="minorEastAsia" w:eastAsiaTheme="minorEastAsia"/>
          <w:u w:val="single"/>
        </w:rPr>
        <w:t xml:space="preserve">（被授权人的姓名、职务）   </w:t>
      </w:r>
      <w:r>
        <w:rPr>
          <w:rFonts w:hint="eastAsia" w:cs="宋体" w:asciiTheme="minorEastAsia" w:hAnsiTheme="minorEastAsia" w:eastAsiaTheme="minorEastAsia"/>
        </w:rPr>
        <w:t>为我公司合法代理人，代表本公司参加</w:t>
      </w:r>
      <w:r>
        <w:rPr>
          <w:rFonts w:hint="eastAsia" w:cs="宋体" w:asciiTheme="minorEastAsia" w:hAnsiTheme="minorEastAsia" w:eastAsiaTheme="minorEastAsia"/>
          <w:u w:val="single"/>
        </w:rPr>
        <w:t xml:space="preserve">  （项目名称） （项目编号）</w:t>
      </w:r>
      <w:r>
        <w:rPr>
          <w:rFonts w:hint="eastAsia" w:cs="宋体" w:asciiTheme="minorEastAsia" w:hAnsiTheme="minorEastAsia" w:eastAsiaTheme="minorEastAsia"/>
        </w:rPr>
        <w:t>的采购活动。以我方名义全权处理该项目有关招标、签订合同以及执行合同等一切事宜。</w:t>
      </w:r>
    </w:p>
    <w:p>
      <w:pPr>
        <w:spacing w:line="360" w:lineRule="auto"/>
        <w:ind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本授权书自投标文件递交截止之日起生效，有效期与投标文件有效期一致，特此声明。</w:t>
      </w:r>
    </w:p>
    <w:p>
      <w:pPr>
        <w:pStyle w:val="5"/>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供应商（单位名称及公章）：__________________</w:t>
      </w:r>
    </w:p>
    <w:p>
      <w:pPr>
        <w:pStyle w:val="5"/>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法定代表人（签字或盖章）： __________________</w:t>
      </w:r>
    </w:p>
    <w:p>
      <w:pPr>
        <w:pStyle w:val="5"/>
        <w:spacing w:line="5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被授权人：_____________性别：____________职务：_________</w:t>
      </w:r>
    </w:p>
    <w:p>
      <w:pPr>
        <w:pStyle w:val="5"/>
        <w:spacing w:line="5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联系地址：  ________________</w:t>
      </w:r>
    </w:p>
    <w:p>
      <w:pPr>
        <w:pStyle w:val="5"/>
        <w:spacing w:line="5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联系电话：________________</w:t>
      </w:r>
    </w:p>
    <w:p>
      <w:pPr>
        <w:pStyle w:val="5"/>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法定代表人及被授权人身份证复印件或扫描件</w:t>
      </w:r>
    </w:p>
    <w:tbl>
      <w:tblPr>
        <w:tblStyle w:val="36"/>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5"/>
              <w:spacing w:line="500" w:lineRule="exact"/>
              <w:rPr>
                <w:rFonts w:cs="宋体" w:asciiTheme="minorEastAsia" w:hAnsiTheme="minorEastAsia" w:eastAsiaTheme="minorEastAsia"/>
                <w:sz w:val="24"/>
                <w:shd w:val="pct10" w:color="auto" w:fill="FFFFFF"/>
              </w:rPr>
            </w:pPr>
            <w:r>
              <w:rPr>
                <w:rFonts w:hint="eastAsia" w:cs="宋体" w:asciiTheme="minorEastAsia" w:hAnsiTheme="minorEastAsia" w:eastAsiaTheme="minorEastAsia"/>
                <w:sz w:val="24"/>
                <w:shd w:val="pct10" w:color="auto" w:fill="FFFFFF"/>
              </w:rPr>
              <w:t>法定代表人身份证复印件（正反面）</w:t>
            </w:r>
          </w:p>
          <w:p>
            <w:pPr>
              <w:pStyle w:val="5"/>
              <w:spacing w:line="500" w:lineRule="exact"/>
              <w:rPr>
                <w:rFonts w:cs="宋体" w:asciiTheme="minorEastAsia" w:hAnsiTheme="minorEastAsia" w:eastAsiaTheme="minorEastAsia"/>
                <w:sz w:val="24"/>
                <w:shd w:val="pct10" w:color="auto" w:fill="FFFFFF"/>
              </w:rPr>
            </w:pPr>
          </w:p>
        </w:tc>
        <w:tc>
          <w:tcPr>
            <w:tcW w:w="4546" w:type="dxa"/>
            <w:shd w:val="clear" w:color="auto" w:fill="D9D9D9"/>
            <w:vAlign w:val="center"/>
          </w:tcPr>
          <w:p>
            <w:pPr>
              <w:pStyle w:val="5"/>
              <w:spacing w:line="500" w:lineRule="exact"/>
              <w:ind w:firstLine="480" w:firstLineChars="200"/>
              <w:rPr>
                <w:rFonts w:cs="宋体" w:asciiTheme="minorEastAsia" w:hAnsiTheme="minorEastAsia" w:eastAsiaTheme="minorEastAsia"/>
                <w:sz w:val="24"/>
                <w:shd w:val="pct10" w:color="auto" w:fill="FFFFFF"/>
              </w:rPr>
            </w:pPr>
            <w:r>
              <w:rPr>
                <w:rFonts w:hint="eastAsia" w:cs="宋体" w:asciiTheme="minorEastAsia" w:hAnsiTheme="minorEastAsia" w:eastAsiaTheme="minorEastAsia"/>
                <w:sz w:val="24"/>
                <w:shd w:val="pct10" w:color="auto" w:fill="FFFFFF"/>
              </w:rPr>
              <w:t>被授权人身份证复印件（正反面）</w:t>
            </w:r>
          </w:p>
          <w:p>
            <w:pPr>
              <w:pStyle w:val="5"/>
              <w:spacing w:line="500" w:lineRule="exact"/>
              <w:ind w:firstLine="480" w:firstLineChars="200"/>
              <w:rPr>
                <w:rFonts w:cs="宋体" w:asciiTheme="minorEastAsia" w:hAnsiTheme="minorEastAsia" w:eastAsiaTheme="minorEastAsia"/>
                <w:sz w:val="24"/>
                <w:shd w:val="pct10" w:color="auto" w:fill="FFFFFF"/>
              </w:rPr>
            </w:pPr>
          </w:p>
        </w:tc>
      </w:tr>
    </w:tbl>
    <w:p>
      <w:pPr>
        <w:pStyle w:val="7"/>
        <w:spacing w:before="319" w:beforeLines="100" w:after="478" w:afterLines="150" w:line="500" w:lineRule="exact"/>
        <w:ind w:firstLine="480"/>
        <w:rPr>
          <w:rFonts w:cs="宋体" w:asciiTheme="minorEastAsia" w:hAnsiTheme="minorEastAsia" w:eastAsiaTheme="minorEastAsia"/>
          <w:sz w:val="24"/>
          <w:szCs w:val="24"/>
        </w:rPr>
        <w:sectPr>
          <w:pgSz w:w="11906" w:h="16838"/>
          <w:pgMar w:top="1440" w:right="1803" w:bottom="1440" w:left="1803" w:header="851" w:footer="992" w:gutter="0"/>
          <w:cols w:space="720" w:num="1"/>
          <w:docGrid w:type="lines" w:linePitch="319" w:charSpace="0"/>
        </w:sectPr>
      </w:pPr>
      <w:bookmarkStart w:id="96" w:name="_Toc9172"/>
      <w:bookmarkStart w:id="97" w:name="_Toc12851"/>
    </w:p>
    <w:bookmarkEnd w:id="96"/>
    <w:bookmarkEnd w:id="97"/>
    <w:p>
      <w:pPr>
        <w:rPr>
          <w:rFonts w:cs="宋体" w:asciiTheme="minorEastAsia" w:hAnsiTheme="minorEastAsia" w:eastAsiaTheme="minorEastAsia"/>
        </w:rPr>
      </w:pPr>
    </w:p>
    <w:p>
      <w:pPr>
        <w:spacing w:line="360" w:lineRule="auto"/>
        <w:ind w:left="840"/>
        <w:jc w:val="center"/>
        <w:rPr>
          <w:rFonts w:cs="宋体" w:asciiTheme="minorEastAsia" w:hAnsiTheme="minorEastAsia" w:eastAsiaTheme="minorEastAsia"/>
        </w:rPr>
      </w:pPr>
      <w:r>
        <w:rPr>
          <w:rFonts w:cs="宋体" w:asciiTheme="minorEastAsia" w:hAnsiTheme="minorEastAsia" w:eastAsiaTheme="minorEastAsia"/>
        </w:rPr>
        <w:t>8</w:t>
      </w:r>
      <w:r>
        <w:rPr>
          <w:rFonts w:hint="eastAsia" w:cs="宋体" w:asciiTheme="minorEastAsia" w:hAnsiTheme="minorEastAsia" w:eastAsiaTheme="minorEastAsia"/>
        </w:rPr>
        <w:t>、本项目不接受联合体</w:t>
      </w:r>
    </w:p>
    <w:p>
      <w:pPr>
        <w:pStyle w:val="4"/>
        <w:ind w:left="480" w:leftChars="200" w:firstLine="0"/>
        <w:rPr>
          <w:rFonts w:cs="宋体" w:asciiTheme="minorEastAsia" w:hAnsiTheme="minorEastAsia" w:eastAsiaTheme="minorEastAsia"/>
        </w:rPr>
      </w:pPr>
    </w:p>
    <w:p>
      <w:pPr>
        <w:pStyle w:val="2"/>
        <w:ind w:left="480"/>
        <w:rPr>
          <w:rFonts w:cs="宋体" w:asciiTheme="minorEastAsia" w:hAnsiTheme="minorEastAsia" w:eastAsiaTheme="minorEastAsia"/>
          <w:sz w:val="24"/>
        </w:rPr>
      </w:pPr>
    </w:p>
    <w:p>
      <w:pPr>
        <w:snapToGrid w:val="0"/>
        <w:spacing w:line="480" w:lineRule="auto"/>
        <w:rPr>
          <w:rFonts w:cs="宋体" w:asciiTheme="minorEastAsia" w:hAnsiTheme="minorEastAsia" w:eastAsiaTheme="minorEastAsia"/>
        </w:rPr>
      </w:pPr>
      <w:r>
        <w:rPr>
          <w:rFonts w:hint="eastAsia" w:cs="宋体" w:asciiTheme="minorEastAsia" w:hAnsiTheme="minorEastAsia" w:eastAsiaTheme="minorEastAsia"/>
        </w:rPr>
        <w:t>(采购人名称）_______________________：</w:t>
      </w:r>
    </w:p>
    <w:p>
      <w:pPr>
        <w:spacing w:line="360" w:lineRule="auto"/>
        <w:ind w:firstLine="480"/>
        <w:rPr>
          <w:rFonts w:cs="宋体" w:asciiTheme="minorEastAsia" w:hAnsiTheme="minorEastAsia" w:eastAsiaTheme="minorEastAsia"/>
        </w:rPr>
      </w:pPr>
      <w:r>
        <w:rPr>
          <w:rFonts w:hint="eastAsia" w:cs="宋体" w:asciiTheme="minorEastAsia" w:hAnsiTheme="minorEastAsia" w:eastAsiaTheme="minorEastAsia"/>
        </w:rPr>
        <w:t>我单位参与陕西卓佲项目管理有限公司组织的____________________(项目名称)，我单位郑重声明：我方非联合体，如有虚假，承担相应责任。</w:t>
      </w:r>
    </w:p>
    <w:p>
      <w:pPr>
        <w:spacing w:line="360" w:lineRule="auto"/>
        <w:ind w:firstLine="480"/>
        <w:rPr>
          <w:rFonts w:cs="宋体" w:asciiTheme="minorEastAsia" w:hAnsiTheme="minorEastAsia" w:eastAsiaTheme="minorEastAsia"/>
        </w:rPr>
      </w:pPr>
      <w:r>
        <w:rPr>
          <w:rFonts w:hint="eastAsia" w:cs="宋体" w:asciiTheme="minorEastAsia" w:hAnsiTheme="minorEastAsia" w:eastAsiaTheme="minorEastAsia"/>
        </w:rPr>
        <w:t>特此声明！</w:t>
      </w:r>
    </w:p>
    <w:p>
      <w:pPr>
        <w:rPr>
          <w:rFonts w:cs="宋体" w:asciiTheme="minorEastAsia" w:hAnsiTheme="minorEastAsia" w:eastAsiaTheme="minorEastAsia"/>
        </w:rPr>
      </w:pPr>
    </w:p>
    <w:p>
      <w:pPr>
        <w:pStyle w:val="4"/>
        <w:rPr>
          <w:rFonts w:cs="宋体" w:asciiTheme="minorEastAsia" w:hAnsiTheme="minorEastAsia" w:eastAsiaTheme="minorEastAsia"/>
        </w:rPr>
      </w:pPr>
    </w:p>
    <w:p>
      <w:pPr>
        <w:pStyle w:val="4"/>
        <w:rPr>
          <w:rFonts w:cs="宋体" w:asciiTheme="minorEastAsia" w:hAnsiTheme="minorEastAsia" w:eastAsiaTheme="minorEastAsia"/>
        </w:rPr>
      </w:pPr>
    </w:p>
    <w:p>
      <w:pPr>
        <w:pStyle w:val="4"/>
        <w:rPr>
          <w:rFonts w:cs="宋体" w:asciiTheme="minorEastAsia" w:hAnsiTheme="minorEastAsia" w:eastAsiaTheme="minorEastAsia"/>
        </w:rPr>
      </w:pPr>
    </w:p>
    <w:p>
      <w:pPr>
        <w:pStyle w:val="4"/>
        <w:rPr>
          <w:rFonts w:cs="宋体" w:asciiTheme="minorEastAsia" w:hAnsiTheme="minorEastAsia" w:eastAsiaTheme="minorEastAsia"/>
        </w:rPr>
      </w:pPr>
    </w:p>
    <w:p>
      <w:pPr>
        <w:pStyle w:val="4"/>
        <w:rPr>
          <w:rFonts w:cs="宋体" w:asciiTheme="minorEastAsia" w:hAnsiTheme="minorEastAsia" w:eastAsiaTheme="minorEastAsia"/>
        </w:rPr>
      </w:pPr>
    </w:p>
    <w:p>
      <w:pPr>
        <w:pStyle w:val="4"/>
        <w:rPr>
          <w:rFonts w:cs="宋体" w:asciiTheme="minorEastAsia" w:hAnsiTheme="minorEastAsia" w:eastAsiaTheme="minorEastAsia"/>
        </w:rPr>
      </w:pPr>
    </w:p>
    <w:p>
      <w:pPr>
        <w:pStyle w:val="5"/>
        <w:spacing w:line="480" w:lineRule="auto"/>
        <w:rPr>
          <w:rFonts w:cs="宋体" w:asciiTheme="minorEastAsia" w:hAnsiTheme="minorEastAsia" w:eastAsiaTheme="minorEastAsia"/>
          <w:sz w:val="24"/>
        </w:rPr>
      </w:pPr>
      <w:r>
        <w:rPr>
          <w:rFonts w:hint="eastAsia" w:cs="宋体" w:asciiTheme="minorEastAsia" w:hAnsiTheme="minorEastAsia" w:eastAsiaTheme="minorEastAsia"/>
          <w:sz w:val="24"/>
        </w:rPr>
        <w:t>供应商（单位名称及公章）：______________________</w:t>
      </w:r>
    </w:p>
    <w:p>
      <w:pPr>
        <w:pStyle w:val="5"/>
        <w:spacing w:line="480" w:lineRule="auto"/>
        <w:rPr>
          <w:rFonts w:cs="宋体" w:asciiTheme="minorEastAsia" w:hAnsiTheme="minorEastAsia" w:eastAsiaTheme="minorEastAsia"/>
          <w:sz w:val="24"/>
        </w:rPr>
      </w:pPr>
      <w:r>
        <w:rPr>
          <w:rFonts w:hint="eastAsia" w:cs="宋体" w:asciiTheme="minorEastAsia" w:hAnsiTheme="minorEastAsia" w:eastAsiaTheme="minorEastAsia"/>
          <w:sz w:val="24"/>
        </w:rPr>
        <w:t>法定代表人或被授权人（签字或盖章）：______________________</w:t>
      </w:r>
    </w:p>
    <w:p>
      <w:pPr>
        <w:adjustRightInd w:val="0"/>
        <w:snapToGrid w:val="0"/>
        <w:spacing w:line="480" w:lineRule="auto"/>
        <w:rPr>
          <w:rFonts w:cs="宋体" w:asciiTheme="minorEastAsia" w:hAnsiTheme="minorEastAsia" w:eastAsiaTheme="minorEastAsia"/>
        </w:rPr>
      </w:pPr>
      <w:r>
        <w:rPr>
          <w:rFonts w:hint="eastAsia" w:cs="宋体" w:asciiTheme="minorEastAsia" w:hAnsiTheme="minorEastAsia" w:eastAsiaTheme="minorEastAsia"/>
        </w:rPr>
        <w:t>日    期：______________________</w:t>
      </w:r>
    </w:p>
    <w:p>
      <w:pPr>
        <w:pStyle w:val="7"/>
        <w:tabs>
          <w:tab w:val="left" w:pos="2096"/>
          <w:tab w:val="center" w:pos="5024"/>
        </w:tabs>
        <w:spacing w:before="319" w:beforeLines="100" w:after="478" w:afterLines="150" w:line="500" w:lineRule="exact"/>
        <w:ind w:firstLine="720" w:firstLineChars="300"/>
        <w:rPr>
          <w:rFonts w:cs="宋体" w:asciiTheme="minorEastAsia" w:hAnsiTheme="minorEastAsia" w:eastAsiaTheme="minorEastAsia"/>
          <w:sz w:val="24"/>
          <w:szCs w:val="24"/>
        </w:rPr>
        <w:sectPr>
          <w:footerReference r:id="rId11" w:type="default"/>
          <w:pgSz w:w="11906" w:h="16838"/>
          <w:pgMar w:top="1440" w:right="1803" w:bottom="1440" w:left="1803" w:header="851" w:footer="992" w:gutter="0"/>
          <w:cols w:space="720" w:num="1"/>
          <w:docGrid w:type="lines" w:linePitch="319" w:charSpace="0"/>
        </w:sectPr>
      </w:pPr>
    </w:p>
    <w:p>
      <w:pPr>
        <w:pStyle w:val="114"/>
        <w:spacing w:before="197" w:after="197"/>
        <w:ind w:firstLine="499"/>
        <w:jc w:val="center"/>
        <w:rPr>
          <w:rFonts w:asciiTheme="minorEastAsia" w:hAnsiTheme="minorEastAsia" w:eastAsiaTheme="minorEastAsia"/>
          <w:sz w:val="24"/>
          <w:szCs w:val="24"/>
        </w:rPr>
      </w:pPr>
      <w:bookmarkStart w:id="98" w:name="_Toc135129539"/>
      <w:r>
        <w:rPr>
          <w:rFonts w:hint="eastAsia" w:cs="宋体" w:asciiTheme="minorEastAsia" w:hAnsiTheme="minorEastAsia" w:eastAsiaTheme="minorEastAsia"/>
          <w:color w:val="000000"/>
          <w:sz w:val="24"/>
          <w:szCs w:val="24"/>
        </w:rPr>
        <w:t xml:space="preserve">第四部分  </w:t>
      </w:r>
      <w:r>
        <w:rPr>
          <w:rFonts w:hint="eastAsia" w:asciiTheme="minorEastAsia" w:hAnsiTheme="minorEastAsia" w:eastAsiaTheme="minorEastAsia"/>
          <w:sz w:val="24"/>
          <w:szCs w:val="24"/>
        </w:rPr>
        <w:t>供应商概况</w:t>
      </w:r>
      <w:bookmarkEnd w:id="98"/>
    </w:p>
    <w:tbl>
      <w:tblPr>
        <w:tblStyle w:val="106"/>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供应商全称</w:t>
            </w:r>
          </w:p>
        </w:tc>
        <w:tc>
          <w:tcPr>
            <w:tcW w:w="6756" w:type="dxa"/>
            <w:gridSpan w:val="5"/>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注册地址</w:t>
            </w:r>
          </w:p>
        </w:tc>
        <w:tc>
          <w:tcPr>
            <w:tcW w:w="2416" w:type="dxa"/>
            <w:gridSpan w:val="2"/>
          </w:tcPr>
          <w:p>
            <w:pPr>
              <w:ind w:firstLine="0"/>
              <w:jc w:val="both"/>
              <w:rPr>
                <w:rFonts w:cs="宋体" w:asciiTheme="minorEastAsia" w:hAnsiTheme="minorEastAsia" w:eastAsiaTheme="minorEastAsia"/>
                <w:kern w:val="2"/>
              </w:rPr>
            </w:pPr>
          </w:p>
        </w:tc>
        <w:tc>
          <w:tcPr>
            <w:tcW w:w="1411"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成立时间</w:t>
            </w:r>
          </w:p>
        </w:tc>
        <w:tc>
          <w:tcPr>
            <w:tcW w:w="2929" w:type="dxa"/>
            <w:gridSpan w:val="2"/>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统一社会信用代码</w:t>
            </w:r>
          </w:p>
        </w:tc>
        <w:tc>
          <w:tcPr>
            <w:tcW w:w="2416" w:type="dxa"/>
            <w:gridSpan w:val="2"/>
          </w:tcPr>
          <w:p>
            <w:pPr>
              <w:ind w:firstLine="0"/>
              <w:jc w:val="both"/>
              <w:rPr>
                <w:rFonts w:cs="宋体" w:asciiTheme="minorEastAsia" w:hAnsiTheme="minorEastAsia" w:eastAsiaTheme="minorEastAsia"/>
                <w:kern w:val="2"/>
              </w:rPr>
            </w:pPr>
          </w:p>
        </w:tc>
        <w:tc>
          <w:tcPr>
            <w:tcW w:w="1411"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单位性质</w:t>
            </w:r>
          </w:p>
        </w:tc>
        <w:tc>
          <w:tcPr>
            <w:tcW w:w="2929" w:type="dxa"/>
            <w:gridSpan w:val="2"/>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法定代表人</w:t>
            </w:r>
          </w:p>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（主要负责人）</w:t>
            </w:r>
          </w:p>
        </w:tc>
        <w:tc>
          <w:tcPr>
            <w:tcW w:w="2416" w:type="dxa"/>
            <w:gridSpan w:val="2"/>
          </w:tcPr>
          <w:p>
            <w:pPr>
              <w:ind w:firstLine="0"/>
              <w:jc w:val="both"/>
              <w:rPr>
                <w:rFonts w:cs="宋体" w:asciiTheme="minorEastAsia" w:hAnsiTheme="minorEastAsia" w:eastAsiaTheme="minorEastAsia"/>
                <w:kern w:val="2"/>
              </w:rPr>
            </w:pPr>
          </w:p>
        </w:tc>
        <w:tc>
          <w:tcPr>
            <w:tcW w:w="1411"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所属行业</w:t>
            </w:r>
          </w:p>
        </w:tc>
        <w:tc>
          <w:tcPr>
            <w:tcW w:w="2929" w:type="dxa"/>
            <w:gridSpan w:val="2"/>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基本存款账户</w:t>
            </w:r>
          </w:p>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开户银行</w:t>
            </w:r>
          </w:p>
        </w:tc>
        <w:tc>
          <w:tcPr>
            <w:tcW w:w="2416" w:type="dxa"/>
            <w:gridSpan w:val="2"/>
          </w:tcPr>
          <w:p>
            <w:pPr>
              <w:ind w:firstLine="0"/>
              <w:jc w:val="both"/>
              <w:rPr>
                <w:rFonts w:cs="宋体" w:asciiTheme="minorEastAsia" w:hAnsiTheme="minorEastAsia" w:eastAsiaTheme="minorEastAsia"/>
                <w:kern w:val="2"/>
              </w:rPr>
            </w:pPr>
          </w:p>
        </w:tc>
        <w:tc>
          <w:tcPr>
            <w:tcW w:w="1411"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基本存款</w:t>
            </w:r>
          </w:p>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账户账号</w:t>
            </w:r>
          </w:p>
        </w:tc>
        <w:tc>
          <w:tcPr>
            <w:tcW w:w="2929" w:type="dxa"/>
            <w:gridSpan w:val="2"/>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上年度</w:t>
            </w:r>
          </w:p>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营业收入*</w:t>
            </w:r>
          </w:p>
        </w:tc>
        <w:tc>
          <w:tcPr>
            <w:tcW w:w="2416" w:type="dxa"/>
            <w:gridSpan w:val="2"/>
          </w:tcPr>
          <w:p>
            <w:pPr>
              <w:ind w:firstLine="0"/>
              <w:jc w:val="both"/>
              <w:rPr>
                <w:rFonts w:cs="宋体" w:asciiTheme="minorEastAsia" w:hAnsiTheme="minorEastAsia" w:eastAsiaTheme="minorEastAsia"/>
                <w:kern w:val="2"/>
              </w:rPr>
            </w:pPr>
          </w:p>
        </w:tc>
        <w:tc>
          <w:tcPr>
            <w:tcW w:w="1411"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资产总额</w:t>
            </w:r>
          </w:p>
        </w:tc>
        <w:tc>
          <w:tcPr>
            <w:tcW w:w="2929" w:type="dxa"/>
            <w:gridSpan w:val="2"/>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经营范围</w:t>
            </w:r>
          </w:p>
        </w:tc>
        <w:tc>
          <w:tcPr>
            <w:tcW w:w="6756" w:type="dxa"/>
            <w:gridSpan w:val="5"/>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资质证书名称</w:t>
            </w:r>
          </w:p>
        </w:tc>
        <w:tc>
          <w:tcPr>
            <w:tcW w:w="2416" w:type="dxa"/>
            <w:gridSpan w:val="2"/>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证书号</w:t>
            </w:r>
          </w:p>
        </w:tc>
        <w:tc>
          <w:tcPr>
            <w:tcW w:w="1411"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等级</w:t>
            </w:r>
          </w:p>
        </w:tc>
        <w:tc>
          <w:tcPr>
            <w:tcW w:w="2929" w:type="dxa"/>
            <w:gridSpan w:val="2"/>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p>
        </w:tc>
        <w:tc>
          <w:tcPr>
            <w:tcW w:w="2416" w:type="dxa"/>
            <w:gridSpan w:val="2"/>
          </w:tcPr>
          <w:p>
            <w:pPr>
              <w:ind w:firstLine="0"/>
              <w:jc w:val="both"/>
              <w:rPr>
                <w:rFonts w:cs="宋体" w:asciiTheme="minorEastAsia" w:hAnsiTheme="minorEastAsia" w:eastAsiaTheme="minorEastAsia"/>
                <w:kern w:val="2"/>
              </w:rPr>
            </w:pPr>
          </w:p>
        </w:tc>
        <w:tc>
          <w:tcPr>
            <w:tcW w:w="1411" w:type="dxa"/>
          </w:tcPr>
          <w:p>
            <w:pPr>
              <w:ind w:firstLine="0"/>
              <w:jc w:val="both"/>
              <w:rPr>
                <w:rFonts w:cs="宋体" w:asciiTheme="minorEastAsia" w:hAnsiTheme="minorEastAsia" w:eastAsiaTheme="minorEastAsia"/>
                <w:kern w:val="2"/>
              </w:rPr>
            </w:pPr>
          </w:p>
        </w:tc>
        <w:tc>
          <w:tcPr>
            <w:tcW w:w="2929" w:type="dxa"/>
            <w:gridSpan w:val="2"/>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p>
        </w:tc>
        <w:tc>
          <w:tcPr>
            <w:tcW w:w="2416" w:type="dxa"/>
            <w:gridSpan w:val="2"/>
          </w:tcPr>
          <w:p>
            <w:pPr>
              <w:ind w:firstLine="0"/>
              <w:jc w:val="both"/>
              <w:rPr>
                <w:rFonts w:cs="宋体" w:asciiTheme="minorEastAsia" w:hAnsiTheme="minorEastAsia" w:eastAsiaTheme="minorEastAsia"/>
                <w:kern w:val="2"/>
              </w:rPr>
            </w:pPr>
          </w:p>
        </w:tc>
        <w:tc>
          <w:tcPr>
            <w:tcW w:w="1411" w:type="dxa"/>
          </w:tcPr>
          <w:p>
            <w:pPr>
              <w:ind w:firstLine="0"/>
              <w:jc w:val="both"/>
              <w:rPr>
                <w:rFonts w:cs="宋体" w:asciiTheme="minorEastAsia" w:hAnsiTheme="minorEastAsia" w:eastAsiaTheme="minorEastAsia"/>
                <w:kern w:val="2"/>
              </w:rPr>
            </w:pPr>
          </w:p>
        </w:tc>
        <w:tc>
          <w:tcPr>
            <w:tcW w:w="2929" w:type="dxa"/>
            <w:gridSpan w:val="2"/>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从业人员总数</w:t>
            </w:r>
          </w:p>
        </w:tc>
        <w:tc>
          <w:tcPr>
            <w:tcW w:w="992" w:type="dxa"/>
            <w:vMerge w:val="restart"/>
          </w:tcPr>
          <w:p>
            <w:pPr>
              <w:ind w:firstLine="0"/>
              <w:jc w:val="both"/>
              <w:rPr>
                <w:rFonts w:cs="宋体" w:asciiTheme="minorEastAsia" w:hAnsiTheme="minorEastAsia" w:eastAsiaTheme="minorEastAsia"/>
                <w:kern w:val="2"/>
              </w:rPr>
            </w:pPr>
          </w:p>
        </w:tc>
        <w:tc>
          <w:tcPr>
            <w:tcW w:w="1424"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管理人员</w:t>
            </w:r>
          </w:p>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数量</w:t>
            </w:r>
          </w:p>
        </w:tc>
        <w:tc>
          <w:tcPr>
            <w:tcW w:w="1411" w:type="dxa"/>
          </w:tcPr>
          <w:p>
            <w:pPr>
              <w:ind w:firstLine="0"/>
              <w:jc w:val="both"/>
              <w:rPr>
                <w:rFonts w:cs="宋体" w:asciiTheme="minorEastAsia" w:hAnsiTheme="minorEastAsia" w:eastAsiaTheme="minorEastAsia"/>
                <w:kern w:val="2"/>
              </w:rPr>
            </w:pPr>
          </w:p>
        </w:tc>
        <w:tc>
          <w:tcPr>
            <w:tcW w:w="1464"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专业技术</w:t>
            </w:r>
          </w:p>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人员数量</w:t>
            </w:r>
          </w:p>
        </w:tc>
        <w:tc>
          <w:tcPr>
            <w:tcW w:w="1465" w:type="dxa"/>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cs="宋体" w:asciiTheme="minorEastAsia" w:hAnsiTheme="minorEastAsia" w:eastAsiaTheme="minorEastAsia"/>
                <w:kern w:val="2"/>
              </w:rPr>
            </w:pPr>
          </w:p>
        </w:tc>
        <w:tc>
          <w:tcPr>
            <w:tcW w:w="992" w:type="dxa"/>
            <w:vMerge w:val="continue"/>
          </w:tcPr>
          <w:p>
            <w:pPr>
              <w:ind w:firstLine="0"/>
              <w:jc w:val="both"/>
              <w:rPr>
                <w:rFonts w:cs="宋体" w:asciiTheme="minorEastAsia" w:hAnsiTheme="minorEastAsia" w:eastAsiaTheme="minorEastAsia"/>
                <w:kern w:val="2"/>
              </w:rPr>
            </w:pPr>
          </w:p>
        </w:tc>
        <w:tc>
          <w:tcPr>
            <w:tcW w:w="1424"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残疾人</w:t>
            </w:r>
          </w:p>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数量</w:t>
            </w:r>
          </w:p>
        </w:tc>
        <w:tc>
          <w:tcPr>
            <w:tcW w:w="1411" w:type="dxa"/>
          </w:tcPr>
          <w:p>
            <w:pPr>
              <w:ind w:firstLine="0"/>
              <w:jc w:val="both"/>
              <w:rPr>
                <w:rFonts w:cs="宋体" w:asciiTheme="minorEastAsia" w:hAnsiTheme="minorEastAsia" w:eastAsiaTheme="minorEastAsia"/>
                <w:kern w:val="2"/>
              </w:rPr>
            </w:pPr>
          </w:p>
        </w:tc>
        <w:tc>
          <w:tcPr>
            <w:tcW w:w="1464"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少数民族</w:t>
            </w:r>
          </w:p>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数量</w:t>
            </w:r>
          </w:p>
        </w:tc>
        <w:tc>
          <w:tcPr>
            <w:tcW w:w="1465" w:type="dxa"/>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关系</w:t>
            </w:r>
          </w:p>
        </w:tc>
        <w:tc>
          <w:tcPr>
            <w:tcW w:w="6756" w:type="dxa"/>
            <w:gridSpan w:val="5"/>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p>
        </w:tc>
        <w:tc>
          <w:tcPr>
            <w:tcW w:w="6756" w:type="dxa"/>
            <w:gridSpan w:val="5"/>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p>
        </w:tc>
        <w:tc>
          <w:tcPr>
            <w:tcW w:w="6756" w:type="dxa"/>
            <w:gridSpan w:val="5"/>
          </w:tcPr>
          <w:p>
            <w:pPr>
              <w:ind w:firstLine="0"/>
              <w:jc w:val="both"/>
              <w:rPr>
                <w:rFonts w:cs="宋体" w:asciiTheme="minorEastAsia" w:hAnsiTheme="minorEastAsia" w:eastAsia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说明</w:t>
            </w:r>
          </w:p>
        </w:tc>
        <w:tc>
          <w:tcPr>
            <w:tcW w:w="6756" w:type="dxa"/>
            <w:gridSpan w:val="5"/>
          </w:tcPr>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1.成立时间至提交投标文件截止时间不足一年的可不填写“上年度营业收入”；</w:t>
            </w:r>
          </w:p>
          <w:p>
            <w:pPr>
              <w:ind w:firstLine="0"/>
              <w:jc w:val="both"/>
              <w:rPr>
                <w:rFonts w:cs="宋体" w:asciiTheme="minorEastAsia" w:hAnsiTheme="minorEastAsia" w:eastAsiaTheme="minorEastAsia"/>
                <w:kern w:val="2"/>
              </w:rPr>
            </w:pPr>
            <w:r>
              <w:rPr>
                <w:rFonts w:hint="eastAsia" w:cs="宋体" w:asciiTheme="minorEastAsia" w:hAnsiTheme="minorEastAsia" w:eastAsiaTheme="minorEastAsia"/>
                <w:kern w:val="2"/>
              </w:rPr>
              <w:t>2.表格空间不足时，请自行扩展。</w:t>
            </w:r>
          </w:p>
        </w:tc>
      </w:tr>
    </w:tbl>
    <w:p>
      <w:pPr>
        <w:rPr>
          <w:rFonts w:cs="宋体" w:asciiTheme="minorEastAsia" w:hAnsiTheme="minorEastAsia" w:eastAsiaTheme="minorEastAsia"/>
          <w:color w:val="000000"/>
        </w:rPr>
      </w:pP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br w:type="page"/>
      </w:r>
    </w:p>
    <w:p>
      <w:pPr>
        <w:pStyle w:val="7"/>
        <w:ind w:firstLine="497"/>
        <w:rPr>
          <w:rFonts w:asciiTheme="minorEastAsia" w:hAnsiTheme="minorEastAsia" w:eastAsiaTheme="minorEastAsia"/>
          <w:sz w:val="24"/>
          <w:szCs w:val="24"/>
        </w:rPr>
      </w:pPr>
      <w:bookmarkStart w:id="99" w:name="_Toc135129540"/>
      <w:r>
        <w:rPr>
          <w:rFonts w:asciiTheme="minorEastAsia" w:hAnsiTheme="minorEastAsia" w:eastAsiaTheme="minorEastAsia"/>
          <w:sz w:val="24"/>
          <w:szCs w:val="24"/>
        </w:rPr>
        <w:t>第五部分</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供应商参加政府采购活动承诺书</w:t>
      </w:r>
      <w:bookmarkEnd w:id="99"/>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未签署下列承诺书的，将被视为无效投标，其责任由供应商自行承担。</w:t>
      </w:r>
    </w:p>
    <w:p>
      <w:pPr>
        <w:jc w:val="center"/>
        <w:rPr>
          <w:rFonts w:cs="宋体" w:asciiTheme="minorEastAsia" w:hAnsiTheme="minorEastAsia" w:eastAsiaTheme="minorEastAsia"/>
        </w:rPr>
      </w:pPr>
      <w:r>
        <w:rPr>
          <w:rFonts w:hint="eastAsia" w:cs="宋体" w:asciiTheme="minorEastAsia" w:hAnsiTheme="minorEastAsia" w:eastAsiaTheme="minorEastAsia"/>
        </w:rPr>
        <w:t>（一）质量安全责任承诺书</w:t>
      </w:r>
    </w:p>
    <w:p>
      <w:pPr>
        <w:spacing w:line="560" w:lineRule="exact"/>
        <w:ind w:firstLine="496" w:firstLineChars="200"/>
        <w:jc w:val="both"/>
        <w:rPr>
          <w:rFonts w:cs="宋体" w:asciiTheme="minorEastAsia" w:hAnsiTheme="minorEastAsia" w:eastAsiaTheme="minorEastAsia"/>
        </w:rPr>
      </w:pP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为保证本采购项目顺利进行，作为投标供应商，现郑重承诺：</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1．我方所投产品的生产（包括设计、制造、安装、改造、维修等）、投入使用的材料等均完全符合国家现行质量、安全、环保标准和要求。</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3．对于因产品生产质量以及储存、运输、安装调试、服务、施工等过程中产生的任何安全事故，我方承担全部责任。</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496" w:firstLineChars="200"/>
        <w:jc w:val="both"/>
        <w:rPr>
          <w:rFonts w:cs="宋体" w:asciiTheme="minorEastAsia" w:hAnsiTheme="minorEastAsia" w:eastAsiaTheme="minorEastAsia"/>
        </w:rPr>
      </w:pPr>
    </w:p>
    <w:p>
      <w:pPr>
        <w:spacing w:line="560" w:lineRule="exact"/>
        <w:ind w:firstLine="2744" w:firstLineChars="1107"/>
        <w:jc w:val="both"/>
        <w:rPr>
          <w:rFonts w:cs="宋体" w:asciiTheme="minorEastAsia" w:hAnsiTheme="minorEastAsia" w:eastAsiaTheme="minorEastAsia"/>
        </w:rPr>
      </w:pPr>
      <w:r>
        <w:rPr>
          <w:rFonts w:hint="eastAsia" w:cs="宋体" w:asciiTheme="minorEastAsia" w:hAnsiTheme="minorEastAsia" w:eastAsiaTheme="minorEastAsia"/>
        </w:rPr>
        <w:t>供应商：（供应商全称并加盖公章）</w:t>
      </w:r>
    </w:p>
    <w:p>
      <w:pPr>
        <w:spacing w:line="560" w:lineRule="exact"/>
        <w:ind w:firstLine="2744" w:firstLineChars="1107"/>
        <w:jc w:val="both"/>
        <w:rPr>
          <w:rFonts w:cs="宋体" w:asciiTheme="minorEastAsia" w:hAnsiTheme="minorEastAsia" w:eastAsiaTheme="minorEastAsia"/>
        </w:rPr>
      </w:pPr>
      <w:r>
        <w:rPr>
          <w:rFonts w:hint="eastAsia" w:cs="宋体" w:asciiTheme="minorEastAsia" w:hAnsiTheme="minorEastAsia" w:eastAsiaTheme="minorEastAsia"/>
        </w:rPr>
        <w:t>日  期：    年  月  日</w:t>
      </w:r>
    </w:p>
    <w:p>
      <w:pPr>
        <w:spacing w:line="560" w:lineRule="exact"/>
        <w:ind w:firstLine="496" w:firstLineChars="200"/>
        <w:jc w:val="both"/>
        <w:rPr>
          <w:rFonts w:cs="宋体" w:asciiTheme="minorEastAsia" w:hAnsiTheme="minorEastAsia" w:eastAsiaTheme="minorEastAsia"/>
        </w:rPr>
      </w:pPr>
    </w:p>
    <w:p>
      <w:pPr>
        <w:rPr>
          <w:rFonts w:cs="宋体" w:asciiTheme="minorEastAsia" w:hAnsiTheme="minorEastAsia" w:eastAsiaTheme="minorEastAsia"/>
        </w:rPr>
      </w:pPr>
      <w:r>
        <w:rPr>
          <w:rFonts w:hint="eastAsia" w:cs="宋体" w:asciiTheme="minorEastAsia" w:hAnsiTheme="minorEastAsia" w:eastAsiaTheme="minorEastAsia"/>
        </w:rPr>
        <w:br w:type="page"/>
      </w:r>
    </w:p>
    <w:p>
      <w:pPr>
        <w:jc w:val="center"/>
        <w:rPr>
          <w:rFonts w:cs="宋体" w:asciiTheme="minorEastAsia" w:hAnsiTheme="minorEastAsia" w:eastAsiaTheme="minorEastAsia"/>
        </w:rPr>
      </w:pPr>
      <w:r>
        <w:rPr>
          <w:rFonts w:hint="eastAsia" w:cs="宋体" w:asciiTheme="minorEastAsia" w:hAnsiTheme="minorEastAsia" w:eastAsiaTheme="minorEastAsia"/>
        </w:rPr>
        <w:t>（二）参加政府采购活动行为自律承诺书</w:t>
      </w:r>
    </w:p>
    <w:p>
      <w:pPr>
        <w:spacing w:line="560" w:lineRule="exact"/>
        <w:ind w:firstLine="496" w:firstLineChars="200"/>
        <w:jc w:val="both"/>
        <w:rPr>
          <w:rFonts w:cs="宋体" w:asciiTheme="minorEastAsia" w:hAnsiTheme="minorEastAsia" w:eastAsiaTheme="minorEastAsia"/>
        </w:rPr>
      </w:pP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作为参加本次政府采购项目的供应商，我方郑重承诺在参与政府采购活动中遵纪守法、公平竞争、诚实守信，如有违反愿承担一切责任及后果：</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1．不与采购人、采购代理机构、政府采购评审专家恶意串通，不向其行贿或提供其他不正当利益；</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2．不与其他供应商恶意串通，采取“围标、串标、陪标”等商业欺诈手段谋取中标、成交；</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4．不采取不正当手段诋毁、排挤其他供应商；</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5．不以不正当理由拒不与采购人签订政府采购合同，或逾期签订政府采购合同，或不按照采购文件确定的事项签订政府采购合同；</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6．不以不正当理由拒绝履行合同义务，不会擅自变更、中止或者终止政府采购合同或将政府采购合同转包；</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7．不在提供商品、服务或工程施工过程中提供假冒伪劣产品，损害采购人的合法权益或公共利益；</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8．不采取捏造事实、提供虚假材料或者以非法手段取得证明材料进行质疑和投诉；</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9．不发生其他有悖于政府采购公开、公平、公正和诚信原则的行为。</w:t>
      </w:r>
    </w:p>
    <w:p>
      <w:pPr>
        <w:spacing w:line="560" w:lineRule="exact"/>
        <w:ind w:firstLine="496" w:firstLineChars="200"/>
        <w:jc w:val="both"/>
        <w:rPr>
          <w:rFonts w:cs="宋体" w:asciiTheme="minorEastAsia" w:hAnsiTheme="minorEastAsia" w:eastAsiaTheme="minorEastAsia"/>
        </w:rPr>
      </w:pPr>
      <w:r>
        <w:rPr>
          <w:rFonts w:hint="eastAsia" w:cs="宋体" w:asciiTheme="minorEastAsia" w:hAnsiTheme="minorEastAsia" w:eastAsiaTheme="minorEastAsia"/>
        </w:rPr>
        <w:t>10．尊重和接受政府采购监督管理部门的监督和采购人、采购代理机构的政府采购工作要求，愿意承担因违约行为给采购人造成的损失。</w:t>
      </w:r>
    </w:p>
    <w:p>
      <w:pPr>
        <w:spacing w:line="560" w:lineRule="exact"/>
        <w:ind w:firstLine="2744" w:firstLineChars="1107"/>
        <w:jc w:val="both"/>
        <w:rPr>
          <w:rFonts w:cs="宋体" w:asciiTheme="minorEastAsia" w:hAnsiTheme="minorEastAsia" w:eastAsiaTheme="minorEastAsia"/>
        </w:rPr>
      </w:pPr>
      <w:r>
        <w:rPr>
          <w:rFonts w:hint="eastAsia" w:cs="宋体" w:asciiTheme="minorEastAsia" w:hAnsiTheme="minorEastAsia" w:eastAsiaTheme="minorEastAsia"/>
        </w:rPr>
        <w:t>供应商：（供应商全称并加盖公章）</w:t>
      </w:r>
    </w:p>
    <w:p>
      <w:pPr>
        <w:spacing w:line="560" w:lineRule="exact"/>
        <w:ind w:firstLine="2744" w:firstLineChars="1107"/>
        <w:jc w:val="both"/>
        <w:rPr>
          <w:rFonts w:cs="宋体" w:asciiTheme="minorEastAsia" w:hAnsiTheme="minorEastAsia" w:eastAsiaTheme="minorEastAsia"/>
        </w:rPr>
      </w:pPr>
      <w:r>
        <w:rPr>
          <w:rFonts w:hint="eastAsia" w:cs="宋体" w:asciiTheme="minorEastAsia" w:hAnsiTheme="minorEastAsia" w:eastAsiaTheme="minorEastAsia"/>
        </w:rPr>
        <w:t>日  期：    年  月  日</w:t>
      </w:r>
      <w:r>
        <w:rPr>
          <w:rFonts w:hint="eastAsia" w:cs="宋体" w:asciiTheme="minorEastAsia" w:hAnsiTheme="minorEastAsia" w:eastAsiaTheme="minorEastAsia"/>
          <w:color w:val="000000"/>
        </w:rPr>
        <w:br w:type="page"/>
      </w:r>
    </w:p>
    <w:p>
      <w:pPr>
        <w:pStyle w:val="7"/>
        <w:ind w:firstLine="497"/>
        <w:jc w:val="center"/>
        <w:rPr>
          <w:rFonts w:cs="宋体" w:asciiTheme="minorEastAsia" w:hAnsiTheme="minorEastAsia" w:eastAsiaTheme="minorEastAsia"/>
          <w:color w:val="000000"/>
          <w:sz w:val="24"/>
          <w:szCs w:val="24"/>
        </w:rPr>
      </w:pPr>
      <w:bookmarkStart w:id="100" w:name="_Toc135129541"/>
      <w:r>
        <w:rPr>
          <w:rFonts w:hint="eastAsia" w:cs="宋体" w:asciiTheme="minorEastAsia" w:hAnsiTheme="minorEastAsia" w:eastAsiaTheme="minorEastAsia"/>
          <w:color w:val="000000"/>
          <w:sz w:val="24"/>
          <w:szCs w:val="24"/>
        </w:rPr>
        <w:t>第六部分  商务和技术响应偏离表</w:t>
      </w:r>
      <w:bookmarkEnd w:id="88"/>
      <w:bookmarkEnd w:id="89"/>
      <w:bookmarkEnd w:id="90"/>
      <w:bookmarkEnd w:id="91"/>
      <w:bookmarkEnd w:id="100"/>
    </w:p>
    <w:p>
      <w:pPr>
        <w:kinsoku w:val="0"/>
        <w:spacing w:line="480" w:lineRule="auto"/>
        <w:ind w:left="1093" w:hanging="1091" w:hangingChars="440"/>
        <w:rPr>
          <w:rFonts w:cs="宋体" w:asciiTheme="minorEastAsia" w:hAnsiTheme="minorEastAsia" w:eastAsiaTheme="minorEastAsia"/>
          <w:color w:val="000000"/>
        </w:rPr>
      </w:pPr>
      <w:r>
        <w:rPr>
          <w:rFonts w:hint="eastAsia" w:cs="宋体" w:asciiTheme="minorEastAsia" w:hAnsiTheme="minorEastAsia" w:eastAsiaTheme="minorEastAsia"/>
          <w:color w:val="000000"/>
        </w:rPr>
        <w:t>表1、商务响应偏差表</w:t>
      </w:r>
    </w:p>
    <w:tbl>
      <w:tblPr>
        <w:tblStyle w:val="36"/>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5"/>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521" w:type="dxa"/>
            <w:vAlign w:val="center"/>
          </w:tcPr>
          <w:p>
            <w:pPr>
              <w:pStyle w:val="5"/>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商务条款</w:t>
            </w:r>
          </w:p>
        </w:tc>
        <w:tc>
          <w:tcPr>
            <w:tcW w:w="1600" w:type="dxa"/>
            <w:vAlign w:val="center"/>
          </w:tcPr>
          <w:p>
            <w:pPr>
              <w:pStyle w:val="5"/>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商务要求</w:t>
            </w:r>
          </w:p>
          <w:p>
            <w:pPr>
              <w:pStyle w:val="5"/>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内容</w:t>
            </w:r>
          </w:p>
        </w:tc>
        <w:tc>
          <w:tcPr>
            <w:tcW w:w="1938" w:type="dxa"/>
            <w:vAlign w:val="center"/>
          </w:tcPr>
          <w:p>
            <w:pPr>
              <w:pStyle w:val="5"/>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投标文件</w:t>
            </w:r>
          </w:p>
          <w:p>
            <w:pPr>
              <w:pStyle w:val="5"/>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响应商务内容</w:t>
            </w:r>
          </w:p>
        </w:tc>
        <w:tc>
          <w:tcPr>
            <w:tcW w:w="1410" w:type="dxa"/>
            <w:vAlign w:val="center"/>
          </w:tcPr>
          <w:p>
            <w:pPr>
              <w:pStyle w:val="5"/>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偏离情况</w:t>
            </w:r>
          </w:p>
        </w:tc>
        <w:tc>
          <w:tcPr>
            <w:tcW w:w="1356" w:type="dxa"/>
            <w:vAlign w:val="center"/>
          </w:tcPr>
          <w:p>
            <w:pPr>
              <w:pStyle w:val="5"/>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96" w:firstLineChars="200"/>
              <w:rPr>
                <w:rFonts w:cs="宋体" w:asciiTheme="minorEastAsia" w:hAnsiTheme="minorEastAsia" w:eastAsiaTheme="minorEastAsia"/>
                <w:sz w:val="24"/>
              </w:rPr>
            </w:pPr>
          </w:p>
        </w:tc>
        <w:tc>
          <w:tcPr>
            <w:tcW w:w="1521" w:type="dxa"/>
          </w:tcPr>
          <w:p>
            <w:pPr>
              <w:pStyle w:val="5"/>
              <w:spacing w:line="480" w:lineRule="auto"/>
              <w:ind w:firstLine="496" w:firstLineChars="200"/>
              <w:rPr>
                <w:rFonts w:cs="宋体" w:asciiTheme="minorEastAsia" w:hAnsiTheme="minorEastAsia" w:eastAsiaTheme="minorEastAsia"/>
                <w:sz w:val="24"/>
              </w:rPr>
            </w:pPr>
          </w:p>
        </w:tc>
        <w:tc>
          <w:tcPr>
            <w:tcW w:w="1600" w:type="dxa"/>
            <w:vAlign w:val="center"/>
          </w:tcPr>
          <w:p>
            <w:pPr>
              <w:pStyle w:val="5"/>
              <w:spacing w:line="480" w:lineRule="auto"/>
              <w:ind w:firstLine="496" w:firstLineChars="200"/>
              <w:rPr>
                <w:rFonts w:cs="宋体" w:asciiTheme="minorEastAsia" w:hAnsiTheme="minorEastAsia" w:eastAsiaTheme="minorEastAsia"/>
                <w:sz w:val="24"/>
              </w:rPr>
            </w:pPr>
          </w:p>
        </w:tc>
        <w:tc>
          <w:tcPr>
            <w:tcW w:w="1938" w:type="dxa"/>
            <w:vAlign w:val="center"/>
          </w:tcPr>
          <w:p>
            <w:pPr>
              <w:pStyle w:val="5"/>
              <w:spacing w:line="480" w:lineRule="auto"/>
              <w:ind w:firstLine="496" w:firstLineChars="200"/>
              <w:rPr>
                <w:rFonts w:cs="宋体" w:asciiTheme="minorEastAsia" w:hAnsiTheme="minorEastAsia" w:eastAsiaTheme="minorEastAsia"/>
                <w:sz w:val="24"/>
              </w:rPr>
            </w:pPr>
          </w:p>
        </w:tc>
        <w:tc>
          <w:tcPr>
            <w:tcW w:w="1410" w:type="dxa"/>
            <w:vAlign w:val="center"/>
          </w:tcPr>
          <w:p>
            <w:pPr>
              <w:pStyle w:val="5"/>
              <w:spacing w:line="480" w:lineRule="auto"/>
              <w:ind w:firstLine="496" w:firstLineChars="200"/>
              <w:rPr>
                <w:rFonts w:cs="宋体" w:asciiTheme="minorEastAsia" w:hAnsiTheme="minorEastAsia" w:eastAsiaTheme="minorEastAsia"/>
                <w:sz w:val="24"/>
              </w:rPr>
            </w:pPr>
          </w:p>
        </w:tc>
        <w:tc>
          <w:tcPr>
            <w:tcW w:w="1356" w:type="dxa"/>
            <w:vAlign w:val="center"/>
          </w:tcPr>
          <w:p>
            <w:pPr>
              <w:pStyle w:val="5"/>
              <w:spacing w:line="480" w:lineRule="auto"/>
              <w:ind w:firstLine="496"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96" w:firstLineChars="200"/>
              <w:rPr>
                <w:rFonts w:cs="宋体" w:asciiTheme="minorEastAsia" w:hAnsiTheme="minorEastAsia" w:eastAsiaTheme="minorEastAsia"/>
                <w:sz w:val="24"/>
              </w:rPr>
            </w:pPr>
          </w:p>
        </w:tc>
        <w:tc>
          <w:tcPr>
            <w:tcW w:w="1521" w:type="dxa"/>
          </w:tcPr>
          <w:p>
            <w:pPr>
              <w:pStyle w:val="5"/>
              <w:spacing w:line="480" w:lineRule="auto"/>
              <w:ind w:firstLine="496" w:firstLineChars="200"/>
              <w:rPr>
                <w:rFonts w:cs="宋体" w:asciiTheme="minorEastAsia" w:hAnsiTheme="minorEastAsia" w:eastAsiaTheme="minorEastAsia"/>
                <w:sz w:val="24"/>
              </w:rPr>
            </w:pPr>
          </w:p>
        </w:tc>
        <w:tc>
          <w:tcPr>
            <w:tcW w:w="1600" w:type="dxa"/>
          </w:tcPr>
          <w:p>
            <w:pPr>
              <w:pStyle w:val="5"/>
              <w:spacing w:line="480" w:lineRule="auto"/>
              <w:ind w:firstLine="496" w:firstLineChars="200"/>
              <w:rPr>
                <w:rFonts w:cs="宋体" w:asciiTheme="minorEastAsia" w:hAnsiTheme="minorEastAsia" w:eastAsiaTheme="minorEastAsia"/>
                <w:sz w:val="24"/>
              </w:rPr>
            </w:pPr>
          </w:p>
        </w:tc>
        <w:tc>
          <w:tcPr>
            <w:tcW w:w="1938" w:type="dxa"/>
          </w:tcPr>
          <w:p>
            <w:pPr>
              <w:pStyle w:val="5"/>
              <w:spacing w:line="480" w:lineRule="auto"/>
              <w:ind w:firstLine="496" w:firstLineChars="200"/>
              <w:rPr>
                <w:rFonts w:cs="宋体" w:asciiTheme="minorEastAsia" w:hAnsiTheme="minorEastAsia" w:eastAsiaTheme="minorEastAsia"/>
                <w:sz w:val="24"/>
              </w:rPr>
            </w:pPr>
          </w:p>
        </w:tc>
        <w:tc>
          <w:tcPr>
            <w:tcW w:w="1410" w:type="dxa"/>
          </w:tcPr>
          <w:p>
            <w:pPr>
              <w:pStyle w:val="5"/>
              <w:spacing w:line="480" w:lineRule="auto"/>
              <w:ind w:firstLine="496" w:firstLineChars="200"/>
              <w:rPr>
                <w:rFonts w:cs="宋体" w:asciiTheme="minorEastAsia" w:hAnsiTheme="minorEastAsia" w:eastAsiaTheme="minorEastAsia"/>
                <w:sz w:val="24"/>
              </w:rPr>
            </w:pPr>
          </w:p>
        </w:tc>
        <w:tc>
          <w:tcPr>
            <w:tcW w:w="1356" w:type="dxa"/>
          </w:tcPr>
          <w:p>
            <w:pPr>
              <w:pStyle w:val="5"/>
              <w:spacing w:line="480" w:lineRule="auto"/>
              <w:ind w:firstLine="496"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96" w:firstLineChars="200"/>
              <w:rPr>
                <w:rFonts w:cs="宋体" w:asciiTheme="minorEastAsia" w:hAnsiTheme="minorEastAsia" w:eastAsiaTheme="minorEastAsia"/>
                <w:sz w:val="24"/>
              </w:rPr>
            </w:pPr>
          </w:p>
        </w:tc>
        <w:tc>
          <w:tcPr>
            <w:tcW w:w="1521" w:type="dxa"/>
          </w:tcPr>
          <w:p>
            <w:pPr>
              <w:pStyle w:val="5"/>
              <w:spacing w:line="480" w:lineRule="auto"/>
              <w:ind w:firstLine="496" w:firstLineChars="200"/>
              <w:rPr>
                <w:rFonts w:cs="宋体" w:asciiTheme="minorEastAsia" w:hAnsiTheme="minorEastAsia" w:eastAsiaTheme="minorEastAsia"/>
                <w:sz w:val="24"/>
              </w:rPr>
            </w:pPr>
          </w:p>
        </w:tc>
        <w:tc>
          <w:tcPr>
            <w:tcW w:w="1600" w:type="dxa"/>
          </w:tcPr>
          <w:p>
            <w:pPr>
              <w:pStyle w:val="5"/>
              <w:spacing w:line="480" w:lineRule="auto"/>
              <w:ind w:firstLine="496" w:firstLineChars="200"/>
              <w:rPr>
                <w:rFonts w:cs="宋体" w:asciiTheme="minorEastAsia" w:hAnsiTheme="minorEastAsia" w:eastAsiaTheme="minorEastAsia"/>
                <w:sz w:val="24"/>
              </w:rPr>
            </w:pPr>
          </w:p>
        </w:tc>
        <w:tc>
          <w:tcPr>
            <w:tcW w:w="1938" w:type="dxa"/>
          </w:tcPr>
          <w:p>
            <w:pPr>
              <w:pStyle w:val="5"/>
              <w:spacing w:line="480" w:lineRule="auto"/>
              <w:ind w:firstLine="496" w:firstLineChars="200"/>
              <w:rPr>
                <w:rFonts w:cs="宋体" w:asciiTheme="minorEastAsia" w:hAnsiTheme="minorEastAsia" w:eastAsiaTheme="minorEastAsia"/>
                <w:sz w:val="24"/>
              </w:rPr>
            </w:pPr>
          </w:p>
        </w:tc>
        <w:tc>
          <w:tcPr>
            <w:tcW w:w="1410" w:type="dxa"/>
          </w:tcPr>
          <w:p>
            <w:pPr>
              <w:pStyle w:val="5"/>
              <w:spacing w:line="480" w:lineRule="auto"/>
              <w:ind w:firstLine="496" w:firstLineChars="200"/>
              <w:rPr>
                <w:rFonts w:cs="宋体" w:asciiTheme="minorEastAsia" w:hAnsiTheme="minorEastAsia" w:eastAsiaTheme="minorEastAsia"/>
                <w:sz w:val="24"/>
              </w:rPr>
            </w:pPr>
          </w:p>
        </w:tc>
        <w:tc>
          <w:tcPr>
            <w:tcW w:w="1356" w:type="dxa"/>
          </w:tcPr>
          <w:p>
            <w:pPr>
              <w:pStyle w:val="5"/>
              <w:spacing w:line="480" w:lineRule="auto"/>
              <w:ind w:firstLine="496"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96" w:firstLineChars="200"/>
              <w:rPr>
                <w:rFonts w:cs="宋体" w:asciiTheme="minorEastAsia" w:hAnsiTheme="minorEastAsia" w:eastAsiaTheme="minorEastAsia"/>
                <w:sz w:val="24"/>
              </w:rPr>
            </w:pPr>
          </w:p>
        </w:tc>
        <w:tc>
          <w:tcPr>
            <w:tcW w:w="1521" w:type="dxa"/>
          </w:tcPr>
          <w:p>
            <w:pPr>
              <w:pStyle w:val="5"/>
              <w:spacing w:line="480" w:lineRule="auto"/>
              <w:ind w:firstLine="496" w:firstLineChars="200"/>
              <w:rPr>
                <w:rFonts w:cs="宋体" w:asciiTheme="minorEastAsia" w:hAnsiTheme="minorEastAsia" w:eastAsiaTheme="minorEastAsia"/>
                <w:sz w:val="24"/>
              </w:rPr>
            </w:pPr>
          </w:p>
        </w:tc>
        <w:tc>
          <w:tcPr>
            <w:tcW w:w="1600" w:type="dxa"/>
          </w:tcPr>
          <w:p>
            <w:pPr>
              <w:pStyle w:val="5"/>
              <w:spacing w:line="480" w:lineRule="auto"/>
              <w:ind w:firstLine="496" w:firstLineChars="200"/>
              <w:rPr>
                <w:rFonts w:cs="宋体" w:asciiTheme="minorEastAsia" w:hAnsiTheme="minorEastAsia" w:eastAsiaTheme="minorEastAsia"/>
                <w:sz w:val="24"/>
              </w:rPr>
            </w:pPr>
          </w:p>
        </w:tc>
        <w:tc>
          <w:tcPr>
            <w:tcW w:w="1938" w:type="dxa"/>
          </w:tcPr>
          <w:p>
            <w:pPr>
              <w:pStyle w:val="5"/>
              <w:spacing w:line="480" w:lineRule="auto"/>
              <w:ind w:firstLine="496" w:firstLineChars="200"/>
              <w:rPr>
                <w:rFonts w:cs="宋体" w:asciiTheme="minorEastAsia" w:hAnsiTheme="minorEastAsia" w:eastAsiaTheme="minorEastAsia"/>
                <w:sz w:val="24"/>
              </w:rPr>
            </w:pPr>
          </w:p>
        </w:tc>
        <w:tc>
          <w:tcPr>
            <w:tcW w:w="1410" w:type="dxa"/>
          </w:tcPr>
          <w:p>
            <w:pPr>
              <w:pStyle w:val="5"/>
              <w:spacing w:line="480" w:lineRule="auto"/>
              <w:ind w:firstLine="496" w:firstLineChars="200"/>
              <w:rPr>
                <w:rFonts w:cs="宋体" w:asciiTheme="minorEastAsia" w:hAnsiTheme="minorEastAsia" w:eastAsiaTheme="minorEastAsia"/>
                <w:sz w:val="24"/>
              </w:rPr>
            </w:pPr>
          </w:p>
        </w:tc>
        <w:tc>
          <w:tcPr>
            <w:tcW w:w="1356" w:type="dxa"/>
          </w:tcPr>
          <w:p>
            <w:pPr>
              <w:pStyle w:val="5"/>
              <w:spacing w:line="480" w:lineRule="auto"/>
              <w:ind w:firstLine="496"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96" w:firstLineChars="200"/>
              <w:rPr>
                <w:rFonts w:cs="宋体" w:asciiTheme="minorEastAsia" w:hAnsiTheme="minorEastAsia" w:eastAsiaTheme="minorEastAsia"/>
                <w:sz w:val="24"/>
              </w:rPr>
            </w:pPr>
          </w:p>
        </w:tc>
        <w:tc>
          <w:tcPr>
            <w:tcW w:w="1521" w:type="dxa"/>
          </w:tcPr>
          <w:p>
            <w:pPr>
              <w:pStyle w:val="5"/>
              <w:spacing w:line="480" w:lineRule="auto"/>
              <w:ind w:firstLine="496" w:firstLineChars="200"/>
              <w:rPr>
                <w:rFonts w:cs="宋体" w:asciiTheme="minorEastAsia" w:hAnsiTheme="minorEastAsia" w:eastAsiaTheme="minorEastAsia"/>
                <w:sz w:val="24"/>
              </w:rPr>
            </w:pPr>
          </w:p>
        </w:tc>
        <w:tc>
          <w:tcPr>
            <w:tcW w:w="1600" w:type="dxa"/>
          </w:tcPr>
          <w:p>
            <w:pPr>
              <w:pStyle w:val="5"/>
              <w:spacing w:line="480" w:lineRule="auto"/>
              <w:ind w:firstLine="496" w:firstLineChars="200"/>
              <w:rPr>
                <w:rFonts w:cs="宋体" w:asciiTheme="minorEastAsia" w:hAnsiTheme="minorEastAsia" w:eastAsiaTheme="minorEastAsia"/>
                <w:sz w:val="24"/>
              </w:rPr>
            </w:pPr>
          </w:p>
        </w:tc>
        <w:tc>
          <w:tcPr>
            <w:tcW w:w="1938" w:type="dxa"/>
          </w:tcPr>
          <w:p>
            <w:pPr>
              <w:pStyle w:val="5"/>
              <w:spacing w:line="480" w:lineRule="auto"/>
              <w:ind w:firstLine="496" w:firstLineChars="200"/>
              <w:rPr>
                <w:rFonts w:cs="宋体" w:asciiTheme="minorEastAsia" w:hAnsiTheme="minorEastAsia" w:eastAsiaTheme="minorEastAsia"/>
                <w:sz w:val="24"/>
              </w:rPr>
            </w:pPr>
          </w:p>
        </w:tc>
        <w:tc>
          <w:tcPr>
            <w:tcW w:w="1410" w:type="dxa"/>
          </w:tcPr>
          <w:p>
            <w:pPr>
              <w:pStyle w:val="5"/>
              <w:spacing w:line="480" w:lineRule="auto"/>
              <w:ind w:firstLine="496" w:firstLineChars="200"/>
              <w:rPr>
                <w:rFonts w:cs="宋体" w:asciiTheme="minorEastAsia" w:hAnsiTheme="minorEastAsia" w:eastAsiaTheme="minorEastAsia"/>
                <w:sz w:val="24"/>
              </w:rPr>
            </w:pPr>
          </w:p>
        </w:tc>
        <w:tc>
          <w:tcPr>
            <w:tcW w:w="1356" w:type="dxa"/>
          </w:tcPr>
          <w:p>
            <w:pPr>
              <w:pStyle w:val="5"/>
              <w:spacing w:line="480" w:lineRule="auto"/>
              <w:ind w:firstLine="496"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96" w:firstLineChars="200"/>
              <w:rPr>
                <w:rFonts w:cs="宋体" w:asciiTheme="minorEastAsia" w:hAnsiTheme="minorEastAsia" w:eastAsiaTheme="minorEastAsia"/>
                <w:sz w:val="24"/>
              </w:rPr>
            </w:pPr>
          </w:p>
        </w:tc>
        <w:tc>
          <w:tcPr>
            <w:tcW w:w="1521" w:type="dxa"/>
          </w:tcPr>
          <w:p>
            <w:pPr>
              <w:pStyle w:val="5"/>
              <w:spacing w:line="480" w:lineRule="auto"/>
              <w:ind w:firstLine="496" w:firstLineChars="200"/>
              <w:rPr>
                <w:rFonts w:cs="宋体" w:asciiTheme="minorEastAsia" w:hAnsiTheme="minorEastAsia" w:eastAsiaTheme="minorEastAsia"/>
                <w:sz w:val="24"/>
              </w:rPr>
            </w:pPr>
          </w:p>
        </w:tc>
        <w:tc>
          <w:tcPr>
            <w:tcW w:w="1600" w:type="dxa"/>
          </w:tcPr>
          <w:p>
            <w:pPr>
              <w:pStyle w:val="5"/>
              <w:spacing w:line="480" w:lineRule="auto"/>
              <w:ind w:firstLine="496" w:firstLineChars="200"/>
              <w:rPr>
                <w:rFonts w:cs="宋体" w:asciiTheme="minorEastAsia" w:hAnsiTheme="minorEastAsia" w:eastAsiaTheme="minorEastAsia"/>
                <w:sz w:val="24"/>
              </w:rPr>
            </w:pPr>
          </w:p>
        </w:tc>
        <w:tc>
          <w:tcPr>
            <w:tcW w:w="1938" w:type="dxa"/>
          </w:tcPr>
          <w:p>
            <w:pPr>
              <w:pStyle w:val="5"/>
              <w:spacing w:line="480" w:lineRule="auto"/>
              <w:ind w:firstLine="496" w:firstLineChars="200"/>
              <w:rPr>
                <w:rFonts w:cs="宋体" w:asciiTheme="minorEastAsia" w:hAnsiTheme="minorEastAsia" w:eastAsiaTheme="minorEastAsia"/>
                <w:sz w:val="24"/>
              </w:rPr>
            </w:pPr>
          </w:p>
        </w:tc>
        <w:tc>
          <w:tcPr>
            <w:tcW w:w="1410" w:type="dxa"/>
          </w:tcPr>
          <w:p>
            <w:pPr>
              <w:pStyle w:val="5"/>
              <w:spacing w:line="480" w:lineRule="auto"/>
              <w:ind w:firstLine="496" w:firstLineChars="200"/>
              <w:rPr>
                <w:rFonts w:cs="宋体" w:asciiTheme="minorEastAsia" w:hAnsiTheme="minorEastAsia" w:eastAsiaTheme="minorEastAsia"/>
                <w:sz w:val="24"/>
              </w:rPr>
            </w:pPr>
          </w:p>
        </w:tc>
        <w:tc>
          <w:tcPr>
            <w:tcW w:w="1356" w:type="dxa"/>
          </w:tcPr>
          <w:p>
            <w:pPr>
              <w:pStyle w:val="5"/>
              <w:spacing w:line="480" w:lineRule="auto"/>
              <w:ind w:firstLine="496"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96" w:firstLineChars="200"/>
              <w:rPr>
                <w:rFonts w:cs="宋体" w:asciiTheme="minorEastAsia" w:hAnsiTheme="minorEastAsia" w:eastAsiaTheme="minorEastAsia"/>
                <w:sz w:val="24"/>
              </w:rPr>
            </w:pPr>
          </w:p>
        </w:tc>
        <w:tc>
          <w:tcPr>
            <w:tcW w:w="1521" w:type="dxa"/>
          </w:tcPr>
          <w:p>
            <w:pPr>
              <w:pStyle w:val="5"/>
              <w:spacing w:line="480" w:lineRule="auto"/>
              <w:ind w:firstLine="496" w:firstLineChars="200"/>
              <w:rPr>
                <w:rFonts w:cs="宋体" w:asciiTheme="minorEastAsia" w:hAnsiTheme="minorEastAsia" w:eastAsiaTheme="minorEastAsia"/>
                <w:sz w:val="24"/>
              </w:rPr>
            </w:pPr>
          </w:p>
        </w:tc>
        <w:tc>
          <w:tcPr>
            <w:tcW w:w="1600" w:type="dxa"/>
          </w:tcPr>
          <w:p>
            <w:pPr>
              <w:pStyle w:val="5"/>
              <w:spacing w:line="480" w:lineRule="auto"/>
              <w:ind w:firstLine="496" w:firstLineChars="200"/>
              <w:rPr>
                <w:rFonts w:cs="宋体" w:asciiTheme="minorEastAsia" w:hAnsiTheme="minorEastAsia" w:eastAsiaTheme="minorEastAsia"/>
                <w:sz w:val="24"/>
              </w:rPr>
            </w:pPr>
          </w:p>
        </w:tc>
        <w:tc>
          <w:tcPr>
            <w:tcW w:w="1938" w:type="dxa"/>
          </w:tcPr>
          <w:p>
            <w:pPr>
              <w:pStyle w:val="5"/>
              <w:spacing w:line="480" w:lineRule="auto"/>
              <w:ind w:firstLine="496" w:firstLineChars="200"/>
              <w:rPr>
                <w:rFonts w:cs="宋体" w:asciiTheme="minorEastAsia" w:hAnsiTheme="minorEastAsia" w:eastAsiaTheme="minorEastAsia"/>
                <w:sz w:val="24"/>
              </w:rPr>
            </w:pPr>
          </w:p>
        </w:tc>
        <w:tc>
          <w:tcPr>
            <w:tcW w:w="1410" w:type="dxa"/>
          </w:tcPr>
          <w:p>
            <w:pPr>
              <w:pStyle w:val="5"/>
              <w:spacing w:line="480" w:lineRule="auto"/>
              <w:ind w:firstLine="496" w:firstLineChars="200"/>
              <w:rPr>
                <w:rFonts w:cs="宋体" w:asciiTheme="minorEastAsia" w:hAnsiTheme="minorEastAsia" w:eastAsiaTheme="minorEastAsia"/>
                <w:sz w:val="24"/>
              </w:rPr>
            </w:pPr>
          </w:p>
        </w:tc>
        <w:tc>
          <w:tcPr>
            <w:tcW w:w="1356" w:type="dxa"/>
          </w:tcPr>
          <w:p>
            <w:pPr>
              <w:pStyle w:val="5"/>
              <w:spacing w:line="480" w:lineRule="auto"/>
              <w:ind w:firstLine="496"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5"/>
              <w:spacing w:line="480" w:lineRule="auto"/>
              <w:rPr>
                <w:rFonts w:cs="宋体" w:asciiTheme="minorEastAsia" w:hAnsiTheme="minorEastAsia" w:eastAsiaTheme="minorEastAsia"/>
                <w:sz w:val="24"/>
              </w:rPr>
            </w:pPr>
          </w:p>
        </w:tc>
        <w:tc>
          <w:tcPr>
            <w:tcW w:w="1521" w:type="dxa"/>
          </w:tcPr>
          <w:p>
            <w:pPr>
              <w:pStyle w:val="5"/>
              <w:spacing w:line="480" w:lineRule="auto"/>
              <w:rPr>
                <w:rFonts w:cs="宋体" w:asciiTheme="minorEastAsia" w:hAnsiTheme="minorEastAsia" w:eastAsiaTheme="minorEastAsia"/>
                <w:sz w:val="24"/>
              </w:rPr>
            </w:pPr>
          </w:p>
        </w:tc>
        <w:tc>
          <w:tcPr>
            <w:tcW w:w="1600" w:type="dxa"/>
          </w:tcPr>
          <w:p>
            <w:pPr>
              <w:pStyle w:val="5"/>
              <w:spacing w:line="480" w:lineRule="auto"/>
              <w:ind w:firstLine="496" w:firstLineChars="200"/>
              <w:rPr>
                <w:rFonts w:cs="宋体" w:asciiTheme="minorEastAsia" w:hAnsiTheme="minorEastAsia" w:eastAsiaTheme="minorEastAsia"/>
                <w:sz w:val="24"/>
              </w:rPr>
            </w:pPr>
          </w:p>
        </w:tc>
        <w:tc>
          <w:tcPr>
            <w:tcW w:w="1938" w:type="dxa"/>
          </w:tcPr>
          <w:p>
            <w:pPr>
              <w:pStyle w:val="5"/>
              <w:spacing w:line="480" w:lineRule="auto"/>
              <w:ind w:firstLine="496" w:firstLineChars="200"/>
              <w:rPr>
                <w:rFonts w:cs="宋体" w:asciiTheme="minorEastAsia" w:hAnsiTheme="minorEastAsia" w:eastAsiaTheme="minorEastAsia"/>
                <w:sz w:val="24"/>
              </w:rPr>
            </w:pPr>
          </w:p>
        </w:tc>
        <w:tc>
          <w:tcPr>
            <w:tcW w:w="1410" w:type="dxa"/>
          </w:tcPr>
          <w:p>
            <w:pPr>
              <w:pStyle w:val="5"/>
              <w:spacing w:line="480" w:lineRule="auto"/>
              <w:ind w:firstLine="496" w:firstLineChars="200"/>
              <w:rPr>
                <w:rFonts w:cs="宋体" w:asciiTheme="minorEastAsia" w:hAnsiTheme="minorEastAsia" w:eastAsiaTheme="minorEastAsia"/>
                <w:sz w:val="24"/>
              </w:rPr>
            </w:pPr>
          </w:p>
        </w:tc>
        <w:tc>
          <w:tcPr>
            <w:tcW w:w="1356" w:type="dxa"/>
          </w:tcPr>
          <w:p>
            <w:pPr>
              <w:pStyle w:val="5"/>
              <w:spacing w:line="480" w:lineRule="auto"/>
              <w:ind w:firstLine="496" w:firstLineChars="200"/>
              <w:rPr>
                <w:rFonts w:cs="宋体" w:asciiTheme="minorEastAsia" w:hAnsiTheme="minorEastAsia" w:eastAsiaTheme="minorEastAsia"/>
                <w:sz w:val="24"/>
              </w:rPr>
            </w:pPr>
          </w:p>
        </w:tc>
      </w:tr>
    </w:tbl>
    <w:p>
      <w:pPr>
        <w:pStyle w:val="4"/>
        <w:spacing w:line="360" w:lineRule="auto"/>
        <w:ind w:left="140" w:firstLine="0"/>
        <w:rPr>
          <w:rFonts w:cs="宋体" w:asciiTheme="minorEastAsia" w:hAnsiTheme="minorEastAsia" w:eastAsiaTheme="minorEastAsia"/>
          <w:b/>
          <w:bCs/>
        </w:rPr>
      </w:pPr>
      <w:r>
        <w:rPr>
          <w:rFonts w:hint="eastAsia" w:cs="宋体" w:asciiTheme="minorEastAsia" w:hAnsiTheme="minorEastAsia" w:eastAsiaTheme="minorEastAsia"/>
          <w:b/>
          <w:bCs/>
        </w:rPr>
        <w:t>1、本表须按“第二章供应商须知”中所列商务条款进行比较和响应；</w:t>
      </w:r>
    </w:p>
    <w:p>
      <w:pPr>
        <w:pStyle w:val="4"/>
        <w:spacing w:line="360" w:lineRule="auto"/>
        <w:ind w:firstLine="248" w:firstLineChars="100"/>
        <w:rPr>
          <w:rFonts w:cs="宋体" w:asciiTheme="minorEastAsia" w:hAnsiTheme="minorEastAsia" w:eastAsiaTheme="minorEastAsia"/>
          <w:b/>
          <w:bCs/>
        </w:rPr>
      </w:pPr>
      <w:r>
        <w:rPr>
          <w:rFonts w:hint="eastAsia" w:cs="宋体" w:asciiTheme="minorEastAsia" w:hAnsiTheme="minorEastAsia" w:eastAsiaTheme="minorEastAsia"/>
          <w:b/>
          <w:bCs/>
        </w:rPr>
        <w:t>2、该表必须按照招标文件要求逐条如实填写，根据情况在“偏离情况”项填写正偏离或负偏离或无偏离，在“说明”项填写正偏离或负偏离原因。</w:t>
      </w:r>
    </w:p>
    <w:p>
      <w:pPr>
        <w:pStyle w:val="4"/>
        <w:spacing w:line="360" w:lineRule="auto"/>
        <w:ind w:left="140" w:firstLine="0"/>
        <w:rPr>
          <w:rFonts w:cs="宋体" w:asciiTheme="minorEastAsia" w:hAnsiTheme="minorEastAsia" w:eastAsiaTheme="minorEastAsia"/>
          <w:b/>
          <w:bCs/>
        </w:rPr>
      </w:pPr>
      <w:r>
        <w:rPr>
          <w:rFonts w:hint="eastAsia" w:cs="宋体" w:asciiTheme="minorEastAsia" w:hAnsiTheme="minorEastAsia" w:eastAsiaTheme="minorEastAsia"/>
          <w:b/>
          <w:bCs/>
        </w:rPr>
        <w:t>3、该表可扩展。商务条款不允许负偏离；</w:t>
      </w:r>
    </w:p>
    <w:p>
      <w:pPr>
        <w:adjustRightInd w:val="0"/>
        <w:snapToGrid w:val="0"/>
        <w:spacing w:line="480" w:lineRule="auto"/>
        <w:rPr>
          <w:rFonts w:cs="宋体" w:asciiTheme="minorEastAsia" w:hAnsiTheme="minorEastAsia" w:eastAsiaTheme="minorEastAsia"/>
          <w:color w:val="000000"/>
          <w:u w:val="single"/>
        </w:rPr>
      </w:pPr>
      <w:r>
        <w:rPr>
          <w:rFonts w:hint="eastAsia" w:cs="宋体" w:asciiTheme="minorEastAsia" w:hAnsiTheme="minorEastAsia" w:eastAsiaTheme="minorEastAsia"/>
          <w:color w:val="000000"/>
        </w:rPr>
        <w:t>供应商（单位名称及公章）：</w:t>
      </w:r>
    </w:p>
    <w:p>
      <w:pPr>
        <w:adjustRightInd w:val="0"/>
        <w:snapToGrid w:val="0"/>
        <w:spacing w:line="480" w:lineRule="auto"/>
        <w:rPr>
          <w:rFonts w:cs="宋体" w:asciiTheme="minorEastAsia" w:hAnsiTheme="minorEastAsia" w:eastAsiaTheme="minorEastAsia"/>
          <w:color w:val="000000"/>
        </w:rPr>
      </w:pPr>
      <w:r>
        <w:rPr>
          <w:rFonts w:hint="eastAsia" w:cs="宋体" w:asciiTheme="minorEastAsia" w:hAnsiTheme="minorEastAsia" w:eastAsiaTheme="minorEastAsia"/>
          <w:color w:val="000000"/>
        </w:rPr>
        <w:t>法定代表人或被授权人（签字或盖章）：</w:t>
      </w:r>
    </w:p>
    <w:p>
      <w:pPr>
        <w:adjustRightInd w:val="0"/>
        <w:snapToGrid w:val="0"/>
        <w:spacing w:line="480" w:lineRule="auto"/>
        <w:rPr>
          <w:rFonts w:asciiTheme="minorEastAsia" w:hAnsiTheme="minorEastAsia" w:eastAsiaTheme="minorEastAsia"/>
          <w:color w:val="000000"/>
        </w:rPr>
        <w:sectPr>
          <w:headerReference r:id="rId12" w:type="default"/>
          <w:pgSz w:w="11906" w:h="16838"/>
          <w:pgMar w:top="1440" w:right="1803" w:bottom="1440" w:left="1803" w:header="850" w:footer="992" w:gutter="0"/>
          <w:cols w:space="0" w:num="1"/>
          <w:titlePg/>
          <w:docGrid w:type="linesAndChars" w:linePitch="395" w:charSpace="1724"/>
        </w:sectPr>
      </w:pPr>
      <w:r>
        <w:rPr>
          <w:rFonts w:hint="eastAsia" w:cs="宋体" w:asciiTheme="minorEastAsia" w:hAnsiTheme="minorEastAsia" w:eastAsiaTheme="minorEastAsia"/>
          <w:color w:val="000000"/>
        </w:rPr>
        <w:t>日    期：   年   月    日</w:t>
      </w:r>
    </w:p>
    <w:p>
      <w:pPr>
        <w:rPr>
          <w:rFonts w:cs="宋体" w:asciiTheme="minorEastAsia" w:hAnsiTheme="minorEastAsia" w:eastAsiaTheme="minorEastAsia"/>
        </w:rPr>
      </w:pPr>
      <w:r>
        <w:rPr>
          <w:rFonts w:hint="eastAsia" w:cs="宋体" w:asciiTheme="minorEastAsia" w:hAnsiTheme="minorEastAsia" w:eastAsiaTheme="minorEastAsia"/>
          <w:color w:val="000000"/>
        </w:rPr>
        <w:t>表2、</w:t>
      </w:r>
      <w:r>
        <w:rPr>
          <w:rFonts w:hint="eastAsia" w:cs="宋体" w:asciiTheme="minorEastAsia" w:hAnsiTheme="minorEastAsia" w:eastAsiaTheme="minorEastAsia"/>
        </w:rPr>
        <w:t>技术响应偏离表</w:t>
      </w:r>
    </w:p>
    <w:tbl>
      <w:tblPr>
        <w:tblStyle w:val="36"/>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5"/>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521" w:type="dxa"/>
            <w:vAlign w:val="center"/>
          </w:tcPr>
          <w:p>
            <w:pPr>
              <w:pStyle w:val="5"/>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产品名称</w:t>
            </w:r>
          </w:p>
        </w:tc>
        <w:tc>
          <w:tcPr>
            <w:tcW w:w="1600" w:type="dxa"/>
            <w:vAlign w:val="center"/>
          </w:tcPr>
          <w:p>
            <w:pPr>
              <w:spacing w:line="500" w:lineRule="exact"/>
              <w:jc w:val="center"/>
              <w:rPr>
                <w:rFonts w:cs="宋体" w:asciiTheme="minorEastAsia" w:hAnsiTheme="minorEastAsia" w:eastAsiaTheme="minorEastAsia"/>
              </w:rPr>
            </w:pPr>
            <w:r>
              <w:rPr>
                <w:rFonts w:hint="eastAsia" w:cs="宋体" w:asciiTheme="minorEastAsia" w:hAnsiTheme="minorEastAsia" w:eastAsiaTheme="minorEastAsia"/>
              </w:rPr>
              <w:t>标书要求</w:t>
            </w:r>
          </w:p>
          <w:p>
            <w:pPr>
              <w:spacing w:line="500" w:lineRule="exact"/>
              <w:jc w:val="center"/>
              <w:rPr>
                <w:rFonts w:cs="宋体" w:asciiTheme="minorEastAsia" w:hAnsiTheme="minorEastAsia" w:eastAsiaTheme="minorEastAsia"/>
              </w:rPr>
            </w:pPr>
            <w:r>
              <w:rPr>
                <w:rFonts w:hint="eastAsia" w:cs="宋体" w:asciiTheme="minorEastAsia" w:hAnsiTheme="minorEastAsia" w:eastAsiaTheme="minorEastAsia"/>
              </w:rPr>
              <w:t>技术指标</w:t>
            </w:r>
          </w:p>
        </w:tc>
        <w:tc>
          <w:tcPr>
            <w:tcW w:w="1938" w:type="dxa"/>
            <w:vAlign w:val="center"/>
          </w:tcPr>
          <w:p>
            <w:pPr>
              <w:spacing w:line="500" w:lineRule="exact"/>
              <w:jc w:val="center"/>
              <w:rPr>
                <w:rFonts w:cs="宋体" w:asciiTheme="minorEastAsia" w:hAnsiTheme="minorEastAsia" w:eastAsiaTheme="minorEastAsia"/>
              </w:rPr>
            </w:pPr>
            <w:r>
              <w:rPr>
                <w:rFonts w:hint="eastAsia" w:cs="宋体" w:asciiTheme="minorEastAsia" w:hAnsiTheme="minorEastAsia" w:eastAsiaTheme="minorEastAsia"/>
              </w:rPr>
              <w:t>投标产品</w:t>
            </w:r>
          </w:p>
          <w:p>
            <w:pPr>
              <w:spacing w:line="500" w:lineRule="exact"/>
              <w:jc w:val="center"/>
              <w:rPr>
                <w:rFonts w:cs="宋体" w:asciiTheme="minorEastAsia" w:hAnsiTheme="minorEastAsia" w:eastAsiaTheme="minorEastAsia"/>
              </w:rPr>
            </w:pPr>
            <w:r>
              <w:rPr>
                <w:rFonts w:hint="eastAsia" w:cs="宋体" w:asciiTheme="minorEastAsia" w:hAnsiTheme="minorEastAsia" w:eastAsiaTheme="minorEastAsia"/>
              </w:rPr>
              <w:t>技术指标</w:t>
            </w:r>
          </w:p>
        </w:tc>
        <w:tc>
          <w:tcPr>
            <w:tcW w:w="1410" w:type="dxa"/>
            <w:vAlign w:val="center"/>
          </w:tcPr>
          <w:p>
            <w:pPr>
              <w:spacing w:line="500" w:lineRule="exact"/>
              <w:jc w:val="center"/>
              <w:rPr>
                <w:rFonts w:cs="宋体" w:asciiTheme="minorEastAsia" w:hAnsiTheme="minorEastAsia" w:eastAsiaTheme="minorEastAsia"/>
              </w:rPr>
            </w:pPr>
            <w:r>
              <w:rPr>
                <w:rFonts w:hint="eastAsia" w:cs="宋体" w:asciiTheme="minorEastAsia" w:hAnsiTheme="minorEastAsia" w:eastAsiaTheme="minorEastAsia"/>
              </w:rPr>
              <w:t>偏离情况</w:t>
            </w:r>
          </w:p>
        </w:tc>
        <w:tc>
          <w:tcPr>
            <w:tcW w:w="1356" w:type="dxa"/>
            <w:vAlign w:val="center"/>
          </w:tcPr>
          <w:p>
            <w:pPr>
              <w:pStyle w:val="5"/>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80" w:firstLineChars="200"/>
              <w:rPr>
                <w:rFonts w:cs="宋体" w:asciiTheme="minorEastAsia" w:hAnsiTheme="minorEastAsia" w:eastAsiaTheme="minorEastAsia"/>
                <w:sz w:val="24"/>
              </w:rPr>
            </w:pPr>
          </w:p>
        </w:tc>
        <w:tc>
          <w:tcPr>
            <w:tcW w:w="1521" w:type="dxa"/>
          </w:tcPr>
          <w:p>
            <w:pPr>
              <w:pStyle w:val="5"/>
              <w:spacing w:line="480" w:lineRule="auto"/>
              <w:ind w:firstLine="480" w:firstLineChars="200"/>
              <w:rPr>
                <w:rFonts w:cs="宋体" w:asciiTheme="minorEastAsia" w:hAnsiTheme="minorEastAsia" w:eastAsiaTheme="minorEastAsia"/>
                <w:sz w:val="24"/>
              </w:rPr>
            </w:pPr>
          </w:p>
        </w:tc>
        <w:tc>
          <w:tcPr>
            <w:tcW w:w="1600" w:type="dxa"/>
            <w:vAlign w:val="center"/>
          </w:tcPr>
          <w:p>
            <w:pPr>
              <w:pStyle w:val="5"/>
              <w:spacing w:line="480" w:lineRule="auto"/>
              <w:ind w:firstLine="480" w:firstLineChars="200"/>
              <w:rPr>
                <w:rFonts w:cs="宋体" w:asciiTheme="minorEastAsia" w:hAnsiTheme="minorEastAsia" w:eastAsiaTheme="minorEastAsia"/>
                <w:sz w:val="24"/>
              </w:rPr>
            </w:pPr>
          </w:p>
        </w:tc>
        <w:tc>
          <w:tcPr>
            <w:tcW w:w="1938" w:type="dxa"/>
            <w:vAlign w:val="center"/>
          </w:tcPr>
          <w:p>
            <w:pPr>
              <w:pStyle w:val="5"/>
              <w:spacing w:line="480" w:lineRule="auto"/>
              <w:ind w:firstLine="480" w:firstLineChars="200"/>
              <w:rPr>
                <w:rFonts w:cs="宋体" w:asciiTheme="minorEastAsia" w:hAnsiTheme="minorEastAsia" w:eastAsiaTheme="minorEastAsia"/>
                <w:sz w:val="24"/>
              </w:rPr>
            </w:pPr>
          </w:p>
        </w:tc>
        <w:tc>
          <w:tcPr>
            <w:tcW w:w="1410" w:type="dxa"/>
            <w:vAlign w:val="center"/>
          </w:tcPr>
          <w:p>
            <w:pPr>
              <w:pStyle w:val="5"/>
              <w:spacing w:line="480" w:lineRule="auto"/>
              <w:ind w:firstLine="480" w:firstLineChars="200"/>
              <w:rPr>
                <w:rFonts w:cs="宋体" w:asciiTheme="minorEastAsia" w:hAnsiTheme="minorEastAsia" w:eastAsiaTheme="minorEastAsia"/>
                <w:sz w:val="24"/>
              </w:rPr>
            </w:pPr>
          </w:p>
        </w:tc>
        <w:tc>
          <w:tcPr>
            <w:tcW w:w="1356" w:type="dxa"/>
            <w:vAlign w:val="center"/>
          </w:tcPr>
          <w:p>
            <w:pPr>
              <w:pStyle w:val="5"/>
              <w:spacing w:line="480" w:lineRule="auto"/>
              <w:ind w:firstLine="480"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80" w:firstLineChars="200"/>
              <w:rPr>
                <w:rFonts w:cs="宋体" w:asciiTheme="minorEastAsia" w:hAnsiTheme="minorEastAsia" w:eastAsiaTheme="minorEastAsia"/>
                <w:sz w:val="24"/>
              </w:rPr>
            </w:pPr>
          </w:p>
        </w:tc>
        <w:tc>
          <w:tcPr>
            <w:tcW w:w="1521" w:type="dxa"/>
          </w:tcPr>
          <w:p>
            <w:pPr>
              <w:pStyle w:val="5"/>
              <w:spacing w:line="480" w:lineRule="auto"/>
              <w:ind w:firstLine="480" w:firstLineChars="200"/>
              <w:rPr>
                <w:rFonts w:cs="宋体" w:asciiTheme="minorEastAsia" w:hAnsiTheme="minorEastAsia" w:eastAsiaTheme="minorEastAsia"/>
                <w:sz w:val="24"/>
              </w:rPr>
            </w:pPr>
          </w:p>
        </w:tc>
        <w:tc>
          <w:tcPr>
            <w:tcW w:w="1600" w:type="dxa"/>
          </w:tcPr>
          <w:p>
            <w:pPr>
              <w:pStyle w:val="5"/>
              <w:spacing w:line="480" w:lineRule="auto"/>
              <w:ind w:firstLine="480" w:firstLineChars="200"/>
              <w:rPr>
                <w:rFonts w:cs="宋体" w:asciiTheme="minorEastAsia" w:hAnsiTheme="minorEastAsia" w:eastAsiaTheme="minorEastAsia"/>
                <w:sz w:val="24"/>
              </w:rPr>
            </w:pPr>
          </w:p>
        </w:tc>
        <w:tc>
          <w:tcPr>
            <w:tcW w:w="1938" w:type="dxa"/>
          </w:tcPr>
          <w:p>
            <w:pPr>
              <w:pStyle w:val="5"/>
              <w:spacing w:line="480" w:lineRule="auto"/>
              <w:ind w:firstLine="480" w:firstLineChars="200"/>
              <w:rPr>
                <w:rFonts w:cs="宋体" w:asciiTheme="minorEastAsia" w:hAnsiTheme="minorEastAsia" w:eastAsiaTheme="minorEastAsia"/>
                <w:sz w:val="24"/>
              </w:rPr>
            </w:pPr>
          </w:p>
        </w:tc>
        <w:tc>
          <w:tcPr>
            <w:tcW w:w="1410" w:type="dxa"/>
          </w:tcPr>
          <w:p>
            <w:pPr>
              <w:pStyle w:val="5"/>
              <w:spacing w:line="480" w:lineRule="auto"/>
              <w:ind w:firstLine="480" w:firstLineChars="200"/>
              <w:rPr>
                <w:rFonts w:cs="宋体" w:asciiTheme="minorEastAsia" w:hAnsiTheme="minorEastAsia" w:eastAsiaTheme="minorEastAsia"/>
                <w:sz w:val="24"/>
              </w:rPr>
            </w:pPr>
          </w:p>
        </w:tc>
        <w:tc>
          <w:tcPr>
            <w:tcW w:w="1356" w:type="dxa"/>
          </w:tcPr>
          <w:p>
            <w:pPr>
              <w:pStyle w:val="5"/>
              <w:spacing w:line="480" w:lineRule="auto"/>
              <w:ind w:firstLine="480"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80" w:firstLineChars="200"/>
              <w:rPr>
                <w:rFonts w:cs="宋体" w:asciiTheme="minorEastAsia" w:hAnsiTheme="minorEastAsia" w:eastAsiaTheme="minorEastAsia"/>
                <w:sz w:val="24"/>
              </w:rPr>
            </w:pPr>
          </w:p>
        </w:tc>
        <w:tc>
          <w:tcPr>
            <w:tcW w:w="1521" w:type="dxa"/>
          </w:tcPr>
          <w:p>
            <w:pPr>
              <w:pStyle w:val="5"/>
              <w:spacing w:line="480" w:lineRule="auto"/>
              <w:ind w:firstLine="480" w:firstLineChars="200"/>
              <w:rPr>
                <w:rFonts w:cs="宋体" w:asciiTheme="minorEastAsia" w:hAnsiTheme="minorEastAsia" w:eastAsiaTheme="minorEastAsia"/>
                <w:sz w:val="24"/>
              </w:rPr>
            </w:pPr>
          </w:p>
        </w:tc>
        <w:tc>
          <w:tcPr>
            <w:tcW w:w="1600" w:type="dxa"/>
          </w:tcPr>
          <w:p>
            <w:pPr>
              <w:pStyle w:val="5"/>
              <w:spacing w:line="480" w:lineRule="auto"/>
              <w:ind w:firstLine="480" w:firstLineChars="200"/>
              <w:rPr>
                <w:rFonts w:cs="宋体" w:asciiTheme="minorEastAsia" w:hAnsiTheme="minorEastAsia" w:eastAsiaTheme="minorEastAsia"/>
                <w:sz w:val="24"/>
              </w:rPr>
            </w:pPr>
          </w:p>
        </w:tc>
        <w:tc>
          <w:tcPr>
            <w:tcW w:w="1938" w:type="dxa"/>
          </w:tcPr>
          <w:p>
            <w:pPr>
              <w:pStyle w:val="5"/>
              <w:spacing w:line="480" w:lineRule="auto"/>
              <w:ind w:firstLine="480" w:firstLineChars="200"/>
              <w:rPr>
                <w:rFonts w:cs="宋体" w:asciiTheme="minorEastAsia" w:hAnsiTheme="minorEastAsia" w:eastAsiaTheme="minorEastAsia"/>
                <w:sz w:val="24"/>
              </w:rPr>
            </w:pPr>
          </w:p>
        </w:tc>
        <w:tc>
          <w:tcPr>
            <w:tcW w:w="1410" w:type="dxa"/>
          </w:tcPr>
          <w:p>
            <w:pPr>
              <w:pStyle w:val="5"/>
              <w:spacing w:line="480" w:lineRule="auto"/>
              <w:ind w:firstLine="480" w:firstLineChars="200"/>
              <w:rPr>
                <w:rFonts w:cs="宋体" w:asciiTheme="minorEastAsia" w:hAnsiTheme="minorEastAsia" w:eastAsiaTheme="minorEastAsia"/>
                <w:sz w:val="24"/>
              </w:rPr>
            </w:pPr>
          </w:p>
        </w:tc>
        <w:tc>
          <w:tcPr>
            <w:tcW w:w="1356" w:type="dxa"/>
          </w:tcPr>
          <w:p>
            <w:pPr>
              <w:pStyle w:val="5"/>
              <w:spacing w:line="480" w:lineRule="auto"/>
              <w:ind w:firstLine="480"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80" w:firstLineChars="200"/>
              <w:rPr>
                <w:rFonts w:cs="宋体" w:asciiTheme="minorEastAsia" w:hAnsiTheme="minorEastAsia" w:eastAsiaTheme="minorEastAsia"/>
                <w:sz w:val="24"/>
              </w:rPr>
            </w:pPr>
          </w:p>
        </w:tc>
        <w:tc>
          <w:tcPr>
            <w:tcW w:w="1521" w:type="dxa"/>
          </w:tcPr>
          <w:p>
            <w:pPr>
              <w:pStyle w:val="5"/>
              <w:spacing w:line="480" w:lineRule="auto"/>
              <w:ind w:firstLine="480" w:firstLineChars="200"/>
              <w:rPr>
                <w:rFonts w:cs="宋体" w:asciiTheme="minorEastAsia" w:hAnsiTheme="minorEastAsia" w:eastAsiaTheme="minorEastAsia"/>
                <w:sz w:val="24"/>
              </w:rPr>
            </w:pPr>
          </w:p>
        </w:tc>
        <w:tc>
          <w:tcPr>
            <w:tcW w:w="1600" w:type="dxa"/>
          </w:tcPr>
          <w:p>
            <w:pPr>
              <w:pStyle w:val="5"/>
              <w:spacing w:line="480" w:lineRule="auto"/>
              <w:ind w:firstLine="480" w:firstLineChars="200"/>
              <w:rPr>
                <w:rFonts w:cs="宋体" w:asciiTheme="minorEastAsia" w:hAnsiTheme="minorEastAsia" w:eastAsiaTheme="minorEastAsia"/>
                <w:sz w:val="24"/>
              </w:rPr>
            </w:pPr>
          </w:p>
        </w:tc>
        <w:tc>
          <w:tcPr>
            <w:tcW w:w="1938" w:type="dxa"/>
          </w:tcPr>
          <w:p>
            <w:pPr>
              <w:pStyle w:val="5"/>
              <w:spacing w:line="480" w:lineRule="auto"/>
              <w:ind w:firstLine="480" w:firstLineChars="200"/>
              <w:rPr>
                <w:rFonts w:cs="宋体" w:asciiTheme="minorEastAsia" w:hAnsiTheme="minorEastAsia" w:eastAsiaTheme="minorEastAsia"/>
                <w:sz w:val="24"/>
              </w:rPr>
            </w:pPr>
          </w:p>
        </w:tc>
        <w:tc>
          <w:tcPr>
            <w:tcW w:w="1410" w:type="dxa"/>
          </w:tcPr>
          <w:p>
            <w:pPr>
              <w:pStyle w:val="5"/>
              <w:spacing w:line="480" w:lineRule="auto"/>
              <w:ind w:firstLine="480" w:firstLineChars="200"/>
              <w:rPr>
                <w:rFonts w:cs="宋体" w:asciiTheme="minorEastAsia" w:hAnsiTheme="minorEastAsia" w:eastAsiaTheme="minorEastAsia"/>
                <w:sz w:val="24"/>
              </w:rPr>
            </w:pPr>
          </w:p>
        </w:tc>
        <w:tc>
          <w:tcPr>
            <w:tcW w:w="1356" w:type="dxa"/>
          </w:tcPr>
          <w:p>
            <w:pPr>
              <w:pStyle w:val="5"/>
              <w:spacing w:line="480" w:lineRule="auto"/>
              <w:ind w:firstLine="480"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80" w:firstLineChars="200"/>
              <w:rPr>
                <w:rFonts w:cs="宋体" w:asciiTheme="minorEastAsia" w:hAnsiTheme="minorEastAsia" w:eastAsiaTheme="minorEastAsia"/>
                <w:sz w:val="24"/>
              </w:rPr>
            </w:pPr>
          </w:p>
        </w:tc>
        <w:tc>
          <w:tcPr>
            <w:tcW w:w="1521" w:type="dxa"/>
          </w:tcPr>
          <w:p>
            <w:pPr>
              <w:pStyle w:val="5"/>
              <w:spacing w:line="480" w:lineRule="auto"/>
              <w:ind w:firstLine="480" w:firstLineChars="200"/>
              <w:rPr>
                <w:rFonts w:cs="宋体" w:asciiTheme="minorEastAsia" w:hAnsiTheme="minorEastAsia" w:eastAsiaTheme="minorEastAsia"/>
                <w:sz w:val="24"/>
              </w:rPr>
            </w:pPr>
          </w:p>
        </w:tc>
        <w:tc>
          <w:tcPr>
            <w:tcW w:w="1600" w:type="dxa"/>
          </w:tcPr>
          <w:p>
            <w:pPr>
              <w:pStyle w:val="5"/>
              <w:spacing w:line="480" w:lineRule="auto"/>
              <w:ind w:firstLine="480" w:firstLineChars="200"/>
              <w:rPr>
                <w:rFonts w:cs="宋体" w:asciiTheme="minorEastAsia" w:hAnsiTheme="minorEastAsia" w:eastAsiaTheme="minorEastAsia"/>
                <w:sz w:val="24"/>
              </w:rPr>
            </w:pPr>
          </w:p>
        </w:tc>
        <w:tc>
          <w:tcPr>
            <w:tcW w:w="1938" w:type="dxa"/>
          </w:tcPr>
          <w:p>
            <w:pPr>
              <w:pStyle w:val="5"/>
              <w:spacing w:line="480" w:lineRule="auto"/>
              <w:ind w:firstLine="480" w:firstLineChars="200"/>
              <w:rPr>
                <w:rFonts w:cs="宋体" w:asciiTheme="minorEastAsia" w:hAnsiTheme="minorEastAsia" w:eastAsiaTheme="minorEastAsia"/>
                <w:sz w:val="24"/>
              </w:rPr>
            </w:pPr>
          </w:p>
        </w:tc>
        <w:tc>
          <w:tcPr>
            <w:tcW w:w="1410" w:type="dxa"/>
          </w:tcPr>
          <w:p>
            <w:pPr>
              <w:pStyle w:val="5"/>
              <w:spacing w:line="480" w:lineRule="auto"/>
              <w:ind w:firstLine="480" w:firstLineChars="200"/>
              <w:rPr>
                <w:rFonts w:cs="宋体" w:asciiTheme="minorEastAsia" w:hAnsiTheme="minorEastAsia" w:eastAsiaTheme="minorEastAsia"/>
                <w:sz w:val="24"/>
              </w:rPr>
            </w:pPr>
          </w:p>
        </w:tc>
        <w:tc>
          <w:tcPr>
            <w:tcW w:w="1356" w:type="dxa"/>
          </w:tcPr>
          <w:p>
            <w:pPr>
              <w:pStyle w:val="5"/>
              <w:spacing w:line="480" w:lineRule="auto"/>
              <w:ind w:firstLine="480"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80" w:firstLineChars="200"/>
              <w:rPr>
                <w:rFonts w:cs="宋体" w:asciiTheme="minorEastAsia" w:hAnsiTheme="minorEastAsia" w:eastAsiaTheme="minorEastAsia"/>
                <w:sz w:val="24"/>
              </w:rPr>
            </w:pPr>
          </w:p>
        </w:tc>
        <w:tc>
          <w:tcPr>
            <w:tcW w:w="1521" w:type="dxa"/>
          </w:tcPr>
          <w:p>
            <w:pPr>
              <w:pStyle w:val="5"/>
              <w:spacing w:line="480" w:lineRule="auto"/>
              <w:ind w:firstLine="480" w:firstLineChars="200"/>
              <w:rPr>
                <w:rFonts w:cs="宋体" w:asciiTheme="minorEastAsia" w:hAnsiTheme="minorEastAsia" w:eastAsiaTheme="minorEastAsia"/>
                <w:sz w:val="24"/>
              </w:rPr>
            </w:pPr>
          </w:p>
        </w:tc>
        <w:tc>
          <w:tcPr>
            <w:tcW w:w="1600" w:type="dxa"/>
          </w:tcPr>
          <w:p>
            <w:pPr>
              <w:pStyle w:val="5"/>
              <w:spacing w:line="480" w:lineRule="auto"/>
              <w:ind w:firstLine="480" w:firstLineChars="200"/>
              <w:rPr>
                <w:rFonts w:cs="宋体" w:asciiTheme="minorEastAsia" w:hAnsiTheme="minorEastAsia" w:eastAsiaTheme="minorEastAsia"/>
                <w:sz w:val="24"/>
              </w:rPr>
            </w:pPr>
          </w:p>
        </w:tc>
        <w:tc>
          <w:tcPr>
            <w:tcW w:w="1938" w:type="dxa"/>
          </w:tcPr>
          <w:p>
            <w:pPr>
              <w:pStyle w:val="5"/>
              <w:spacing w:line="480" w:lineRule="auto"/>
              <w:ind w:firstLine="480" w:firstLineChars="200"/>
              <w:rPr>
                <w:rFonts w:cs="宋体" w:asciiTheme="minorEastAsia" w:hAnsiTheme="minorEastAsia" w:eastAsiaTheme="minorEastAsia"/>
                <w:sz w:val="24"/>
              </w:rPr>
            </w:pPr>
          </w:p>
        </w:tc>
        <w:tc>
          <w:tcPr>
            <w:tcW w:w="1410" w:type="dxa"/>
          </w:tcPr>
          <w:p>
            <w:pPr>
              <w:pStyle w:val="5"/>
              <w:spacing w:line="480" w:lineRule="auto"/>
              <w:ind w:firstLine="480" w:firstLineChars="200"/>
              <w:rPr>
                <w:rFonts w:cs="宋体" w:asciiTheme="minorEastAsia" w:hAnsiTheme="minorEastAsia" w:eastAsiaTheme="minorEastAsia"/>
                <w:sz w:val="24"/>
              </w:rPr>
            </w:pPr>
          </w:p>
        </w:tc>
        <w:tc>
          <w:tcPr>
            <w:tcW w:w="1356" w:type="dxa"/>
          </w:tcPr>
          <w:p>
            <w:pPr>
              <w:pStyle w:val="5"/>
              <w:spacing w:line="480" w:lineRule="auto"/>
              <w:ind w:firstLine="480"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5"/>
              <w:spacing w:line="480" w:lineRule="auto"/>
              <w:ind w:firstLine="480" w:firstLineChars="200"/>
              <w:rPr>
                <w:rFonts w:cs="宋体" w:asciiTheme="minorEastAsia" w:hAnsiTheme="minorEastAsia" w:eastAsiaTheme="minorEastAsia"/>
                <w:sz w:val="24"/>
              </w:rPr>
            </w:pPr>
          </w:p>
        </w:tc>
        <w:tc>
          <w:tcPr>
            <w:tcW w:w="1521" w:type="dxa"/>
          </w:tcPr>
          <w:p>
            <w:pPr>
              <w:pStyle w:val="5"/>
              <w:spacing w:line="480" w:lineRule="auto"/>
              <w:ind w:firstLine="480" w:firstLineChars="200"/>
              <w:rPr>
                <w:rFonts w:cs="宋体" w:asciiTheme="minorEastAsia" w:hAnsiTheme="minorEastAsia" w:eastAsiaTheme="minorEastAsia"/>
                <w:sz w:val="24"/>
              </w:rPr>
            </w:pPr>
          </w:p>
        </w:tc>
        <w:tc>
          <w:tcPr>
            <w:tcW w:w="1600" w:type="dxa"/>
          </w:tcPr>
          <w:p>
            <w:pPr>
              <w:pStyle w:val="5"/>
              <w:spacing w:line="480" w:lineRule="auto"/>
              <w:ind w:firstLine="480" w:firstLineChars="200"/>
              <w:rPr>
                <w:rFonts w:cs="宋体" w:asciiTheme="minorEastAsia" w:hAnsiTheme="minorEastAsia" w:eastAsiaTheme="minorEastAsia"/>
                <w:sz w:val="24"/>
              </w:rPr>
            </w:pPr>
          </w:p>
        </w:tc>
        <w:tc>
          <w:tcPr>
            <w:tcW w:w="1938" w:type="dxa"/>
          </w:tcPr>
          <w:p>
            <w:pPr>
              <w:pStyle w:val="5"/>
              <w:spacing w:line="480" w:lineRule="auto"/>
              <w:ind w:firstLine="480" w:firstLineChars="200"/>
              <w:rPr>
                <w:rFonts w:cs="宋体" w:asciiTheme="minorEastAsia" w:hAnsiTheme="minorEastAsia" w:eastAsiaTheme="minorEastAsia"/>
                <w:sz w:val="24"/>
              </w:rPr>
            </w:pPr>
          </w:p>
        </w:tc>
        <w:tc>
          <w:tcPr>
            <w:tcW w:w="1410" w:type="dxa"/>
          </w:tcPr>
          <w:p>
            <w:pPr>
              <w:pStyle w:val="5"/>
              <w:spacing w:line="480" w:lineRule="auto"/>
              <w:ind w:firstLine="480" w:firstLineChars="200"/>
              <w:rPr>
                <w:rFonts w:cs="宋体" w:asciiTheme="minorEastAsia" w:hAnsiTheme="minorEastAsia" w:eastAsiaTheme="minorEastAsia"/>
                <w:sz w:val="24"/>
              </w:rPr>
            </w:pPr>
          </w:p>
        </w:tc>
        <w:tc>
          <w:tcPr>
            <w:tcW w:w="1356" w:type="dxa"/>
          </w:tcPr>
          <w:p>
            <w:pPr>
              <w:pStyle w:val="5"/>
              <w:spacing w:line="480" w:lineRule="auto"/>
              <w:ind w:firstLine="480" w:firstLineChars="20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5"/>
              <w:spacing w:line="480" w:lineRule="auto"/>
              <w:rPr>
                <w:rFonts w:cs="宋体" w:asciiTheme="minorEastAsia" w:hAnsiTheme="minorEastAsia" w:eastAsiaTheme="minorEastAsia"/>
                <w:sz w:val="24"/>
              </w:rPr>
            </w:pPr>
          </w:p>
        </w:tc>
        <w:tc>
          <w:tcPr>
            <w:tcW w:w="1521" w:type="dxa"/>
          </w:tcPr>
          <w:p>
            <w:pPr>
              <w:pStyle w:val="5"/>
              <w:spacing w:line="480" w:lineRule="auto"/>
              <w:rPr>
                <w:rFonts w:cs="宋体" w:asciiTheme="minorEastAsia" w:hAnsiTheme="minorEastAsia" w:eastAsiaTheme="minorEastAsia"/>
                <w:sz w:val="24"/>
              </w:rPr>
            </w:pPr>
          </w:p>
        </w:tc>
        <w:tc>
          <w:tcPr>
            <w:tcW w:w="1600" w:type="dxa"/>
          </w:tcPr>
          <w:p>
            <w:pPr>
              <w:pStyle w:val="5"/>
              <w:spacing w:line="480" w:lineRule="auto"/>
              <w:ind w:firstLine="480" w:firstLineChars="200"/>
              <w:rPr>
                <w:rFonts w:cs="宋体" w:asciiTheme="minorEastAsia" w:hAnsiTheme="minorEastAsia" w:eastAsiaTheme="minorEastAsia"/>
                <w:sz w:val="24"/>
              </w:rPr>
            </w:pPr>
          </w:p>
        </w:tc>
        <w:tc>
          <w:tcPr>
            <w:tcW w:w="1938" w:type="dxa"/>
          </w:tcPr>
          <w:p>
            <w:pPr>
              <w:pStyle w:val="5"/>
              <w:spacing w:line="480" w:lineRule="auto"/>
              <w:ind w:firstLine="480" w:firstLineChars="200"/>
              <w:rPr>
                <w:rFonts w:cs="宋体" w:asciiTheme="minorEastAsia" w:hAnsiTheme="minorEastAsia" w:eastAsiaTheme="minorEastAsia"/>
                <w:sz w:val="24"/>
              </w:rPr>
            </w:pPr>
          </w:p>
        </w:tc>
        <w:tc>
          <w:tcPr>
            <w:tcW w:w="1410" w:type="dxa"/>
          </w:tcPr>
          <w:p>
            <w:pPr>
              <w:pStyle w:val="5"/>
              <w:spacing w:line="480" w:lineRule="auto"/>
              <w:ind w:firstLine="480" w:firstLineChars="200"/>
              <w:rPr>
                <w:rFonts w:cs="宋体" w:asciiTheme="minorEastAsia" w:hAnsiTheme="minorEastAsia" w:eastAsiaTheme="minorEastAsia"/>
                <w:sz w:val="24"/>
              </w:rPr>
            </w:pPr>
          </w:p>
        </w:tc>
        <w:tc>
          <w:tcPr>
            <w:tcW w:w="1356" w:type="dxa"/>
          </w:tcPr>
          <w:p>
            <w:pPr>
              <w:pStyle w:val="5"/>
              <w:spacing w:line="480" w:lineRule="auto"/>
              <w:ind w:firstLine="480" w:firstLineChars="200"/>
              <w:rPr>
                <w:rFonts w:cs="宋体" w:asciiTheme="minorEastAsia" w:hAnsiTheme="minorEastAsia" w:eastAsiaTheme="minorEastAsia"/>
                <w:sz w:val="24"/>
              </w:rPr>
            </w:pPr>
          </w:p>
        </w:tc>
      </w:tr>
    </w:tbl>
    <w:p>
      <w:pPr>
        <w:pStyle w:val="4"/>
        <w:spacing w:line="360" w:lineRule="auto"/>
        <w:ind w:left="140" w:firstLine="0"/>
        <w:rPr>
          <w:rFonts w:cs="宋体" w:asciiTheme="minorEastAsia" w:hAnsiTheme="minorEastAsia" w:eastAsiaTheme="minorEastAsia"/>
          <w:b/>
          <w:bCs/>
        </w:rPr>
      </w:pPr>
      <w:r>
        <w:rPr>
          <w:rFonts w:hint="eastAsia" w:cs="宋体" w:asciiTheme="minorEastAsia" w:hAnsiTheme="minorEastAsia" w:eastAsiaTheme="minorEastAsia"/>
          <w:b/>
          <w:bCs/>
        </w:rPr>
        <w:t>1、本表须按“第三章招标内容及要求”中所列服务要求进行比较和响应；</w:t>
      </w:r>
    </w:p>
    <w:p>
      <w:pPr>
        <w:pStyle w:val="4"/>
        <w:spacing w:line="360" w:lineRule="auto"/>
        <w:ind w:left="140" w:firstLine="0"/>
        <w:rPr>
          <w:rFonts w:cs="宋体" w:asciiTheme="minorEastAsia" w:hAnsiTheme="minorEastAsia" w:eastAsiaTheme="minorEastAsia"/>
        </w:rPr>
      </w:pPr>
      <w:r>
        <w:rPr>
          <w:rFonts w:hint="eastAsia" w:cs="宋体" w:asciiTheme="minorEastAsia" w:hAnsiTheme="minorEastAsia" w:eastAsiaTheme="minorEastAsia"/>
          <w:b/>
          <w:bCs/>
        </w:rPr>
        <w:t>2、该表必须按照招标文件要求逐条如实填写，根据情况在“偏离情况”项填写正偏离或负偏离或无偏离，在“说明”项填写正偏离或负偏离原因。</w:t>
      </w:r>
    </w:p>
    <w:p>
      <w:pPr>
        <w:pStyle w:val="4"/>
        <w:spacing w:line="360" w:lineRule="auto"/>
        <w:ind w:left="140" w:firstLine="0"/>
        <w:rPr>
          <w:rFonts w:cs="宋体" w:asciiTheme="minorEastAsia" w:hAnsiTheme="minorEastAsia" w:eastAsiaTheme="minorEastAsia"/>
        </w:rPr>
      </w:pPr>
      <w:r>
        <w:rPr>
          <w:rFonts w:hint="eastAsia" w:cs="宋体" w:asciiTheme="minorEastAsia" w:hAnsiTheme="minorEastAsia" w:eastAsiaTheme="minorEastAsia"/>
          <w:b/>
          <w:bCs/>
        </w:rPr>
        <w:t>3、该表可扩展。</w:t>
      </w:r>
    </w:p>
    <w:p>
      <w:pPr>
        <w:adjustRightInd w:val="0"/>
        <w:snapToGrid w:val="0"/>
        <w:spacing w:line="480" w:lineRule="auto"/>
        <w:rPr>
          <w:rFonts w:cs="宋体" w:asciiTheme="minorEastAsia" w:hAnsiTheme="minorEastAsia" w:eastAsiaTheme="minorEastAsia"/>
          <w:color w:val="000000"/>
        </w:rPr>
      </w:pPr>
    </w:p>
    <w:p>
      <w:pPr>
        <w:adjustRightInd w:val="0"/>
        <w:snapToGrid w:val="0"/>
        <w:spacing w:line="480" w:lineRule="auto"/>
        <w:rPr>
          <w:rFonts w:cs="宋体" w:asciiTheme="minorEastAsia" w:hAnsiTheme="minorEastAsia" w:eastAsiaTheme="minorEastAsia"/>
          <w:color w:val="000000"/>
          <w:u w:val="single"/>
        </w:rPr>
      </w:pPr>
      <w:r>
        <w:rPr>
          <w:rFonts w:hint="eastAsia" w:cs="宋体" w:asciiTheme="minorEastAsia" w:hAnsiTheme="minorEastAsia" w:eastAsiaTheme="minorEastAsia"/>
          <w:color w:val="000000"/>
        </w:rPr>
        <w:t>供应商（单位名称及公章）：</w:t>
      </w:r>
    </w:p>
    <w:p>
      <w:pPr>
        <w:adjustRightInd w:val="0"/>
        <w:snapToGrid w:val="0"/>
        <w:spacing w:line="480" w:lineRule="auto"/>
        <w:rPr>
          <w:rFonts w:cs="宋体" w:asciiTheme="minorEastAsia" w:hAnsiTheme="minorEastAsia" w:eastAsiaTheme="minorEastAsia"/>
          <w:color w:val="000000"/>
        </w:rPr>
      </w:pPr>
      <w:r>
        <w:rPr>
          <w:rFonts w:hint="eastAsia" w:cs="宋体" w:asciiTheme="minorEastAsia" w:hAnsiTheme="minorEastAsia" w:eastAsiaTheme="minorEastAsia"/>
          <w:color w:val="000000"/>
        </w:rPr>
        <w:t>法定代表人或被授权人（签字或盖章）：</w:t>
      </w:r>
    </w:p>
    <w:p>
      <w:pPr>
        <w:adjustRightInd w:val="0"/>
        <w:snapToGrid w:val="0"/>
        <w:spacing w:line="480" w:lineRule="auto"/>
        <w:rPr>
          <w:rFonts w:cs="宋体" w:asciiTheme="minorEastAsia" w:hAnsiTheme="minorEastAsia" w:eastAsiaTheme="minorEastAsia"/>
          <w:color w:val="000000"/>
        </w:rPr>
      </w:pPr>
      <w:r>
        <w:rPr>
          <w:rFonts w:hint="eastAsia" w:cs="宋体" w:asciiTheme="minorEastAsia" w:hAnsiTheme="minorEastAsia" w:eastAsiaTheme="minorEastAsia"/>
          <w:color w:val="000000"/>
        </w:rPr>
        <w:t>日    期：    年     月    日</w:t>
      </w:r>
    </w:p>
    <w:p>
      <w:pPr>
        <w:rPr>
          <w:rFonts w:asciiTheme="minorEastAsia" w:hAnsiTheme="minorEastAsia" w:eastAsiaTheme="minorEastAsia"/>
        </w:rPr>
      </w:pPr>
    </w:p>
    <w:bookmarkEnd w:id="92"/>
    <w:bookmarkEnd w:id="93"/>
    <w:bookmarkEnd w:id="94"/>
    <w:bookmarkEnd w:id="95"/>
    <w:p>
      <w:pPr>
        <w:rPr>
          <w:rFonts w:cs="宋体" w:asciiTheme="minorEastAsia" w:hAnsiTheme="minorEastAsia" w:eastAsiaTheme="minorEastAsia"/>
          <w:color w:val="000000"/>
        </w:rPr>
      </w:pPr>
      <w:bookmarkStart w:id="101" w:name="_Toc24830"/>
      <w:r>
        <w:rPr>
          <w:rFonts w:hint="eastAsia" w:cs="宋体" w:asciiTheme="minorEastAsia" w:hAnsiTheme="minorEastAsia" w:eastAsiaTheme="minorEastAsia"/>
          <w:color w:val="000000"/>
        </w:rPr>
        <w:br w:type="page"/>
      </w:r>
    </w:p>
    <w:p>
      <w:pPr>
        <w:pStyle w:val="7"/>
        <w:spacing w:before="319" w:beforeLines="100" w:after="478" w:afterLines="150" w:line="500" w:lineRule="exact"/>
        <w:ind w:firstLine="480"/>
        <w:jc w:val="center"/>
        <w:rPr>
          <w:rFonts w:cs="宋体" w:asciiTheme="minorEastAsia" w:hAnsiTheme="minorEastAsia" w:eastAsiaTheme="minorEastAsia"/>
          <w:color w:val="000000"/>
          <w:sz w:val="24"/>
          <w:szCs w:val="24"/>
        </w:rPr>
      </w:pPr>
      <w:bookmarkStart w:id="102" w:name="_Toc258"/>
      <w:bookmarkStart w:id="103" w:name="_Toc135129542"/>
      <w:r>
        <w:rPr>
          <w:rFonts w:hint="eastAsia" w:cs="宋体" w:asciiTheme="minorEastAsia" w:hAnsiTheme="minorEastAsia" w:eastAsiaTheme="minorEastAsia"/>
          <w:color w:val="000000"/>
          <w:sz w:val="24"/>
          <w:szCs w:val="24"/>
        </w:rPr>
        <w:t xml:space="preserve">第七部分  </w:t>
      </w:r>
      <w:bookmarkEnd w:id="101"/>
      <w:bookmarkEnd w:id="102"/>
      <w:r>
        <w:rPr>
          <w:rFonts w:hint="eastAsia" w:cs="宋体" w:asciiTheme="minorEastAsia" w:hAnsiTheme="minorEastAsia" w:eastAsiaTheme="minorEastAsia"/>
          <w:color w:val="000000"/>
          <w:sz w:val="24"/>
          <w:szCs w:val="24"/>
        </w:rPr>
        <w:t>技术与服务方案</w:t>
      </w:r>
      <w:bookmarkEnd w:id="103"/>
    </w:p>
    <w:p>
      <w:pPr>
        <w:rPr>
          <w:rFonts w:cs="宋体" w:asciiTheme="minorEastAsia" w:hAnsiTheme="minorEastAsia" w:eastAsiaTheme="minorEastAsia"/>
          <w:b/>
          <w:bCs/>
        </w:rPr>
      </w:pPr>
      <w:r>
        <w:rPr>
          <w:rFonts w:hint="eastAsia" w:cs="宋体" w:asciiTheme="minorEastAsia" w:hAnsiTheme="minorEastAsia" w:eastAsiaTheme="minorEastAsia"/>
          <w:b/>
          <w:bCs/>
        </w:rPr>
        <w:t>由供应商自行编写，无具体格式。</w:t>
      </w:r>
    </w:p>
    <w:p>
      <w:pPr>
        <w:jc w:val="both"/>
        <w:rPr>
          <w:rFonts w:cs="宋体" w:asciiTheme="minorEastAsia" w:hAnsiTheme="minorEastAsia" w:eastAsiaTheme="minorEastAsia"/>
        </w:rPr>
      </w:pPr>
      <w:r>
        <w:rPr>
          <w:rFonts w:hint="eastAsia" w:cs="宋体" w:asciiTheme="minorEastAsia" w:hAnsiTheme="minorEastAsia" w:eastAsiaTheme="minorEastAsia"/>
        </w:rPr>
        <w:t xml:space="preserve">  </w:t>
      </w:r>
    </w:p>
    <w:p>
      <w:pPr>
        <w:rPr>
          <w:rFonts w:cs="宋体" w:asciiTheme="minorEastAsia" w:hAnsiTheme="minorEastAsia" w:eastAsiaTheme="minorEastAsia"/>
          <w:color w:val="000000"/>
        </w:rPr>
      </w:pPr>
      <w:r>
        <w:rPr>
          <w:rFonts w:hint="eastAsia" w:asciiTheme="minorEastAsia" w:hAnsiTheme="minorEastAsia" w:eastAsiaTheme="minorEastAsia"/>
        </w:rPr>
        <w:t xml:space="preserve">                      </w:t>
      </w:r>
      <w:r>
        <w:rPr>
          <w:rFonts w:hint="eastAsia" w:cs="宋体" w:asciiTheme="minorEastAsia" w:hAnsiTheme="minorEastAsia" w:eastAsiaTheme="minorEastAsia"/>
          <w:color w:val="000000"/>
        </w:rPr>
        <w:t xml:space="preserve"> </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br w:type="page"/>
      </w:r>
    </w:p>
    <w:p>
      <w:pPr>
        <w:jc w:val="center"/>
        <w:outlineLvl w:val="1"/>
        <w:rPr>
          <w:rFonts w:asciiTheme="minorEastAsia" w:hAnsiTheme="minorEastAsia" w:eastAsiaTheme="minorEastAsia"/>
        </w:rPr>
      </w:pPr>
      <w:bookmarkStart w:id="104" w:name="_Toc135129543"/>
      <w:r>
        <w:rPr>
          <w:rFonts w:hint="eastAsia" w:cs="宋体" w:asciiTheme="minorEastAsia" w:hAnsiTheme="minorEastAsia" w:eastAsiaTheme="minorEastAsia"/>
          <w:color w:val="000000"/>
        </w:rPr>
        <w:t>第八部分  服务承诺</w:t>
      </w:r>
      <w:bookmarkEnd w:id="104"/>
    </w:p>
    <w:p>
      <w:pPr>
        <w:rPr>
          <w:rFonts w:cs="宋体" w:asciiTheme="minorEastAsia" w:hAnsiTheme="minorEastAsia" w:eastAsiaTheme="minorEastAsia"/>
          <w:b/>
          <w:bCs/>
        </w:rPr>
      </w:pPr>
      <w:bookmarkStart w:id="105" w:name="_Toc3034"/>
      <w:bookmarkStart w:id="106" w:name="_Toc24882"/>
      <w:bookmarkStart w:id="107" w:name="_Toc6020"/>
      <w:bookmarkStart w:id="108" w:name="_Toc11540"/>
      <w:bookmarkStart w:id="109" w:name="_Toc30983"/>
      <w:bookmarkStart w:id="110" w:name="_Toc12793"/>
      <w:bookmarkStart w:id="111" w:name="_Toc8494"/>
      <w:bookmarkStart w:id="112" w:name="_Toc11410"/>
      <w:r>
        <w:rPr>
          <w:rFonts w:hint="eastAsia" w:cs="宋体" w:asciiTheme="minorEastAsia" w:hAnsiTheme="minorEastAsia" w:eastAsiaTheme="minorEastAsia"/>
          <w:b/>
          <w:bCs/>
        </w:rPr>
        <w:t>由供应商自行编写，无具体格式。</w:t>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br w:type="page"/>
      </w:r>
    </w:p>
    <w:p>
      <w:pPr>
        <w:pStyle w:val="7"/>
        <w:ind w:firstLine="480"/>
        <w:jc w:val="center"/>
        <w:rPr>
          <w:rFonts w:cs="宋体" w:asciiTheme="minorEastAsia" w:hAnsiTheme="minorEastAsia" w:eastAsiaTheme="minorEastAsia"/>
          <w:color w:val="000000"/>
          <w:sz w:val="24"/>
          <w:szCs w:val="24"/>
        </w:rPr>
      </w:pPr>
      <w:bookmarkStart w:id="113" w:name="_Toc135129544"/>
      <w:r>
        <w:rPr>
          <w:rFonts w:hint="eastAsia" w:cs="宋体" w:asciiTheme="minorEastAsia" w:hAnsiTheme="minorEastAsia" w:eastAsiaTheme="minorEastAsia"/>
          <w:color w:val="000000"/>
          <w:sz w:val="24"/>
          <w:szCs w:val="24"/>
        </w:rPr>
        <w:t>第九部分  供应商业绩一览表</w:t>
      </w:r>
      <w:bookmarkEnd w:id="105"/>
      <w:bookmarkEnd w:id="106"/>
      <w:bookmarkEnd w:id="107"/>
      <w:bookmarkEnd w:id="108"/>
      <w:bookmarkEnd w:id="113"/>
    </w:p>
    <w:p>
      <w:pPr>
        <w:rPr>
          <w:rFonts w:cs="宋体" w:asciiTheme="minorEastAsia" w:hAnsiTheme="minorEastAsia" w:eastAsiaTheme="minorEastAsia"/>
          <w:color w:val="000000"/>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1"/>
        <w:gridCol w:w="1602"/>
        <w:gridCol w:w="1468"/>
        <w:gridCol w:w="1485"/>
        <w:gridCol w:w="1577"/>
        <w:gridCol w:w="11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35" w:hRule="atLeast"/>
          <w:jc w:val="center"/>
        </w:trPr>
        <w:tc>
          <w:tcPr>
            <w:tcW w:w="801" w:type="dxa"/>
            <w:tcBorders>
              <w:top w:val="single" w:color="auto" w:sz="4" w:space="0"/>
            </w:tcBorders>
            <w:vAlign w:val="center"/>
          </w:tcPr>
          <w:p>
            <w:pPr>
              <w:spacing w:line="400" w:lineRule="exact"/>
              <w:rPr>
                <w:rFonts w:cs="宋体" w:asciiTheme="minorEastAsia" w:hAnsiTheme="minorEastAsia" w:eastAsiaTheme="minorEastAsia"/>
              </w:rPr>
            </w:pPr>
            <w:r>
              <w:rPr>
                <w:rFonts w:hint="eastAsia" w:cs="宋体" w:asciiTheme="minorEastAsia" w:hAnsiTheme="minorEastAsia" w:eastAsiaTheme="minorEastAsia"/>
              </w:rPr>
              <w:t>年份</w:t>
            </w:r>
          </w:p>
        </w:tc>
        <w:tc>
          <w:tcPr>
            <w:tcW w:w="1602" w:type="dxa"/>
            <w:tcBorders>
              <w:top w:val="single" w:color="auto" w:sz="4" w:space="0"/>
            </w:tcBorders>
            <w:vAlign w:val="center"/>
          </w:tcPr>
          <w:p>
            <w:pPr>
              <w:spacing w:line="400" w:lineRule="exact"/>
              <w:jc w:val="center"/>
              <w:rPr>
                <w:rFonts w:cs="宋体" w:asciiTheme="minorEastAsia" w:hAnsiTheme="minorEastAsia" w:eastAsiaTheme="minorEastAsia"/>
              </w:rPr>
            </w:pPr>
            <w:r>
              <w:rPr>
                <w:rFonts w:hint="eastAsia" w:cs="宋体" w:asciiTheme="minorEastAsia" w:hAnsiTheme="minorEastAsia" w:eastAsiaTheme="minorEastAsia"/>
              </w:rPr>
              <w:t>用户名称</w:t>
            </w:r>
          </w:p>
        </w:tc>
        <w:tc>
          <w:tcPr>
            <w:tcW w:w="1468" w:type="dxa"/>
            <w:tcBorders>
              <w:top w:val="single" w:color="auto" w:sz="4" w:space="0"/>
            </w:tcBorders>
            <w:vAlign w:val="center"/>
          </w:tcPr>
          <w:p>
            <w:pPr>
              <w:spacing w:line="400" w:lineRule="exact"/>
              <w:jc w:val="center"/>
              <w:rPr>
                <w:rFonts w:cs="宋体" w:asciiTheme="minorEastAsia" w:hAnsiTheme="minorEastAsia" w:eastAsiaTheme="minorEastAsia"/>
              </w:rPr>
            </w:pPr>
            <w:r>
              <w:rPr>
                <w:rFonts w:hint="eastAsia" w:cs="宋体" w:asciiTheme="minorEastAsia" w:hAnsiTheme="minorEastAsia" w:eastAsiaTheme="minorEastAsia"/>
              </w:rPr>
              <w:t>项目名称</w:t>
            </w:r>
          </w:p>
        </w:tc>
        <w:tc>
          <w:tcPr>
            <w:tcW w:w="1485" w:type="dxa"/>
            <w:tcBorders>
              <w:top w:val="single" w:color="auto" w:sz="4" w:space="0"/>
            </w:tcBorders>
            <w:vAlign w:val="center"/>
          </w:tcPr>
          <w:p>
            <w:pPr>
              <w:spacing w:line="400" w:lineRule="exact"/>
              <w:jc w:val="center"/>
              <w:rPr>
                <w:rFonts w:cs="宋体" w:asciiTheme="minorEastAsia" w:hAnsiTheme="minorEastAsia" w:eastAsiaTheme="minorEastAsia"/>
              </w:rPr>
            </w:pPr>
            <w:r>
              <w:rPr>
                <w:rFonts w:hint="eastAsia" w:cs="宋体" w:asciiTheme="minorEastAsia" w:hAnsiTheme="minorEastAsia" w:eastAsiaTheme="minorEastAsia"/>
              </w:rPr>
              <w:t>合同签订时间</w:t>
            </w:r>
          </w:p>
        </w:tc>
        <w:tc>
          <w:tcPr>
            <w:tcW w:w="1577" w:type="dxa"/>
            <w:tcBorders>
              <w:top w:val="single" w:color="auto" w:sz="4" w:space="0"/>
            </w:tcBorders>
            <w:vAlign w:val="center"/>
          </w:tcPr>
          <w:p>
            <w:pPr>
              <w:spacing w:line="400" w:lineRule="exact"/>
              <w:ind w:firstLine="120" w:firstLineChars="50"/>
              <w:rPr>
                <w:rFonts w:cs="宋体" w:asciiTheme="minorEastAsia" w:hAnsiTheme="minorEastAsia" w:eastAsiaTheme="minorEastAsia"/>
              </w:rPr>
            </w:pPr>
            <w:r>
              <w:rPr>
                <w:rFonts w:hint="eastAsia" w:cs="宋体" w:asciiTheme="minorEastAsia" w:hAnsiTheme="minorEastAsia" w:eastAsiaTheme="minorEastAsia"/>
              </w:rPr>
              <w:t>合同金额</w:t>
            </w:r>
          </w:p>
        </w:tc>
        <w:tc>
          <w:tcPr>
            <w:tcW w:w="1163" w:type="dxa"/>
            <w:tcBorders>
              <w:top w:val="single" w:color="auto" w:sz="4" w:space="0"/>
              <w:left w:val="single" w:color="auto" w:sz="4" w:space="0"/>
            </w:tcBorders>
            <w:vAlign w:val="center"/>
          </w:tcPr>
          <w:p>
            <w:pPr>
              <w:spacing w:line="400" w:lineRule="exact"/>
              <w:rPr>
                <w:rFonts w:cs="宋体" w:asciiTheme="minorEastAsia" w:hAnsiTheme="minorEastAsia" w:eastAsiaTheme="minorEastAsia"/>
              </w:rPr>
            </w:pPr>
            <w:r>
              <w:rPr>
                <w:rFonts w:hint="eastAsia" w:cs="宋体" w:asciiTheme="minorEastAsia" w:hAnsiTheme="minorEastAsia" w:eastAsiaTheme="minorEastAsia"/>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cs="宋体" w:asciiTheme="minorEastAsia" w:hAnsiTheme="minorEastAsia" w:eastAsiaTheme="minorEastAsia"/>
              </w:rPr>
            </w:pPr>
          </w:p>
        </w:tc>
        <w:tc>
          <w:tcPr>
            <w:tcW w:w="1602" w:type="dxa"/>
            <w:vAlign w:val="center"/>
          </w:tcPr>
          <w:p>
            <w:pPr>
              <w:spacing w:line="400" w:lineRule="exact"/>
              <w:jc w:val="center"/>
              <w:rPr>
                <w:rFonts w:cs="宋体" w:asciiTheme="minorEastAsia" w:hAnsiTheme="minorEastAsia" w:eastAsiaTheme="minorEastAsia"/>
              </w:rPr>
            </w:pPr>
          </w:p>
        </w:tc>
        <w:tc>
          <w:tcPr>
            <w:tcW w:w="1468" w:type="dxa"/>
            <w:vAlign w:val="center"/>
          </w:tcPr>
          <w:p>
            <w:pPr>
              <w:spacing w:line="400" w:lineRule="exact"/>
              <w:jc w:val="center"/>
              <w:rPr>
                <w:rFonts w:cs="宋体" w:asciiTheme="minorEastAsia" w:hAnsiTheme="minorEastAsia" w:eastAsiaTheme="minorEastAsia"/>
              </w:rPr>
            </w:pPr>
          </w:p>
        </w:tc>
        <w:tc>
          <w:tcPr>
            <w:tcW w:w="1485" w:type="dxa"/>
            <w:vAlign w:val="center"/>
          </w:tcPr>
          <w:p>
            <w:pPr>
              <w:spacing w:line="400" w:lineRule="exact"/>
              <w:jc w:val="center"/>
              <w:rPr>
                <w:rFonts w:cs="宋体" w:asciiTheme="minorEastAsia" w:hAnsiTheme="minorEastAsia" w:eastAsiaTheme="minorEastAsia"/>
              </w:rPr>
            </w:pPr>
          </w:p>
        </w:tc>
        <w:tc>
          <w:tcPr>
            <w:tcW w:w="1577" w:type="dxa"/>
            <w:vAlign w:val="center"/>
          </w:tcPr>
          <w:p>
            <w:pPr>
              <w:spacing w:line="400" w:lineRule="exact"/>
              <w:jc w:val="center"/>
              <w:rPr>
                <w:rFonts w:cs="宋体" w:asciiTheme="minorEastAsia" w:hAnsiTheme="minorEastAsia" w:eastAsiaTheme="minorEastAsia"/>
              </w:rPr>
            </w:pPr>
          </w:p>
        </w:tc>
        <w:tc>
          <w:tcPr>
            <w:tcW w:w="1163" w:type="dxa"/>
            <w:tcBorders>
              <w:left w:val="single" w:color="auto" w:sz="4" w:space="0"/>
            </w:tcBorders>
            <w:vAlign w:val="center"/>
          </w:tcPr>
          <w:p>
            <w:pPr>
              <w:spacing w:line="400" w:lineRule="exact"/>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cs="宋体" w:asciiTheme="minorEastAsia" w:hAnsiTheme="minorEastAsia" w:eastAsiaTheme="minorEastAsia"/>
              </w:rPr>
            </w:pPr>
          </w:p>
        </w:tc>
        <w:tc>
          <w:tcPr>
            <w:tcW w:w="1602" w:type="dxa"/>
            <w:vAlign w:val="center"/>
          </w:tcPr>
          <w:p>
            <w:pPr>
              <w:spacing w:line="400" w:lineRule="exact"/>
              <w:jc w:val="center"/>
              <w:rPr>
                <w:rFonts w:cs="宋体" w:asciiTheme="minorEastAsia" w:hAnsiTheme="minorEastAsia" w:eastAsiaTheme="minorEastAsia"/>
              </w:rPr>
            </w:pPr>
          </w:p>
        </w:tc>
        <w:tc>
          <w:tcPr>
            <w:tcW w:w="1468" w:type="dxa"/>
            <w:vAlign w:val="center"/>
          </w:tcPr>
          <w:p>
            <w:pPr>
              <w:spacing w:line="400" w:lineRule="exact"/>
              <w:jc w:val="center"/>
              <w:rPr>
                <w:rFonts w:cs="宋体" w:asciiTheme="minorEastAsia" w:hAnsiTheme="minorEastAsia" w:eastAsiaTheme="minorEastAsia"/>
              </w:rPr>
            </w:pPr>
          </w:p>
        </w:tc>
        <w:tc>
          <w:tcPr>
            <w:tcW w:w="1485" w:type="dxa"/>
            <w:vAlign w:val="center"/>
          </w:tcPr>
          <w:p>
            <w:pPr>
              <w:spacing w:line="400" w:lineRule="exact"/>
              <w:jc w:val="center"/>
              <w:rPr>
                <w:rFonts w:cs="宋体" w:asciiTheme="minorEastAsia" w:hAnsiTheme="minorEastAsia" w:eastAsiaTheme="minorEastAsia"/>
              </w:rPr>
            </w:pPr>
          </w:p>
        </w:tc>
        <w:tc>
          <w:tcPr>
            <w:tcW w:w="1577" w:type="dxa"/>
            <w:vAlign w:val="center"/>
          </w:tcPr>
          <w:p>
            <w:pPr>
              <w:spacing w:line="400" w:lineRule="exact"/>
              <w:jc w:val="center"/>
              <w:rPr>
                <w:rFonts w:cs="宋体" w:asciiTheme="minorEastAsia" w:hAnsiTheme="minorEastAsia" w:eastAsiaTheme="minorEastAsia"/>
              </w:rPr>
            </w:pPr>
          </w:p>
        </w:tc>
        <w:tc>
          <w:tcPr>
            <w:tcW w:w="1163" w:type="dxa"/>
            <w:tcBorders>
              <w:left w:val="single" w:color="auto" w:sz="4" w:space="0"/>
            </w:tcBorders>
            <w:vAlign w:val="center"/>
          </w:tcPr>
          <w:p>
            <w:pPr>
              <w:spacing w:line="400" w:lineRule="exact"/>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cs="宋体" w:asciiTheme="minorEastAsia" w:hAnsiTheme="minorEastAsia" w:eastAsiaTheme="minorEastAsia"/>
              </w:rPr>
            </w:pPr>
          </w:p>
        </w:tc>
        <w:tc>
          <w:tcPr>
            <w:tcW w:w="1602" w:type="dxa"/>
            <w:vAlign w:val="center"/>
          </w:tcPr>
          <w:p>
            <w:pPr>
              <w:spacing w:line="400" w:lineRule="exact"/>
              <w:jc w:val="center"/>
              <w:rPr>
                <w:rFonts w:cs="宋体" w:asciiTheme="minorEastAsia" w:hAnsiTheme="minorEastAsia" w:eastAsiaTheme="minorEastAsia"/>
              </w:rPr>
            </w:pPr>
          </w:p>
        </w:tc>
        <w:tc>
          <w:tcPr>
            <w:tcW w:w="1468" w:type="dxa"/>
            <w:vAlign w:val="center"/>
          </w:tcPr>
          <w:p>
            <w:pPr>
              <w:spacing w:line="400" w:lineRule="exact"/>
              <w:jc w:val="center"/>
              <w:rPr>
                <w:rFonts w:cs="宋体" w:asciiTheme="minorEastAsia" w:hAnsiTheme="minorEastAsia" w:eastAsiaTheme="minorEastAsia"/>
              </w:rPr>
            </w:pPr>
          </w:p>
        </w:tc>
        <w:tc>
          <w:tcPr>
            <w:tcW w:w="1485" w:type="dxa"/>
            <w:vAlign w:val="center"/>
          </w:tcPr>
          <w:p>
            <w:pPr>
              <w:spacing w:line="400" w:lineRule="exact"/>
              <w:jc w:val="center"/>
              <w:rPr>
                <w:rFonts w:cs="宋体" w:asciiTheme="minorEastAsia" w:hAnsiTheme="minorEastAsia" w:eastAsiaTheme="minorEastAsia"/>
              </w:rPr>
            </w:pPr>
          </w:p>
        </w:tc>
        <w:tc>
          <w:tcPr>
            <w:tcW w:w="1577" w:type="dxa"/>
            <w:vAlign w:val="center"/>
          </w:tcPr>
          <w:p>
            <w:pPr>
              <w:spacing w:line="400" w:lineRule="exact"/>
              <w:jc w:val="center"/>
              <w:rPr>
                <w:rFonts w:cs="宋体" w:asciiTheme="minorEastAsia" w:hAnsiTheme="minorEastAsia" w:eastAsiaTheme="minorEastAsia"/>
              </w:rPr>
            </w:pPr>
          </w:p>
        </w:tc>
        <w:tc>
          <w:tcPr>
            <w:tcW w:w="1163" w:type="dxa"/>
            <w:tcBorders>
              <w:left w:val="single" w:color="auto" w:sz="4" w:space="0"/>
            </w:tcBorders>
            <w:vAlign w:val="center"/>
          </w:tcPr>
          <w:p>
            <w:pPr>
              <w:spacing w:line="400" w:lineRule="exact"/>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cs="宋体" w:asciiTheme="minorEastAsia" w:hAnsiTheme="minorEastAsia" w:eastAsiaTheme="minorEastAsia"/>
              </w:rPr>
            </w:pPr>
          </w:p>
        </w:tc>
        <w:tc>
          <w:tcPr>
            <w:tcW w:w="1602" w:type="dxa"/>
            <w:tcBorders>
              <w:right w:val="single" w:color="auto" w:sz="4" w:space="0"/>
            </w:tcBorders>
            <w:vAlign w:val="center"/>
          </w:tcPr>
          <w:p>
            <w:pPr>
              <w:spacing w:line="400" w:lineRule="exact"/>
              <w:jc w:val="center"/>
              <w:rPr>
                <w:rFonts w:cs="宋体" w:asciiTheme="minorEastAsia" w:hAnsiTheme="minorEastAsia" w:eastAsiaTheme="minorEastAsia"/>
              </w:rPr>
            </w:pPr>
          </w:p>
        </w:tc>
        <w:tc>
          <w:tcPr>
            <w:tcW w:w="1468" w:type="dxa"/>
            <w:tcBorders>
              <w:left w:val="single" w:color="auto" w:sz="4" w:space="0"/>
            </w:tcBorders>
            <w:vAlign w:val="center"/>
          </w:tcPr>
          <w:p>
            <w:pPr>
              <w:spacing w:line="400" w:lineRule="exact"/>
              <w:jc w:val="center"/>
              <w:rPr>
                <w:rFonts w:cs="宋体" w:asciiTheme="minorEastAsia" w:hAnsiTheme="minorEastAsia" w:eastAsiaTheme="minorEastAsia"/>
              </w:rPr>
            </w:pPr>
          </w:p>
        </w:tc>
        <w:tc>
          <w:tcPr>
            <w:tcW w:w="1485" w:type="dxa"/>
            <w:vAlign w:val="center"/>
          </w:tcPr>
          <w:p>
            <w:pPr>
              <w:spacing w:line="400" w:lineRule="exact"/>
              <w:jc w:val="center"/>
              <w:rPr>
                <w:rFonts w:cs="宋体" w:asciiTheme="minorEastAsia" w:hAnsiTheme="minorEastAsia" w:eastAsiaTheme="minorEastAsia"/>
              </w:rPr>
            </w:pPr>
          </w:p>
        </w:tc>
        <w:tc>
          <w:tcPr>
            <w:tcW w:w="1577" w:type="dxa"/>
            <w:vAlign w:val="center"/>
          </w:tcPr>
          <w:p>
            <w:pPr>
              <w:spacing w:line="400" w:lineRule="exact"/>
              <w:jc w:val="center"/>
              <w:rPr>
                <w:rFonts w:cs="宋体" w:asciiTheme="minorEastAsia" w:hAnsiTheme="minorEastAsia" w:eastAsiaTheme="minorEastAsia"/>
              </w:rPr>
            </w:pPr>
          </w:p>
        </w:tc>
        <w:tc>
          <w:tcPr>
            <w:tcW w:w="1163" w:type="dxa"/>
            <w:tcBorders>
              <w:left w:val="single" w:color="auto" w:sz="4" w:space="0"/>
            </w:tcBorders>
            <w:vAlign w:val="center"/>
          </w:tcPr>
          <w:p>
            <w:pPr>
              <w:spacing w:line="400" w:lineRule="exact"/>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tcBorders>
              <w:right w:val="single" w:color="auto" w:sz="4" w:space="0"/>
            </w:tcBorders>
            <w:vAlign w:val="center"/>
          </w:tcPr>
          <w:p>
            <w:pPr>
              <w:spacing w:line="400" w:lineRule="exact"/>
              <w:rPr>
                <w:rFonts w:cs="宋体" w:asciiTheme="minorEastAsia" w:hAnsiTheme="minorEastAsia" w:eastAsiaTheme="minorEastAsia"/>
              </w:rPr>
            </w:pPr>
          </w:p>
        </w:tc>
        <w:tc>
          <w:tcPr>
            <w:tcW w:w="1602" w:type="dxa"/>
            <w:tcBorders>
              <w:left w:val="single" w:color="auto" w:sz="4" w:space="0"/>
              <w:right w:val="single" w:color="auto" w:sz="4" w:space="0"/>
            </w:tcBorders>
            <w:vAlign w:val="center"/>
          </w:tcPr>
          <w:p>
            <w:pPr>
              <w:spacing w:line="400" w:lineRule="exact"/>
              <w:rPr>
                <w:rFonts w:cs="宋体" w:asciiTheme="minorEastAsia" w:hAnsiTheme="minorEastAsia" w:eastAsiaTheme="minorEastAsia"/>
              </w:rPr>
            </w:pPr>
          </w:p>
        </w:tc>
        <w:tc>
          <w:tcPr>
            <w:tcW w:w="1468" w:type="dxa"/>
            <w:tcBorders>
              <w:left w:val="single" w:color="auto" w:sz="4" w:space="0"/>
              <w:right w:val="single" w:color="auto" w:sz="4" w:space="0"/>
            </w:tcBorders>
            <w:vAlign w:val="center"/>
          </w:tcPr>
          <w:p>
            <w:pPr>
              <w:spacing w:line="400" w:lineRule="exact"/>
              <w:rPr>
                <w:rFonts w:cs="宋体" w:asciiTheme="minorEastAsia" w:hAnsiTheme="minorEastAsia" w:eastAsiaTheme="minorEastAsia"/>
              </w:rPr>
            </w:pPr>
          </w:p>
        </w:tc>
        <w:tc>
          <w:tcPr>
            <w:tcW w:w="1485" w:type="dxa"/>
            <w:tcBorders>
              <w:left w:val="single" w:color="auto" w:sz="4" w:space="0"/>
              <w:right w:val="single" w:color="auto" w:sz="4" w:space="0"/>
            </w:tcBorders>
            <w:vAlign w:val="center"/>
          </w:tcPr>
          <w:p>
            <w:pPr>
              <w:spacing w:line="400" w:lineRule="exact"/>
              <w:rPr>
                <w:rFonts w:cs="宋体" w:asciiTheme="minorEastAsia" w:hAnsiTheme="minorEastAsia" w:eastAsiaTheme="minorEastAsia"/>
              </w:rPr>
            </w:pPr>
          </w:p>
        </w:tc>
        <w:tc>
          <w:tcPr>
            <w:tcW w:w="1577" w:type="dxa"/>
            <w:tcBorders>
              <w:left w:val="single" w:color="auto" w:sz="4" w:space="0"/>
              <w:right w:val="single" w:color="auto" w:sz="4" w:space="0"/>
            </w:tcBorders>
            <w:vAlign w:val="center"/>
          </w:tcPr>
          <w:p>
            <w:pPr>
              <w:spacing w:line="400" w:lineRule="exact"/>
              <w:rPr>
                <w:rFonts w:cs="宋体" w:asciiTheme="minorEastAsia" w:hAnsiTheme="minorEastAsia" w:eastAsiaTheme="minorEastAsia"/>
              </w:rPr>
            </w:pPr>
          </w:p>
        </w:tc>
        <w:tc>
          <w:tcPr>
            <w:tcW w:w="1163" w:type="dxa"/>
            <w:tcBorders>
              <w:left w:val="single" w:color="auto" w:sz="4" w:space="0"/>
            </w:tcBorders>
            <w:vAlign w:val="center"/>
          </w:tcPr>
          <w:p>
            <w:pPr>
              <w:spacing w:line="400" w:lineRule="exact"/>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rPr>
                <w:rFonts w:cs="宋体" w:asciiTheme="minorEastAsia" w:hAnsiTheme="minorEastAsia" w:eastAsiaTheme="minorEastAsia"/>
              </w:rPr>
            </w:pPr>
          </w:p>
        </w:tc>
        <w:tc>
          <w:tcPr>
            <w:tcW w:w="1602" w:type="dxa"/>
            <w:vAlign w:val="center"/>
          </w:tcPr>
          <w:p>
            <w:pPr>
              <w:spacing w:line="400" w:lineRule="exact"/>
              <w:rPr>
                <w:rFonts w:cs="宋体" w:asciiTheme="minorEastAsia" w:hAnsiTheme="minorEastAsia" w:eastAsiaTheme="minorEastAsia"/>
              </w:rPr>
            </w:pPr>
          </w:p>
        </w:tc>
        <w:tc>
          <w:tcPr>
            <w:tcW w:w="1468" w:type="dxa"/>
            <w:vAlign w:val="center"/>
          </w:tcPr>
          <w:p>
            <w:pPr>
              <w:spacing w:line="400" w:lineRule="exact"/>
              <w:rPr>
                <w:rFonts w:cs="宋体" w:asciiTheme="minorEastAsia" w:hAnsiTheme="minorEastAsia" w:eastAsiaTheme="minorEastAsia"/>
              </w:rPr>
            </w:pPr>
          </w:p>
        </w:tc>
        <w:tc>
          <w:tcPr>
            <w:tcW w:w="1485" w:type="dxa"/>
            <w:vAlign w:val="center"/>
          </w:tcPr>
          <w:p>
            <w:pPr>
              <w:spacing w:line="400" w:lineRule="exact"/>
              <w:rPr>
                <w:rFonts w:cs="宋体" w:asciiTheme="minorEastAsia" w:hAnsiTheme="minorEastAsia" w:eastAsiaTheme="minorEastAsia"/>
              </w:rPr>
            </w:pPr>
          </w:p>
        </w:tc>
        <w:tc>
          <w:tcPr>
            <w:tcW w:w="1577" w:type="dxa"/>
            <w:tcBorders>
              <w:right w:val="single" w:color="auto" w:sz="4" w:space="0"/>
            </w:tcBorders>
            <w:vAlign w:val="center"/>
          </w:tcPr>
          <w:p>
            <w:pPr>
              <w:spacing w:line="400" w:lineRule="exact"/>
              <w:rPr>
                <w:rFonts w:cs="宋体" w:asciiTheme="minorEastAsia" w:hAnsiTheme="minorEastAsia" w:eastAsiaTheme="minorEastAsia"/>
              </w:rPr>
            </w:pPr>
          </w:p>
        </w:tc>
        <w:tc>
          <w:tcPr>
            <w:tcW w:w="1163" w:type="dxa"/>
            <w:tcBorders>
              <w:left w:val="single" w:color="auto" w:sz="4" w:space="0"/>
            </w:tcBorders>
            <w:vAlign w:val="center"/>
          </w:tcPr>
          <w:p>
            <w:pPr>
              <w:spacing w:line="400" w:lineRule="exact"/>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4" w:hRule="atLeast"/>
          <w:jc w:val="center"/>
        </w:trPr>
        <w:tc>
          <w:tcPr>
            <w:tcW w:w="801" w:type="dxa"/>
            <w:tcBorders>
              <w:bottom w:val="single" w:color="auto" w:sz="4" w:space="0"/>
            </w:tcBorders>
            <w:vAlign w:val="center"/>
          </w:tcPr>
          <w:p>
            <w:pPr>
              <w:spacing w:line="400" w:lineRule="exact"/>
              <w:jc w:val="center"/>
              <w:rPr>
                <w:rFonts w:cs="宋体" w:asciiTheme="minorEastAsia" w:hAnsiTheme="minorEastAsia" w:eastAsiaTheme="minorEastAsia"/>
              </w:rPr>
            </w:pPr>
          </w:p>
        </w:tc>
        <w:tc>
          <w:tcPr>
            <w:tcW w:w="1602" w:type="dxa"/>
            <w:tcBorders>
              <w:bottom w:val="single" w:color="auto" w:sz="4" w:space="0"/>
            </w:tcBorders>
            <w:vAlign w:val="center"/>
          </w:tcPr>
          <w:p>
            <w:pPr>
              <w:spacing w:line="400" w:lineRule="exact"/>
              <w:jc w:val="center"/>
              <w:rPr>
                <w:rFonts w:cs="宋体" w:asciiTheme="minorEastAsia" w:hAnsiTheme="minorEastAsia" w:eastAsiaTheme="minorEastAsia"/>
              </w:rPr>
            </w:pPr>
          </w:p>
        </w:tc>
        <w:tc>
          <w:tcPr>
            <w:tcW w:w="1468" w:type="dxa"/>
            <w:tcBorders>
              <w:bottom w:val="single" w:color="auto" w:sz="4" w:space="0"/>
            </w:tcBorders>
            <w:vAlign w:val="center"/>
          </w:tcPr>
          <w:p>
            <w:pPr>
              <w:spacing w:line="400" w:lineRule="exact"/>
              <w:jc w:val="center"/>
              <w:rPr>
                <w:rFonts w:cs="宋体" w:asciiTheme="minorEastAsia" w:hAnsiTheme="minorEastAsia" w:eastAsiaTheme="minorEastAsia"/>
              </w:rPr>
            </w:pPr>
          </w:p>
        </w:tc>
        <w:tc>
          <w:tcPr>
            <w:tcW w:w="1485" w:type="dxa"/>
            <w:tcBorders>
              <w:bottom w:val="single" w:color="auto" w:sz="4" w:space="0"/>
            </w:tcBorders>
            <w:vAlign w:val="center"/>
          </w:tcPr>
          <w:p>
            <w:pPr>
              <w:spacing w:line="400" w:lineRule="exact"/>
              <w:jc w:val="center"/>
              <w:rPr>
                <w:rFonts w:cs="宋体" w:asciiTheme="minorEastAsia" w:hAnsiTheme="minorEastAsia" w:eastAsiaTheme="minorEastAsia"/>
              </w:rPr>
            </w:pPr>
          </w:p>
        </w:tc>
        <w:tc>
          <w:tcPr>
            <w:tcW w:w="1577" w:type="dxa"/>
            <w:tcBorders>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rPr>
            </w:pPr>
          </w:p>
        </w:tc>
        <w:tc>
          <w:tcPr>
            <w:tcW w:w="1163" w:type="dxa"/>
            <w:tcBorders>
              <w:left w:val="single" w:color="auto" w:sz="4" w:space="0"/>
              <w:bottom w:val="single" w:color="auto" w:sz="4" w:space="0"/>
            </w:tcBorders>
            <w:vAlign w:val="center"/>
          </w:tcPr>
          <w:p>
            <w:pPr>
              <w:spacing w:line="400" w:lineRule="exact"/>
              <w:jc w:val="center"/>
              <w:rPr>
                <w:rFonts w:cs="宋体" w:asciiTheme="minorEastAsia" w:hAnsiTheme="minorEastAsia" w:eastAsiaTheme="minorEastAsia"/>
              </w:rPr>
            </w:pPr>
          </w:p>
        </w:tc>
      </w:tr>
    </w:tbl>
    <w:p>
      <w:pPr>
        <w:spacing w:line="360" w:lineRule="auto"/>
        <w:ind w:left="360"/>
        <w:rPr>
          <w:rFonts w:cs="宋体" w:asciiTheme="minorEastAsia" w:hAnsiTheme="minorEastAsia" w:eastAsiaTheme="minorEastAsia"/>
          <w:color w:val="000000"/>
        </w:rPr>
      </w:pPr>
    </w:p>
    <w:p>
      <w:pPr>
        <w:spacing w:line="360" w:lineRule="auto"/>
        <w:rPr>
          <w:rFonts w:cs="宋体" w:asciiTheme="minorEastAsia" w:hAnsiTheme="minorEastAsia" w:eastAsiaTheme="minorEastAsia"/>
        </w:rPr>
      </w:pPr>
      <w:r>
        <w:rPr>
          <w:rFonts w:hint="eastAsia" w:cs="宋体" w:asciiTheme="minorEastAsia" w:hAnsiTheme="minorEastAsia" w:eastAsiaTheme="minorEastAsia"/>
          <w:color w:val="000000"/>
        </w:rPr>
        <w:t xml:space="preserve"> 注：</w:t>
      </w:r>
      <w:r>
        <w:rPr>
          <w:rFonts w:hint="eastAsia" w:cs="宋体" w:asciiTheme="minorEastAsia" w:hAnsiTheme="minorEastAsia" w:eastAsiaTheme="minorEastAsia"/>
        </w:rPr>
        <w:t>后附合同复印件</w:t>
      </w:r>
    </w:p>
    <w:p>
      <w:pPr>
        <w:spacing w:line="360" w:lineRule="auto"/>
        <w:rPr>
          <w:rFonts w:cs="宋体" w:asciiTheme="minorEastAsia" w:hAnsiTheme="minorEastAsia" w:eastAsiaTheme="minorEastAsia"/>
          <w:color w:val="000000"/>
        </w:rPr>
      </w:pPr>
    </w:p>
    <w:p>
      <w:pPr>
        <w:adjustRightInd w:val="0"/>
        <w:spacing w:line="600" w:lineRule="auto"/>
        <w:rPr>
          <w:rFonts w:cs="宋体" w:asciiTheme="minorEastAsia" w:hAnsiTheme="minorEastAsia" w:eastAsiaTheme="minorEastAsia"/>
          <w:bCs/>
          <w:color w:val="000000"/>
          <w:u w:val="single"/>
        </w:rPr>
      </w:pPr>
      <w:r>
        <w:rPr>
          <w:rFonts w:hint="eastAsia" w:cs="宋体" w:asciiTheme="minorEastAsia" w:hAnsiTheme="minorEastAsia" w:eastAsiaTheme="minorEastAsia"/>
          <w:bCs/>
          <w:color w:val="000000"/>
        </w:rPr>
        <w:t>供应商名称：</w:t>
      </w:r>
      <w:r>
        <w:rPr>
          <w:rFonts w:hint="eastAsia" w:cs="宋体" w:asciiTheme="minorEastAsia" w:hAnsiTheme="minorEastAsia" w:eastAsiaTheme="minorEastAsia"/>
          <w:bCs/>
          <w:color w:val="000000"/>
          <w:u w:val="single"/>
        </w:rPr>
        <w:t xml:space="preserve">              （全称及公章）</w:t>
      </w:r>
    </w:p>
    <w:p>
      <w:pPr>
        <w:adjustRightInd w:val="0"/>
        <w:snapToGrid w:val="0"/>
        <w:spacing w:line="600" w:lineRule="auto"/>
        <w:rPr>
          <w:rFonts w:cs="宋体" w:asciiTheme="minorEastAsia" w:hAnsiTheme="minorEastAsia" w:eastAsiaTheme="minorEastAsia"/>
          <w:color w:val="000000"/>
        </w:rPr>
      </w:pPr>
      <w:r>
        <w:rPr>
          <w:rFonts w:hint="eastAsia" w:cs="宋体" w:asciiTheme="minorEastAsia" w:hAnsiTheme="minorEastAsia" w:eastAsiaTheme="minorEastAsia"/>
          <w:color w:val="000000"/>
        </w:rPr>
        <w:t>法定代表人或被授权人（签字或盖章）：</w:t>
      </w:r>
    </w:p>
    <w:p>
      <w:pPr>
        <w:adjustRightInd w:val="0"/>
        <w:snapToGrid w:val="0"/>
        <w:spacing w:line="600" w:lineRule="auto"/>
        <w:rPr>
          <w:rFonts w:cs="宋体" w:asciiTheme="minorEastAsia" w:hAnsiTheme="minorEastAsia" w:eastAsiaTheme="minorEastAsia"/>
        </w:rPr>
      </w:pPr>
      <w:r>
        <w:rPr>
          <w:rFonts w:hint="eastAsia" w:cs="宋体" w:asciiTheme="minorEastAsia" w:hAnsiTheme="minorEastAsia" w:eastAsiaTheme="minorEastAsia"/>
          <w:bCs/>
          <w:color w:val="000000"/>
        </w:rPr>
        <w:t xml:space="preserve">日    </w:t>
      </w:r>
      <w:r>
        <w:rPr>
          <w:rFonts w:hint="eastAsia" w:cs="宋体" w:asciiTheme="minorEastAsia" w:hAnsiTheme="minorEastAsia" w:eastAsiaTheme="minorEastAsia"/>
          <w:color w:val="000000"/>
        </w:rPr>
        <w:t xml:space="preserve">期:                   </w:t>
      </w:r>
      <w:bookmarkEnd w:id="109"/>
      <w:bookmarkEnd w:id="110"/>
      <w:bookmarkEnd w:id="111"/>
      <w:bookmarkEnd w:id="112"/>
    </w:p>
    <w:p>
      <w:pPr>
        <w:rPr>
          <w:rFonts w:asciiTheme="minorEastAsia" w:hAnsiTheme="minorEastAsia" w:eastAsiaTheme="minorEastAsia"/>
        </w:rPr>
      </w:pPr>
      <w:r>
        <w:rPr>
          <w:rFonts w:asciiTheme="minorEastAsia" w:hAnsiTheme="minorEastAsia" w:eastAsiaTheme="minorEastAsia"/>
        </w:rPr>
        <w:br w:type="page"/>
      </w:r>
    </w:p>
    <w:p>
      <w:pPr>
        <w:pStyle w:val="7"/>
        <w:ind w:firstLine="480"/>
        <w:rPr>
          <w:rFonts w:cs="宋体" w:asciiTheme="minorEastAsia" w:hAnsiTheme="minorEastAsia" w:eastAsiaTheme="minorEastAsia"/>
          <w:color w:val="000000"/>
          <w:sz w:val="24"/>
          <w:szCs w:val="24"/>
        </w:rPr>
      </w:pPr>
      <w:bookmarkStart w:id="114" w:name="_Toc22400"/>
      <w:bookmarkStart w:id="115" w:name="_Toc9666"/>
      <w:bookmarkStart w:id="116" w:name="_Toc135129545"/>
      <w:bookmarkStart w:id="117" w:name="_Toc18894"/>
      <w:bookmarkStart w:id="118" w:name="_Toc29034"/>
      <w:bookmarkStart w:id="119" w:name="_Toc23432"/>
      <w:r>
        <w:rPr>
          <w:rFonts w:hint="eastAsia" w:cs="宋体" w:asciiTheme="minorEastAsia" w:hAnsiTheme="minorEastAsia" w:eastAsiaTheme="minorEastAsia"/>
          <w:color w:val="000000"/>
          <w:sz w:val="24"/>
          <w:szCs w:val="24"/>
        </w:rPr>
        <w:t>第十部分  供应商认为有必要说明的其他问题</w:t>
      </w:r>
      <w:bookmarkEnd w:id="114"/>
      <w:bookmarkEnd w:id="115"/>
      <w:bookmarkEnd w:id="116"/>
      <w:bookmarkEnd w:id="117"/>
      <w:bookmarkEnd w:id="118"/>
      <w:bookmarkEnd w:id="119"/>
    </w:p>
    <w:p>
      <w:pPr>
        <w:rPr>
          <w:rFonts w:cs="宋体" w:asciiTheme="minorEastAsia" w:hAnsiTheme="minorEastAsia" w:eastAsiaTheme="minorEastAsia"/>
          <w:color w:val="000000"/>
        </w:rPr>
      </w:pPr>
    </w:p>
    <w:p>
      <w:pPr>
        <w:rPr>
          <w:rFonts w:cs="宋体" w:asciiTheme="minorEastAsia" w:hAnsiTheme="minorEastAsia" w:eastAsiaTheme="minorEastAsia"/>
          <w:color w:val="000000"/>
        </w:rPr>
      </w:pPr>
      <w:r>
        <w:rPr>
          <w:rFonts w:hint="eastAsia" w:cs="宋体" w:asciiTheme="minorEastAsia" w:hAnsiTheme="minorEastAsia" w:eastAsiaTheme="minorEastAsia"/>
          <w:color w:val="000000"/>
        </w:rPr>
        <w:t>供应商认为有必要提供的其他证明文件</w:t>
      </w:r>
    </w:p>
    <w:p>
      <w:pPr>
        <w:rPr>
          <w:rFonts w:asciiTheme="minorEastAsia" w:hAnsiTheme="minorEastAsia" w:eastAsiaTheme="minorEastAsia"/>
        </w:rPr>
      </w:pPr>
      <w:r>
        <w:rPr>
          <w:rFonts w:asciiTheme="minorEastAsia" w:hAnsiTheme="minorEastAsia" w:eastAsiaTheme="minorEastAsia"/>
        </w:rPr>
        <w:br w:type="page"/>
      </w:r>
    </w:p>
    <w:p>
      <w:pPr>
        <w:adjustRightInd w:val="0"/>
        <w:spacing w:line="416" w:lineRule="atLeast"/>
        <w:jc w:val="center"/>
        <w:textAlignment w:val="baseline"/>
        <w:outlineLvl w:val="1"/>
        <w:rPr>
          <w:rFonts w:cs="宋体" w:asciiTheme="minorEastAsia" w:hAnsiTheme="minorEastAsia" w:eastAsiaTheme="minorEastAsia"/>
        </w:rPr>
      </w:pPr>
      <w:bookmarkStart w:id="120" w:name="_Toc9607"/>
      <w:bookmarkStart w:id="121" w:name="_Toc8177"/>
      <w:bookmarkStart w:id="122" w:name="_Toc22866"/>
      <w:bookmarkStart w:id="123" w:name="_Toc20129"/>
      <w:bookmarkStart w:id="124" w:name="_Toc22501"/>
      <w:bookmarkStart w:id="125" w:name="_Toc7273"/>
      <w:bookmarkStart w:id="126" w:name="_Toc135129546"/>
      <w:r>
        <w:rPr>
          <w:rFonts w:hint="eastAsia" w:cs="宋体" w:asciiTheme="minorEastAsia" w:hAnsiTheme="minorEastAsia" w:eastAsiaTheme="minorEastAsia"/>
        </w:rPr>
        <w:t>附件一、中小企业声明</w:t>
      </w:r>
      <w:bookmarkEnd w:id="120"/>
      <w:bookmarkEnd w:id="121"/>
      <w:bookmarkEnd w:id="122"/>
      <w:bookmarkEnd w:id="123"/>
      <w:bookmarkEnd w:id="124"/>
      <w:bookmarkEnd w:id="125"/>
      <w:bookmarkEnd w:id="126"/>
    </w:p>
    <w:p>
      <w:pPr>
        <w:rPr>
          <w:rFonts w:cs="宋体" w:asciiTheme="minorEastAsia" w:hAnsiTheme="minorEastAsia" w:eastAsiaTheme="minorEastAsia"/>
        </w:rPr>
      </w:pPr>
    </w:p>
    <w:p>
      <w:pPr>
        <w:spacing w:line="588" w:lineRule="exact"/>
        <w:ind w:firstLine="504" w:firstLineChars="200"/>
        <w:rPr>
          <w:rFonts w:asciiTheme="minorEastAsia" w:hAnsiTheme="minorEastAsia" w:eastAsiaTheme="minorEastAsia"/>
          <w:color w:val="000000"/>
          <w:spacing w:val="6"/>
        </w:rPr>
      </w:pPr>
      <w:bookmarkStart w:id="127" w:name="_Toc11556"/>
      <w:bookmarkStart w:id="128" w:name="_Toc15467"/>
      <w:bookmarkStart w:id="129" w:name="_Toc11130"/>
      <w:bookmarkStart w:id="130" w:name="_Toc3198"/>
      <w:bookmarkStart w:id="131" w:name="_Toc30503"/>
      <w:r>
        <w:rPr>
          <w:rFonts w:hint="eastAsia" w:asciiTheme="minorEastAsia" w:hAnsiTheme="minorEastAsia" w:eastAsiaTheme="minorEastAsia"/>
          <w:color w:val="000000"/>
          <w:spacing w:val="6"/>
        </w:rPr>
        <w:t>根据《政府采购促进中小企业发展管理办法》（财库[2020]46号）的规定，由供应商自行声明并对真实性负责。如有虚假，将依法承担相应责任。</w:t>
      </w:r>
    </w:p>
    <w:bookmarkEnd w:id="127"/>
    <w:bookmarkEnd w:id="128"/>
    <w:bookmarkEnd w:id="129"/>
    <w:bookmarkEnd w:id="130"/>
    <w:bookmarkEnd w:id="131"/>
    <w:p>
      <w:pPr>
        <w:spacing w:line="588" w:lineRule="exact"/>
        <w:jc w:val="center"/>
        <w:rPr>
          <w:rFonts w:cs="宋体" w:asciiTheme="minorEastAsia" w:hAnsiTheme="minorEastAsia" w:eastAsiaTheme="minorEastAsia"/>
          <w:b/>
          <w:spacing w:val="6"/>
        </w:rPr>
      </w:pPr>
      <w:bookmarkStart w:id="132" w:name="_Toc14587"/>
      <w:bookmarkStart w:id="133" w:name="_Toc21466"/>
      <w:bookmarkStart w:id="134" w:name="_Toc21174"/>
      <w:r>
        <w:rPr>
          <w:rFonts w:hint="eastAsia" w:cs="宋体" w:asciiTheme="minorEastAsia" w:hAnsiTheme="minorEastAsia" w:eastAsiaTheme="minorEastAsia"/>
          <w:b/>
          <w:spacing w:val="6"/>
        </w:rPr>
        <w:t>中小企业声明函（货物）</w:t>
      </w:r>
    </w:p>
    <w:p>
      <w:pPr>
        <w:spacing w:line="588" w:lineRule="exact"/>
        <w:ind w:firstLine="504" w:firstLineChars="200"/>
        <w:rPr>
          <w:rFonts w:cs="宋体" w:asciiTheme="minorEastAsia" w:hAnsiTheme="minorEastAsia" w:eastAsiaTheme="minorEastAsia"/>
          <w:spacing w:val="6"/>
        </w:rPr>
      </w:pPr>
      <w:bookmarkStart w:id="135" w:name="_Toc32438"/>
      <w:bookmarkStart w:id="136" w:name="_Toc21117"/>
      <w:bookmarkStart w:id="137" w:name="_Toc11896"/>
      <w:bookmarkStart w:id="138" w:name="_Toc5814"/>
      <w:bookmarkStart w:id="139" w:name="_Toc6022"/>
      <w:bookmarkStart w:id="140" w:name="_Toc10807"/>
      <w:bookmarkStart w:id="141" w:name="_Toc12531"/>
      <w:r>
        <w:rPr>
          <w:rFonts w:hint="eastAsia" w:cs="宋体" w:asciiTheme="minorEastAsia" w:hAnsiTheme="minorEastAsia" w:eastAsiaTheme="minorEastAsia"/>
          <w:spacing w:val="6"/>
        </w:rPr>
        <w:t>本公司（联合体）郑重声明，根据《政府采购促进中小企业发展管理办法》（财库﹝2020﹞46 号）的规定，本公司（联合体）参加</w:t>
      </w:r>
      <w:r>
        <w:rPr>
          <w:rFonts w:hint="eastAsia" w:cs="宋体" w:asciiTheme="minorEastAsia" w:hAnsiTheme="minorEastAsia" w:eastAsiaTheme="minorEastAsia"/>
          <w:spacing w:val="6"/>
          <w:u w:val="single"/>
        </w:rPr>
        <w:t>（单位名称）</w:t>
      </w:r>
      <w:r>
        <w:rPr>
          <w:rFonts w:hint="eastAsia" w:cs="宋体" w:asciiTheme="minorEastAsia" w:hAnsiTheme="minorEastAsia" w:eastAsiaTheme="minorEastAsia"/>
          <w:spacing w:val="6"/>
        </w:rPr>
        <w:t>的</w:t>
      </w:r>
      <w:r>
        <w:rPr>
          <w:rFonts w:hint="eastAsia" w:cs="宋体" w:asciiTheme="minorEastAsia" w:hAnsiTheme="minorEastAsia" w:eastAsiaTheme="minorEastAsia"/>
          <w:spacing w:val="6"/>
          <w:u w:val="single"/>
        </w:rPr>
        <w:t>（项目名称）</w:t>
      </w:r>
      <w:r>
        <w:rPr>
          <w:rFonts w:hint="eastAsia" w:cs="宋体" w:asciiTheme="minorEastAsia" w:hAnsiTheme="minorEastAsia" w:eastAsiaTheme="minorEastAsia"/>
          <w:spacing w:val="6"/>
        </w:rPr>
        <w:t>采购活动，提供的货物全部由符合政策要求的中小企业制造。相关企业（含联合体中的中小企业、签订分包意向协议的中小企业）的具体情况如下：</w:t>
      </w:r>
    </w:p>
    <w:p>
      <w:pPr>
        <w:spacing w:line="588" w:lineRule="exact"/>
        <w:ind w:firstLine="504" w:firstLineChars="200"/>
        <w:rPr>
          <w:rFonts w:cs="宋体" w:asciiTheme="minorEastAsia" w:hAnsiTheme="minorEastAsia" w:eastAsiaTheme="minorEastAsia"/>
          <w:spacing w:val="6"/>
        </w:rPr>
      </w:pPr>
      <w:r>
        <w:rPr>
          <w:rFonts w:hint="eastAsia" w:cs="宋体" w:asciiTheme="minorEastAsia" w:hAnsiTheme="minorEastAsia" w:eastAsiaTheme="minorEastAsia"/>
          <w:spacing w:val="6"/>
        </w:rPr>
        <w:t>1.</w:t>
      </w:r>
      <w:r>
        <w:rPr>
          <w:rFonts w:hint="eastAsia" w:cs="宋体" w:asciiTheme="minorEastAsia" w:hAnsiTheme="minorEastAsia" w:eastAsiaTheme="minorEastAsia"/>
          <w:spacing w:val="6"/>
          <w:u w:val="single"/>
        </w:rPr>
        <w:t xml:space="preserve">（标的名称） </w:t>
      </w:r>
      <w:r>
        <w:rPr>
          <w:rFonts w:hint="eastAsia" w:cs="宋体" w:asciiTheme="minorEastAsia" w:hAnsiTheme="minorEastAsia" w:eastAsiaTheme="minorEastAsia"/>
          <w:spacing w:val="6"/>
        </w:rPr>
        <w:t>，属于</w:t>
      </w:r>
      <w:r>
        <w:rPr>
          <w:rFonts w:hint="eastAsia" w:cs="宋体" w:asciiTheme="minorEastAsia" w:hAnsiTheme="minorEastAsia" w:eastAsiaTheme="minorEastAsia"/>
          <w:spacing w:val="6"/>
          <w:u w:val="single"/>
        </w:rPr>
        <w:t>（采购文件中明确的所属行业）</w:t>
      </w:r>
      <w:r>
        <w:rPr>
          <w:rFonts w:hint="eastAsia" w:cs="宋体" w:asciiTheme="minorEastAsia" w:hAnsiTheme="minorEastAsia" w:eastAsiaTheme="minorEastAsia"/>
          <w:spacing w:val="6"/>
        </w:rPr>
        <w:t>；制造商为</w:t>
      </w:r>
      <w:r>
        <w:rPr>
          <w:rFonts w:hint="eastAsia" w:cs="宋体" w:asciiTheme="minorEastAsia" w:hAnsiTheme="minorEastAsia" w:eastAsiaTheme="minorEastAsia"/>
          <w:spacing w:val="6"/>
          <w:u w:val="single"/>
        </w:rPr>
        <w:t>（企业名称）</w:t>
      </w:r>
      <w:r>
        <w:rPr>
          <w:rFonts w:hint="eastAsia" w:cs="宋体" w:asciiTheme="minorEastAsia" w:hAnsiTheme="minorEastAsia" w:eastAsiaTheme="minorEastAsia"/>
          <w:spacing w:val="6"/>
        </w:rPr>
        <w:t>，从业人员</w:t>
      </w:r>
      <w:r>
        <w:rPr>
          <w:rFonts w:hint="eastAsia" w:cs="宋体" w:asciiTheme="minorEastAsia" w:hAnsiTheme="minorEastAsia" w:eastAsiaTheme="minorEastAsia"/>
          <w:spacing w:val="6"/>
          <w:u w:val="single"/>
        </w:rPr>
        <w:t xml:space="preserve">    </w:t>
      </w:r>
      <w:r>
        <w:rPr>
          <w:rFonts w:hint="eastAsia" w:cs="宋体" w:asciiTheme="minorEastAsia" w:hAnsiTheme="minorEastAsia" w:eastAsiaTheme="minorEastAsia"/>
          <w:spacing w:val="6"/>
        </w:rPr>
        <w:t>人，营业收入为</w:t>
      </w:r>
      <w:r>
        <w:rPr>
          <w:rFonts w:hint="eastAsia" w:cs="宋体" w:asciiTheme="minorEastAsia" w:hAnsiTheme="minorEastAsia" w:eastAsiaTheme="minorEastAsia"/>
          <w:spacing w:val="6"/>
          <w:u w:val="single"/>
        </w:rPr>
        <w:t xml:space="preserve">       </w:t>
      </w:r>
      <w:r>
        <w:rPr>
          <w:rFonts w:hint="eastAsia" w:cs="宋体" w:asciiTheme="minorEastAsia" w:hAnsiTheme="minorEastAsia" w:eastAsiaTheme="minorEastAsia"/>
          <w:spacing w:val="6"/>
        </w:rPr>
        <w:t>万元，资产总额为</w:t>
      </w:r>
      <w:r>
        <w:rPr>
          <w:rFonts w:hint="eastAsia" w:cs="宋体" w:asciiTheme="minorEastAsia" w:hAnsiTheme="minorEastAsia" w:eastAsiaTheme="minorEastAsia"/>
          <w:spacing w:val="6"/>
          <w:u w:val="single"/>
        </w:rPr>
        <w:t xml:space="preserve">      </w:t>
      </w:r>
      <w:r>
        <w:rPr>
          <w:rFonts w:hint="eastAsia" w:cs="宋体" w:asciiTheme="minorEastAsia" w:hAnsiTheme="minorEastAsia" w:eastAsiaTheme="minorEastAsia"/>
          <w:spacing w:val="6"/>
        </w:rPr>
        <w:t>万元，属于</w:t>
      </w:r>
      <w:r>
        <w:rPr>
          <w:rFonts w:hint="eastAsia" w:cs="宋体" w:asciiTheme="minorEastAsia" w:hAnsiTheme="minorEastAsia" w:eastAsiaTheme="minorEastAsia"/>
          <w:spacing w:val="6"/>
          <w:u w:val="single"/>
        </w:rPr>
        <w:t>（中型企业、小型企业、微型企业）</w:t>
      </w:r>
      <w:r>
        <w:rPr>
          <w:rFonts w:hint="eastAsia" w:cs="宋体" w:asciiTheme="minorEastAsia" w:hAnsiTheme="minorEastAsia" w:eastAsiaTheme="minorEastAsia"/>
          <w:spacing w:val="6"/>
        </w:rPr>
        <w:t>；</w:t>
      </w:r>
    </w:p>
    <w:p>
      <w:pPr>
        <w:spacing w:line="588" w:lineRule="exact"/>
        <w:ind w:firstLine="504" w:firstLineChars="200"/>
        <w:rPr>
          <w:rFonts w:cs="宋体" w:asciiTheme="minorEastAsia" w:hAnsiTheme="minorEastAsia" w:eastAsiaTheme="minorEastAsia"/>
          <w:spacing w:val="6"/>
        </w:rPr>
      </w:pPr>
      <w:r>
        <w:rPr>
          <w:rFonts w:hint="eastAsia" w:cs="宋体" w:asciiTheme="minorEastAsia" w:hAnsiTheme="minorEastAsia" w:eastAsiaTheme="minorEastAsia"/>
          <w:spacing w:val="6"/>
        </w:rPr>
        <w:t>2.</w:t>
      </w:r>
      <w:r>
        <w:rPr>
          <w:rFonts w:hint="eastAsia" w:cs="宋体" w:asciiTheme="minorEastAsia" w:hAnsiTheme="minorEastAsia" w:eastAsiaTheme="minorEastAsia"/>
          <w:spacing w:val="6"/>
          <w:u w:val="single"/>
        </w:rPr>
        <w:t xml:space="preserve">（标的名称） </w:t>
      </w:r>
      <w:r>
        <w:rPr>
          <w:rFonts w:hint="eastAsia" w:cs="宋体" w:asciiTheme="minorEastAsia" w:hAnsiTheme="minorEastAsia" w:eastAsiaTheme="minorEastAsia"/>
          <w:spacing w:val="6"/>
        </w:rPr>
        <w:t>，属于</w:t>
      </w:r>
      <w:r>
        <w:rPr>
          <w:rFonts w:hint="eastAsia" w:cs="宋体" w:asciiTheme="minorEastAsia" w:hAnsiTheme="minorEastAsia" w:eastAsiaTheme="minorEastAsia"/>
          <w:spacing w:val="6"/>
          <w:u w:val="single"/>
        </w:rPr>
        <w:t>（采购文件中明确的所属行业）</w:t>
      </w:r>
      <w:r>
        <w:rPr>
          <w:rFonts w:hint="eastAsia" w:cs="宋体" w:asciiTheme="minorEastAsia" w:hAnsiTheme="minorEastAsia" w:eastAsiaTheme="minorEastAsia"/>
          <w:spacing w:val="6"/>
        </w:rPr>
        <w:t>；制造商为（企业名称），从业人员</w:t>
      </w:r>
      <w:r>
        <w:rPr>
          <w:rFonts w:hint="eastAsia" w:cs="宋体" w:asciiTheme="minorEastAsia" w:hAnsiTheme="minorEastAsia" w:eastAsiaTheme="minorEastAsia"/>
          <w:spacing w:val="6"/>
          <w:u w:val="single"/>
        </w:rPr>
        <w:t xml:space="preserve">     </w:t>
      </w:r>
      <w:r>
        <w:rPr>
          <w:rFonts w:hint="eastAsia" w:cs="宋体" w:asciiTheme="minorEastAsia" w:hAnsiTheme="minorEastAsia" w:eastAsiaTheme="minorEastAsia"/>
          <w:spacing w:val="6"/>
        </w:rPr>
        <w:t>人，营业收入为</w:t>
      </w:r>
      <w:r>
        <w:rPr>
          <w:rFonts w:hint="eastAsia" w:cs="宋体" w:asciiTheme="minorEastAsia" w:hAnsiTheme="minorEastAsia" w:eastAsiaTheme="minorEastAsia"/>
          <w:spacing w:val="6"/>
          <w:u w:val="single"/>
        </w:rPr>
        <w:t xml:space="preserve">      </w:t>
      </w:r>
      <w:r>
        <w:rPr>
          <w:rFonts w:hint="eastAsia" w:cs="宋体" w:asciiTheme="minorEastAsia" w:hAnsiTheme="minorEastAsia" w:eastAsiaTheme="minorEastAsia"/>
          <w:spacing w:val="6"/>
        </w:rPr>
        <w:t>万元，资产总额为</w:t>
      </w:r>
      <w:r>
        <w:rPr>
          <w:rFonts w:hint="eastAsia" w:cs="宋体" w:asciiTheme="minorEastAsia" w:hAnsiTheme="minorEastAsia" w:eastAsiaTheme="minorEastAsia"/>
          <w:spacing w:val="6"/>
          <w:u w:val="single"/>
        </w:rPr>
        <w:t xml:space="preserve">    </w:t>
      </w:r>
      <w:r>
        <w:rPr>
          <w:rFonts w:hint="eastAsia" w:cs="宋体" w:asciiTheme="minorEastAsia" w:hAnsiTheme="minorEastAsia" w:eastAsiaTheme="minorEastAsia"/>
          <w:spacing w:val="6"/>
        </w:rPr>
        <w:t>万元，属于</w:t>
      </w:r>
      <w:r>
        <w:rPr>
          <w:rFonts w:hint="eastAsia" w:cs="宋体" w:asciiTheme="minorEastAsia" w:hAnsiTheme="minorEastAsia" w:eastAsiaTheme="minorEastAsia"/>
          <w:spacing w:val="6"/>
          <w:u w:val="single"/>
        </w:rPr>
        <w:t>（中型企业、小型企业、微型企业）</w:t>
      </w:r>
      <w:r>
        <w:rPr>
          <w:rFonts w:hint="eastAsia" w:cs="宋体" w:asciiTheme="minorEastAsia" w:hAnsiTheme="minorEastAsia" w:eastAsiaTheme="minorEastAsia"/>
          <w:spacing w:val="6"/>
        </w:rPr>
        <w:t>；</w:t>
      </w:r>
    </w:p>
    <w:p>
      <w:pPr>
        <w:spacing w:line="588" w:lineRule="exact"/>
        <w:ind w:firstLine="504" w:firstLineChars="200"/>
        <w:rPr>
          <w:rFonts w:cs="宋体" w:asciiTheme="minorEastAsia" w:hAnsiTheme="minorEastAsia" w:eastAsiaTheme="minorEastAsia"/>
          <w:spacing w:val="6"/>
        </w:rPr>
      </w:pPr>
      <w:r>
        <w:rPr>
          <w:rFonts w:hint="eastAsia" w:cs="宋体" w:asciiTheme="minorEastAsia" w:hAnsiTheme="minorEastAsia" w:eastAsiaTheme="minorEastAsia"/>
          <w:spacing w:val="6"/>
        </w:rPr>
        <w:t>……</w:t>
      </w:r>
    </w:p>
    <w:p>
      <w:pPr>
        <w:spacing w:line="588" w:lineRule="exact"/>
        <w:ind w:firstLine="504" w:firstLineChars="200"/>
        <w:rPr>
          <w:rFonts w:cs="宋体" w:asciiTheme="minorEastAsia" w:hAnsiTheme="minorEastAsia" w:eastAsiaTheme="minorEastAsia"/>
          <w:spacing w:val="6"/>
        </w:rPr>
      </w:pPr>
      <w:r>
        <w:rPr>
          <w:rFonts w:hint="eastAsia" w:cs="宋体" w:asciiTheme="minorEastAsia" w:hAnsiTheme="minorEastAsia" w:eastAsiaTheme="minorEastAsia"/>
          <w:spacing w:val="6"/>
        </w:rPr>
        <w:t>以上企业，不属于大企业的分支机构，不存在控股股东为大企业的情形，也不存在与大企业的负责人为同一人的情形。</w:t>
      </w:r>
    </w:p>
    <w:p>
      <w:pPr>
        <w:spacing w:line="588" w:lineRule="exact"/>
        <w:ind w:firstLine="504" w:firstLineChars="200"/>
        <w:rPr>
          <w:rFonts w:cs="宋体" w:asciiTheme="minorEastAsia" w:hAnsiTheme="minorEastAsia" w:eastAsiaTheme="minorEastAsia"/>
          <w:spacing w:val="6"/>
        </w:rPr>
      </w:pPr>
      <w:r>
        <w:rPr>
          <w:rFonts w:hint="eastAsia" w:cs="宋体" w:asciiTheme="minorEastAsia" w:hAnsiTheme="minorEastAsia" w:eastAsiaTheme="minorEastAsia"/>
          <w:spacing w:val="6"/>
        </w:rPr>
        <w:t>本企业对上述声明内容的真实性负责。如有虚假，将依法承担相应责任。</w:t>
      </w:r>
    </w:p>
    <w:p>
      <w:pPr>
        <w:spacing w:line="588" w:lineRule="exact"/>
        <w:ind w:firstLine="504" w:firstLineChars="200"/>
        <w:jc w:val="right"/>
        <w:rPr>
          <w:rFonts w:cs="宋体" w:asciiTheme="minorEastAsia" w:hAnsiTheme="minorEastAsia" w:eastAsiaTheme="minorEastAsia"/>
          <w:spacing w:val="6"/>
        </w:rPr>
      </w:pPr>
      <w:r>
        <w:rPr>
          <w:rFonts w:hint="eastAsia" w:cs="宋体" w:asciiTheme="minorEastAsia" w:hAnsiTheme="minorEastAsia" w:eastAsiaTheme="minorEastAsia"/>
          <w:spacing w:val="6"/>
        </w:rPr>
        <w:t>企业名称（盖章）：</w:t>
      </w:r>
    </w:p>
    <w:p>
      <w:pPr>
        <w:spacing w:line="588" w:lineRule="exact"/>
        <w:ind w:firstLine="504" w:firstLineChars="200"/>
        <w:jc w:val="right"/>
        <w:rPr>
          <w:rFonts w:cs="宋体" w:asciiTheme="minorEastAsia" w:hAnsiTheme="minorEastAsia" w:eastAsiaTheme="minorEastAsia"/>
          <w:spacing w:val="6"/>
        </w:rPr>
      </w:pPr>
      <w:r>
        <w:rPr>
          <w:rFonts w:hint="eastAsia" w:cs="宋体" w:asciiTheme="minorEastAsia" w:hAnsiTheme="minorEastAsia" w:eastAsiaTheme="minorEastAsia"/>
          <w:spacing w:val="6"/>
        </w:rPr>
        <w:t>日期：</w:t>
      </w:r>
    </w:p>
    <w:p>
      <w:pPr>
        <w:pStyle w:val="19"/>
        <w:rPr>
          <w:rFonts w:cs="宋体" w:asciiTheme="minorEastAsia" w:hAnsiTheme="minorEastAsia" w:eastAsiaTheme="minorEastAsia"/>
          <w:spacing w:val="6"/>
          <w:sz w:val="24"/>
        </w:rPr>
      </w:pPr>
    </w:p>
    <w:p>
      <w:pPr>
        <w:rPr>
          <w:rFonts w:asciiTheme="minorEastAsia" w:hAnsiTheme="minorEastAsia" w:eastAsiaTheme="minorEastAsia"/>
        </w:rPr>
      </w:pPr>
      <w:r>
        <w:rPr>
          <w:rFonts w:asciiTheme="minorEastAsia" w:hAnsiTheme="minorEastAsia" w:eastAsiaTheme="minorEastAsia"/>
        </w:rPr>
        <w:drawing>
          <wp:anchor distT="0" distB="0" distL="0" distR="0" simplePos="0" relativeHeight="251664384"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19" cstate="print"/>
                    <a:srcRect/>
                    <a:stretch>
                      <a:fillRect/>
                    </a:stretch>
                  </pic:blipFill>
                  <pic:spPr>
                    <a:xfrm>
                      <a:off x="0" y="0"/>
                      <a:ext cx="1828800" cy="12700"/>
                    </a:xfrm>
                    <a:prstGeom prst="rect">
                      <a:avLst/>
                    </a:prstGeom>
                    <a:ln>
                      <a:noFill/>
                    </a:ln>
                  </pic:spPr>
                </pic:pic>
              </a:graphicData>
            </a:graphic>
          </wp:anchor>
        </w:drawing>
      </w:r>
      <w:r>
        <w:rPr>
          <w:rFonts w:asciiTheme="minorEastAsia" w:hAnsiTheme="minorEastAsia" w:eastAsiaTheme="minorEastAsia"/>
          <w:vertAlign w:val="superscript"/>
        </w:rPr>
        <w:t>1</w:t>
      </w:r>
      <w:r>
        <w:rPr>
          <w:rFonts w:asciiTheme="minorEastAsia" w:hAnsiTheme="minorEastAsia" w:eastAsiaTheme="minorEastAsia"/>
        </w:rPr>
        <w:t>从业人员、营业收入、资产总额填报上一年度数据，无上一年度数据的新成立企业可不填报。</w:t>
      </w:r>
    </w:p>
    <w:p>
      <w:pPr>
        <w:rPr>
          <w:rFonts w:asciiTheme="minorEastAsia" w:hAnsiTheme="minorEastAsia" w:eastAsiaTheme="minorEastAsia"/>
        </w:rPr>
        <w:sectPr>
          <w:footerReference r:id="rId13" w:type="default"/>
          <w:pgSz w:w="11906" w:h="16838"/>
          <w:pgMar w:top="1440" w:right="1803" w:bottom="1440" w:left="1803" w:header="851" w:footer="992" w:gutter="0"/>
          <w:cols w:space="720" w:num="1"/>
          <w:docGrid w:type="lines" w:linePitch="319" w:charSpace="0"/>
        </w:sectPr>
      </w:pPr>
    </w:p>
    <w:p>
      <w:pPr>
        <w:spacing w:line="588" w:lineRule="exact"/>
        <w:jc w:val="center"/>
        <w:rPr>
          <w:rFonts w:hint="eastAsia" w:cs="宋体" w:asciiTheme="minorEastAsia" w:hAnsiTheme="minorEastAsia" w:eastAsiaTheme="minorEastAsia"/>
          <w:b/>
          <w:spacing w:val="6"/>
        </w:rPr>
      </w:pPr>
      <w:r>
        <w:rPr>
          <w:rFonts w:hint="eastAsia" w:cs="宋体" w:asciiTheme="minorEastAsia" w:hAnsiTheme="minorEastAsia" w:eastAsiaTheme="minorEastAsia"/>
          <w:b/>
          <w:spacing w:val="6"/>
        </w:rPr>
        <w:t>中小企业声明函（服务）</w:t>
      </w:r>
    </w:p>
    <w:p>
      <w:pPr>
        <w:spacing w:line="588" w:lineRule="exact"/>
        <w:ind w:firstLine="504" w:firstLineChars="200"/>
        <w:rPr>
          <w:rFonts w:ascii="宋体" w:hAnsi="宋体" w:cs="宋体"/>
          <w:spacing w:val="6"/>
          <w:sz w:val="24"/>
        </w:rPr>
      </w:pPr>
      <w:r>
        <w:rPr>
          <w:rFonts w:hint="eastAsia" w:ascii="宋体" w:hAnsi="宋体" w:cs="宋体"/>
          <w:spacing w:val="6"/>
          <w:sz w:val="24"/>
        </w:rPr>
        <w:t>根据《政府采购促进中小企业发展管理办法》（财库﹝2020﹞46 号）的规定，由供应商自行声明并对真实性负责。如有虚假，将依法承担相应责任。</w:t>
      </w:r>
    </w:p>
    <w:p>
      <w:pPr>
        <w:widowControl/>
        <w:spacing w:line="480" w:lineRule="auto"/>
        <w:ind w:firstLine="480" w:firstLineChars="200"/>
        <w:jc w:val="left"/>
        <w:rPr>
          <w:rFonts w:hint="eastAsia" w:ascii="宋体" w:hAnsi="宋体" w:cs="宋体"/>
          <w:sz w:val="24"/>
          <w:szCs w:val="16"/>
        </w:rPr>
      </w:pPr>
      <w:bookmarkStart w:id="142" w:name="page10"/>
      <w:bookmarkEnd w:id="142"/>
      <w:r>
        <w:rPr>
          <w:rFonts w:hint="eastAsia" w:ascii="宋体" w:hAnsi="宋体" w:cs="宋体"/>
          <w:sz w:val="24"/>
          <w:szCs w:val="16"/>
        </w:rPr>
        <w:t>本公司（联合体）郑重声明，根据《政府采购促进中小企业发展管理办法》（财库﹝2020﹞46 号）的规定，本公司（联合体）参加</w:t>
      </w:r>
      <w:r>
        <w:rPr>
          <w:rFonts w:hint="eastAsia" w:ascii="宋体" w:hAnsi="宋体" w:cs="宋体"/>
          <w:sz w:val="24"/>
          <w:szCs w:val="16"/>
          <w:u w:val="single"/>
        </w:rPr>
        <w:t>（单位名称）</w:t>
      </w:r>
      <w:r>
        <w:rPr>
          <w:rFonts w:hint="eastAsia" w:ascii="宋体" w:hAnsi="宋体" w:cs="宋体"/>
          <w:sz w:val="24"/>
          <w:szCs w:val="16"/>
        </w:rPr>
        <w:t>的</w:t>
      </w:r>
      <w:r>
        <w:rPr>
          <w:rFonts w:hint="eastAsia" w:ascii="宋体" w:hAnsi="宋体" w:cs="宋体"/>
          <w:sz w:val="24"/>
          <w:szCs w:val="16"/>
          <w:u w:val="single"/>
        </w:rPr>
        <w:t>（项目名称</w:t>
      </w:r>
      <w:r>
        <w:rPr>
          <w:rFonts w:hint="eastAsia" w:ascii="宋体" w:hAnsi="宋体" w:cs="宋体"/>
          <w:sz w:val="24"/>
          <w:szCs w:val="16"/>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80" w:lineRule="auto"/>
        <w:ind w:firstLine="480" w:firstLineChars="200"/>
        <w:jc w:val="left"/>
        <w:rPr>
          <w:rFonts w:hint="eastAsia" w:ascii="宋体" w:hAnsi="宋体" w:cs="宋体"/>
          <w:sz w:val="24"/>
          <w:szCs w:val="16"/>
        </w:rPr>
      </w:pPr>
      <w:r>
        <w:rPr>
          <w:rFonts w:hint="eastAsia" w:ascii="宋体" w:hAnsi="宋体" w:cs="宋体"/>
          <w:sz w:val="24"/>
          <w:szCs w:val="16"/>
        </w:rPr>
        <w:t>1.</w:t>
      </w:r>
      <w:r>
        <w:rPr>
          <w:rFonts w:hint="eastAsia" w:ascii="宋体" w:hAnsi="宋体" w:cs="宋体"/>
          <w:sz w:val="24"/>
          <w:szCs w:val="16"/>
          <w:u w:val="single"/>
        </w:rPr>
        <w:t>（标的名称）</w:t>
      </w:r>
      <w:r>
        <w:rPr>
          <w:rFonts w:hint="eastAsia" w:ascii="宋体" w:hAnsi="宋体" w:cs="宋体"/>
          <w:sz w:val="24"/>
          <w:szCs w:val="16"/>
        </w:rPr>
        <w:t xml:space="preserve"> ，属于</w:t>
      </w:r>
      <w:r>
        <w:rPr>
          <w:rFonts w:hint="eastAsia" w:ascii="宋体" w:hAnsi="宋体" w:cs="宋体"/>
          <w:sz w:val="24"/>
          <w:szCs w:val="16"/>
          <w:u w:val="single"/>
        </w:rPr>
        <w:t>（采购文件中明确的所属行业）</w:t>
      </w:r>
      <w:r>
        <w:rPr>
          <w:rFonts w:hint="eastAsia" w:ascii="宋体" w:hAnsi="宋体" w:cs="宋体"/>
          <w:sz w:val="24"/>
          <w:szCs w:val="16"/>
        </w:rPr>
        <w:t>；承建（承接）企业为</w:t>
      </w:r>
      <w:r>
        <w:rPr>
          <w:rFonts w:hint="eastAsia" w:ascii="宋体" w:hAnsi="宋体" w:cs="宋体"/>
          <w:sz w:val="24"/>
          <w:szCs w:val="16"/>
          <w:u w:val="single"/>
        </w:rPr>
        <w:t>（企业名称）</w:t>
      </w:r>
      <w:r>
        <w:rPr>
          <w:rFonts w:hint="eastAsia" w:ascii="宋体" w:hAnsi="宋体" w:cs="宋体"/>
          <w:sz w:val="24"/>
          <w:szCs w:val="16"/>
        </w:rPr>
        <w:t>，从业人员</w:t>
      </w:r>
      <w:r>
        <w:rPr>
          <w:rFonts w:hint="eastAsia" w:ascii="宋体" w:hAnsi="宋体" w:cs="宋体"/>
          <w:sz w:val="24"/>
          <w:szCs w:val="16"/>
          <w:u w:val="single"/>
        </w:rPr>
        <w:t xml:space="preserve">    </w:t>
      </w:r>
      <w:r>
        <w:rPr>
          <w:rFonts w:hint="eastAsia" w:ascii="宋体" w:hAnsi="宋体" w:cs="宋体"/>
          <w:sz w:val="24"/>
          <w:szCs w:val="16"/>
        </w:rPr>
        <w:t>人，营业收入为</w:t>
      </w:r>
      <w:r>
        <w:rPr>
          <w:rFonts w:hint="eastAsia" w:ascii="宋体" w:hAnsi="宋体" w:cs="宋体"/>
          <w:sz w:val="24"/>
          <w:szCs w:val="16"/>
          <w:u w:val="single"/>
        </w:rPr>
        <w:t xml:space="preserve">    </w:t>
      </w:r>
      <w:r>
        <w:rPr>
          <w:rFonts w:hint="eastAsia" w:ascii="宋体" w:hAnsi="宋体" w:cs="宋体"/>
          <w:sz w:val="24"/>
          <w:szCs w:val="16"/>
        </w:rPr>
        <w:t>万元，资产总额为</w:t>
      </w:r>
      <w:r>
        <w:rPr>
          <w:rFonts w:hint="eastAsia" w:ascii="宋体" w:hAnsi="宋体" w:cs="宋体"/>
          <w:sz w:val="24"/>
          <w:szCs w:val="16"/>
          <w:u w:val="single"/>
        </w:rPr>
        <w:t xml:space="preserve">   </w:t>
      </w:r>
      <w:r>
        <w:rPr>
          <w:rFonts w:hint="eastAsia" w:ascii="宋体" w:hAnsi="宋体" w:cs="宋体"/>
          <w:sz w:val="24"/>
          <w:szCs w:val="16"/>
        </w:rPr>
        <w:t>万元，属于</w:t>
      </w:r>
      <w:r>
        <w:rPr>
          <w:rFonts w:hint="eastAsia" w:ascii="宋体" w:hAnsi="宋体" w:cs="宋体"/>
          <w:sz w:val="24"/>
          <w:szCs w:val="16"/>
          <w:u w:val="single"/>
        </w:rPr>
        <w:t>（中型企业、小型企业、微型企业）</w:t>
      </w:r>
      <w:r>
        <w:rPr>
          <w:rFonts w:hint="eastAsia" w:ascii="宋体" w:hAnsi="宋体" w:cs="宋体"/>
          <w:sz w:val="24"/>
          <w:szCs w:val="16"/>
        </w:rPr>
        <w:t>；</w:t>
      </w:r>
    </w:p>
    <w:p>
      <w:pPr>
        <w:widowControl/>
        <w:spacing w:line="480" w:lineRule="auto"/>
        <w:ind w:firstLine="480" w:firstLineChars="200"/>
        <w:jc w:val="left"/>
        <w:rPr>
          <w:rFonts w:hint="eastAsia" w:ascii="宋体" w:hAnsi="宋体" w:cs="宋体"/>
          <w:sz w:val="24"/>
          <w:szCs w:val="16"/>
        </w:rPr>
      </w:pPr>
      <w:r>
        <w:rPr>
          <w:rFonts w:hint="eastAsia" w:ascii="宋体" w:hAnsi="宋体" w:cs="宋体"/>
          <w:sz w:val="24"/>
          <w:szCs w:val="16"/>
        </w:rPr>
        <w:t>2.</w:t>
      </w:r>
      <w:r>
        <w:rPr>
          <w:rFonts w:hint="eastAsia" w:ascii="宋体" w:hAnsi="宋体" w:cs="宋体"/>
          <w:sz w:val="24"/>
          <w:szCs w:val="16"/>
          <w:u w:val="single"/>
        </w:rPr>
        <w:t>（标的名称）</w:t>
      </w:r>
      <w:r>
        <w:rPr>
          <w:rFonts w:hint="eastAsia" w:ascii="宋体" w:hAnsi="宋体" w:cs="宋体"/>
          <w:sz w:val="24"/>
          <w:szCs w:val="16"/>
        </w:rPr>
        <w:t xml:space="preserve"> ，属于</w:t>
      </w:r>
      <w:r>
        <w:rPr>
          <w:rFonts w:hint="eastAsia" w:ascii="宋体" w:hAnsi="宋体" w:cs="宋体"/>
          <w:sz w:val="24"/>
          <w:szCs w:val="16"/>
          <w:u w:val="single"/>
        </w:rPr>
        <w:t>（采购文件中明确的所属行业）</w:t>
      </w:r>
      <w:r>
        <w:rPr>
          <w:rFonts w:hint="eastAsia" w:ascii="宋体" w:hAnsi="宋体" w:cs="宋体"/>
          <w:sz w:val="24"/>
          <w:szCs w:val="16"/>
        </w:rPr>
        <w:t>；承建（承接）企业为</w:t>
      </w:r>
      <w:r>
        <w:rPr>
          <w:rFonts w:hint="eastAsia" w:ascii="宋体" w:hAnsi="宋体" w:cs="宋体"/>
          <w:sz w:val="24"/>
          <w:szCs w:val="16"/>
          <w:u w:val="single"/>
        </w:rPr>
        <w:t>（企业名称）</w:t>
      </w:r>
      <w:r>
        <w:rPr>
          <w:rFonts w:hint="eastAsia" w:ascii="宋体" w:hAnsi="宋体" w:cs="宋体"/>
          <w:sz w:val="24"/>
          <w:szCs w:val="16"/>
        </w:rPr>
        <w:t>，从业人员</w:t>
      </w:r>
      <w:r>
        <w:rPr>
          <w:rFonts w:hint="eastAsia" w:ascii="宋体" w:hAnsi="宋体" w:cs="宋体"/>
          <w:sz w:val="24"/>
          <w:szCs w:val="16"/>
          <w:u w:val="single"/>
        </w:rPr>
        <w:t xml:space="preserve">    </w:t>
      </w:r>
      <w:r>
        <w:rPr>
          <w:rFonts w:hint="eastAsia" w:ascii="宋体" w:hAnsi="宋体" w:cs="宋体"/>
          <w:sz w:val="24"/>
          <w:szCs w:val="16"/>
        </w:rPr>
        <w:t>人，营业收入为</w:t>
      </w:r>
      <w:r>
        <w:rPr>
          <w:rFonts w:hint="eastAsia" w:ascii="宋体" w:hAnsi="宋体" w:cs="宋体"/>
          <w:sz w:val="24"/>
          <w:szCs w:val="16"/>
          <w:u w:val="single"/>
        </w:rPr>
        <w:t xml:space="preserve">    </w:t>
      </w:r>
      <w:r>
        <w:rPr>
          <w:rFonts w:hint="eastAsia" w:ascii="宋体" w:hAnsi="宋体" w:cs="宋体"/>
          <w:sz w:val="24"/>
          <w:szCs w:val="16"/>
        </w:rPr>
        <w:t>万元，资产总额为</w:t>
      </w:r>
      <w:r>
        <w:rPr>
          <w:rFonts w:hint="eastAsia" w:ascii="宋体" w:hAnsi="宋体" w:cs="宋体"/>
          <w:sz w:val="24"/>
          <w:szCs w:val="16"/>
          <w:u w:val="single"/>
        </w:rPr>
        <w:t xml:space="preserve">   </w:t>
      </w:r>
      <w:r>
        <w:rPr>
          <w:rFonts w:hint="eastAsia" w:ascii="宋体" w:hAnsi="宋体" w:cs="宋体"/>
          <w:sz w:val="24"/>
          <w:szCs w:val="16"/>
        </w:rPr>
        <w:t>万元，属于</w:t>
      </w:r>
      <w:r>
        <w:rPr>
          <w:rFonts w:hint="eastAsia" w:ascii="宋体" w:hAnsi="宋体" w:cs="宋体"/>
          <w:sz w:val="24"/>
          <w:szCs w:val="16"/>
          <w:u w:val="single"/>
        </w:rPr>
        <w:t>（中型企业、小型企业、微型企业）</w:t>
      </w:r>
      <w:r>
        <w:rPr>
          <w:rFonts w:hint="eastAsia" w:ascii="宋体" w:hAnsi="宋体" w:cs="宋体"/>
          <w:sz w:val="24"/>
          <w:szCs w:val="16"/>
        </w:rPr>
        <w:t>；</w:t>
      </w:r>
    </w:p>
    <w:p>
      <w:pPr>
        <w:widowControl/>
        <w:spacing w:line="480" w:lineRule="auto"/>
        <w:ind w:firstLine="480" w:firstLineChars="200"/>
        <w:jc w:val="left"/>
        <w:rPr>
          <w:rFonts w:hint="eastAsia" w:ascii="宋体" w:hAnsi="宋体" w:cs="宋体"/>
          <w:sz w:val="24"/>
          <w:szCs w:val="16"/>
        </w:rPr>
      </w:pPr>
      <w:r>
        <w:rPr>
          <w:rFonts w:hint="eastAsia" w:ascii="宋体" w:hAnsi="宋体" w:cs="宋体"/>
          <w:sz w:val="24"/>
          <w:szCs w:val="16"/>
        </w:rPr>
        <w:t>……</w:t>
      </w:r>
    </w:p>
    <w:p>
      <w:pPr>
        <w:widowControl/>
        <w:spacing w:line="480" w:lineRule="auto"/>
        <w:ind w:firstLine="480" w:firstLineChars="200"/>
        <w:jc w:val="left"/>
        <w:rPr>
          <w:rFonts w:hint="eastAsia" w:ascii="宋体" w:hAnsi="宋体" w:cs="宋体"/>
          <w:sz w:val="24"/>
          <w:szCs w:val="16"/>
        </w:rPr>
      </w:pPr>
      <w:r>
        <w:rPr>
          <w:rFonts w:hint="eastAsia" w:ascii="宋体" w:hAnsi="宋体" w:cs="宋体"/>
          <w:sz w:val="24"/>
          <w:szCs w:val="16"/>
        </w:rPr>
        <w:t>以上企业，不属于大企业的分支机构，不存在控股股东为大企业的情形，也不存在与大企业的负责人为同一人的情形。</w:t>
      </w:r>
    </w:p>
    <w:p>
      <w:pPr>
        <w:widowControl/>
        <w:spacing w:line="480" w:lineRule="auto"/>
        <w:ind w:firstLine="480" w:firstLineChars="200"/>
        <w:jc w:val="left"/>
        <w:rPr>
          <w:rFonts w:hint="eastAsia" w:ascii="宋体" w:hAnsi="宋体" w:cs="宋体"/>
          <w:sz w:val="24"/>
          <w:szCs w:val="16"/>
        </w:rPr>
      </w:pPr>
      <w:r>
        <w:rPr>
          <w:rFonts w:hint="eastAsia" w:ascii="宋体" w:hAnsi="宋体" w:cs="宋体"/>
          <w:sz w:val="24"/>
          <w:szCs w:val="16"/>
        </w:rPr>
        <w:t>本企业对上述声明内容的真实性负责。如有虚假，将依法承担相应责任。</w:t>
      </w:r>
    </w:p>
    <w:p>
      <w:pPr>
        <w:widowControl/>
        <w:spacing w:line="480" w:lineRule="auto"/>
        <w:ind w:firstLine="480" w:firstLineChars="200"/>
        <w:jc w:val="center"/>
        <w:rPr>
          <w:rFonts w:hint="eastAsia" w:ascii="宋体" w:hAnsi="宋体" w:cs="宋体"/>
          <w:sz w:val="24"/>
          <w:szCs w:val="16"/>
        </w:rPr>
      </w:pPr>
      <w:r>
        <w:rPr>
          <w:rFonts w:hint="eastAsia" w:ascii="宋体" w:hAnsi="宋体" w:cs="宋体"/>
          <w:sz w:val="24"/>
          <w:szCs w:val="16"/>
        </w:rPr>
        <w:t xml:space="preserve">                         企业名称（盖章）：</w:t>
      </w:r>
    </w:p>
    <w:p>
      <w:pPr>
        <w:adjustRightInd w:val="0"/>
        <w:spacing w:line="480" w:lineRule="auto"/>
        <w:jc w:val="center"/>
        <w:textAlignment w:val="baseline"/>
        <w:rPr>
          <w:sz w:val="20"/>
          <w:szCs w:val="21"/>
        </w:rPr>
      </w:pPr>
      <w:r>
        <w:rPr>
          <w:rFonts w:hint="eastAsia" w:ascii="宋体" w:hAnsi="宋体" w:cs="宋体"/>
          <w:sz w:val="24"/>
          <w:szCs w:val="16"/>
        </w:rPr>
        <w:t xml:space="preserve">                                         日期：</w:t>
      </w:r>
    </w:p>
    <w:p>
      <w:pPr>
        <w:rPr>
          <w:rFonts w:eastAsia="Times New Roman"/>
          <w:sz w:val="23"/>
          <w:vertAlign w:val="superscript"/>
        </w:rPr>
      </w:pPr>
    </w:p>
    <w:p>
      <w:pPr>
        <w:rPr>
          <w:rFonts w:ascii="宋体" w:hAnsi="宋体"/>
          <w:sz w:val="18"/>
        </w:rPr>
      </w:pPr>
      <w:r>
        <w:rPr>
          <w:rFonts w:ascii="仿宋" w:hAnsi="仿宋" w:eastAsia="仿宋"/>
          <w:sz w:val="32"/>
        </w:rPr>
        <w:drawing>
          <wp:anchor distT="0" distB="0" distL="114300" distR="114300" simplePos="0" relativeHeight="25166540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pStyle w:val="9"/>
        <w:sectPr>
          <w:pgSz w:w="11906" w:h="16838"/>
          <w:pgMar w:top="1440" w:right="1803" w:bottom="1440" w:left="1803" w:header="851" w:footer="992" w:gutter="0"/>
          <w:cols w:space="720" w:num="1"/>
          <w:docGrid w:type="lines" w:linePitch="319" w:charSpace="0"/>
        </w:sectPr>
      </w:pPr>
    </w:p>
    <w:bookmarkEnd w:id="135"/>
    <w:bookmarkEnd w:id="136"/>
    <w:bookmarkEnd w:id="137"/>
    <w:bookmarkEnd w:id="138"/>
    <w:bookmarkEnd w:id="139"/>
    <w:bookmarkEnd w:id="140"/>
    <w:bookmarkEnd w:id="141"/>
    <w:p>
      <w:pPr>
        <w:shd w:val="clear" w:color="auto" w:fill="FFFFFF"/>
        <w:spacing w:before="450" w:after="300" w:line="540" w:lineRule="atLeast"/>
        <w:jc w:val="center"/>
        <w:textAlignment w:val="baseline"/>
        <w:rPr>
          <w:rFonts w:cs="微软雅黑" w:asciiTheme="minorEastAsia" w:hAnsiTheme="minorEastAsia" w:eastAsiaTheme="minorEastAsia"/>
          <w:color w:val="383940"/>
        </w:rPr>
      </w:pPr>
      <w:r>
        <w:rPr>
          <w:rFonts w:hint="eastAsia" w:cs="微软雅黑" w:asciiTheme="minorEastAsia" w:hAnsiTheme="minorEastAsia" w:eastAsiaTheme="minorEastAsia"/>
          <w:color w:val="383940"/>
          <w:shd w:val="clear" w:color="auto" w:fill="FFFFFF"/>
        </w:rPr>
        <w:t>关于印发中小企业划型标准规定的通知</w:t>
      </w:r>
    </w:p>
    <w:p>
      <w:pPr>
        <w:pStyle w:val="32"/>
        <w:shd w:val="clear" w:color="auto" w:fill="FFFFFF"/>
        <w:rPr>
          <w:rFonts w:asciiTheme="minorEastAsia" w:hAnsiTheme="minorEastAsia" w:eastAsiaTheme="minorEastAsia"/>
          <w:color w:val="000000"/>
          <w:shd w:val="clear" w:color="auto" w:fill="FFFFFF"/>
        </w:rPr>
      </w:pPr>
      <w:r>
        <w:rPr>
          <w:rFonts w:hint="eastAsia" w:asciiTheme="minorEastAsia" w:hAnsiTheme="minorEastAsia" w:eastAsiaTheme="minorEastAsia"/>
          <w:color w:val="000000"/>
          <w:shd w:val="clear" w:color="auto" w:fill="FFFFFF"/>
        </w:rPr>
        <w:t>各省、自治区、直辖市人民政府，国务院各部委、各直属机构及有关单位：</w:t>
      </w:r>
    </w:p>
    <w:p>
      <w:pPr>
        <w:pStyle w:val="32"/>
        <w:shd w:val="clear" w:color="auto" w:fill="FFFFFF"/>
        <w:rPr>
          <w:rFonts w:asciiTheme="minorEastAsia" w:hAnsiTheme="minorEastAsia" w:eastAsiaTheme="minorEastAsia"/>
          <w:color w:val="000000"/>
          <w:shd w:val="clear" w:color="auto" w:fill="FFFFFF"/>
        </w:rPr>
      </w:pPr>
      <w:r>
        <w:rPr>
          <w:rFonts w:hint="eastAsia" w:asciiTheme="minorEastAsia" w:hAnsiTheme="minorEastAsia" w:eastAsiaTheme="minor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32"/>
        <w:shd w:val="clear" w:color="auto" w:fill="FFFFFF"/>
        <w:rPr>
          <w:rFonts w:asciiTheme="minorEastAsia" w:hAnsiTheme="minorEastAsia" w:eastAsiaTheme="minorEastAsia"/>
          <w:color w:val="000000"/>
          <w:shd w:val="clear" w:color="auto" w:fill="FFFFFF"/>
        </w:rPr>
      </w:pPr>
      <w:r>
        <w:rPr>
          <w:rFonts w:hint="eastAsia" w:asciiTheme="minorEastAsia" w:hAnsiTheme="minorEastAsia" w:eastAsiaTheme="minorEastAsia"/>
          <w:color w:val="000000"/>
          <w:shd w:val="clear" w:color="auto" w:fill="FFFFFF"/>
        </w:rPr>
        <w:t>　　　　　　　　　　　　　　　　　　　　　工业和信息化部　国家统计局</w:t>
      </w:r>
    </w:p>
    <w:p>
      <w:pPr>
        <w:pStyle w:val="32"/>
        <w:shd w:val="clear" w:color="auto" w:fill="FFFFFF"/>
        <w:rPr>
          <w:rFonts w:asciiTheme="minorEastAsia" w:hAnsiTheme="minorEastAsia" w:eastAsiaTheme="minorEastAsia"/>
          <w:color w:val="000000"/>
          <w:shd w:val="clear" w:color="auto" w:fill="FFFFFF"/>
        </w:rPr>
      </w:pPr>
      <w:r>
        <w:rPr>
          <w:rFonts w:hint="eastAsia" w:asciiTheme="minorEastAsia" w:hAnsiTheme="minorEastAsia" w:eastAsiaTheme="minorEastAsia"/>
          <w:color w:val="000000"/>
          <w:shd w:val="clear" w:color="auto" w:fill="FFFFFF"/>
        </w:rPr>
        <w:t>　　　　　　　　　　　　　　　　　　　　国家发展和改革委员会　财政部</w:t>
      </w:r>
    </w:p>
    <w:p>
      <w:pPr>
        <w:pStyle w:val="32"/>
        <w:shd w:val="clear" w:color="auto" w:fill="FFFFFF"/>
        <w:rPr>
          <w:rFonts w:asciiTheme="minorEastAsia" w:hAnsiTheme="minorEastAsia" w:eastAsiaTheme="minorEastAsia"/>
          <w:color w:val="000000"/>
        </w:rPr>
      </w:pPr>
      <w:r>
        <w:rPr>
          <w:rFonts w:hint="eastAsia" w:asciiTheme="minorEastAsia" w:hAnsiTheme="minorEastAsia" w:eastAsiaTheme="minorEastAsia"/>
          <w:color w:val="000000"/>
          <w:shd w:val="clear" w:color="auto" w:fill="FFFFFF"/>
        </w:rPr>
        <w:t>　　　　　　　　　　　　　　　　　　　　　　　　二○一一年六月十八日</w:t>
      </w:r>
    </w:p>
    <w:p>
      <w:pPr>
        <w:pStyle w:val="32"/>
        <w:shd w:val="clear" w:color="auto" w:fill="FFFFFF"/>
        <w:rPr>
          <w:rFonts w:asciiTheme="minorEastAsia" w:hAnsiTheme="minorEastAsia" w:eastAsiaTheme="minorEastAsia"/>
          <w:color w:val="000000"/>
        </w:rPr>
      </w:pPr>
      <w:r>
        <w:rPr>
          <w:rFonts w:hint="eastAsia" w:asciiTheme="minorEastAsia" w:hAnsiTheme="minorEastAsia" w:eastAsiaTheme="minorEastAsia"/>
          <w:color w:val="000000"/>
          <w:shd w:val="clear" w:color="auto" w:fill="FFFFFF"/>
        </w:rPr>
        <w:t> </w:t>
      </w:r>
    </w:p>
    <w:p>
      <w:pPr>
        <w:pStyle w:val="32"/>
        <w:shd w:val="clear" w:color="auto" w:fill="FFFFFF"/>
        <w:jc w:val="center"/>
        <w:rPr>
          <w:rStyle w:val="39"/>
          <w:rFonts w:asciiTheme="minorEastAsia" w:hAnsiTheme="minorEastAsia" w:eastAsiaTheme="minorEastAsia"/>
          <w:color w:val="000000"/>
          <w:shd w:val="clear" w:color="auto" w:fill="FFFFFF"/>
        </w:rPr>
      </w:pPr>
      <w:r>
        <w:rPr>
          <w:rStyle w:val="39"/>
          <w:rFonts w:hint="eastAsia" w:asciiTheme="minorEastAsia" w:hAnsiTheme="minorEastAsia" w:eastAsiaTheme="minorEastAsia"/>
          <w:color w:val="000000"/>
          <w:shd w:val="clear" w:color="auto" w:fill="FFFFFF"/>
        </w:rPr>
        <w:t>中小企业划型标准规定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一、根据《中华人民共和国中小企业促进法》和《国务院关于进一步促进中小企业发展的若干意见》(国发〔2009〕36号)，制定本规定。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二、中小企业划分为中型、小型、微型三种类型，具体标准根据企业从业人员、营业收入、资产总额等指标，结合行业特点制定。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四、各行业划型标准为：</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（十六）其他未列明行业。从业人员300人以下的为中小微型企业。其中，从业人员100人及以上的为中型企业；从业人员10人及以上的为小型企业；从业人员10人以下的为微型企业。</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五、企业类型的划分以统计部门的统计数据为依据。</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六、本规定适用于在中华人民共和国境内依法设立的各类所有制和各种组织形式的企业。个体工商户和本规定以外的行业，参照本规定进行划型。</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八、本规定由工业和信息化部、国家统计局会同有关部门根据《国民经济行业分类》修订情况和企业发展变化情况适时修订。</w:t>
      </w:r>
    </w:p>
    <w:p>
      <w:pPr>
        <w:rPr>
          <w:rFonts w:cs="宋体" w:asciiTheme="minorEastAsia" w:hAnsiTheme="minorEastAsia" w:eastAsiaTheme="minorEastAsia"/>
          <w:color w:val="000000"/>
          <w:shd w:val="clear" w:color="auto" w:fill="FFFFFF"/>
        </w:rPr>
      </w:pPr>
      <w:r>
        <w:rPr>
          <w:rFonts w:hint="eastAsia" w:cs="宋体" w:asciiTheme="minorEastAsia" w:hAnsiTheme="minorEastAsia" w:eastAsiaTheme="minorEastAsia"/>
          <w:color w:val="000000"/>
          <w:shd w:val="clear" w:color="auto" w:fill="FFFFFF"/>
        </w:rPr>
        <w:t>　　九、本规定由工业和信息化部、国家统计局会同有关部门负责解释。</w:t>
      </w:r>
    </w:p>
    <w:p>
      <w:pPr>
        <w:rPr>
          <w:rFonts w:asciiTheme="minorEastAsia" w:hAnsiTheme="minorEastAsia" w:eastAsiaTheme="minorEastAsia"/>
        </w:rPr>
        <w:sectPr>
          <w:footerReference r:id="rId14" w:type="default"/>
          <w:pgSz w:w="11906" w:h="16838"/>
          <w:pgMar w:top="1440" w:right="1803" w:bottom="1440" w:left="1803" w:header="851" w:footer="992" w:gutter="0"/>
          <w:cols w:space="720" w:num="1"/>
          <w:docGrid w:type="lines" w:linePitch="319" w:charSpace="0"/>
        </w:sectPr>
      </w:pPr>
      <w:r>
        <w:rPr>
          <w:rFonts w:hint="eastAsia" w:cs="宋体" w:asciiTheme="minorEastAsia" w:hAnsiTheme="minorEastAsia" w:eastAsiaTheme="minorEastAsia"/>
          <w:color w:val="000000"/>
          <w:shd w:val="clear" w:color="auto" w:fill="FFFFFF"/>
        </w:rPr>
        <w:t>　　十、本规定自发布之日起执行，原国家经贸委、原国家计委、财政部和国家统计局2003年颁布的《中小企业标准暂行规定》同时废止。</w:t>
      </w:r>
    </w:p>
    <w:p>
      <w:pPr>
        <w:adjustRightInd w:val="0"/>
        <w:spacing w:line="416" w:lineRule="atLeast"/>
        <w:jc w:val="center"/>
        <w:textAlignment w:val="baseline"/>
        <w:outlineLvl w:val="1"/>
        <w:rPr>
          <w:rFonts w:cs="宋体" w:asciiTheme="minorEastAsia" w:hAnsiTheme="minorEastAsia" w:eastAsiaTheme="minorEastAsia"/>
        </w:rPr>
      </w:pPr>
      <w:bookmarkStart w:id="143" w:name="_Toc135129547"/>
      <w:r>
        <w:rPr>
          <w:rFonts w:hint="eastAsia" w:cs="宋体" w:asciiTheme="minorEastAsia" w:hAnsiTheme="minorEastAsia" w:eastAsiaTheme="minorEastAsia"/>
        </w:rPr>
        <w:t>附件二、残疾人福利性单位声明</w:t>
      </w:r>
      <w:bookmarkEnd w:id="132"/>
      <w:bookmarkEnd w:id="133"/>
      <w:bookmarkEnd w:id="134"/>
      <w:bookmarkEnd w:id="143"/>
    </w:p>
    <w:p>
      <w:pPr>
        <w:spacing w:line="588" w:lineRule="exact"/>
        <w:ind w:firstLine="504" w:firstLineChars="200"/>
        <w:rPr>
          <w:rFonts w:cs="宋体" w:asciiTheme="minorEastAsia" w:hAnsiTheme="minorEastAsia" w:eastAsiaTheme="minorEastAsia"/>
          <w:spacing w:val="6"/>
        </w:rPr>
      </w:pPr>
      <w:r>
        <w:rPr>
          <w:rFonts w:hint="eastAsia" w:cs="宋体" w:asciiTheme="minorEastAsia" w:hAnsiTheme="minorEastAsia" w:eastAsiaTheme="minorEastAsia"/>
          <w:spacing w:val="6"/>
        </w:rPr>
        <w:t>根据《三部门联合发布关于促进残疾人就业政府采购政策的通知》（财库〔2017〕141号）的规定，由供应商自行申明，并对申明真实性负责。如有虚假，将依法承担相应责任。</w:t>
      </w:r>
    </w:p>
    <w:p>
      <w:pPr>
        <w:rPr>
          <w:rFonts w:cs="宋体" w:asciiTheme="minorEastAsia" w:hAnsiTheme="minorEastAsia" w:eastAsiaTheme="minorEastAsia"/>
        </w:rPr>
      </w:pPr>
    </w:p>
    <w:p>
      <w:pPr>
        <w:adjustRightInd w:val="0"/>
        <w:spacing w:line="416" w:lineRule="atLeast"/>
        <w:jc w:val="center"/>
        <w:textAlignment w:val="baseline"/>
        <w:outlineLvl w:val="1"/>
        <w:rPr>
          <w:rFonts w:cs="宋体" w:asciiTheme="minorEastAsia" w:hAnsiTheme="minorEastAsia" w:eastAsiaTheme="minorEastAsia"/>
        </w:rPr>
      </w:pPr>
      <w:bookmarkStart w:id="144" w:name="_Toc13817"/>
      <w:bookmarkStart w:id="145" w:name="_Toc2723"/>
      <w:bookmarkStart w:id="146" w:name="_Toc135129548"/>
      <w:bookmarkStart w:id="147" w:name="_Toc13075"/>
      <w:bookmarkStart w:id="148" w:name="_Toc27385"/>
      <w:bookmarkStart w:id="149" w:name="_Toc3053"/>
      <w:bookmarkStart w:id="150" w:name="_Toc26193"/>
      <w:r>
        <w:rPr>
          <w:rFonts w:hint="eastAsia" w:cs="宋体" w:asciiTheme="minorEastAsia" w:hAnsiTheme="minorEastAsia" w:eastAsiaTheme="minorEastAsia"/>
        </w:rPr>
        <w:t>附件三、监狱企业证明文件</w:t>
      </w:r>
      <w:bookmarkEnd w:id="144"/>
      <w:bookmarkEnd w:id="145"/>
      <w:bookmarkEnd w:id="146"/>
      <w:bookmarkEnd w:id="147"/>
      <w:bookmarkEnd w:id="148"/>
      <w:bookmarkEnd w:id="149"/>
      <w:bookmarkEnd w:id="150"/>
    </w:p>
    <w:p>
      <w:pPr>
        <w:rPr>
          <w:rFonts w:cs="宋体" w:asciiTheme="minorEastAsia" w:hAnsiTheme="minorEastAsia" w:eastAsiaTheme="minorEastAsia"/>
        </w:rPr>
      </w:pPr>
    </w:p>
    <w:p>
      <w:pPr>
        <w:snapToGrid w:val="0"/>
        <w:spacing w:line="360" w:lineRule="auto"/>
        <w:ind w:firstLine="504" w:firstLineChars="200"/>
        <w:rPr>
          <w:rFonts w:cs="宋体" w:asciiTheme="minorEastAsia" w:hAnsiTheme="minorEastAsia" w:eastAsiaTheme="minorEastAsia"/>
          <w:b/>
          <w:bCs/>
          <w:spacing w:val="48"/>
        </w:rPr>
      </w:pPr>
      <w:r>
        <w:rPr>
          <w:rFonts w:hint="eastAsia" w:cs="宋体" w:asciiTheme="minorEastAsia" w:hAnsiTheme="minorEastAsia" w:eastAsiaTheme="minorEastAsia"/>
          <w:spacing w:val="6"/>
        </w:rPr>
        <w:t>说明：根据</w:t>
      </w:r>
      <w:r>
        <w:rPr>
          <w:rFonts w:hint="eastAsia" w:cs="宋体" w:asciiTheme="minorEastAsia" w:hAnsiTheme="minorEastAsia" w:eastAsiaTheme="minorEastAsia"/>
        </w:rPr>
        <w:t>《关于政府采购支持监狱企业发展有关问题的通知》（财库〔2014〕68号）的规定，监狱企业参加政府采购活动时，应当提供由省级以上监狱管理局、戒毒管理局（含新疆生产建设兵团）出具的属于监狱企业的证明文件。</w:t>
      </w:r>
    </w:p>
    <w:p>
      <w:pPr>
        <w:rPr>
          <w:rFonts w:cs="宋体" w:asciiTheme="minorEastAsia" w:hAnsiTheme="minorEastAsia" w:eastAsiaTheme="minorEastAsia"/>
        </w:rPr>
      </w:pPr>
      <w:bookmarkStart w:id="151" w:name="_Toc13539"/>
      <w:bookmarkStart w:id="152" w:name="_Toc11969"/>
      <w:bookmarkStart w:id="153" w:name="_Toc3267"/>
      <w:bookmarkStart w:id="154" w:name="_Toc13303"/>
      <w:bookmarkStart w:id="155" w:name="_Toc19198"/>
      <w:bookmarkStart w:id="156" w:name="_Toc13122"/>
      <w:bookmarkStart w:id="157" w:name="_Toc563"/>
      <w:bookmarkStart w:id="158" w:name="_Toc2126"/>
    </w:p>
    <w:p>
      <w:pPr>
        <w:jc w:val="center"/>
        <w:rPr>
          <w:rFonts w:cs="宋体" w:asciiTheme="minorEastAsia" w:hAnsiTheme="minorEastAsia" w:eastAsiaTheme="minorEastAsia"/>
        </w:rPr>
      </w:pPr>
      <w:r>
        <w:rPr>
          <w:rFonts w:hint="eastAsia" w:cs="宋体" w:asciiTheme="minorEastAsia" w:hAnsiTheme="minorEastAsia" w:eastAsiaTheme="minorEastAsia"/>
        </w:rPr>
        <w:t>附件四、“节能产品”，“环境标志产品”证明材料</w:t>
      </w:r>
      <w:bookmarkEnd w:id="151"/>
      <w:bookmarkEnd w:id="152"/>
      <w:bookmarkEnd w:id="153"/>
      <w:bookmarkEnd w:id="154"/>
      <w:bookmarkEnd w:id="155"/>
      <w:bookmarkEnd w:id="156"/>
      <w:bookmarkEnd w:id="157"/>
      <w:bookmarkEnd w:id="158"/>
    </w:p>
    <w:p>
      <w:pPr>
        <w:rPr>
          <w:rFonts w:cs="宋体" w:asciiTheme="minorEastAsia" w:hAnsiTheme="minorEastAsia" w:eastAsiaTheme="minorEastAsia"/>
        </w:rPr>
      </w:pPr>
    </w:p>
    <w:p>
      <w:pPr>
        <w:rPr>
          <w:rFonts w:cs="宋体" w:asciiTheme="minorEastAsia" w:hAnsiTheme="minorEastAsia" w:eastAsiaTheme="minorEastAsia"/>
        </w:rPr>
      </w:pPr>
      <w:r>
        <w:rPr>
          <w:rFonts w:hint="eastAsia" w:cs="宋体" w:asciiTheme="minorEastAsia" w:hAnsiTheme="minorEastAsia" w:eastAsiaTheme="minorEastAsia"/>
        </w:rPr>
        <w:t>1、供应商提供的产品属于“节能产品”，“环境标志产品”，应提供产品列入“节能产品”，“环境标志产品”相应产品的国家确定的认证机构出具的、处于有效期内的节能产品、环境标志产品认证证书。</w:t>
      </w:r>
    </w:p>
    <w:p>
      <w:pPr>
        <w:rPr>
          <w:rFonts w:cs="宋体" w:asciiTheme="minorEastAsia" w:hAnsiTheme="minorEastAsia" w:eastAsiaTheme="minorEastAsia"/>
        </w:rPr>
      </w:pPr>
      <w:r>
        <w:rPr>
          <w:rFonts w:hint="eastAsia" w:cs="宋体" w:asciiTheme="minorEastAsia" w:hAnsiTheme="minorEastAsia" w:eastAsiaTheme="minorEastAsia"/>
        </w:rPr>
        <w:t>2、未按照上述要求提供的，评审时不予以考虑。</w:t>
      </w:r>
    </w:p>
    <w:p>
      <w:pPr>
        <w:spacing w:line="360" w:lineRule="auto"/>
        <w:ind w:left="480" w:leftChars="200"/>
        <w:rPr>
          <w:rFonts w:cs="宋体" w:asciiTheme="minorEastAsia" w:hAnsiTheme="minorEastAsia" w:eastAsiaTheme="minorEastAsia"/>
        </w:rPr>
      </w:pPr>
    </w:p>
    <w:p>
      <w:pPr>
        <w:spacing w:line="360" w:lineRule="auto"/>
        <w:ind w:left="480" w:leftChars="200"/>
        <w:rPr>
          <w:rFonts w:cs="宋体" w:asciiTheme="minorEastAsia" w:hAnsiTheme="minorEastAsia" w:eastAsiaTheme="minorEastAsia"/>
        </w:rPr>
      </w:pPr>
    </w:p>
    <w:p>
      <w:pPr>
        <w:snapToGrid w:val="0"/>
        <w:spacing w:line="360" w:lineRule="auto"/>
        <w:ind w:firstLine="480" w:firstLineChars="200"/>
        <w:rPr>
          <w:rFonts w:cs="宋体" w:asciiTheme="minorEastAsia" w:hAnsiTheme="minorEastAsia" w:eastAsiaTheme="minorEastAsia"/>
        </w:rPr>
      </w:pPr>
    </w:p>
    <w:p>
      <w:pPr>
        <w:rPr>
          <w:rFonts w:cs="宋体" w:asciiTheme="minorEastAsia" w:hAnsiTheme="minorEastAsia" w:eastAsiaTheme="minorEastAsia"/>
        </w:rPr>
      </w:pPr>
      <w:bookmarkStart w:id="159" w:name="_Toc364"/>
      <w:bookmarkStart w:id="160" w:name="_Toc654"/>
      <w:bookmarkStart w:id="161" w:name="_Toc11924"/>
      <w:bookmarkStart w:id="162" w:name="_Toc4757"/>
      <w:bookmarkStart w:id="163" w:name="_Toc3159"/>
      <w:bookmarkStart w:id="164" w:name="_Toc5338"/>
      <w:r>
        <w:rPr>
          <w:rFonts w:hint="eastAsia" w:cs="宋体" w:asciiTheme="minorEastAsia" w:hAnsiTheme="minorEastAsia" w:eastAsiaTheme="minorEastAsia"/>
        </w:rPr>
        <w:br w:type="page"/>
      </w:r>
    </w:p>
    <w:bookmarkEnd w:id="159"/>
    <w:p>
      <w:pPr>
        <w:adjustRightInd w:val="0"/>
        <w:spacing w:line="416" w:lineRule="atLeast"/>
        <w:textAlignment w:val="baseline"/>
        <w:rPr>
          <w:rFonts w:cs="宋体" w:asciiTheme="minorEastAsia" w:hAnsiTheme="minorEastAsia" w:eastAsiaTheme="minorEastAsia"/>
        </w:rPr>
      </w:pPr>
      <w:r>
        <w:rPr>
          <w:rFonts w:hint="eastAsia" w:cs="宋体" w:asciiTheme="minorEastAsia" w:hAnsiTheme="minorEastAsia" w:eastAsiaTheme="minorEastAsia"/>
        </w:rPr>
        <w:t>附件五、质疑函样本</w:t>
      </w:r>
    </w:p>
    <w:p>
      <w:pPr>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一、质疑供应商基本信息</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质疑供应商：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地址：                          邮编：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联系人：                      联系电话：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授权代表：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联系电话：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地址：                         邮编：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二、质疑项目基本情况</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质疑项目的名称：              </w:t>
      </w:r>
      <w:r>
        <w:rPr>
          <w:rFonts w:hint="eastAsia" w:cs="宋体" w:asciiTheme="minorEastAsia" w:hAnsiTheme="minorEastAsia" w:eastAsiaTheme="minorEastAsia"/>
        </w:rPr>
        <w:t xml:space="preserve"> 包号：  </w:t>
      </w:r>
      <w:r>
        <w:rPr>
          <w:rFonts w:hint="eastAsia" w:cs="宋体" w:asciiTheme="minorEastAsia" w:hAnsiTheme="minorEastAsia" w:eastAsiaTheme="minorEastAsia"/>
          <w:bCs/>
        </w:rPr>
        <w:t xml:space="preserve">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质疑项目的编号：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采购人名称：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采购文件获取日期：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三、质疑事项具体内容</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质疑事项1：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事实依据：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法律依据：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质疑事项2</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四、与质疑事项相关的质疑请求</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请求：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签字(签章)：                   公章：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 xml:space="preserve">日期：    </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质疑函制作说明：</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1.供应商提出质疑时，应提交质疑函和必要的证明材料。</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3.质疑供应商若对项目的某一分包进行质疑，质疑函中应列明具体分。</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4.质疑函的质疑事项应具体、明确，并有必要的事实依据和法律依据。</w:t>
      </w:r>
    </w:p>
    <w:p>
      <w:pPr>
        <w:keepNext/>
        <w:keepLines/>
        <w:adjustRightInd w:val="0"/>
        <w:spacing w:line="416" w:lineRule="atLeast"/>
        <w:textAlignment w:val="baseline"/>
        <w:rPr>
          <w:rFonts w:cs="宋体" w:asciiTheme="minorEastAsia" w:hAnsiTheme="minorEastAsia" w:eastAsiaTheme="minorEastAsia"/>
          <w:bCs/>
        </w:rPr>
      </w:pPr>
      <w:r>
        <w:rPr>
          <w:rFonts w:hint="eastAsia" w:cs="宋体" w:asciiTheme="minorEastAsia" w:hAnsiTheme="minorEastAsia" w:eastAsiaTheme="minorEastAsia"/>
          <w:bCs/>
        </w:rPr>
        <w:t>5.质疑函的质疑请求应与质疑事项相关。</w:t>
      </w:r>
    </w:p>
    <w:p>
      <w:pPr>
        <w:rPr>
          <w:rFonts w:cs="宋体" w:asciiTheme="minorEastAsia" w:hAnsiTheme="minorEastAsia" w:eastAsiaTheme="minorEastAsia"/>
        </w:rPr>
      </w:pPr>
      <w:r>
        <w:rPr>
          <w:rFonts w:hint="eastAsia" w:cs="宋体" w:asciiTheme="minorEastAsia" w:hAnsiTheme="minorEastAsia" w:eastAsiaTheme="minorEastAsia"/>
          <w:bCs/>
        </w:rPr>
        <w:t>6.质疑供应商为自然人的，质疑函应由本人签字；质疑供应商为法人或者其他组织的，质疑函应由法定代表人、主要负责人，或者其授权代表签字或者盖章，并加盖公章。</w:t>
      </w:r>
      <w:bookmarkEnd w:id="160"/>
      <w:bookmarkEnd w:id="161"/>
      <w:bookmarkEnd w:id="162"/>
      <w:bookmarkEnd w:id="163"/>
      <w:bookmarkEnd w:id="164"/>
      <w:r>
        <w:rPr>
          <w:rFonts w:hint="eastAsia" w:cs="宋体" w:asciiTheme="minorEastAsia" w:hAnsiTheme="minorEastAsia" w:eastAsiaTheme="minorEastAsia"/>
          <w:b/>
          <w:bCs/>
          <w:spacing w:val="48"/>
        </w:rPr>
        <w:br w:type="page"/>
      </w:r>
    </w:p>
    <w:p>
      <w:pPr>
        <w:ind w:firstLine="336" w:firstLineChars="100"/>
        <w:rPr>
          <w:rFonts w:cs="宋体" w:asciiTheme="minorEastAsia" w:hAnsiTheme="minorEastAsia" w:eastAsiaTheme="minorEastAsia"/>
          <w:b/>
          <w:spacing w:val="48"/>
        </w:rPr>
      </w:pPr>
      <w:r>
        <w:rPr>
          <w:rFonts w:hint="eastAsia" w:cs="宋体" w:asciiTheme="minorEastAsia" w:hAnsiTheme="minorEastAsia" w:eastAsiaTheme="minorEastAsia"/>
          <w:b/>
          <w:spacing w:val="48"/>
        </w:rPr>
        <w:t xml:space="preserve"> </w:t>
      </w:r>
    </w:p>
    <w:p>
      <w:pPr>
        <w:ind w:firstLine="816" w:firstLineChars="100"/>
        <w:rPr>
          <w:rFonts w:cs="宋体" w:asciiTheme="minorEastAsia" w:hAnsiTheme="minorEastAsia" w:eastAsiaTheme="minorEastAsia"/>
          <w:b/>
          <w:spacing w:val="48"/>
          <w:sz w:val="72"/>
          <w:szCs w:val="72"/>
        </w:rPr>
      </w:pPr>
      <w:r>
        <w:rPr>
          <w:rFonts w:hint="eastAsia" w:cs="宋体" w:asciiTheme="minorEastAsia" w:hAnsiTheme="minorEastAsia" w:eastAsiaTheme="minorEastAsia"/>
          <w:b/>
          <w:spacing w:val="48"/>
          <w:sz w:val="72"/>
          <w:szCs w:val="72"/>
        </w:rPr>
        <w:t>公平       公正</w:t>
      </w:r>
    </w:p>
    <w:p>
      <w:pPr>
        <w:rPr>
          <w:rFonts w:cs="宋体" w:asciiTheme="minorEastAsia" w:hAnsiTheme="minorEastAsia" w:eastAsiaTheme="minorEastAsia"/>
          <w:b/>
          <w:spacing w:val="48"/>
          <w:sz w:val="72"/>
          <w:szCs w:val="72"/>
        </w:rPr>
      </w:pPr>
    </w:p>
    <w:p>
      <w:pPr>
        <w:rPr>
          <w:rFonts w:cs="宋体" w:asciiTheme="minorEastAsia" w:hAnsiTheme="minorEastAsia" w:eastAsiaTheme="minorEastAsia"/>
          <w:spacing w:val="48"/>
          <w:sz w:val="72"/>
          <w:szCs w:val="72"/>
        </w:rPr>
      </w:pPr>
    </w:p>
    <w:p>
      <w:pPr>
        <w:rPr>
          <w:rFonts w:cs="宋体" w:asciiTheme="minorEastAsia" w:hAnsiTheme="minorEastAsia" w:eastAsiaTheme="minorEastAsia"/>
          <w:sz w:val="72"/>
          <w:szCs w:val="72"/>
        </w:rPr>
      </w:pPr>
    </w:p>
    <w:p>
      <w:pPr>
        <w:ind w:firstLine="816" w:firstLineChars="100"/>
        <w:rPr>
          <w:rFonts w:cs="宋体" w:asciiTheme="minorEastAsia" w:hAnsiTheme="minorEastAsia" w:eastAsiaTheme="minorEastAsia"/>
          <w:b/>
          <w:spacing w:val="48"/>
          <w:sz w:val="72"/>
          <w:szCs w:val="72"/>
        </w:rPr>
      </w:pPr>
      <w:bookmarkStart w:id="165" w:name="_Toc9946"/>
      <w:r>
        <w:rPr>
          <w:rFonts w:hint="eastAsia" w:cs="宋体" w:asciiTheme="minorEastAsia" w:hAnsiTheme="minorEastAsia" w:eastAsiaTheme="minorEastAsia"/>
          <w:b/>
          <w:spacing w:val="48"/>
          <w:sz w:val="72"/>
          <w:szCs w:val="72"/>
        </w:rPr>
        <w:t>专业       高效</w:t>
      </w:r>
      <w:bookmarkEnd w:id="165"/>
    </w:p>
    <w:p>
      <w:pPr>
        <w:rPr>
          <w:rFonts w:cs="宋体" w:asciiTheme="minorEastAsia" w:hAnsiTheme="minorEastAsia" w:eastAsiaTheme="minorEastAsia"/>
          <w:spacing w:val="48"/>
        </w:rPr>
      </w:pPr>
    </w:p>
    <w:p>
      <w:pPr>
        <w:rPr>
          <w:rFonts w:cs="宋体" w:asciiTheme="minorEastAsia" w:hAnsiTheme="minorEastAsia" w:eastAsiaTheme="minorEastAsia"/>
          <w:b/>
          <w:spacing w:val="48"/>
        </w:rPr>
      </w:pPr>
    </w:p>
    <w:p>
      <w:pPr>
        <w:rPr>
          <w:rFonts w:cs="宋体" w:asciiTheme="minorEastAsia" w:hAnsiTheme="minorEastAsia" w:eastAsiaTheme="minorEastAsia"/>
          <w:spacing w:val="48"/>
        </w:rPr>
      </w:pPr>
    </w:p>
    <w:p>
      <w:pPr>
        <w:rPr>
          <w:rFonts w:cs="宋体" w:asciiTheme="minorEastAsia" w:hAnsiTheme="minorEastAsia" w:eastAsiaTheme="minorEastAsia"/>
        </w:rPr>
      </w:pPr>
    </w:p>
    <w:p>
      <w:pPr>
        <w:rPr>
          <w:rFonts w:cs="宋体" w:asciiTheme="minorEastAsia" w:hAnsiTheme="minorEastAsia" w:eastAsiaTheme="minorEastAsia"/>
          <w:b/>
        </w:rPr>
      </w:pPr>
    </w:p>
    <w:p>
      <w:pPr>
        <w:rPr>
          <w:rFonts w:cs="宋体" w:asciiTheme="minorEastAsia" w:hAnsiTheme="minorEastAsia" w:eastAsiaTheme="minorEastAsia"/>
          <w:b/>
        </w:rPr>
      </w:pPr>
      <w:bookmarkStart w:id="166" w:name="_Toc32384"/>
      <w:r>
        <w:rPr>
          <w:rFonts w:hint="eastAsia" w:cs="宋体" w:asciiTheme="minorEastAsia" w:hAnsiTheme="minorEastAsia" w:eastAsiaTheme="minorEastAsia"/>
          <w:b/>
        </w:rPr>
        <w:t>企业名称：陕西卓佲项目管理有限公司</w:t>
      </w:r>
      <w:bookmarkEnd w:id="166"/>
    </w:p>
    <w:p>
      <w:pPr>
        <w:rPr>
          <w:rFonts w:cs="宋体" w:asciiTheme="minorEastAsia" w:hAnsiTheme="minorEastAsia" w:eastAsiaTheme="minorEastAsia"/>
          <w:b/>
        </w:rPr>
      </w:pPr>
      <w:bookmarkStart w:id="167" w:name="_Toc25918"/>
      <w:r>
        <w:rPr>
          <w:rFonts w:hint="eastAsia" w:cs="宋体" w:asciiTheme="minorEastAsia" w:hAnsiTheme="minorEastAsia" w:eastAsiaTheme="minorEastAsia"/>
          <w:b/>
        </w:rPr>
        <w:t>地址：西安市雁塔区科技路十号华奥大厦A座20层2002室</w:t>
      </w:r>
      <w:bookmarkEnd w:id="167"/>
    </w:p>
    <w:p>
      <w:pPr>
        <w:rPr>
          <w:rFonts w:cs="宋体" w:asciiTheme="minorEastAsia" w:hAnsiTheme="minorEastAsia" w:eastAsiaTheme="minorEastAsia"/>
          <w:b/>
        </w:rPr>
      </w:pPr>
      <w:bookmarkStart w:id="168" w:name="_Toc26276"/>
      <w:r>
        <w:rPr>
          <w:rFonts w:hint="eastAsia" w:cs="宋体" w:asciiTheme="minorEastAsia" w:hAnsiTheme="minorEastAsia" w:eastAsiaTheme="minorEastAsia"/>
          <w:b/>
        </w:rPr>
        <w:t>邮政编码：710065</w:t>
      </w:r>
      <w:bookmarkEnd w:id="168"/>
    </w:p>
    <w:p>
      <w:pPr>
        <w:rPr>
          <w:rFonts w:cs="宋体" w:asciiTheme="minorEastAsia" w:hAnsiTheme="minorEastAsia" w:eastAsiaTheme="minorEastAsia"/>
          <w:b/>
        </w:rPr>
      </w:pPr>
      <w:bookmarkStart w:id="169" w:name="_Toc1409"/>
      <w:r>
        <w:rPr>
          <w:rFonts w:hint="eastAsia" w:cs="宋体" w:asciiTheme="minorEastAsia" w:hAnsiTheme="minorEastAsia" w:eastAsiaTheme="minorEastAsia"/>
          <w:b/>
        </w:rPr>
        <w:t>电话：029-88440695</w:t>
      </w:r>
      <w:bookmarkEnd w:id="169"/>
    </w:p>
    <w:p>
      <w:pPr>
        <w:rPr>
          <w:rFonts w:cs="宋体" w:asciiTheme="minorEastAsia" w:hAnsiTheme="minorEastAsia" w:eastAsiaTheme="minorEastAsia"/>
        </w:rPr>
      </w:pPr>
      <w:bookmarkStart w:id="170" w:name="_Toc13292"/>
      <w:r>
        <w:rPr>
          <w:rFonts w:hint="eastAsia" w:cs="宋体" w:asciiTheme="minorEastAsia" w:hAnsiTheme="minorEastAsia" w:eastAsiaTheme="minorEastAsia"/>
          <w:b/>
        </w:rPr>
        <w:t>传真：029-88440695</w:t>
      </w:r>
      <w:bookmarkEnd w:id="170"/>
    </w:p>
    <w:sectPr>
      <w:headerReference r:id="rId15" w:type="default"/>
      <w:footerReference r:id="rId17" w:type="default"/>
      <w:headerReference r:id="rId16" w:type="even"/>
      <w:pgSz w:w="11906" w:h="16838"/>
      <w:pgMar w:top="1440" w:right="1800" w:bottom="1440" w:left="1800"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monospace">
    <w:altName w:val="Segoe Print"/>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ascii="宋体" w:cs="宋体"/>
      </w:rPr>
    </w:pP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ascii="宋体" w:cs="宋体"/>
      </w:rPr>
    </w:pPr>
    <w:r>
      <mc:AlternateContent>
        <mc:Choice Requires="wps">
          <w:drawing>
            <wp:anchor distT="0" distB="0" distL="0" distR="0" simplePos="0" relativeHeight="251659264" behindDoc="0" locked="0" layoutInCell="1" allowOverlap="1">
              <wp:simplePos x="0" y="0"/>
              <wp:positionH relativeFrom="margin">
                <wp:posOffset>2432050</wp:posOffset>
              </wp:positionH>
              <wp:positionV relativeFrom="paragraph">
                <wp:posOffset>1905</wp:posOffset>
              </wp:positionV>
              <wp:extent cx="570865"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570585" cy="1828800"/>
                      </a:xfrm>
                      <a:prstGeom prst="rect">
                        <a:avLst/>
                      </a:prstGeom>
                      <a:ln>
                        <a:noFill/>
                      </a:ln>
                    </wps:spPr>
                    <wps:txbx>
                      <w:txbxContent>
                        <w:p>
                          <w:pPr>
                            <w:pStyle w:val="24"/>
                          </w:pPr>
                          <w:r>
                            <w:t xml:space="preserve">第 </w:t>
                          </w:r>
                          <w:r>
                            <w:fldChar w:fldCharType="begin"/>
                          </w:r>
                          <w:r>
                            <w:instrText xml:space="preserve"> PAGE  \* MERGEFORMAT </w:instrText>
                          </w:r>
                          <w:r>
                            <w:fldChar w:fldCharType="separate"/>
                          </w:r>
                          <w:r>
                            <w:t>4</w:t>
                          </w:r>
                          <w:r>
                            <w:fldChar w:fldCharType="end"/>
                          </w:r>
                          <w:r>
                            <w:t xml:space="preserve"> 页</w:t>
                          </w:r>
                        </w:p>
                      </w:txbxContent>
                    </wps:txbx>
                    <wps:bodyPr vert="horz" wrap="square" lIns="0" tIns="0" rIns="0" bIns="0" anchor="t">
                      <a:spAutoFit/>
                    </wps:bodyPr>
                  </wps:wsp>
                </a:graphicData>
              </a:graphic>
            </wp:anchor>
          </w:drawing>
        </mc:Choice>
        <mc:Fallback>
          <w:pict>
            <v:rect id="文本框 4" o:spid="_x0000_s1026" o:spt="1" style="position:absolute;left:0pt;margin-left:191.5pt;margin-top:0.15pt;height:144pt;width:44.95pt;mso-position-horizontal-relative:margin;z-index:251659264;mso-width-relative:page;mso-height-relative:page;" filled="f" stroked="f" coordsize="21600,21600" o:gfxdata="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tuRhtgAAAAIAQAADwAAAAAAAAABACAAAAAi&#10;AAAAZHJzL2Rvd25yZXYueG1sUEsBAhQAFAAAAAgAh07iQPuPdcnRAQAAkwMAAA4AAAAAAAAAAQAg&#10;AAAAJwEAAGRycy9lMm9Eb2MueG1sUEsFBgAAAAAGAAYAWQEAAGoFAAAAAA==&#10;">
              <v:fill on="f" focussize="0,0"/>
              <v:stroke on="f"/>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4</w:t>
                    </w:r>
                    <w:r>
                      <w:fldChar w:fldCharType="end"/>
                    </w:r>
                    <w:r>
                      <w:t xml:space="preserve"> 页</w:t>
                    </w:r>
                  </w:p>
                </w:txbxContent>
              </v:textbox>
            </v:rect>
          </w:pict>
        </mc:Fallback>
      </mc:AlternateContent>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5403"/>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posOffset>2432050</wp:posOffset>
              </wp:positionH>
              <wp:positionV relativeFrom="paragraph">
                <wp:posOffset>1905</wp:posOffset>
              </wp:positionV>
              <wp:extent cx="534035" cy="197485"/>
              <wp:effectExtent l="0" t="0" r="0" b="0"/>
              <wp:wrapNone/>
              <wp:docPr id="4098" name="文本框 5"/>
              <wp:cNvGraphicFramePr/>
              <a:graphic xmlns:a="http://schemas.openxmlformats.org/drawingml/2006/main">
                <a:graphicData uri="http://schemas.microsoft.com/office/word/2010/wordprocessingShape">
                  <wps:wsp>
                    <wps:cNvSpPr/>
                    <wps:spPr>
                      <a:xfrm>
                        <a:off x="0" y="0"/>
                        <a:ext cx="534009" cy="197510"/>
                      </a:xfrm>
                      <a:prstGeom prst="rect">
                        <a:avLst/>
                      </a:prstGeom>
                      <a:ln>
                        <a:noFill/>
                      </a:ln>
                    </wps:spPr>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square" lIns="0" tIns="0" rIns="0" bIns="0" anchor="t">
                      <a:noAutofit/>
                    </wps:bodyPr>
                  </wps:wsp>
                </a:graphicData>
              </a:graphic>
            </wp:anchor>
          </w:drawing>
        </mc:Choice>
        <mc:Fallback>
          <w:pict>
            <v:rect id="文本框 5" o:spid="_x0000_s1026" o:spt="1" style="position:absolute;left:0pt;margin-left:191.5pt;margin-top:0.15pt;height:15.55pt;width:42.05pt;mso-position-horizontal-relative:margin;z-index:251660288;mso-width-relative:page;mso-height-relative:page;" filled="f" stroked="f" coordsize="21600,21600" o:gfxdata="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0c0yptgAAAAHAQAADwAAAAAAAAABACAAAAAi&#10;AAAAZHJzL2Rvd25yZXYueG1sUEsBAhQAFAAAAAgAh07iQN2pb4nRAQAAkgMAAA4AAAAAAAAAAQAg&#10;AAAAJwEAAGRycy9lMm9Eb2MueG1sUEsFBgAAAAAGAAYAWQEAAGoFAAAAAA==&#10;">
              <v:fill on="f" focussize="0,0"/>
              <v:stroke on="f"/>
              <v:imagedata o:title=""/>
              <o:lock v:ext="edit" aspectratio="f"/>
              <v:textbox inset="0mm,0mm,0mm,0mm">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s>
      <w:rPr>
        <w:rFonts w:ascii="宋体"/>
      </w:rP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4"/>
                          </w:pPr>
                          <w:r>
                            <w:t xml:space="preserve">第 </w:t>
                          </w:r>
                          <w:r>
                            <w:fldChar w:fldCharType="begin"/>
                          </w:r>
                          <w:r>
                            <w:instrText xml:space="preserve"> PAGE  \* MERGEFORMAT </w:instrText>
                          </w:r>
                          <w:r>
                            <w:fldChar w:fldCharType="separate"/>
                          </w:r>
                          <w:r>
                            <w:t>82</w:t>
                          </w:r>
                          <w:r>
                            <w:fldChar w:fldCharType="end"/>
                          </w:r>
                          <w:r>
                            <w:t xml:space="preserve"> 页</w:t>
                          </w:r>
                        </w:p>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Cw8BU3KAQAAkgMAAA4AAAAAAAAAAQAgAAAAHwEAAGRycy9lMm9E&#10;b2MueG1sUEsFBgAAAAAGAAYAWQEAAFsFAAAAAA==&#10;">
              <v:fill on="f" focussize="0,0"/>
              <v:stroke on="f"/>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82</w:t>
                    </w:r>
                    <w:r>
                      <w:fldChar w:fldCharType="end"/>
                    </w:r>
                    <w:r>
                      <w:t xml:space="preserve"> 页</w:t>
                    </w:r>
                  </w:p>
                </w:txbxContent>
              </v:textbox>
            </v:rect>
          </w:pict>
        </mc:Fallback>
      </mc:AlternateContent>
    </w:r>
    <w:r>
      <w:rPr>
        <w:rFonts w:ascii="宋体"/>
      </w:rPr>
      <w:tab/>
    </w:r>
    <w:r>
      <w:rPr>
        <w:rFonts w:ascii="宋体"/>
      </w:rPr>
      <w:tab/>
    </w:r>
    <w:r>
      <w:rPr>
        <w:rFonts w:hint="eastAsia" w:ascii="宋体" w:hAnsi="宋体" w:cs="宋体"/>
      </w:rPr>
      <w:t>陕西卓佲项目管理有限公司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s>
      <w:rPr>
        <w:rFonts w:ascii="宋体"/>
      </w:rPr>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4"/>
                          </w:pPr>
                          <w:r>
                            <w:t xml:space="preserve">第 </w:t>
                          </w:r>
                          <w:r>
                            <w:fldChar w:fldCharType="begin"/>
                          </w:r>
                          <w:r>
                            <w:instrText xml:space="preserve"> PAGE  \* MERGEFORMAT </w:instrText>
                          </w:r>
                          <w:r>
                            <w:fldChar w:fldCharType="separate"/>
                          </w:r>
                          <w:r>
                            <w:t>89</w:t>
                          </w:r>
                          <w:r>
                            <w:fldChar w:fldCharType="end"/>
                          </w:r>
                          <w:r>
                            <w:t xml:space="preserve"> 页</w:t>
                          </w:r>
                        </w:p>
                      </w:txbxContent>
                    </wps:txbx>
                    <wps:bodyPr vert="horz" wrap="none" lIns="0" tIns="0" rIns="0" bIns="0" anchor="t">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Qfd/IAQAAkgMAAA4AAABkcnMvZTJvRG9jLnhtbK1TzY7TMBC+I/EO&#10;lu80aYWgip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lyWZ4oSlN7/8/HH59efy&#10;+zt7mxzqA1Z08D7cwZQhhUnu0IJNXxLChuzq+eqqGiKTtLlcr9brhC2pNieEUzxcD4DxvfKWpaDm&#10;QM+W3RSnjxjHo/OR1M24tDp/q40Zq2mnSDRHYimKw36Y2O59cyaVNPQE3nn4xllPT15zRxPOmfng&#10;yNE0HXMAc7CfA+EkXaz5yAvDu2Ok9plbajZ2mDjQU2V101ilWXic51MPv9L2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CtkH3fyAEAAJIDAAAOAAAAAAAAAAEAIAAAAB8BAABkcnMvZTJvRG9j&#10;LnhtbFBLBQYAAAAABgAGAFkBAABZBQAAAAA=&#10;">
              <v:fill on="f" focussize="0,0"/>
              <v:stroke on="f"/>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89</w:t>
                    </w:r>
                    <w:r>
                      <w:fldChar w:fldCharType="end"/>
                    </w:r>
                    <w:r>
                      <w:t xml:space="preserve"> 页</w:t>
                    </w:r>
                  </w:p>
                </w:txbxContent>
              </v:textbox>
            </v:rect>
          </w:pict>
        </mc:Fallback>
      </mc:AlternateContent>
    </w:r>
    <w:r>
      <w:rPr>
        <w:rFonts w:ascii="宋体"/>
      </w:rPr>
      <w:tab/>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s>
      <w:rPr>
        <w:rFonts w:ascii="宋体"/>
      </w:rPr>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4"/>
                          </w:pPr>
                          <w:r>
                            <w:t xml:space="preserve">第 </w:t>
                          </w:r>
                          <w:r>
                            <w:fldChar w:fldCharType="begin"/>
                          </w:r>
                          <w:r>
                            <w:instrText xml:space="preserve"> PAGE  \* MERGEFORMAT </w:instrText>
                          </w:r>
                          <w:r>
                            <w:fldChar w:fldCharType="separate"/>
                          </w:r>
                          <w:r>
                            <w:t>95</w:t>
                          </w:r>
                          <w:r>
                            <w:fldChar w:fldCharType="end"/>
                          </w:r>
                          <w:r>
                            <w:t xml:space="preserve"> 页</w:t>
                          </w:r>
                        </w:p>
                      </w:txbxContent>
                    </wps:txbx>
                    <wps:bodyPr vert="horz" wrap="none" lIns="0" tIns="0" rIns="0" bIns="0" anchor="t">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ocntAMkBAACSAwAADgAAAAAAAAABACAAAAAfAQAAZHJzL2Uyb0Rv&#10;Yy54bWxQSwUGAAAAAAYABgBZAQAAWgUAAAAA&#10;">
              <v:fill on="f" focussize="0,0"/>
              <v:stroke on="f"/>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95</w:t>
                    </w:r>
                    <w:r>
                      <w:fldChar w:fldCharType="end"/>
                    </w:r>
                    <w:r>
                      <w:t xml:space="preserve"> 页</w:t>
                    </w:r>
                  </w:p>
                </w:txbxContent>
              </v:textbox>
            </v:rect>
          </w:pict>
        </mc:Fallback>
      </mc:AlternateContent>
    </w:r>
    <w:r>
      <w:rPr>
        <w:rFonts w:ascii="宋体"/>
      </w:rPr>
      <w:tab/>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s>
      <w:rPr>
        <w:rFonts w:ascii="宋体" w:hAnsi="宋体" w:cs="宋体"/>
      </w:rPr>
    </w:pPr>
    <w: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4"/>
                          </w:pPr>
                          <w:r>
                            <w:t xml:space="preserve">第 </w:t>
                          </w:r>
                          <w:r>
                            <w:fldChar w:fldCharType="begin"/>
                          </w:r>
                          <w:r>
                            <w:instrText xml:space="preserve"> PAGE  \* MERGEFORMAT </w:instrText>
                          </w:r>
                          <w:r>
                            <w:fldChar w:fldCharType="separate"/>
                          </w:r>
                          <w:r>
                            <w:t>98</w:t>
                          </w:r>
                          <w:r>
                            <w:fldChar w:fldCharType="end"/>
                          </w:r>
                          <w:r>
                            <w:t xml:space="preserve"> 页</w:t>
                          </w: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DdP2zJAQAAkgMAAA4AAABkcnMvZTJvRG9jLnhtbK1TzY7TMBC+I/EO&#10;lu80aYVQiZ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l+WKMycsvfnl54/Lrz+X&#10;39/Z2+RQH7Cig/fhDqYMKUxyhxZs+pIQNmRXz1dX1RCZpM3lerVel2S4pNqcEE7xcD0AxvfKW5aC&#10;mgM9W3ZTnD5iHI/OR1I349Lq/K02ZqymnSLRHImlKA77YWK7982ZVNLQE3jn4RtnPT15zR1NOGfm&#10;gyNH03TMAczBfg6Ek3Sx5iMvDO+OkdpnbqnZ2GHiQE+V1U1jlWbhcZ5PPfxK2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YN0/bMkBAACSAwAADgAAAAAAAAABACAAAAAfAQAAZHJzL2Uyb0Rv&#10;Yy54bWxQSwUGAAAAAAYABgBZAQAAWgUAAAAA&#10;">
              <v:fill on="f" focussize="0,0"/>
              <v:stroke on="f"/>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98</w:t>
                    </w:r>
                    <w:r>
                      <w:fldChar w:fldCharType="end"/>
                    </w:r>
                    <w:r>
                      <w:t xml:space="preserve"> 页</w:t>
                    </w:r>
                  </w:p>
                </w:txbxContent>
              </v:textbox>
            </v:rect>
          </w:pict>
        </mc:Fallback>
      </mc:AlternateContent>
    </w:r>
    <w:r>
      <w:rPr>
        <w:rFonts w:hint="eastAsia" w:ascii="宋体" w:hAnsi="宋体" w:cs="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space"/>
      <w:lvlText w:val="第%1章"/>
      <w:lvlJc w:val="left"/>
      <w:rPr>
        <w:rFonts w:hint="eastAsia"/>
      </w:rPr>
    </w:lvl>
  </w:abstractNum>
  <w:abstractNum w:abstractNumId="1">
    <w:nsid w:val="00000004"/>
    <w:multiLevelType w:val="singleLevel"/>
    <w:tmpl w:val="00000004"/>
    <w:lvl w:ilvl="0" w:tentative="0">
      <w:start w:val="1"/>
      <w:numFmt w:val="decimal"/>
      <w:suff w:val="nothing"/>
      <w:lvlText w:val="（%1）"/>
      <w:lvlJc w:val="left"/>
      <w:pPr>
        <w:ind w:left="0" w:firstLine="420"/>
      </w:pPr>
      <w:rPr>
        <w:rFonts w:hint="default"/>
      </w:rPr>
    </w:lvl>
  </w:abstractNum>
  <w:abstractNum w:abstractNumId="2">
    <w:nsid w:val="00000005"/>
    <w:multiLevelType w:val="multilevel"/>
    <w:tmpl w:val="00000005"/>
    <w:lvl w:ilvl="0" w:tentative="0">
      <w:start w:val="1"/>
      <w:numFmt w:val="none"/>
      <w:suff w:val="nothing"/>
      <w:lvlText w:val=""/>
      <w:lvlJc w:val="center"/>
      <w:pPr>
        <w:ind w:left="0" w:firstLine="0"/>
      </w:pPr>
      <w:rPr>
        <w:rFonts w:hint="default" w:ascii="Calibri" w:hAnsi="Calibri" w:eastAsia="黑体"/>
        <w:b w:val="0"/>
        <w:i w:val="0"/>
        <w:caps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napToGrid/>
        <w:vanish w:val="0"/>
        <w:spacing w:val="0"/>
        <w:w w:val="100"/>
        <w:kern w:val="30"/>
        <w:position w:val="0"/>
        <w:sz w:val="30"/>
        <w:vertAlign w:val="baseline"/>
      </w:rPr>
    </w:lvl>
    <w:lvl w:ilvl="3" w:tentative="0">
      <w:start w:val="1"/>
      <w:numFmt w:val="decimal"/>
      <w:pStyle w:val="9"/>
      <w:lvlText w:val="%1.%2.%3.%4"/>
      <w:lvlJc w:val="left"/>
      <w:pPr>
        <w:ind w:left="864" w:hanging="864"/>
      </w:pPr>
      <w:rPr>
        <w:rFonts w:hint="eastAsia"/>
      </w:rPr>
    </w:lvl>
    <w:lvl w:ilvl="4" w:tentative="0">
      <w:start w:val="1"/>
      <w:numFmt w:val="decimal"/>
      <w:pStyle w:val="10"/>
      <w:lvlText w:val="%1.%2.%3.%4.%5"/>
      <w:lvlJc w:val="left"/>
      <w:pPr>
        <w:ind w:left="1008" w:hanging="1008"/>
      </w:pPr>
      <w:rPr>
        <w:rFonts w:hint="eastAsia"/>
      </w:rPr>
    </w:lvl>
    <w:lvl w:ilvl="5" w:tentative="0">
      <w:start w:val="1"/>
      <w:numFmt w:val="decimal"/>
      <w:pStyle w:val="11"/>
      <w:lvlText w:val="%1.%2.%3.%4.%5.%6"/>
      <w:lvlJc w:val="left"/>
      <w:pPr>
        <w:ind w:left="1152" w:hanging="1152"/>
      </w:pPr>
      <w:rPr>
        <w:rFonts w:hint="eastAsia"/>
      </w:rPr>
    </w:lvl>
    <w:lvl w:ilvl="6" w:tentative="0">
      <w:start w:val="1"/>
      <w:numFmt w:val="decimal"/>
      <w:pStyle w:val="12"/>
      <w:lvlText w:val="%1.%2.%3.%4.%5.%6.%7"/>
      <w:lvlJc w:val="left"/>
      <w:pPr>
        <w:ind w:left="1296" w:hanging="1296"/>
      </w:pPr>
      <w:rPr>
        <w:rFonts w:hint="eastAsia"/>
      </w:rPr>
    </w:lvl>
    <w:lvl w:ilvl="7" w:tentative="0">
      <w:start w:val="1"/>
      <w:numFmt w:val="decimal"/>
      <w:pStyle w:val="13"/>
      <w:lvlText w:val="%1.%2.%3.%4.%5.%6.%7.%8"/>
      <w:lvlJc w:val="left"/>
      <w:pPr>
        <w:ind w:left="1440" w:hanging="1440"/>
      </w:pPr>
      <w:rPr>
        <w:rFonts w:hint="eastAsia"/>
      </w:rPr>
    </w:lvl>
    <w:lvl w:ilvl="8" w:tentative="0">
      <w:start w:val="1"/>
      <w:numFmt w:val="decimal"/>
      <w:pStyle w:val="14"/>
      <w:lvlText w:val="%1.%2.%3.%4.%5.%6.%7.%8.%9"/>
      <w:lvlJc w:val="left"/>
      <w:pPr>
        <w:ind w:left="1584" w:hanging="1584"/>
      </w:pPr>
      <w:rPr>
        <w:rFonts w:hint="eastAsia"/>
      </w:rPr>
    </w:lvl>
  </w:abstractNum>
  <w:abstractNum w:abstractNumId="3">
    <w:nsid w:val="0053208E"/>
    <w:multiLevelType w:val="singleLevel"/>
    <w:tmpl w:val="0053208E"/>
    <w:lvl w:ilvl="0" w:tentative="0">
      <w:start w:val="2"/>
      <w:numFmt w:val="chineseCounting"/>
      <w:suff w:val="space"/>
      <w:lvlText w:val="第%1部分"/>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NWJmZWU3ZmQ1Nzc1YTZkNWJlMTk0YzgzOTY4NDEifQ=="/>
  </w:docVars>
  <w:rsids>
    <w:rsidRoot w:val="00E41486"/>
    <w:rsid w:val="00021328"/>
    <w:rsid w:val="0003211B"/>
    <w:rsid w:val="00054E0F"/>
    <w:rsid w:val="0007654E"/>
    <w:rsid w:val="000A31D0"/>
    <w:rsid w:val="000B4F8E"/>
    <w:rsid w:val="000C6C67"/>
    <w:rsid w:val="000E2B8D"/>
    <w:rsid w:val="000F2632"/>
    <w:rsid w:val="000F50EC"/>
    <w:rsid w:val="0012090C"/>
    <w:rsid w:val="001212AC"/>
    <w:rsid w:val="00152EC4"/>
    <w:rsid w:val="001603B1"/>
    <w:rsid w:val="00176DFC"/>
    <w:rsid w:val="00177EB0"/>
    <w:rsid w:val="00191657"/>
    <w:rsid w:val="00196066"/>
    <w:rsid w:val="00196AAE"/>
    <w:rsid w:val="001A128C"/>
    <w:rsid w:val="001C1B2D"/>
    <w:rsid w:val="001C694B"/>
    <w:rsid w:val="001D74D1"/>
    <w:rsid w:val="001E0D1A"/>
    <w:rsid w:val="001E26B7"/>
    <w:rsid w:val="002258B4"/>
    <w:rsid w:val="002443F5"/>
    <w:rsid w:val="00255829"/>
    <w:rsid w:val="002569F0"/>
    <w:rsid w:val="002638AA"/>
    <w:rsid w:val="00263D19"/>
    <w:rsid w:val="00266EAB"/>
    <w:rsid w:val="002678BB"/>
    <w:rsid w:val="0029131A"/>
    <w:rsid w:val="002A4352"/>
    <w:rsid w:val="002A6F28"/>
    <w:rsid w:val="002B249F"/>
    <w:rsid w:val="002B70C4"/>
    <w:rsid w:val="002C3F9E"/>
    <w:rsid w:val="002E1D21"/>
    <w:rsid w:val="002E5E1D"/>
    <w:rsid w:val="002E6B6E"/>
    <w:rsid w:val="00305360"/>
    <w:rsid w:val="003134CD"/>
    <w:rsid w:val="003142E9"/>
    <w:rsid w:val="00327438"/>
    <w:rsid w:val="00342A43"/>
    <w:rsid w:val="0034650C"/>
    <w:rsid w:val="0035006C"/>
    <w:rsid w:val="0035784A"/>
    <w:rsid w:val="00365D09"/>
    <w:rsid w:val="003675D5"/>
    <w:rsid w:val="00372411"/>
    <w:rsid w:val="003831F2"/>
    <w:rsid w:val="003E3D38"/>
    <w:rsid w:val="003F230D"/>
    <w:rsid w:val="00401B8A"/>
    <w:rsid w:val="00402798"/>
    <w:rsid w:val="00406E3F"/>
    <w:rsid w:val="00444001"/>
    <w:rsid w:val="00475344"/>
    <w:rsid w:val="00476C56"/>
    <w:rsid w:val="00476E98"/>
    <w:rsid w:val="004D2634"/>
    <w:rsid w:val="004E4918"/>
    <w:rsid w:val="004F5F55"/>
    <w:rsid w:val="004F63AE"/>
    <w:rsid w:val="005160E3"/>
    <w:rsid w:val="00557781"/>
    <w:rsid w:val="00591C46"/>
    <w:rsid w:val="005A220E"/>
    <w:rsid w:val="005A2FBF"/>
    <w:rsid w:val="005C4797"/>
    <w:rsid w:val="005C4813"/>
    <w:rsid w:val="005D1A81"/>
    <w:rsid w:val="005E37DF"/>
    <w:rsid w:val="00613BE7"/>
    <w:rsid w:val="00661158"/>
    <w:rsid w:val="0067642D"/>
    <w:rsid w:val="006767C8"/>
    <w:rsid w:val="00683617"/>
    <w:rsid w:val="0068383F"/>
    <w:rsid w:val="00695E88"/>
    <w:rsid w:val="006C03AE"/>
    <w:rsid w:val="00700639"/>
    <w:rsid w:val="00710A49"/>
    <w:rsid w:val="0071666B"/>
    <w:rsid w:val="007428D5"/>
    <w:rsid w:val="0074662B"/>
    <w:rsid w:val="00746DCD"/>
    <w:rsid w:val="0075121F"/>
    <w:rsid w:val="0076028B"/>
    <w:rsid w:val="00787DC3"/>
    <w:rsid w:val="0079585A"/>
    <w:rsid w:val="007A0FB2"/>
    <w:rsid w:val="007B1F34"/>
    <w:rsid w:val="007B6BD1"/>
    <w:rsid w:val="007C17AC"/>
    <w:rsid w:val="007C208E"/>
    <w:rsid w:val="007D40C5"/>
    <w:rsid w:val="007F3C9F"/>
    <w:rsid w:val="008132FC"/>
    <w:rsid w:val="00834F12"/>
    <w:rsid w:val="00835AD7"/>
    <w:rsid w:val="00855B9D"/>
    <w:rsid w:val="00862E28"/>
    <w:rsid w:val="00866500"/>
    <w:rsid w:val="0088315F"/>
    <w:rsid w:val="008A64C3"/>
    <w:rsid w:val="008D16B1"/>
    <w:rsid w:val="008E2732"/>
    <w:rsid w:val="008F5374"/>
    <w:rsid w:val="00926BC5"/>
    <w:rsid w:val="009340EA"/>
    <w:rsid w:val="00937CEF"/>
    <w:rsid w:val="0094123E"/>
    <w:rsid w:val="00954FFD"/>
    <w:rsid w:val="00964917"/>
    <w:rsid w:val="009837AB"/>
    <w:rsid w:val="009A0F42"/>
    <w:rsid w:val="009A3991"/>
    <w:rsid w:val="009A3F9D"/>
    <w:rsid w:val="009B3EE1"/>
    <w:rsid w:val="009C7F23"/>
    <w:rsid w:val="009D03EA"/>
    <w:rsid w:val="009D6624"/>
    <w:rsid w:val="009E57B3"/>
    <w:rsid w:val="009E6851"/>
    <w:rsid w:val="009F61ED"/>
    <w:rsid w:val="00A22B01"/>
    <w:rsid w:val="00A630AD"/>
    <w:rsid w:val="00A75C1C"/>
    <w:rsid w:val="00A82B55"/>
    <w:rsid w:val="00A84471"/>
    <w:rsid w:val="00AA6FE7"/>
    <w:rsid w:val="00AB0680"/>
    <w:rsid w:val="00AB309B"/>
    <w:rsid w:val="00AB5FC2"/>
    <w:rsid w:val="00AD0A34"/>
    <w:rsid w:val="00AE10CE"/>
    <w:rsid w:val="00AE7A23"/>
    <w:rsid w:val="00AF06CD"/>
    <w:rsid w:val="00B27DBD"/>
    <w:rsid w:val="00B41FCF"/>
    <w:rsid w:val="00B516C9"/>
    <w:rsid w:val="00B539C4"/>
    <w:rsid w:val="00B77892"/>
    <w:rsid w:val="00B81C74"/>
    <w:rsid w:val="00B8234F"/>
    <w:rsid w:val="00B858F4"/>
    <w:rsid w:val="00B90DAF"/>
    <w:rsid w:val="00BA0424"/>
    <w:rsid w:val="00BB3941"/>
    <w:rsid w:val="00BD41A7"/>
    <w:rsid w:val="00BD6274"/>
    <w:rsid w:val="00BE1B4D"/>
    <w:rsid w:val="00BF31F6"/>
    <w:rsid w:val="00C05E40"/>
    <w:rsid w:val="00C3012F"/>
    <w:rsid w:val="00C441D1"/>
    <w:rsid w:val="00C55360"/>
    <w:rsid w:val="00C764F1"/>
    <w:rsid w:val="00C94F0B"/>
    <w:rsid w:val="00CA3C0F"/>
    <w:rsid w:val="00CB3488"/>
    <w:rsid w:val="00CD5015"/>
    <w:rsid w:val="00CE1E09"/>
    <w:rsid w:val="00D07149"/>
    <w:rsid w:val="00D315CD"/>
    <w:rsid w:val="00D34DD9"/>
    <w:rsid w:val="00D37E17"/>
    <w:rsid w:val="00D64601"/>
    <w:rsid w:val="00D76BF8"/>
    <w:rsid w:val="00D825C8"/>
    <w:rsid w:val="00D84684"/>
    <w:rsid w:val="00D87F07"/>
    <w:rsid w:val="00DA1823"/>
    <w:rsid w:val="00DA51BA"/>
    <w:rsid w:val="00DD332B"/>
    <w:rsid w:val="00DE4160"/>
    <w:rsid w:val="00E11361"/>
    <w:rsid w:val="00E17F3E"/>
    <w:rsid w:val="00E33616"/>
    <w:rsid w:val="00E34E4F"/>
    <w:rsid w:val="00E3574A"/>
    <w:rsid w:val="00E41486"/>
    <w:rsid w:val="00E51088"/>
    <w:rsid w:val="00E53C82"/>
    <w:rsid w:val="00E7262B"/>
    <w:rsid w:val="00E849D1"/>
    <w:rsid w:val="00E949D3"/>
    <w:rsid w:val="00EE4AA2"/>
    <w:rsid w:val="00F17CF2"/>
    <w:rsid w:val="00F334F4"/>
    <w:rsid w:val="00F4377A"/>
    <w:rsid w:val="00F5619B"/>
    <w:rsid w:val="00F56D6A"/>
    <w:rsid w:val="00F671AF"/>
    <w:rsid w:val="00F71FA7"/>
    <w:rsid w:val="00F779C9"/>
    <w:rsid w:val="00F85E0D"/>
    <w:rsid w:val="00FA1938"/>
    <w:rsid w:val="00FA55B3"/>
    <w:rsid w:val="00FB2B8A"/>
    <w:rsid w:val="00FB70D0"/>
    <w:rsid w:val="00FE6D6E"/>
    <w:rsid w:val="00FF43F7"/>
    <w:rsid w:val="00FF66AC"/>
    <w:rsid w:val="011B5EDD"/>
    <w:rsid w:val="0FC94AE7"/>
    <w:rsid w:val="268D506D"/>
    <w:rsid w:val="2F745341"/>
    <w:rsid w:val="340055EB"/>
    <w:rsid w:val="369766A1"/>
    <w:rsid w:val="3BEC5D8A"/>
    <w:rsid w:val="3E18326B"/>
    <w:rsid w:val="46CE6BA8"/>
    <w:rsid w:val="4EB93F39"/>
    <w:rsid w:val="56957090"/>
    <w:rsid w:val="5F1115E7"/>
    <w:rsid w:val="63B35389"/>
    <w:rsid w:val="63C05490"/>
    <w:rsid w:val="742167F1"/>
    <w:rsid w:val="796B0787"/>
    <w:rsid w:val="7D69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4"/>
      <w:szCs w:val="24"/>
      <w:lang w:val="en-US" w:eastAsia="zh-CN" w:bidi="ar-SA"/>
    </w:rPr>
  </w:style>
  <w:style w:type="paragraph" w:styleId="6">
    <w:name w:val="heading 1"/>
    <w:basedOn w:val="1"/>
    <w:next w:val="1"/>
    <w:link w:val="78"/>
    <w:qFormat/>
    <w:uiPriority w:val="9"/>
    <w:pPr>
      <w:spacing w:line="360" w:lineRule="auto"/>
      <w:jc w:val="center"/>
      <w:outlineLvl w:val="0"/>
    </w:pPr>
    <w:rPr>
      <w:rFonts w:ascii="方正小标宋_GBK" w:hAnsi="仿宋" w:eastAsia="方正小标宋_GBK"/>
      <w:sz w:val="44"/>
      <w:szCs w:val="44"/>
    </w:rPr>
  </w:style>
  <w:style w:type="paragraph" w:styleId="7">
    <w:name w:val="heading 2"/>
    <w:basedOn w:val="1"/>
    <w:next w:val="1"/>
    <w:link w:val="79"/>
    <w:unhideWhenUsed/>
    <w:qFormat/>
    <w:uiPriority w:val="9"/>
    <w:pPr>
      <w:spacing w:line="560" w:lineRule="exact"/>
      <w:ind w:firstLine="640" w:firstLineChars="200"/>
      <w:jc w:val="both"/>
      <w:outlineLvl w:val="1"/>
    </w:pPr>
    <w:rPr>
      <w:rFonts w:ascii="楷体" w:hAnsi="楷体" w:eastAsia="黑体"/>
      <w:sz w:val="32"/>
      <w:szCs w:val="32"/>
    </w:rPr>
  </w:style>
  <w:style w:type="paragraph" w:styleId="8">
    <w:name w:val="heading 3"/>
    <w:basedOn w:val="1"/>
    <w:next w:val="1"/>
    <w:link w:val="80"/>
    <w:unhideWhenUsed/>
    <w:qFormat/>
    <w:uiPriority w:val="9"/>
    <w:pPr>
      <w:spacing w:line="560" w:lineRule="exact"/>
      <w:jc w:val="center"/>
      <w:outlineLvl w:val="2"/>
    </w:pPr>
    <w:rPr>
      <w:rFonts w:ascii="方正小标宋_GBK" w:hAnsi="仿宋" w:eastAsia="方正小标宋_GBK"/>
      <w:sz w:val="36"/>
      <w:szCs w:val="36"/>
    </w:rPr>
  </w:style>
  <w:style w:type="paragraph" w:styleId="9">
    <w:name w:val="heading 4"/>
    <w:basedOn w:val="1"/>
    <w:next w:val="1"/>
    <w:link w:val="81"/>
    <w:unhideWhenUsed/>
    <w:qFormat/>
    <w:uiPriority w:val="9"/>
    <w:pPr>
      <w:keepNext/>
      <w:numPr>
        <w:ilvl w:val="3"/>
        <w:numId w:val="1"/>
      </w:numPr>
      <w:spacing w:before="240" w:after="60"/>
      <w:outlineLvl w:val="3"/>
    </w:pPr>
    <w:rPr>
      <w:rFonts w:cs="宋体"/>
      <w:b/>
      <w:bCs/>
      <w:sz w:val="28"/>
      <w:szCs w:val="28"/>
    </w:rPr>
  </w:style>
  <w:style w:type="paragraph" w:styleId="10">
    <w:name w:val="heading 5"/>
    <w:basedOn w:val="1"/>
    <w:next w:val="1"/>
    <w:link w:val="82"/>
    <w:unhideWhenUsed/>
    <w:qFormat/>
    <w:uiPriority w:val="9"/>
    <w:pPr>
      <w:numPr>
        <w:ilvl w:val="4"/>
        <w:numId w:val="1"/>
      </w:numPr>
      <w:spacing w:before="240" w:after="60"/>
      <w:outlineLvl w:val="4"/>
    </w:pPr>
    <w:rPr>
      <w:b/>
      <w:bCs/>
      <w:i/>
      <w:iCs/>
      <w:sz w:val="26"/>
      <w:szCs w:val="26"/>
    </w:rPr>
  </w:style>
  <w:style w:type="paragraph" w:styleId="11">
    <w:name w:val="heading 6"/>
    <w:basedOn w:val="1"/>
    <w:next w:val="1"/>
    <w:link w:val="83"/>
    <w:unhideWhenUsed/>
    <w:qFormat/>
    <w:uiPriority w:val="9"/>
    <w:pPr>
      <w:numPr>
        <w:ilvl w:val="5"/>
        <w:numId w:val="1"/>
      </w:numPr>
      <w:spacing w:before="240" w:after="60"/>
      <w:outlineLvl w:val="5"/>
    </w:pPr>
    <w:rPr>
      <w:rFonts w:cs="宋体"/>
      <w:b/>
      <w:bCs/>
      <w:sz w:val="22"/>
      <w:szCs w:val="22"/>
    </w:rPr>
  </w:style>
  <w:style w:type="paragraph" w:styleId="12">
    <w:name w:val="heading 7"/>
    <w:basedOn w:val="1"/>
    <w:next w:val="1"/>
    <w:link w:val="84"/>
    <w:qFormat/>
    <w:uiPriority w:val="9"/>
    <w:pPr>
      <w:numPr>
        <w:ilvl w:val="6"/>
        <w:numId w:val="1"/>
      </w:numPr>
      <w:spacing w:before="240" w:after="60"/>
      <w:outlineLvl w:val="6"/>
    </w:pPr>
  </w:style>
  <w:style w:type="paragraph" w:styleId="13">
    <w:name w:val="heading 8"/>
    <w:basedOn w:val="1"/>
    <w:next w:val="1"/>
    <w:link w:val="85"/>
    <w:qFormat/>
    <w:uiPriority w:val="9"/>
    <w:pPr>
      <w:numPr>
        <w:ilvl w:val="7"/>
        <w:numId w:val="1"/>
      </w:numPr>
      <w:spacing w:before="240" w:after="60"/>
      <w:outlineLvl w:val="7"/>
    </w:pPr>
    <w:rPr>
      <w:rFonts w:cs="宋体"/>
      <w:i/>
      <w:iCs/>
    </w:rPr>
  </w:style>
  <w:style w:type="paragraph" w:styleId="14">
    <w:name w:val="heading 9"/>
    <w:basedOn w:val="1"/>
    <w:next w:val="1"/>
    <w:link w:val="86"/>
    <w:qFormat/>
    <w:uiPriority w:val="9"/>
    <w:pPr>
      <w:numPr>
        <w:ilvl w:val="8"/>
        <w:numId w:val="1"/>
      </w:numPr>
      <w:spacing w:before="240" w:after="60"/>
      <w:outlineLvl w:val="8"/>
    </w:pPr>
    <w:rPr>
      <w:rFonts w:ascii="Calibri Light" w:hAnsi="Calibri Light" w:cs="宋体"/>
      <w:sz w:val="22"/>
      <w:szCs w:val="2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1"/>
    <w:qFormat/>
    <w:uiPriority w:val="99"/>
    <w:pPr>
      <w:spacing w:after="120"/>
      <w:ind w:left="420" w:leftChars="200"/>
    </w:pPr>
    <w:rPr>
      <w:sz w:val="20"/>
    </w:rPr>
  </w:style>
  <w:style w:type="paragraph" w:styleId="4">
    <w:name w:val="Normal Indent"/>
    <w:basedOn w:val="1"/>
    <w:next w:val="5"/>
    <w:qFormat/>
    <w:uiPriority w:val="99"/>
    <w:pPr>
      <w:ind w:firstLine="420"/>
    </w:pPr>
  </w:style>
  <w:style w:type="paragraph" w:styleId="5">
    <w:name w:val="Plain Text"/>
    <w:basedOn w:val="1"/>
    <w:qFormat/>
    <w:uiPriority w:val="99"/>
    <w:pPr>
      <w:spacing w:line="324" w:lineRule="auto"/>
    </w:pPr>
    <w:rPr>
      <w:rFonts w:ascii="宋体" w:hAnsi="Courier New"/>
      <w:sz w:val="20"/>
    </w:rPr>
  </w:style>
  <w:style w:type="paragraph" w:styleId="15">
    <w:name w:val="caption"/>
    <w:basedOn w:val="1"/>
    <w:next w:val="1"/>
    <w:qFormat/>
    <w:uiPriority w:val="35"/>
    <w:rPr>
      <w:rFonts w:ascii="Calibri Light" w:hAnsi="Calibri Light" w:eastAsia="黑体" w:cs="宋体"/>
      <w:sz w:val="20"/>
      <w:szCs w:val="20"/>
    </w:rPr>
  </w:style>
  <w:style w:type="paragraph" w:styleId="16">
    <w:name w:val="Document Map"/>
    <w:basedOn w:val="1"/>
    <w:link w:val="110"/>
    <w:qFormat/>
    <w:uiPriority w:val="99"/>
    <w:pPr>
      <w:spacing w:line="400" w:lineRule="exact"/>
      <w:jc w:val="both"/>
    </w:pPr>
    <w:rPr>
      <w:rFonts w:ascii="宋体" w:hAnsi="Calibri Light" w:cs="Calibri Light"/>
      <w:kern w:val="2"/>
      <w:sz w:val="18"/>
      <w:szCs w:val="18"/>
    </w:rPr>
  </w:style>
  <w:style w:type="paragraph" w:styleId="17">
    <w:name w:val="toa heading"/>
    <w:basedOn w:val="1"/>
    <w:next w:val="1"/>
    <w:qFormat/>
    <w:uiPriority w:val="0"/>
    <w:pPr>
      <w:spacing w:before="120"/>
    </w:pPr>
    <w:rPr>
      <w:rFonts w:ascii="Cambria" w:hAnsi="Cambria"/>
    </w:rPr>
  </w:style>
  <w:style w:type="paragraph" w:styleId="18">
    <w:name w:val="annotation text"/>
    <w:basedOn w:val="1"/>
    <w:link w:val="102"/>
    <w:qFormat/>
    <w:uiPriority w:val="99"/>
    <w:pPr>
      <w:spacing w:line="400" w:lineRule="exact"/>
    </w:pPr>
    <w:rPr>
      <w:rFonts w:ascii="Calibri Light" w:hAnsi="Calibri Light" w:eastAsia="华文仿宋" w:cs="Calibri Light"/>
      <w:kern w:val="2"/>
      <w:sz w:val="28"/>
      <w:szCs w:val="28"/>
    </w:rPr>
  </w:style>
  <w:style w:type="paragraph" w:styleId="19">
    <w:name w:val="Body Text"/>
    <w:basedOn w:val="1"/>
    <w:next w:val="1"/>
    <w:qFormat/>
    <w:uiPriority w:val="99"/>
    <w:rPr>
      <w:sz w:val="20"/>
    </w:rPr>
  </w:style>
  <w:style w:type="paragraph" w:styleId="20">
    <w:name w:val="toc 3"/>
    <w:basedOn w:val="1"/>
    <w:next w:val="1"/>
    <w:qFormat/>
    <w:uiPriority w:val="39"/>
    <w:pPr>
      <w:ind w:left="840" w:leftChars="400"/>
    </w:pPr>
  </w:style>
  <w:style w:type="paragraph" w:styleId="21">
    <w:name w:val="Date"/>
    <w:basedOn w:val="1"/>
    <w:next w:val="1"/>
    <w:link w:val="75"/>
    <w:qFormat/>
    <w:uiPriority w:val="99"/>
    <w:pPr>
      <w:ind w:left="100" w:leftChars="2500"/>
    </w:pPr>
  </w:style>
  <w:style w:type="paragraph" w:styleId="22">
    <w:name w:val="endnote text"/>
    <w:basedOn w:val="1"/>
    <w:qFormat/>
    <w:uiPriority w:val="0"/>
    <w:pPr>
      <w:snapToGrid w:val="0"/>
    </w:pPr>
  </w:style>
  <w:style w:type="paragraph" w:styleId="23">
    <w:name w:val="Balloon Text"/>
    <w:basedOn w:val="1"/>
    <w:link w:val="101"/>
    <w:qFormat/>
    <w:uiPriority w:val="99"/>
    <w:rPr>
      <w:sz w:val="18"/>
      <w:szCs w:val="18"/>
    </w:rPr>
  </w:style>
  <w:style w:type="paragraph" w:styleId="24">
    <w:name w:val="footer"/>
    <w:basedOn w:val="1"/>
    <w:link w:val="77"/>
    <w:qFormat/>
    <w:uiPriority w:val="99"/>
    <w:pPr>
      <w:tabs>
        <w:tab w:val="center" w:pos="4153"/>
        <w:tab w:val="right" w:pos="8306"/>
      </w:tabs>
      <w:snapToGrid w:val="0"/>
      <w:spacing w:line="240" w:lineRule="atLeast"/>
    </w:pPr>
    <w:rPr>
      <w:sz w:val="18"/>
      <w:szCs w:val="18"/>
    </w:rPr>
  </w:style>
  <w:style w:type="paragraph" w:styleId="25">
    <w:name w:val="header"/>
    <w:basedOn w:val="1"/>
    <w:link w:val="7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1"/>
    <w:next w:val="1"/>
    <w:qFormat/>
    <w:uiPriority w:val="39"/>
    <w:pPr>
      <w:spacing w:before="100" w:beforeLines="100" w:after="100" w:afterLines="100"/>
    </w:pPr>
    <w:rPr>
      <w:kern w:val="32"/>
      <w:sz w:val="32"/>
    </w:rPr>
  </w:style>
  <w:style w:type="paragraph" w:styleId="27">
    <w:name w:val="toc 4"/>
    <w:basedOn w:val="1"/>
    <w:next w:val="1"/>
    <w:qFormat/>
    <w:uiPriority w:val="39"/>
    <w:pPr>
      <w:ind w:left="1260" w:leftChars="600"/>
    </w:pPr>
  </w:style>
  <w:style w:type="paragraph" w:styleId="28">
    <w:name w:val="index heading"/>
    <w:basedOn w:val="1"/>
    <w:next w:val="29"/>
    <w:qFormat/>
    <w:uiPriority w:val="99"/>
    <w:rPr>
      <w:rFonts w:ascii="Calibri Light" w:hAnsi="Calibri Light" w:cs="宋体"/>
      <w:b/>
      <w:bCs/>
    </w:rPr>
  </w:style>
  <w:style w:type="paragraph" w:styleId="29">
    <w:name w:val="index 1"/>
    <w:basedOn w:val="1"/>
    <w:next w:val="1"/>
    <w:qFormat/>
    <w:uiPriority w:val="99"/>
  </w:style>
  <w:style w:type="paragraph" w:styleId="30">
    <w:name w:val="Subtitle"/>
    <w:basedOn w:val="1"/>
    <w:next w:val="1"/>
    <w:link w:val="88"/>
    <w:qFormat/>
    <w:uiPriority w:val="11"/>
    <w:pPr>
      <w:keepNext/>
      <w:spacing w:before="50" w:beforeLines="50" w:after="50" w:afterLines="50"/>
      <w:jc w:val="center"/>
      <w:outlineLvl w:val="1"/>
    </w:pPr>
    <w:rPr>
      <w:rFonts w:eastAsia="黑体" w:cs="宋体"/>
      <w:sz w:val="32"/>
    </w:rPr>
  </w:style>
  <w:style w:type="paragraph" w:styleId="31">
    <w:name w:val="toc 2"/>
    <w:basedOn w:val="1"/>
    <w:next w:val="1"/>
    <w:qFormat/>
    <w:uiPriority w:val="39"/>
    <w:pPr>
      <w:ind w:left="420" w:leftChars="200"/>
    </w:pPr>
  </w:style>
  <w:style w:type="paragraph" w:styleId="32">
    <w:name w:val="Normal (Web)"/>
    <w:basedOn w:val="1"/>
    <w:qFormat/>
    <w:uiPriority w:val="99"/>
    <w:pPr>
      <w:spacing w:before="100" w:beforeAutospacing="1" w:after="100" w:afterAutospacing="1"/>
    </w:pPr>
    <w:rPr>
      <w:rFonts w:ascii="宋体" w:hAnsi="宋体" w:cs="宋体"/>
    </w:rPr>
  </w:style>
  <w:style w:type="paragraph" w:styleId="33">
    <w:name w:val="Title"/>
    <w:basedOn w:val="1"/>
    <w:next w:val="1"/>
    <w:link w:val="87"/>
    <w:qFormat/>
    <w:uiPriority w:val="10"/>
    <w:pPr>
      <w:spacing w:before="240" w:after="60"/>
      <w:jc w:val="center"/>
      <w:outlineLvl w:val="0"/>
    </w:pPr>
    <w:rPr>
      <w:rFonts w:ascii="Calibri Light" w:hAnsi="Calibri Light" w:cs="宋体"/>
      <w:b/>
      <w:bCs/>
      <w:kern w:val="28"/>
      <w:sz w:val="32"/>
      <w:szCs w:val="32"/>
    </w:rPr>
  </w:style>
  <w:style w:type="paragraph" w:styleId="34">
    <w:name w:val="annotation subject"/>
    <w:basedOn w:val="18"/>
    <w:next w:val="18"/>
    <w:link w:val="109"/>
    <w:qFormat/>
    <w:uiPriority w:val="99"/>
    <w:rPr>
      <w:b/>
      <w:bCs/>
    </w:rPr>
  </w:style>
  <w:style w:type="paragraph" w:styleId="35">
    <w:name w:val="Body Text First Indent"/>
    <w:basedOn w:val="19"/>
    <w:next w:val="1"/>
    <w:qFormat/>
    <w:uiPriority w:val="0"/>
    <w:pPr>
      <w:spacing w:line="300" w:lineRule="auto"/>
      <w:ind w:firstLine="602"/>
    </w:p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page number"/>
    <w:qFormat/>
    <w:uiPriority w:val="0"/>
    <w:rPr>
      <w:rFonts w:ascii="Times New Roman" w:hAnsi="Times New Roman" w:eastAsia="宋体" w:cs="Times New Roman"/>
    </w:rPr>
  </w:style>
  <w:style w:type="character" w:styleId="41">
    <w:name w:val="FollowedHyperlink"/>
    <w:basedOn w:val="38"/>
    <w:qFormat/>
    <w:uiPriority w:val="99"/>
    <w:rPr>
      <w:color w:val="954F72"/>
      <w:u w:val="single"/>
    </w:rPr>
  </w:style>
  <w:style w:type="character" w:styleId="42">
    <w:name w:val="Emphasis"/>
    <w:basedOn w:val="38"/>
    <w:qFormat/>
    <w:uiPriority w:val="20"/>
    <w:rPr>
      <w:rFonts w:ascii="Calibri" w:hAnsi="Calibri"/>
      <w:b/>
      <w:i/>
      <w:iCs/>
    </w:rPr>
  </w:style>
  <w:style w:type="character" w:styleId="43">
    <w:name w:val="HTML Definition"/>
    <w:basedOn w:val="38"/>
    <w:qFormat/>
    <w:uiPriority w:val="99"/>
    <w:rPr>
      <w:color w:val="FFFFFF"/>
      <w:shd w:val="clear" w:color="auto" w:fill="048FD2"/>
    </w:rPr>
  </w:style>
  <w:style w:type="character" w:styleId="44">
    <w:name w:val="HTML Typewriter"/>
    <w:basedOn w:val="38"/>
    <w:qFormat/>
    <w:uiPriority w:val="99"/>
    <w:rPr>
      <w:rFonts w:hint="default" w:ascii="monospace" w:hAnsi="monospace" w:eastAsia="monospace" w:cs="monospace"/>
      <w:sz w:val="20"/>
    </w:rPr>
  </w:style>
  <w:style w:type="character" w:styleId="45">
    <w:name w:val="HTML Acronym"/>
    <w:basedOn w:val="38"/>
    <w:qFormat/>
    <w:uiPriority w:val="99"/>
  </w:style>
  <w:style w:type="character" w:styleId="46">
    <w:name w:val="HTML Variable"/>
    <w:basedOn w:val="38"/>
    <w:qFormat/>
    <w:uiPriority w:val="99"/>
  </w:style>
  <w:style w:type="character" w:styleId="47">
    <w:name w:val="Hyperlink"/>
    <w:basedOn w:val="38"/>
    <w:qFormat/>
    <w:uiPriority w:val="99"/>
    <w:rPr>
      <w:color w:val="0563C1"/>
      <w:u w:val="single"/>
    </w:rPr>
  </w:style>
  <w:style w:type="character" w:styleId="48">
    <w:name w:val="HTML Code"/>
    <w:basedOn w:val="38"/>
    <w:qFormat/>
    <w:uiPriority w:val="99"/>
    <w:rPr>
      <w:rFonts w:hint="default" w:ascii="monospace" w:hAnsi="monospace" w:eastAsia="monospace" w:cs="monospace"/>
      <w:sz w:val="20"/>
    </w:rPr>
  </w:style>
  <w:style w:type="character" w:styleId="49">
    <w:name w:val="annotation reference"/>
    <w:basedOn w:val="38"/>
    <w:qFormat/>
    <w:uiPriority w:val="99"/>
    <w:rPr>
      <w:sz w:val="21"/>
      <w:szCs w:val="21"/>
    </w:rPr>
  </w:style>
  <w:style w:type="character" w:styleId="50">
    <w:name w:val="HTML Cite"/>
    <w:basedOn w:val="38"/>
    <w:qFormat/>
    <w:uiPriority w:val="99"/>
  </w:style>
  <w:style w:type="character" w:styleId="51">
    <w:name w:val="HTML Keyboard"/>
    <w:basedOn w:val="38"/>
    <w:qFormat/>
    <w:uiPriority w:val="99"/>
    <w:rPr>
      <w:rFonts w:ascii="monospace" w:hAnsi="monospace" w:eastAsia="monospace" w:cs="monospace"/>
      <w:sz w:val="20"/>
    </w:rPr>
  </w:style>
  <w:style w:type="character" w:styleId="52">
    <w:name w:val="HTML Sample"/>
    <w:basedOn w:val="38"/>
    <w:qFormat/>
    <w:uiPriority w:val="99"/>
    <w:rPr>
      <w:rFonts w:hint="default" w:ascii="monospace" w:hAnsi="monospace" w:eastAsia="monospace" w:cs="monospace"/>
    </w:rPr>
  </w:style>
  <w:style w:type="paragraph" w:customStyle="1" w:styleId="53">
    <w:name w:val="Default"/>
    <w:next w:val="54"/>
    <w:qFormat/>
    <w:uiPriority w:val="0"/>
    <w:pPr>
      <w:widowControl w:val="0"/>
      <w:autoSpaceDE w:val="0"/>
      <w:autoSpaceDN w:val="0"/>
      <w:adjustRightInd w:val="0"/>
    </w:pPr>
    <w:rPr>
      <w:rFonts w:ascii="......." w:hAnsi="Times New Roman" w:eastAsia="......." w:cs="Times New Roman"/>
      <w:color w:val="000000"/>
      <w:kern w:val="2"/>
      <w:sz w:val="24"/>
      <w:szCs w:val="24"/>
      <w:lang w:val="en-US" w:eastAsia="zh-CN" w:bidi="ar-SA"/>
    </w:rPr>
  </w:style>
  <w:style w:type="paragraph" w:customStyle="1" w:styleId="5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55">
    <w:name w:val="※封面大标题"/>
    <w:basedOn w:val="1"/>
    <w:next w:val="1"/>
    <w:qFormat/>
    <w:uiPriority w:val="0"/>
    <w:pPr>
      <w:jc w:val="center"/>
    </w:pPr>
    <w:rPr>
      <w:rFonts w:ascii="华文中宋" w:hAnsi="华文中宋" w:eastAsia="华文中宋"/>
      <w:sz w:val="96"/>
      <w:szCs w:val="96"/>
    </w:rPr>
  </w:style>
  <w:style w:type="paragraph" w:customStyle="1" w:styleId="56">
    <w:name w:val="※封面题颌"/>
    <w:basedOn w:val="1"/>
    <w:next w:val="1"/>
    <w:qFormat/>
    <w:uiPriority w:val="0"/>
    <w:pPr>
      <w:jc w:val="center"/>
    </w:pPr>
    <w:rPr>
      <w:rFonts w:ascii="Calibri Light" w:hAnsi="Calibri Light" w:eastAsia="华文仿宋"/>
      <w:sz w:val="36"/>
      <w:szCs w:val="36"/>
    </w:rPr>
  </w:style>
  <w:style w:type="paragraph" w:customStyle="1" w:styleId="57">
    <w:name w:val="※封面题眉"/>
    <w:basedOn w:val="1"/>
    <w:next w:val="55"/>
    <w:qFormat/>
    <w:uiPriority w:val="0"/>
    <w:pPr>
      <w:jc w:val="center"/>
    </w:pPr>
    <w:rPr>
      <w:rFonts w:ascii="华文仿宋" w:hAnsi="华文仿宋" w:eastAsia="华文仿宋"/>
      <w:sz w:val="52"/>
      <w:szCs w:val="28"/>
    </w:rPr>
  </w:style>
  <w:style w:type="paragraph" w:customStyle="1" w:styleId="58">
    <w:name w:val="※封面题须"/>
    <w:basedOn w:val="1"/>
    <w:qFormat/>
    <w:uiPriority w:val="0"/>
    <w:pPr>
      <w:ind w:left="850" w:leftChars="350" w:right="250" w:rightChars="250" w:hanging="500" w:hangingChars="500"/>
    </w:pPr>
    <w:rPr>
      <w:sz w:val="36"/>
      <w:szCs w:val="36"/>
    </w:rPr>
  </w:style>
  <w:style w:type="paragraph" w:customStyle="1" w:styleId="59">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60">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61">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62">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3">
    <w:name w:val="※小标题 一"/>
    <w:basedOn w:val="62"/>
    <w:next w:val="62"/>
    <w:qFormat/>
    <w:uiPriority w:val="0"/>
    <w:pPr>
      <w:spacing w:before="120" w:line="240" w:lineRule="auto"/>
      <w:outlineLvl w:val="2"/>
    </w:pPr>
    <w:rPr>
      <w:b/>
      <w:color w:val="1F3864"/>
      <w:sz w:val="32"/>
    </w:rPr>
  </w:style>
  <w:style w:type="paragraph" w:customStyle="1" w:styleId="64">
    <w:name w:val="※小标题（1）"/>
    <w:basedOn w:val="1"/>
    <w:next w:val="62"/>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65">
    <w:name w:val="※小标题（一）"/>
    <w:basedOn w:val="1"/>
    <w:next w:val="62"/>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6">
    <w:name w:val="※页脚（横屏）"/>
    <w:basedOn w:val="1"/>
    <w:qFormat/>
    <w:uiPriority w:val="0"/>
    <w:pPr>
      <w:tabs>
        <w:tab w:val="center" w:pos="7000"/>
      </w:tabs>
      <w:wordWrap w:val="0"/>
      <w:spacing w:line="240" w:lineRule="atLeast"/>
    </w:pPr>
    <w:rPr>
      <w:rFonts w:ascii="宋体" w:hAnsi="宋体"/>
      <w:sz w:val="18"/>
      <w:szCs w:val="18"/>
    </w:rPr>
  </w:style>
  <w:style w:type="paragraph" w:customStyle="1" w:styleId="67">
    <w:name w:val="※页脚（竖屏）"/>
    <w:basedOn w:val="1"/>
    <w:qFormat/>
    <w:uiPriority w:val="0"/>
    <w:pPr>
      <w:tabs>
        <w:tab w:val="center" w:pos="4536"/>
      </w:tabs>
      <w:wordWrap w:val="0"/>
      <w:spacing w:line="240" w:lineRule="atLeast"/>
    </w:pPr>
    <w:rPr>
      <w:rFonts w:ascii="宋体" w:hAnsi="宋体"/>
      <w:sz w:val="18"/>
      <w:szCs w:val="18"/>
    </w:rPr>
  </w:style>
  <w:style w:type="paragraph" w:customStyle="1" w:styleId="68">
    <w:name w:val="※页眉"/>
    <w:basedOn w:val="62"/>
    <w:qFormat/>
    <w:uiPriority w:val="0"/>
    <w:pPr>
      <w:pBdr>
        <w:bottom w:val="single" w:color="auto" w:sz="4" w:space="1"/>
      </w:pBdr>
      <w:spacing w:line="240" w:lineRule="atLeast"/>
      <w:jc w:val="right"/>
    </w:pPr>
    <w:rPr>
      <w:rFonts w:ascii="宋体" w:hAnsi="宋体" w:eastAsia="宋体"/>
      <w:sz w:val="18"/>
    </w:rPr>
  </w:style>
  <w:style w:type="paragraph" w:customStyle="1" w:styleId="69">
    <w:name w:val="※章节标题（第X章）"/>
    <w:basedOn w:val="1"/>
    <w:qFormat/>
    <w:uiPriority w:val="0"/>
    <w:pPr>
      <w:jc w:val="center"/>
      <w:outlineLvl w:val="0"/>
    </w:pPr>
    <w:rPr>
      <w:rFonts w:ascii="Calibri Light" w:hAnsi="Calibri Light" w:eastAsia="黑体"/>
      <w:sz w:val="36"/>
      <w:szCs w:val="28"/>
    </w:rPr>
  </w:style>
  <w:style w:type="paragraph" w:customStyle="1" w:styleId="70">
    <w:name w:val="※章节标题（第Y部分）"/>
    <w:basedOn w:val="1"/>
    <w:next w:val="1"/>
    <w:qFormat/>
    <w:uiPriority w:val="0"/>
    <w:pPr>
      <w:jc w:val="center"/>
      <w:outlineLvl w:val="1"/>
    </w:pPr>
    <w:rPr>
      <w:rFonts w:ascii="Calibri Light" w:hAnsi="Calibri Light" w:eastAsia="黑体"/>
      <w:color w:val="1F4E79"/>
      <w:sz w:val="32"/>
      <w:szCs w:val="36"/>
    </w:rPr>
  </w:style>
  <w:style w:type="paragraph" w:customStyle="1" w:styleId="71">
    <w:name w:val="※章节标题（第Z部分分项）"/>
    <w:basedOn w:val="70"/>
    <w:qFormat/>
    <w:uiPriority w:val="0"/>
    <w:pPr>
      <w:outlineLvl w:val="2"/>
    </w:pPr>
  </w:style>
  <w:style w:type="paragraph" w:customStyle="1" w:styleId="72">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73">
    <w:name w:val="※正文（缩进2）"/>
    <w:basedOn w:val="62"/>
    <w:qFormat/>
    <w:uiPriority w:val="0"/>
    <w:pPr>
      <w:ind w:firstLine="200" w:firstLineChars="200"/>
    </w:pPr>
  </w:style>
  <w:style w:type="paragraph" w:customStyle="1" w:styleId="74">
    <w:name w:val="※正文（缩进4）"/>
    <w:basedOn w:val="62"/>
    <w:qFormat/>
    <w:uiPriority w:val="0"/>
    <w:pPr>
      <w:ind w:firstLine="400" w:firstLineChars="400"/>
    </w:pPr>
  </w:style>
  <w:style w:type="character" w:customStyle="1" w:styleId="75">
    <w:name w:val="日期 字符"/>
    <w:basedOn w:val="38"/>
    <w:link w:val="21"/>
    <w:qFormat/>
    <w:uiPriority w:val="99"/>
    <w:rPr>
      <w:rFonts w:ascii="华文仿宋" w:hAnsi="华文仿宋" w:eastAsia="华文仿宋"/>
      <w:sz w:val="28"/>
      <w:szCs w:val="28"/>
    </w:rPr>
  </w:style>
  <w:style w:type="character" w:customStyle="1" w:styleId="76">
    <w:name w:val="页眉 字符"/>
    <w:basedOn w:val="38"/>
    <w:link w:val="25"/>
    <w:qFormat/>
    <w:uiPriority w:val="0"/>
    <w:rPr>
      <w:rFonts w:ascii="华文仿宋" w:hAnsi="华文仿宋" w:eastAsia="华文仿宋"/>
      <w:sz w:val="18"/>
      <w:szCs w:val="18"/>
    </w:rPr>
  </w:style>
  <w:style w:type="character" w:customStyle="1" w:styleId="77">
    <w:name w:val="页脚 字符"/>
    <w:basedOn w:val="38"/>
    <w:link w:val="24"/>
    <w:qFormat/>
    <w:uiPriority w:val="99"/>
    <w:rPr>
      <w:rFonts w:ascii="华文仿宋" w:hAnsi="华文仿宋" w:eastAsia="华文仿宋"/>
      <w:sz w:val="18"/>
      <w:szCs w:val="18"/>
    </w:rPr>
  </w:style>
  <w:style w:type="character" w:customStyle="1" w:styleId="78">
    <w:name w:val="标题 1 字符"/>
    <w:basedOn w:val="38"/>
    <w:link w:val="6"/>
    <w:qFormat/>
    <w:uiPriority w:val="9"/>
    <w:rPr>
      <w:rFonts w:ascii="方正小标宋_GBK" w:hAnsi="仿宋" w:eastAsia="方正小标宋_GBK"/>
      <w:sz w:val="44"/>
      <w:szCs w:val="44"/>
    </w:rPr>
  </w:style>
  <w:style w:type="character" w:customStyle="1" w:styleId="79">
    <w:name w:val="标题 2 字符"/>
    <w:basedOn w:val="38"/>
    <w:link w:val="7"/>
    <w:qFormat/>
    <w:uiPriority w:val="9"/>
    <w:rPr>
      <w:rFonts w:ascii="楷体" w:hAnsi="楷体" w:eastAsia="黑体"/>
      <w:sz w:val="32"/>
      <w:szCs w:val="32"/>
    </w:rPr>
  </w:style>
  <w:style w:type="character" w:customStyle="1" w:styleId="80">
    <w:name w:val="标题 3 字符"/>
    <w:basedOn w:val="38"/>
    <w:link w:val="8"/>
    <w:qFormat/>
    <w:uiPriority w:val="9"/>
    <w:rPr>
      <w:rFonts w:ascii="方正小标宋_GBK" w:hAnsi="仿宋" w:eastAsia="方正小标宋_GBK"/>
      <w:sz w:val="36"/>
      <w:szCs w:val="36"/>
    </w:rPr>
  </w:style>
  <w:style w:type="character" w:customStyle="1" w:styleId="81">
    <w:name w:val="标题 4 字符"/>
    <w:basedOn w:val="38"/>
    <w:link w:val="9"/>
    <w:qFormat/>
    <w:uiPriority w:val="9"/>
    <w:rPr>
      <w:rFonts w:cs="宋体"/>
      <w:b/>
      <w:bCs/>
      <w:sz w:val="28"/>
      <w:szCs w:val="28"/>
    </w:rPr>
  </w:style>
  <w:style w:type="character" w:customStyle="1" w:styleId="82">
    <w:name w:val="标题 5 字符"/>
    <w:basedOn w:val="38"/>
    <w:link w:val="10"/>
    <w:qFormat/>
    <w:uiPriority w:val="9"/>
    <w:rPr>
      <w:b/>
      <w:bCs/>
      <w:i/>
      <w:iCs/>
      <w:sz w:val="26"/>
      <w:szCs w:val="26"/>
    </w:rPr>
  </w:style>
  <w:style w:type="character" w:customStyle="1" w:styleId="83">
    <w:name w:val="标题 6 字符"/>
    <w:basedOn w:val="38"/>
    <w:link w:val="11"/>
    <w:qFormat/>
    <w:uiPriority w:val="9"/>
    <w:rPr>
      <w:rFonts w:cs="宋体"/>
      <w:b/>
      <w:bCs/>
    </w:rPr>
  </w:style>
  <w:style w:type="character" w:customStyle="1" w:styleId="84">
    <w:name w:val="标题 7 字符"/>
    <w:basedOn w:val="38"/>
    <w:link w:val="12"/>
    <w:qFormat/>
    <w:uiPriority w:val="9"/>
    <w:rPr>
      <w:sz w:val="24"/>
      <w:szCs w:val="24"/>
    </w:rPr>
  </w:style>
  <w:style w:type="character" w:customStyle="1" w:styleId="85">
    <w:name w:val="标题 8 字符"/>
    <w:basedOn w:val="38"/>
    <w:link w:val="13"/>
    <w:qFormat/>
    <w:uiPriority w:val="9"/>
    <w:rPr>
      <w:rFonts w:cs="宋体"/>
      <w:i/>
      <w:iCs/>
      <w:sz w:val="24"/>
      <w:szCs w:val="24"/>
    </w:rPr>
  </w:style>
  <w:style w:type="character" w:customStyle="1" w:styleId="86">
    <w:name w:val="标题 9 字符"/>
    <w:basedOn w:val="38"/>
    <w:link w:val="14"/>
    <w:qFormat/>
    <w:uiPriority w:val="9"/>
    <w:rPr>
      <w:rFonts w:ascii="Calibri Light" w:hAnsi="Calibri Light" w:eastAsia="宋体" w:cs="宋体"/>
    </w:rPr>
  </w:style>
  <w:style w:type="character" w:customStyle="1" w:styleId="87">
    <w:name w:val="标题 字符"/>
    <w:basedOn w:val="38"/>
    <w:link w:val="33"/>
    <w:qFormat/>
    <w:uiPriority w:val="10"/>
    <w:rPr>
      <w:rFonts w:ascii="Calibri Light" w:hAnsi="Calibri Light" w:eastAsia="宋体" w:cs="宋体"/>
      <w:b/>
      <w:bCs/>
      <w:kern w:val="28"/>
      <w:sz w:val="32"/>
      <w:szCs w:val="32"/>
    </w:rPr>
  </w:style>
  <w:style w:type="character" w:customStyle="1" w:styleId="88">
    <w:name w:val="副标题 字符"/>
    <w:basedOn w:val="38"/>
    <w:link w:val="30"/>
    <w:qFormat/>
    <w:uiPriority w:val="11"/>
    <w:rPr>
      <w:rFonts w:ascii="Calibri" w:hAnsi="Calibri" w:eastAsia="黑体" w:cs="宋体"/>
      <w:sz w:val="32"/>
      <w:szCs w:val="24"/>
    </w:rPr>
  </w:style>
  <w:style w:type="paragraph" w:styleId="89">
    <w:name w:val="No Spacing"/>
    <w:basedOn w:val="1"/>
    <w:qFormat/>
    <w:uiPriority w:val="1"/>
    <w:rPr>
      <w:szCs w:val="32"/>
    </w:rPr>
  </w:style>
  <w:style w:type="paragraph" w:styleId="90">
    <w:name w:val="List Paragraph"/>
    <w:basedOn w:val="1"/>
    <w:link w:val="139"/>
    <w:qFormat/>
    <w:uiPriority w:val="34"/>
    <w:pPr>
      <w:ind w:left="720"/>
      <w:contextualSpacing/>
    </w:pPr>
  </w:style>
  <w:style w:type="paragraph" w:styleId="91">
    <w:name w:val="Quote"/>
    <w:basedOn w:val="1"/>
    <w:next w:val="1"/>
    <w:link w:val="92"/>
    <w:qFormat/>
    <w:uiPriority w:val="29"/>
    <w:rPr>
      <w:i/>
    </w:rPr>
  </w:style>
  <w:style w:type="character" w:customStyle="1" w:styleId="92">
    <w:name w:val="引用 字符"/>
    <w:basedOn w:val="38"/>
    <w:link w:val="91"/>
    <w:qFormat/>
    <w:uiPriority w:val="29"/>
    <w:rPr>
      <w:i/>
      <w:sz w:val="24"/>
      <w:szCs w:val="24"/>
    </w:rPr>
  </w:style>
  <w:style w:type="paragraph" w:styleId="93">
    <w:name w:val="Intense Quote"/>
    <w:basedOn w:val="1"/>
    <w:next w:val="1"/>
    <w:link w:val="94"/>
    <w:qFormat/>
    <w:uiPriority w:val="30"/>
    <w:pPr>
      <w:ind w:left="720" w:right="720"/>
    </w:pPr>
    <w:rPr>
      <w:b/>
      <w:i/>
      <w:szCs w:val="22"/>
    </w:rPr>
  </w:style>
  <w:style w:type="character" w:customStyle="1" w:styleId="94">
    <w:name w:val="明显引用 字符"/>
    <w:basedOn w:val="38"/>
    <w:link w:val="93"/>
    <w:qFormat/>
    <w:uiPriority w:val="30"/>
    <w:rPr>
      <w:b/>
      <w:i/>
      <w:sz w:val="24"/>
    </w:rPr>
  </w:style>
  <w:style w:type="character" w:customStyle="1" w:styleId="95">
    <w:name w:val="不明显强调1"/>
    <w:qFormat/>
    <w:uiPriority w:val="19"/>
    <w:rPr>
      <w:i/>
      <w:color w:val="595959"/>
    </w:rPr>
  </w:style>
  <w:style w:type="character" w:customStyle="1" w:styleId="96">
    <w:name w:val="明显强调1"/>
    <w:basedOn w:val="38"/>
    <w:qFormat/>
    <w:uiPriority w:val="21"/>
    <w:rPr>
      <w:b/>
      <w:i/>
      <w:sz w:val="24"/>
      <w:szCs w:val="24"/>
      <w:u w:val="single"/>
    </w:rPr>
  </w:style>
  <w:style w:type="character" w:customStyle="1" w:styleId="97">
    <w:name w:val="不明显参考1"/>
    <w:basedOn w:val="38"/>
    <w:qFormat/>
    <w:uiPriority w:val="31"/>
    <w:rPr>
      <w:sz w:val="24"/>
      <w:szCs w:val="24"/>
      <w:u w:val="single"/>
    </w:rPr>
  </w:style>
  <w:style w:type="character" w:customStyle="1" w:styleId="98">
    <w:name w:val="明显参考1"/>
    <w:basedOn w:val="38"/>
    <w:qFormat/>
    <w:uiPriority w:val="32"/>
    <w:rPr>
      <w:b/>
      <w:sz w:val="24"/>
      <w:u w:val="single"/>
    </w:rPr>
  </w:style>
  <w:style w:type="character" w:customStyle="1" w:styleId="99">
    <w:name w:val="书籍标题1"/>
    <w:basedOn w:val="38"/>
    <w:qFormat/>
    <w:uiPriority w:val="33"/>
    <w:rPr>
      <w:rFonts w:ascii="Calibri Light" w:hAnsi="Calibri Light" w:eastAsia="宋体"/>
      <w:b/>
      <w:i/>
      <w:sz w:val="24"/>
      <w:szCs w:val="24"/>
    </w:rPr>
  </w:style>
  <w:style w:type="paragraph" w:customStyle="1" w:styleId="100">
    <w:name w:val="TOC 标题1"/>
    <w:basedOn w:val="6"/>
    <w:next w:val="1"/>
    <w:qFormat/>
    <w:uiPriority w:val="39"/>
    <w:pPr>
      <w:outlineLvl w:val="9"/>
    </w:pPr>
  </w:style>
  <w:style w:type="character" w:customStyle="1" w:styleId="101">
    <w:name w:val="批注框文本 字符"/>
    <w:basedOn w:val="38"/>
    <w:link w:val="23"/>
    <w:qFormat/>
    <w:uiPriority w:val="99"/>
    <w:rPr>
      <w:sz w:val="18"/>
      <w:szCs w:val="18"/>
    </w:rPr>
  </w:style>
  <w:style w:type="character" w:customStyle="1" w:styleId="102">
    <w:name w:val="批注文字 字符"/>
    <w:basedOn w:val="38"/>
    <w:link w:val="18"/>
    <w:qFormat/>
    <w:uiPriority w:val="99"/>
    <w:rPr>
      <w:rFonts w:ascii="Calibri Light" w:hAnsi="Calibri Light" w:eastAsia="华文仿宋" w:cs="Calibri Light"/>
      <w:kern w:val="2"/>
      <w:sz w:val="28"/>
      <w:szCs w:val="28"/>
    </w:rPr>
  </w:style>
  <w:style w:type="paragraph" w:customStyle="1" w:styleId="103">
    <w:name w:val="@正文"/>
    <w:basedOn w:val="62"/>
    <w:qFormat/>
    <w:uiPriority w:val="0"/>
    <w:pPr>
      <w:wordWrap/>
      <w:spacing w:line="240" w:lineRule="auto"/>
      <w:ind w:firstLine="200" w:firstLineChars="200"/>
      <w:jc w:val="both"/>
    </w:pPr>
    <w:rPr>
      <w:rFonts w:ascii="Calibri" w:hAnsi="Calibri" w:eastAsia="宋体" w:cs="Calibri"/>
      <w:color w:val="000000"/>
      <w:kern w:val="24"/>
      <w:sz w:val="24"/>
      <w:szCs w:val="24"/>
    </w:rPr>
  </w:style>
  <w:style w:type="paragraph" w:customStyle="1" w:styleId="104">
    <w:name w:val="@一级小标题"/>
    <w:basedOn w:val="1"/>
    <w:next w:val="103"/>
    <w:qFormat/>
    <w:uiPriority w:val="0"/>
    <w:pPr>
      <w:keepNext/>
      <w:spacing w:before="120" w:after="60"/>
      <w:outlineLvl w:val="2"/>
    </w:pPr>
    <w:rPr>
      <w:rFonts w:eastAsia="黑体"/>
      <w:kern w:val="28"/>
      <w:sz w:val="28"/>
    </w:rPr>
  </w:style>
  <w:style w:type="paragraph" w:customStyle="1" w:styleId="105">
    <w:name w:val="@标题"/>
    <w:basedOn w:val="1"/>
    <w:next w:val="103"/>
    <w:qFormat/>
    <w:uiPriority w:val="0"/>
    <w:pPr>
      <w:keepNext/>
      <w:spacing w:before="50" w:beforeLines="50" w:after="50" w:afterLines="50"/>
      <w:jc w:val="center"/>
      <w:outlineLvl w:val="1"/>
    </w:pPr>
    <w:rPr>
      <w:rFonts w:eastAsia="黑体"/>
      <w:kern w:val="32"/>
      <w:sz w:val="32"/>
    </w:rPr>
  </w:style>
  <w:style w:type="table" w:customStyle="1" w:styleId="106">
    <w:name w:val="网格型1"/>
    <w:basedOn w:val="3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7">
    <w:name w:val="页眉 Char1"/>
    <w:basedOn w:val="38"/>
    <w:qFormat/>
    <w:uiPriority w:val="99"/>
    <w:rPr>
      <w:rFonts w:cs="Calibri Light"/>
      <w:sz w:val="18"/>
      <w:szCs w:val="18"/>
    </w:rPr>
  </w:style>
  <w:style w:type="character" w:customStyle="1" w:styleId="108">
    <w:name w:val="页脚 Char1"/>
    <w:basedOn w:val="38"/>
    <w:qFormat/>
    <w:uiPriority w:val="99"/>
    <w:rPr>
      <w:rFonts w:cs="Calibri Light"/>
      <w:sz w:val="18"/>
      <w:szCs w:val="18"/>
    </w:rPr>
  </w:style>
  <w:style w:type="character" w:customStyle="1" w:styleId="109">
    <w:name w:val="批注主题 字符"/>
    <w:basedOn w:val="102"/>
    <w:link w:val="34"/>
    <w:qFormat/>
    <w:uiPriority w:val="99"/>
    <w:rPr>
      <w:rFonts w:ascii="Calibri Light" w:hAnsi="Calibri Light" w:eastAsia="华文仿宋" w:cs="Calibri Light"/>
      <w:b/>
      <w:bCs/>
      <w:kern w:val="2"/>
      <w:sz w:val="28"/>
      <w:szCs w:val="28"/>
    </w:rPr>
  </w:style>
  <w:style w:type="character" w:customStyle="1" w:styleId="110">
    <w:name w:val="文档结构图 字符"/>
    <w:basedOn w:val="38"/>
    <w:link w:val="16"/>
    <w:qFormat/>
    <w:uiPriority w:val="99"/>
    <w:rPr>
      <w:rFonts w:ascii="宋体" w:hAnsi="Calibri Light" w:eastAsia="宋体" w:cs="Calibri Light"/>
      <w:kern w:val="2"/>
      <w:sz w:val="18"/>
      <w:szCs w:val="18"/>
    </w:rPr>
  </w:style>
  <w:style w:type="character" w:styleId="111">
    <w:name w:val="Placeholder Text"/>
    <w:basedOn w:val="38"/>
    <w:qFormat/>
    <w:uiPriority w:val="99"/>
    <w:rPr>
      <w:color w:val="808080"/>
    </w:rPr>
  </w:style>
  <w:style w:type="character" w:customStyle="1" w:styleId="112">
    <w:name w:val="未处理的提及1"/>
    <w:basedOn w:val="38"/>
    <w:qFormat/>
    <w:uiPriority w:val="99"/>
    <w:rPr>
      <w:color w:val="605E5C"/>
      <w:shd w:val="clear" w:color="auto" w:fill="E1DFDD"/>
    </w:rPr>
  </w:style>
  <w:style w:type="paragraph" w:customStyle="1" w:styleId="113">
    <w:name w:val="样式1"/>
    <w:basedOn w:val="8"/>
    <w:link w:val="115"/>
    <w:qFormat/>
    <w:uiPriority w:val="0"/>
    <w:pPr>
      <w:jc w:val="left"/>
    </w:pPr>
    <w:rPr>
      <w:rFonts w:eastAsia="楷体"/>
      <w:sz w:val="32"/>
    </w:rPr>
  </w:style>
  <w:style w:type="paragraph" w:customStyle="1" w:styleId="114">
    <w:name w:val="样式2"/>
    <w:basedOn w:val="105"/>
    <w:link w:val="117"/>
    <w:qFormat/>
    <w:uiPriority w:val="0"/>
    <w:pPr>
      <w:spacing w:line="560" w:lineRule="exact"/>
      <w:ind w:firstLine="643" w:firstLineChars="200"/>
      <w:jc w:val="both"/>
    </w:pPr>
    <w:rPr>
      <w:rFonts w:ascii="仿宋_GB2312" w:hAnsi="仿宋" w:eastAsia="仿宋_GB2312"/>
      <w:b/>
      <w:bCs/>
      <w:szCs w:val="32"/>
    </w:rPr>
  </w:style>
  <w:style w:type="character" w:customStyle="1" w:styleId="115">
    <w:name w:val="样式1 字符"/>
    <w:basedOn w:val="79"/>
    <w:link w:val="113"/>
    <w:qFormat/>
    <w:uiPriority w:val="0"/>
    <w:rPr>
      <w:rFonts w:ascii="方正小标宋_GBK" w:hAnsi="仿宋" w:eastAsia="楷体"/>
      <w:sz w:val="32"/>
      <w:szCs w:val="36"/>
    </w:rPr>
  </w:style>
  <w:style w:type="paragraph" w:customStyle="1" w:styleId="116">
    <w:name w:val="样式3"/>
    <w:basedOn w:val="1"/>
    <w:link w:val="118"/>
    <w:qFormat/>
    <w:uiPriority w:val="0"/>
    <w:pPr>
      <w:spacing w:line="560" w:lineRule="exact"/>
      <w:jc w:val="center"/>
    </w:pPr>
    <w:rPr>
      <w:rFonts w:ascii="方正小标宋_GBK" w:hAnsi="仿宋" w:eastAsia="方正小标宋_GBK"/>
      <w:sz w:val="36"/>
      <w:szCs w:val="36"/>
    </w:rPr>
  </w:style>
  <w:style w:type="character" w:customStyle="1" w:styleId="117">
    <w:name w:val="样式2 字符"/>
    <w:basedOn w:val="38"/>
    <w:link w:val="114"/>
    <w:qFormat/>
    <w:uiPriority w:val="0"/>
    <w:rPr>
      <w:rFonts w:ascii="仿宋_GB2312" w:hAnsi="仿宋" w:eastAsia="仿宋_GB2312"/>
      <w:b/>
      <w:bCs/>
      <w:kern w:val="32"/>
      <w:sz w:val="32"/>
      <w:szCs w:val="32"/>
    </w:rPr>
  </w:style>
  <w:style w:type="character" w:customStyle="1" w:styleId="118">
    <w:name w:val="样式3 字符"/>
    <w:basedOn w:val="38"/>
    <w:link w:val="116"/>
    <w:qFormat/>
    <w:uiPriority w:val="0"/>
    <w:rPr>
      <w:rFonts w:ascii="方正小标宋_GBK" w:hAnsi="仿宋" w:eastAsia="方正小标宋_GBK"/>
      <w:sz w:val="36"/>
      <w:szCs w:val="36"/>
    </w:rPr>
  </w:style>
  <w:style w:type="paragraph" w:customStyle="1" w:styleId="119">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20">
    <w:name w:val="Table Paragraph"/>
    <w:basedOn w:val="1"/>
    <w:qFormat/>
    <w:uiPriority w:val="1"/>
  </w:style>
  <w:style w:type="paragraph" w:customStyle="1" w:styleId="121">
    <w:name w:val="纯文本1"/>
    <w:basedOn w:val="1"/>
    <w:qFormat/>
    <w:uiPriority w:val="0"/>
    <w:rPr>
      <w:rFonts w:ascii="宋体" w:hAnsi="Courier New"/>
      <w:szCs w:val="22"/>
    </w:rPr>
  </w:style>
  <w:style w:type="paragraph" w:customStyle="1" w:styleId="122">
    <w:name w:val="WPSOffice手动目录 1"/>
    <w:qFormat/>
    <w:uiPriority w:val="0"/>
    <w:rPr>
      <w:rFonts w:ascii="Times New Roman" w:hAnsi="Times New Roman" w:eastAsia="宋体" w:cs="Times New Roman"/>
      <w:lang w:val="en-US" w:eastAsia="zh-CN" w:bidi="ar-SA"/>
    </w:rPr>
  </w:style>
  <w:style w:type="paragraph" w:customStyle="1" w:styleId="1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25">
    <w:name w:val="mini-outputtext1"/>
    <w:basedOn w:val="38"/>
    <w:qFormat/>
    <w:uiPriority w:val="0"/>
  </w:style>
  <w:style w:type="character" w:customStyle="1" w:styleId="126">
    <w:name w:val="NormalCharacter"/>
    <w:qFormat/>
    <w:uiPriority w:val="0"/>
    <w:rPr>
      <w:rFonts w:ascii="Calibri" w:hAnsi="Calibri" w:eastAsia="宋体" w:cs="Times New Roman"/>
      <w:sz w:val="24"/>
      <w:szCs w:val="24"/>
      <w:lang w:val="en-US" w:eastAsia="zh-CN" w:bidi="ar-SA"/>
    </w:rPr>
  </w:style>
  <w:style w:type="paragraph" w:customStyle="1" w:styleId="127">
    <w:name w:val="AnnotationText"/>
    <w:basedOn w:val="1"/>
    <w:qFormat/>
    <w:uiPriority w:val="0"/>
    <w:pPr>
      <w:textAlignment w:val="baseline"/>
    </w:pPr>
    <w:rPr>
      <w:rFonts w:ascii="宋体" w:hAnsi="宋体" w:eastAsia="Times New Roman"/>
      <w:szCs w:val="20"/>
    </w:rPr>
  </w:style>
  <w:style w:type="paragraph" w:customStyle="1" w:styleId="128">
    <w:name w:val="_Style 4"/>
    <w:basedOn w:val="1"/>
    <w:qFormat/>
    <w:uiPriority w:val="99"/>
    <w:pPr>
      <w:ind w:firstLine="420" w:firstLineChars="200"/>
    </w:pPr>
  </w:style>
  <w:style w:type="paragraph" w:customStyle="1" w:styleId="129">
    <w:name w:val="列出段落1"/>
    <w:basedOn w:val="1"/>
    <w:qFormat/>
    <w:uiPriority w:val="34"/>
    <w:pPr>
      <w:ind w:firstLine="420" w:firstLineChars="200"/>
    </w:pPr>
  </w:style>
  <w:style w:type="character" w:customStyle="1" w:styleId="130">
    <w:name w:val="font81"/>
    <w:basedOn w:val="38"/>
    <w:qFormat/>
    <w:uiPriority w:val="0"/>
    <w:rPr>
      <w:rFonts w:hint="default" w:ascii="Calibri" w:hAnsi="Calibri" w:cs="Calibri"/>
      <w:color w:val="000000"/>
      <w:sz w:val="20"/>
      <w:szCs w:val="20"/>
      <w:u w:val="none"/>
    </w:rPr>
  </w:style>
  <w:style w:type="character" w:customStyle="1" w:styleId="131">
    <w:name w:val="font51"/>
    <w:basedOn w:val="38"/>
    <w:qFormat/>
    <w:uiPriority w:val="0"/>
    <w:rPr>
      <w:rFonts w:hint="eastAsia" w:ascii="宋体" w:hAnsi="宋体" w:eastAsia="宋体" w:cs="宋体"/>
      <w:color w:val="000000"/>
      <w:sz w:val="20"/>
      <w:szCs w:val="20"/>
      <w:u w:val="none"/>
    </w:rPr>
  </w:style>
  <w:style w:type="character" w:customStyle="1" w:styleId="132">
    <w:name w:val="font11"/>
    <w:basedOn w:val="38"/>
    <w:qFormat/>
    <w:uiPriority w:val="0"/>
    <w:rPr>
      <w:rFonts w:ascii="Calibri" w:hAnsi="Calibri" w:cs="Calibri"/>
      <w:color w:val="000000"/>
      <w:sz w:val="20"/>
      <w:szCs w:val="20"/>
      <w:u w:val="none"/>
    </w:rPr>
  </w:style>
  <w:style w:type="character" w:customStyle="1" w:styleId="133">
    <w:name w:val="font71"/>
    <w:basedOn w:val="38"/>
    <w:qFormat/>
    <w:uiPriority w:val="0"/>
    <w:rPr>
      <w:rFonts w:hint="eastAsia" w:ascii="宋体" w:hAnsi="宋体" w:eastAsia="宋体" w:cs="宋体"/>
      <w:color w:val="000000"/>
      <w:sz w:val="20"/>
      <w:szCs w:val="20"/>
      <w:u w:val="none"/>
    </w:rPr>
  </w:style>
  <w:style w:type="character" w:customStyle="1" w:styleId="134">
    <w:name w:val="font31"/>
    <w:basedOn w:val="38"/>
    <w:qFormat/>
    <w:uiPriority w:val="0"/>
    <w:rPr>
      <w:rFonts w:hint="eastAsia" w:ascii="宋体" w:hAnsi="宋体" w:eastAsia="宋体" w:cs="宋体"/>
      <w:color w:val="000000"/>
      <w:sz w:val="20"/>
      <w:szCs w:val="20"/>
      <w:u w:val="none"/>
    </w:rPr>
  </w:style>
  <w:style w:type="paragraph" w:customStyle="1" w:styleId="135">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137">
    <w:name w:val="*正文"/>
    <w:basedOn w:val="1"/>
    <w:qFormat/>
    <w:uiPriority w:val="0"/>
    <w:pPr>
      <w:spacing w:line="360" w:lineRule="auto"/>
      <w:ind w:firstLine="480" w:firstLineChars="200"/>
    </w:pPr>
    <w:rPr>
      <w:rFonts w:ascii="仿宋_GB2312" w:eastAsia="仿宋"/>
      <w:sz w:val="28"/>
      <w:szCs w:val="28"/>
    </w:rPr>
  </w:style>
  <w:style w:type="paragraph" w:customStyle="1" w:styleId="138">
    <w:name w:val="表格"/>
    <w:basedOn w:val="1"/>
    <w:qFormat/>
    <w:uiPriority w:val="0"/>
    <w:pPr>
      <w:jc w:val="center"/>
    </w:pPr>
    <w:rPr>
      <w:rFonts w:ascii="仿宋_GB2312" w:hAnsi="宋体" w:eastAsia="仿宋_GB2312"/>
      <w:sz w:val="28"/>
    </w:rPr>
  </w:style>
  <w:style w:type="character" w:customStyle="1" w:styleId="139">
    <w:name w:val="列表段落 字符"/>
    <w:link w:val="90"/>
    <w:qFormat/>
    <w:uiPriority w:val="34"/>
    <w:rPr>
      <w:rFonts w:ascii="Calibri" w:hAnsi="Calibri" w:eastAsia="宋体"/>
      <w:sz w:val="24"/>
      <w:szCs w:val="24"/>
    </w:rPr>
  </w:style>
  <w:style w:type="paragraph" w:customStyle="1" w:styleId="140">
    <w:name w:val="修订1"/>
    <w:hidden/>
    <w:semiHidden/>
    <w:qFormat/>
    <w:uiPriority w:val="99"/>
    <w:rPr>
      <w:rFonts w:ascii="Calibri" w:hAnsi="Calibri" w:eastAsia="宋体" w:cs="Times New Roman"/>
      <w:sz w:val="24"/>
      <w:szCs w:val="24"/>
      <w:lang w:val="en-US" w:eastAsia="zh-CN" w:bidi="ar-SA"/>
    </w:rPr>
  </w:style>
  <w:style w:type="paragraph" w:customStyle="1" w:styleId="141">
    <w:name w:val="修订2"/>
    <w:hidden/>
    <w:semiHidden/>
    <w:qFormat/>
    <w:uiPriority w:val="99"/>
    <w:rPr>
      <w:rFonts w:ascii="Calibri" w:hAnsi="Calibri" w:eastAsia="宋体" w:cs="Times New Roman"/>
      <w:sz w:val="24"/>
      <w:szCs w:val="24"/>
      <w:lang w:val="en-US" w:eastAsia="zh-CN" w:bidi="ar-SA"/>
    </w:rPr>
  </w:style>
  <w:style w:type="paragraph" w:customStyle="1" w:styleId="142">
    <w:name w:val="msonormal"/>
    <w:basedOn w:val="1"/>
    <w:qFormat/>
    <w:uiPriority w:val="0"/>
    <w:pPr>
      <w:spacing w:before="100" w:beforeAutospacing="1" w:after="100" w:afterAutospacing="1"/>
    </w:pPr>
    <w:rPr>
      <w:rFonts w:ascii="宋体" w:hAnsi="宋体" w:cs="宋体"/>
    </w:rPr>
  </w:style>
  <w:style w:type="paragraph" w:customStyle="1" w:styleId="143">
    <w:name w:val="font5"/>
    <w:basedOn w:val="1"/>
    <w:qFormat/>
    <w:uiPriority w:val="0"/>
    <w:pPr>
      <w:spacing w:before="100" w:beforeAutospacing="1" w:after="100" w:afterAutospacing="1"/>
    </w:pPr>
    <w:rPr>
      <w:rFonts w:cs="Calibri"/>
      <w:color w:val="000000"/>
    </w:rPr>
  </w:style>
  <w:style w:type="paragraph" w:customStyle="1" w:styleId="144">
    <w:name w:val="font6"/>
    <w:basedOn w:val="1"/>
    <w:qFormat/>
    <w:uiPriority w:val="0"/>
    <w:pPr>
      <w:spacing w:before="100" w:beforeAutospacing="1" w:after="100" w:afterAutospacing="1"/>
    </w:pPr>
    <w:rPr>
      <w:rFonts w:ascii="宋体" w:hAnsi="宋体" w:cs="宋体"/>
      <w:color w:val="000000"/>
    </w:rPr>
  </w:style>
  <w:style w:type="paragraph" w:customStyle="1" w:styleId="145">
    <w:name w:val="font7"/>
    <w:basedOn w:val="1"/>
    <w:qFormat/>
    <w:uiPriority w:val="0"/>
    <w:pPr>
      <w:spacing w:before="100" w:beforeAutospacing="1" w:after="100" w:afterAutospacing="1"/>
    </w:pPr>
    <w:rPr>
      <w:rFonts w:ascii="等线" w:hAnsi="等线" w:eastAsia="等线" w:cs="宋体"/>
      <w:sz w:val="18"/>
      <w:szCs w:val="18"/>
    </w:rPr>
  </w:style>
  <w:style w:type="paragraph" w:customStyle="1" w:styleId="146">
    <w:name w:val="xl65"/>
    <w:basedOn w:val="1"/>
    <w:qFormat/>
    <w:uiPriority w:val="0"/>
    <w:pPr>
      <w:spacing w:before="100" w:beforeAutospacing="1" w:after="100" w:afterAutospacing="1"/>
    </w:pPr>
    <w:rPr>
      <w:rFonts w:ascii="宋体" w:hAnsi="宋体" w:cs="宋体"/>
    </w:rPr>
  </w:style>
  <w:style w:type="paragraph" w:customStyle="1" w:styleId="147">
    <w:name w:val="xl6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color w:val="000000"/>
    </w:rPr>
  </w:style>
  <w:style w:type="paragraph" w:customStyle="1" w:styleId="148">
    <w:name w:val="xl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rPr>
  </w:style>
  <w:style w:type="paragraph" w:customStyle="1" w:styleId="149">
    <w:name w:val="xl6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color w:val="000000"/>
    </w:rPr>
  </w:style>
  <w:style w:type="paragraph" w:customStyle="1" w:styleId="15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rPr>
  </w:style>
  <w:style w:type="paragraph" w:customStyle="1" w:styleId="151">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rPr>
  </w:style>
  <w:style w:type="paragraph" w:customStyle="1" w:styleId="152">
    <w:name w:val="xl71"/>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rPr>
  </w:style>
  <w:style w:type="paragraph" w:customStyle="1" w:styleId="153">
    <w:name w:val="xl72"/>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rPr>
  </w:style>
  <w:style w:type="paragraph" w:customStyle="1" w:styleId="154">
    <w:name w:val="xl73"/>
    <w:basedOn w:val="1"/>
    <w:qFormat/>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rPr>
  </w:style>
  <w:style w:type="paragraph" w:customStyle="1" w:styleId="155">
    <w:name w:val="xl7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rPr>
  </w:style>
  <w:style w:type="paragraph" w:customStyle="1" w:styleId="156">
    <w:name w:val="xl7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rPr>
  </w:style>
  <w:style w:type="paragraph" w:customStyle="1" w:styleId="157">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rPr>
  </w:style>
  <w:style w:type="paragraph" w:customStyle="1" w:styleId="158">
    <w:name w:val="Revision"/>
    <w:hidden/>
    <w:semiHidden/>
    <w:uiPriority w:val="99"/>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AA2CCF-AC7E-43D4-B369-B3E1936B16E6}">
  <ds:schemaRefs/>
</ds:datastoreItem>
</file>

<file path=customXml/itemProps3.xml><?xml version="1.0" encoding="utf-8"?>
<ds:datastoreItem xmlns:ds="http://schemas.openxmlformats.org/officeDocument/2006/customXml" ds:itemID="{171B268D-D5B1-48F5-ABCF-55811AA830E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190</Pages>
  <Words>93402</Words>
  <Characters>103140</Characters>
  <Lines>807</Lines>
  <Paragraphs>227</Paragraphs>
  <TotalTime>1</TotalTime>
  <ScaleCrop>false</ScaleCrop>
  <LinksUpToDate>false</LinksUpToDate>
  <CharactersWithSpaces>105140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2022-09-30T07:21:00Z</dcterms:created>
  <dc:creator>lenovo</dc:creator>
  <cp:lastModifiedBy>®</cp:lastModifiedBy>
  <cp:lastPrinted>2023-05-04T03:42:00Z</cp:lastPrinted>
  <dcterms:modified xsi:type="dcterms:W3CDTF">2023-05-17T02:03:12Z</dcterms:modified>
  <cp:revision>490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A8C46C868AC047EF8FC7473AB7057805_13</vt:lpwstr>
  </property>
</Properties>
</file>