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Hlk126764427"/>
      <w:r>
        <w:rPr>
          <w:rFonts w:hint="eastAsia" w:ascii="仿宋" w:hAnsi="仿宋" w:eastAsia="仿宋"/>
          <w:b/>
          <w:sz w:val="32"/>
          <w:szCs w:val="32"/>
        </w:rPr>
        <w:t>西安市第三医院二期建设项目</w:t>
      </w:r>
    </w:p>
    <w:p>
      <w:pPr>
        <w:spacing w:line="42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1" w:name="_Hlk126762893"/>
      <w:r>
        <w:rPr>
          <w:rFonts w:hint="eastAsia" w:ascii="仿宋" w:hAnsi="仿宋" w:eastAsia="仿宋"/>
          <w:b/>
          <w:sz w:val="32"/>
          <w:szCs w:val="32"/>
        </w:rPr>
        <w:t>室内空气治理服务</w:t>
      </w:r>
      <w:bookmarkEnd w:id="1"/>
      <w:r>
        <w:rPr>
          <w:rFonts w:hint="eastAsia" w:ascii="仿宋" w:hAnsi="仿宋" w:eastAsia="仿宋"/>
          <w:b/>
          <w:sz w:val="32"/>
          <w:szCs w:val="32"/>
        </w:rPr>
        <w:t>采购项目</w:t>
      </w:r>
      <w:bookmarkEnd w:id="0"/>
      <w:r>
        <w:rPr>
          <w:rFonts w:hint="eastAsia" w:ascii="仿宋" w:hAnsi="仿宋" w:eastAsia="仿宋"/>
          <w:b/>
          <w:sz w:val="32"/>
          <w:szCs w:val="32"/>
        </w:rPr>
        <w:t>招标要求</w:t>
      </w:r>
    </w:p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一、项目名称：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西安市第三医院建设项目</w:t>
      </w:r>
      <w:r>
        <w:rPr>
          <w:rFonts w:hint="eastAsia" w:ascii="仿宋" w:hAnsi="仿宋" w:eastAsia="仿宋"/>
          <w:b/>
          <w:bCs/>
          <w:sz w:val="28"/>
          <w:szCs w:val="28"/>
        </w:rPr>
        <w:t>室内</w:t>
      </w:r>
      <w:r>
        <w:rPr>
          <w:rFonts w:hint="eastAsia" w:ascii="仿宋" w:hAnsi="仿宋" w:eastAsia="仿宋"/>
          <w:b/>
          <w:sz w:val="28"/>
          <w:szCs w:val="28"/>
        </w:rPr>
        <w:t>空气治理服务</w:t>
      </w:r>
      <w:r>
        <w:rPr>
          <w:rFonts w:hint="eastAsia" w:ascii="仿宋" w:hAnsi="仿宋" w:eastAsia="仿宋"/>
          <w:bCs/>
          <w:sz w:val="28"/>
          <w:szCs w:val="28"/>
        </w:rPr>
        <w:t>采购项目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二、工程概况：</w:t>
      </w:r>
      <w:bookmarkStart w:id="2" w:name="_GoBack"/>
      <w:bookmarkEnd w:id="2"/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位于西安市未央区凤城三路东段10号，贞观路东侧，永谦路北侧，仪凤巷西侧，医院后勤楼南侧。项目总投资估算约9.9961亿元，总建筑面积115431.07㎡，其中地上建筑面积74600.07㎡，地下总建筑面积40831㎡，本次需要甲醛净化治理的部分包括住院综合楼、核医学及放射治疗建筑两个部分，实际需进行空气治理面积约80000㎡。</w:t>
      </w:r>
    </w:p>
    <w:p>
      <w:pPr>
        <w:numPr>
          <w:ilvl w:val="0"/>
          <w:numId w:val="1"/>
        </w:numPr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服务范围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室内空气治理服务包括：对二期扩建项目住院综合楼、核医学及放射治疗楼室内墙面、天花、家具、地面等装饰装修材料释放的甲醛、苯、甲苯、二甲苯、TVOC等有害气体进行综合治理，使得经过治理后的室内空气质量符合GB/T18883-2022《室内空气质量标准》的相关要求。</w:t>
      </w:r>
    </w:p>
    <w:p>
      <w:pPr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四、服务周期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30日历天。</w:t>
      </w:r>
    </w:p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五、其他要求：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成交供应商不得擅自将受托项目全部或部分转委托给第三方承担。项目服务完成后，应将采购人提供的资料及成果一并交回采购人。如发生以上情况并给采购人造成经济损失，采购人有权向成交供应商索赔。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ACC7"/>
    <w:multiLevelType w:val="singleLevel"/>
    <w:tmpl w:val="59A5AC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zYwZWFjMjEwZTQzYjhiYTZkNDE0MWNjMWVjYzAifQ=="/>
  </w:docVars>
  <w:rsids>
    <w:rsidRoot w:val="036849BD"/>
    <w:rsid w:val="036849BD"/>
    <w:rsid w:val="317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2023-05-29T06:33:00Z</dcterms:created>
  <dc:creator>Administrator</dc:creator>
  <cp:lastModifiedBy>Administrator</cp:lastModifiedBy>
  <dcterms:modified xsi:type="dcterms:W3CDTF">2023-05-29T06:34:16Z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596CF83DAAA24058B6A0A3B20470F286_11</vt:lpwstr>
  </property>
</Properties>
</file>