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="仿宋_GB2312" w:hAnsi="仿宋" w:eastAsia="仿宋_GB2312"/>
          <w:bCs/>
        </w:rPr>
      </w:pPr>
      <w:r>
        <w:rPr>
          <w:rFonts w:hint="eastAsia" w:ascii="仿宋_GB2312" w:hAnsi="仿宋" w:eastAsia="仿宋_GB2312"/>
          <w:bCs/>
        </w:rPr>
        <w:t>2023欧亚经济论坛经贸合作博览会暨中国(陕西)进出口商品展是欧亚经济论坛框架下的配套博览会，围绕国家中心城市建设，深度融合进博会、工博会等国家级展会的优质资源，主要面向欧亚经济论坛相关国家、长三角沿海地区等及陕西本土的进出口、重点产业相关的机构组织、商会企业等组展招展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="仿宋_GB2312" w:hAnsi="仿宋" w:eastAsia="仿宋_GB2312"/>
          <w:bCs/>
        </w:rPr>
      </w:pPr>
      <w:r>
        <w:rPr>
          <w:rFonts w:hint="eastAsia" w:ascii="仿宋_GB2312" w:hAnsi="仿宋" w:eastAsia="仿宋_GB2312"/>
          <w:bCs/>
        </w:rPr>
        <w:t>论坛配套博览会拟于9月举办，展期4天，拟使用西安国际会展中心1-6号展馆，约7.2万平方米总展览面积。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TRlNGYxYWUwNzhkMTIxYTI4YzA4NjZiNTdjNzYifQ=="/>
  </w:docVars>
  <w:rsids>
    <w:rsidRoot w:val="00000000"/>
    <w:rsid w:val="524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187</Characters>
  <Lines>0</Lines>
  <Paragraphs>0</Paragraphs>
  <TotalTime>0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2023-05-08T01:24:00Z</dcterms:created>
  <dc:creator>zczx</dc:creator>
  <cp:lastModifiedBy>zczx</cp:lastModifiedBy>
  <dcterms:modified xsi:type="dcterms:W3CDTF">2023-05-08T01:24:04Z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F75207E81582441D896B892A0B874F27_12</vt:lpwstr>
  </property>
</Properties>
</file>