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highlight w:val="none"/>
          <w:lang w:val="zh-CN"/>
        </w:rPr>
      </w:pPr>
      <w:bookmarkStart w:id="0" w:name="_Toc28548"/>
      <w:r>
        <w:rPr>
          <w:rFonts w:hint="eastAsia" w:ascii="仿宋" w:hAnsi="仿宋" w:eastAsia="仿宋" w:cs="仿宋"/>
          <w:color w:val="auto"/>
          <w:sz w:val="32"/>
          <w:szCs w:val="32"/>
          <w:highlight w:val="none"/>
          <w:lang w:val="zh-CN"/>
        </w:rPr>
        <w:t>采购内容</w:t>
      </w:r>
      <w:bookmarkEnd w:id="0"/>
      <w:r>
        <w:rPr>
          <w:rFonts w:hint="eastAsia" w:ascii="仿宋" w:hAnsi="仿宋" w:eastAsia="仿宋" w:cs="仿宋"/>
          <w:color w:val="auto"/>
          <w:sz w:val="32"/>
          <w:szCs w:val="32"/>
          <w:highlight w:val="none"/>
          <w:lang w:val="zh-CN"/>
        </w:rPr>
        <w:t>及要求</w:t>
      </w:r>
      <w:bookmarkStart w:id="1" w:name="_GoBack"/>
      <w:bookmarkEnd w:id="1"/>
    </w:p>
    <w:p>
      <w:pPr>
        <w:pBdr>
          <w:top w:val="none" w:color="auto" w:sz="0" w:space="0"/>
          <w:left w:val="none" w:color="auto" w:sz="0" w:space="0"/>
          <w:bottom w:val="none" w:color="auto" w:sz="0" w:space="0"/>
          <w:right w:val="none" w:color="auto" w:sz="0" w:space="0"/>
          <w:between w:val="none" w:color="auto" w:sz="0" w:space="0"/>
        </w:pBdr>
        <w:spacing w:beforeLines="100" w:line="360" w:lineRule="auto"/>
        <w:ind w:left="105" w:leftChars="50"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lang w:eastAsia="zh-CN"/>
        </w:rPr>
        <w:t>一</w:t>
      </w:r>
      <w:r>
        <w:rPr>
          <w:rFonts w:hint="eastAsia" w:ascii="仿宋" w:hAnsi="仿宋" w:eastAsia="仿宋" w:cs="仿宋"/>
          <w:b/>
          <w:sz w:val="24"/>
          <w:szCs w:val="24"/>
          <w:highlight w:val="none"/>
        </w:rPr>
        <w:t>、技术要求（包括对产品的认证、检验报告等）</w:t>
      </w:r>
    </w:p>
    <w:tbl>
      <w:tblPr>
        <w:tblStyle w:val="8"/>
        <w:tblW w:w="8883" w:type="dxa"/>
        <w:jc w:val="center"/>
        <w:tblLayout w:type="fixed"/>
        <w:tblCellMar>
          <w:top w:w="0" w:type="dxa"/>
          <w:left w:w="108" w:type="dxa"/>
          <w:bottom w:w="0" w:type="dxa"/>
          <w:right w:w="108" w:type="dxa"/>
        </w:tblCellMar>
      </w:tblPr>
      <w:tblGrid>
        <w:gridCol w:w="456"/>
        <w:gridCol w:w="984"/>
        <w:gridCol w:w="464"/>
        <w:gridCol w:w="875"/>
        <w:gridCol w:w="1036"/>
        <w:gridCol w:w="5068"/>
      </w:tblGrid>
      <w:tr>
        <w:tblPrEx>
          <w:tblCellMar>
            <w:top w:w="0" w:type="dxa"/>
            <w:left w:w="108" w:type="dxa"/>
            <w:bottom w:w="0" w:type="dxa"/>
            <w:right w:w="108" w:type="dxa"/>
          </w:tblCellMar>
        </w:tblPrEx>
        <w:trPr>
          <w:trHeight w:val="660" w:hRule="atLeast"/>
          <w:jc w:val="center"/>
        </w:trPr>
        <w:tc>
          <w:tcPr>
            <w:tcW w:w="8883" w:type="dxa"/>
            <w:gridSpan w:val="6"/>
            <w:tcBorders>
              <w:top w:val="nil"/>
              <w:left w:val="nil"/>
              <w:bottom w:val="single" w:color="auto" w:sz="4" w:space="0"/>
              <w:right w:val="nil"/>
            </w:tcBorders>
            <w:shd w:val="clear" w:color="auto" w:fill="auto"/>
            <w:noWrap/>
            <w:vAlign w:val="center"/>
          </w:tcPr>
          <w:p>
            <w:pPr>
              <w:widowControl/>
              <w:spacing w:line="360" w:lineRule="auto"/>
              <w:jc w:val="center"/>
              <w:rPr>
                <w:rFonts w:hint="eastAsia" w:ascii="仿宋" w:hAnsi="仿宋" w:eastAsia="仿宋" w:cs="仿宋"/>
                <w:b/>
                <w:bCs/>
                <w:color w:val="000000"/>
                <w:kern w:val="0"/>
                <w:sz w:val="24"/>
                <w:szCs w:val="24"/>
                <w:highlight w:val="none"/>
                <w:lang w:eastAsia="zh-CN"/>
              </w:rPr>
            </w:pPr>
            <w:r>
              <w:rPr>
                <w:rFonts w:hint="eastAsia" w:ascii="仿宋" w:hAnsi="仿宋" w:eastAsia="仿宋" w:cs="仿宋"/>
                <w:b/>
                <w:bCs/>
                <w:color w:val="000000"/>
                <w:kern w:val="0"/>
                <w:sz w:val="24"/>
                <w:szCs w:val="24"/>
                <w:highlight w:val="none"/>
                <w:lang w:eastAsia="zh-CN"/>
              </w:rPr>
              <w:t>医院防护物资（口罩、帽子等耗材）</w:t>
            </w:r>
          </w:p>
        </w:tc>
      </w:tr>
      <w:tr>
        <w:tblPrEx>
          <w:tblCellMar>
            <w:top w:w="0" w:type="dxa"/>
            <w:left w:w="108" w:type="dxa"/>
            <w:bottom w:w="0" w:type="dxa"/>
            <w:right w:w="108" w:type="dxa"/>
          </w:tblCellMar>
        </w:tblPrEx>
        <w:trPr>
          <w:trHeight w:val="930" w:hRule="atLeast"/>
          <w:jc w:val="center"/>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序号</w:t>
            </w:r>
          </w:p>
        </w:tc>
        <w:tc>
          <w:tcPr>
            <w:tcW w:w="98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物资名称</w:t>
            </w:r>
          </w:p>
        </w:tc>
        <w:tc>
          <w:tcPr>
            <w:tcW w:w="4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单位</w:t>
            </w:r>
          </w:p>
        </w:tc>
        <w:tc>
          <w:tcPr>
            <w:tcW w:w="87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规格</w:t>
            </w:r>
          </w:p>
        </w:tc>
        <w:tc>
          <w:tcPr>
            <w:tcW w:w="103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最高限价（元）</w:t>
            </w:r>
          </w:p>
        </w:tc>
        <w:tc>
          <w:tcPr>
            <w:tcW w:w="506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技术参数</w:t>
            </w:r>
          </w:p>
        </w:tc>
      </w:tr>
      <w:tr>
        <w:tblPrEx>
          <w:tblCellMar>
            <w:top w:w="0" w:type="dxa"/>
            <w:left w:w="108" w:type="dxa"/>
            <w:bottom w:w="0" w:type="dxa"/>
            <w:right w:w="108" w:type="dxa"/>
          </w:tblCellMar>
        </w:tblPrEx>
        <w:trPr>
          <w:trHeight w:val="660" w:hRule="atLeast"/>
          <w:jc w:val="center"/>
        </w:trPr>
        <w:tc>
          <w:tcPr>
            <w:tcW w:w="456" w:type="dxa"/>
            <w:vMerge w:val="restart"/>
            <w:tcBorders>
              <w:top w:val="nil"/>
              <w:left w:val="single" w:color="auto" w:sz="4" w:space="0"/>
              <w:bottom w:val="nil"/>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医用外科口罩</w:t>
            </w:r>
          </w:p>
        </w:tc>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个</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挂耳/系带</w:t>
            </w: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0.52</w:t>
            </w:r>
          </w:p>
        </w:tc>
        <w:tc>
          <w:tcPr>
            <w:tcW w:w="5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*1、符合国家标准YY 0469-2011《医用外科口罩技术要求》。                           </w:t>
            </w:r>
            <w:r>
              <w:rPr>
                <w:rFonts w:hint="eastAsia" w:ascii="仿宋" w:hAnsi="仿宋" w:eastAsia="仿宋" w:cs="仿宋"/>
                <w:color w:val="000000"/>
                <w:kern w:val="0"/>
                <w:sz w:val="24"/>
                <w:szCs w:val="24"/>
                <w:highlight w:val="none"/>
                <w:lang w:val="en-US" w:eastAsia="zh-CN"/>
              </w:rPr>
              <w:t xml:space="preserve">           </w:t>
            </w:r>
            <w:r>
              <w:rPr>
                <w:rFonts w:hint="eastAsia" w:ascii="仿宋" w:hAnsi="仿宋" w:eastAsia="仿宋" w:cs="仿宋"/>
                <w:color w:val="000000"/>
                <w:kern w:val="0"/>
                <w:sz w:val="24"/>
                <w:szCs w:val="24"/>
                <w:highlight w:val="none"/>
              </w:rPr>
              <w:t xml:space="preserve"> 2、由罩体、鼻夹、口罩带组成。产品应无菌，经环氧乙烷灭菌后，环氧乙烷残留量应不大于10ug/g。一次性使用。                                                       3、口罩外观应整洁、形状完好，表面不得有破洞、污渍。每根口罩带与口罩体连接点处的断裂强力应不小于10N，口罩的细菌过滤率应不小于95%。</w:t>
            </w:r>
          </w:p>
        </w:tc>
      </w:tr>
      <w:tr>
        <w:tblPrEx>
          <w:tblCellMar>
            <w:top w:w="0" w:type="dxa"/>
            <w:left w:w="108" w:type="dxa"/>
            <w:bottom w:w="0" w:type="dxa"/>
            <w:right w:w="108" w:type="dxa"/>
          </w:tblCellMar>
        </w:tblPrEx>
        <w:trPr>
          <w:trHeight w:val="1620" w:hRule="atLeast"/>
          <w:jc w:val="center"/>
        </w:trPr>
        <w:tc>
          <w:tcPr>
            <w:tcW w:w="456" w:type="dxa"/>
            <w:vMerge w:val="continue"/>
            <w:tcBorders>
              <w:top w:val="nil"/>
              <w:left w:val="single" w:color="auto" w:sz="4" w:space="0"/>
              <w:bottom w:val="nil"/>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582"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医用普通口罩</w:t>
            </w:r>
          </w:p>
        </w:tc>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个</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挂耳/系带</w:t>
            </w: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0.22</w:t>
            </w:r>
          </w:p>
        </w:tc>
        <w:tc>
          <w:tcPr>
            <w:tcW w:w="5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1、符合国家标准YY/T0969-2013《一次性使用医用口罩》。                            </w:t>
            </w:r>
            <w:r>
              <w:rPr>
                <w:rFonts w:hint="eastAsia" w:ascii="仿宋" w:hAnsi="仿宋" w:eastAsia="仿宋" w:cs="仿宋"/>
                <w:color w:val="000000"/>
                <w:kern w:val="0"/>
                <w:sz w:val="24"/>
                <w:szCs w:val="24"/>
                <w:highlight w:val="none"/>
                <w:lang w:val="en-US" w:eastAsia="zh-CN"/>
              </w:rPr>
              <w:t xml:space="preserve">           </w:t>
            </w:r>
            <w:r>
              <w:rPr>
                <w:rFonts w:hint="eastAsia" w:ascii="仿宋" w:hAnsi="仿宋" w:eastAsia="仿宋" w:cs="仿宋"/>
                <w:color w:val="000000"/>
                <w:kern w:val="0"/>
                <w:sz w:val="24"/>
                <w:szCs w:val="24"/>
                <w:highlight w:val="none"/>
              </w:rPr>
              <w:t xml:space="preserve">  2、由口罩体、鼻夹、口罩带组成。产品应无菌，经环氧乙烷灭菌后，环氧乙烷残留量应不大于10ug/g。一次性使用。                                          3、口罩应整洁、形状完好、表面不得有破损、污渍。口罩的细菌过滤率应不小于95%。</w:t>
            </w:r>
          </w:p>
        </w:tc>
      </w:tr>
      <w:tr>
        <w:tblPrEx>
          <w:tblCellMar>
            <w:top w:w="0" w:type="dxa"/>
            <w:left w:w="108" w:type="dxa"/>
            <w:bottom w:w="0" w:type="dxa"/>
            <w:right w:w="108" w:type="dxa"/>
          </w:tblCellMar>
        </w:tblPrEx>
        <w:trPr>
          <w:trHeight w:val="1035"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312"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840"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医用防护口罩</w:t>
            </w:r>
          </w:p>
        </w:tc>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个</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折叠式</w:t>
            </w: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5.5</w:t>
            </w:r>
          </w:p>
        </w:tc>
        <w:tc>
          <w:tcPr>
            <w:tcW w:w="5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*1、符合国家标准GB19083-2010《医用防护口罩技术要求》。                                                   2、产品由罩体、鼻夹和口罩带组成。每根口罩带与口罩体连接点处的断裂强力应不小于10N。产品包装标志有灭菌或无菌字样的口罩应无菌。经环氧乙烷灭菌后，环氧乙烷残留量应不大于10ug/g。一次性使用。                               3、口罩有良好的面部密合性，表面不得有破洞、污渍、不应有呼气阀。鼻夹具有可调节性，口罩带调节方便，有足够强度固定口罩位置。</w:t>
            </w:r>
          </w:p>
        </w:tc>
      </w:tr>
      <w:tr>
        <w:tblPrEx>
          <w:tblCellMar>
            <w:top w:w="0" w:type="dxa"/>
            <w:left w:w="108" w:type="dxa"/>
            <w:bottom w:w="0" w:type="dxa"/>
            <w:right w:w="108" w:type="dxa"/>
          </w:tblCellMar>
        </w:tblPrEx>
        <w:trPr>
          <w:trHeight w:val="390"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1635"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540"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4</w:t>
            </w:r>
          </w:p>
        </w:tc>
        <w:tc>
          <w:tcPr>
            <w:tcW w:w="98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隔离衣</w:t>
            </w:r>
          </w:p>
        </w:tc>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套</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提供规格需大于等于6种</w:t>
            </w: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19</w:t>
            </w:r>
          </w:p>
        </w:tc>
        <w:tc>
          <w:tcPr>
            <w:tcW w:w="5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*1、符合国家标准GB/T38462-2020《纺织品 隔离衣用非织造布》。                                               2、本产品由具有一定防护特性的无纺布复合材料制成；                           </w:t>
            </w:r>
            <w:r>
              <w:rPr>
                <w:rFonts w:hint="eastAsia" w:ascii="仿宋" w:hAnsi="仿宋" w:eastAsia="仿宋" w:cs="仿宋"/>
                <w:color w:val="000000"/>
                <w:kern w:val="0"/>
                <w:sz w:val="24"/>
                <w:szCs w:val="24"/>
                <w:highlight w:val="none"/>
                <w:lang w:val="en-US" w:eastAsia="zh-CN"/>
              </w:rPr>
              <w:t xml:space="preserve">              </w:t>
            </w:r>
            <w:r>
              <w:rPr>
                <w:rFonts w:hint="eastAsia" w:ascii="仿宋" w:hAnsi="仿宋" w:eastAsia="仿宋" w:cs="仿宋"/>
                <w:color w:val="000000"/>
                <w:kern w:val="0"/>
                <w:sz w:val="24"/>
                <w:szCs w:val="24"/>
                <w:highlight w:val="none"/>
              </w:rPr>
              <w:t xml:space="preserve"> 3、隔离衣外观应洁净、无杂质、无破洞，色泽均匀一致；若热合，热合部位应牢固，成型整齐，平整无开裂。胀破强度≥40kPa,透湿率≥3600g/(m</w:t>
            </w:r>
            <w:r>
              <w:rPr>
                <w:rFonts w:hint="eastAsia" w:ascii="仿宋" w:hAnsi="仿宋" w:eastAsia="仿宋" w:cs="仿宋"/>
                <w:color w:val="000000"/>
                <w:kern w:val="0"/>
                <w:sz w:val="24"/>
                <w:szCs w:val="24"/>
                <w:highlight w:val="none"/>
                <w:vertAlign w:val="superscript"/>
              </w:rPr>
              <w:t>2</w:t>
            </w:r>
            <w:r>
              <w:rPr>
                <w:rFonts w:hint="eastAsia" w:ascii="仿宋" w:hAnsi="仿宋" w:eastAsia="仿宋" w:cs="仿宋"/>
                <w:color w:val="000000"/>
                <w:kern w:val="0"/>
                <w:sz w:val="24"/>
                <w:szCs w:val="24"/>
                <w:highlight w:val="none"/>
              </w:rPr>
              <w:t>·24h)。</w:t>
            </w:r>
          </w:p>
        </w:tc>
      </w:tr>
      <w:tr>
        <w:tblPrEx>
          <w:tblCellMar>
            <w:top w:w="0" w:type="dxa"/>
            <w:left w:w="108" w:type="dxa"/>
            <w:bottom w:w="0" w:type="dxa"/>
            <w:right w:w="108" w:type="dxa"/>
          </w:tblCellMar>
        </w:tblPrEx>
        <w:trPr>
          <w:trHeight w:val="540"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1140"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900" w:hRule="atLeast"/>
          <w:jc w:val="center"/>
        </w:trPr>
        <w:tc>
          <w:tcPr>
            <w:tcW w:w="456" w:type="dxa"/>
            <w:vMerge w:val="restart"/>
            <w:tcBorders>
              <w:top w:val="nil"/>
              <w:left w:val="single" w:color="auto" w:sz="4" w:space="0"/>
              <w:bottom w:val="nil"/>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医用防护服</w:t>
            </w:r>
          </w:p>
        </w:tc>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套</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170、175、180、185</w:t>
            </w: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60</w:t>
            </w:r>
          </w:p>
        </w:tc>
        <w:tc>
          <w:tcPr>
            <w:tcW w:w="5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*1.符合国家标准GB19082-2009《医用一次性防护服技术要求》。                                                  2、防护服应干燥、清洁、无霉斑，表面不允许有粘连、裂缝、孔洞等缺陷。装有拉链的防护服拉链不能外露，拉头应能自锁。防护服的结构应合理，穿脱方便，结合部位严密。袖口、脚踝口采用弹性收口，帽子面部收口及腰部采用弹性收口。                                                 3、防护服经环氧乙烷灭菌，其环氧乙烷残留量应不超过10ug/g。一次性使用。断裂强度应≥45N，透湿率≥2500g/(m</w:t>
            </w:r>
            <w:r>
              <w:rPr>
                <w:rFonts w:hint="eastAsia" w:ascii="仿宋" w:hAnsi="仿宋" w:eastAsia="仿宋" w:cs="仿宋"/>
                <w:color w:val="000000"/>
                <w:kern w:val="0"/>
                <w:sz w:val="24"/>
                <w:szCs w:val="24"/>
                <w:highlight w:val="none"/>
                <w:vertAlign w:val="superscript"/>
              </w:rPr>
              <w:t>2</w:t>
            </w:r>
            <w:r>
              <w:rPr>
                <w:rFonts w:hint="eastAsia" w:ascii="仿宋" w:hAnsi="仿宋" w:eastAsia="仿宋" w:cs="仿宋"/>
                <w:color w:val="000000"/>
                <w:kern w:val="0"/>
                <w:sz w:val="24"/>
                <w:szCs w:val="24"/>
                <w:highlight w:val="none"/>
              </w:rPr>
              <w:t>·24h)。</w:t>
            </w:r>
          </w:p>
        </w:tc>
      </w:tr>
      <w:tr>
        <w:tblPrEx>
          <w:tblCellMar>
            <w:top w:w="0" w:type="dxa"/>
            <w:left w:w="108" w:type="dxa"/>
            <w:bottom w:w="0" w:type="dxa"/>
            <w:right w:w="108" w:type="dxa"/>
          </w:tblCellMar>
        </w:tblPrEx>
        <w:trPr>
          <w:trHeight w:val="2025" w:hRule="atLeast"/>
          <w:jc w:val="center"/>
        </w:trPr>
        <w:tc>
          <w:tcPr>
            <w:tcW w:w="456" w:type="dxa"/>
            <w:vMerge w:val="continue"/>
            <w:tcBorders>
              <w:top w:val="nil"/>
              <w:left w:val="single" w:color="auto" w:sz="4" w:space="0"/>
              <w:bottom w:val="nil"/>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525"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帽子</w:t>
            </w:r>
          </w:p>
        </w:tc>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个</w:t>
            </w:r>
          </w:p>
        </w:tc>
        <w:tc>
          <w:tcPr>
            <w:tcW w:w="8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平顶帽</w:t>
            </w:r>
          </w:p>
        </w:tc>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0.45</w:t>
            </w:r>
          </w:p>
        </w:tc>
        <w:tc>
          <w:tcPr>
            <w:tcW w:w="5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1、执行团标标准T/CSBME015-2019《一次性使用无菌医用帽》。                                      </w:t>
            </w:r>
            <w:r>
              <w:rPr>
                <w:rFonts w:hint="eastAsia" w:ascii="仿宋" w:hAnsi="仿宋" w:eastAsia="仿宋" w:cs="仿宋"/>
                <w:color w:val="000000"/>
                <w:kern w:val="0"/>
                <w:sz w:val="24"/>
                <w:szCs w:val="24"/>
                <w:highlight w:val="none"/>
                <w:lang w:val="en-US" w:eastAsia="zh-CN"/>
              </w:rPr>
              <w:t xml:space="preserve">   </w:t>
            </w:r>
            <w:r>
              <w:rPr>
                <w:rFonts w:hint="eastAsia" w:ascii="仿宋" w:hAnsi="仿宋" w:eastAsia="仿宋" w:cs="仿宋"/>
                <w:color w:val="000000"/>
                <w:kern w:val="0"/>
                <w:sz w:val="24"/>
                <w:szCs w:val="24"/>
                <w:highlight w:val="none"/>
              </w:rPr>
              <w:t xml:space="preserve">  2、本产品采用非织造布为主要原材料热合或缝制而成。                                          3、帽子应无菌，经环氧乙烷灭菌后，环氧乙烷残留量应不大于10ug/g。一次性使用。</w:t>
            </w:r>
          </w:p>
        </w:tc>
      </w:tr>
      <w:tr>
        <w:tblPrEx>
          <w:tblCellMar>
            <w:top w:w="0" w:type="dxa"/>
            <w:left w:w="108" w:type="dxa"/>
            <w:bottom w:w="0" w:type="dxa"/>
            <w:right w:w="108" w:type="dxa"/>
          </w:tblCellMar>
        </w:tblPrEx>
        <w:trPr>
          <w:trHeight w:val="675"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420"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1095" w:hRule="atLeast"/>
          <w:jc w:val="center"/>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7</w:t>
            </w:r>
          </w:p>
        </w:tc>
        <w:tc>
          <w:tcPr>
            <w:tcW w:w="984"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鞋套</w:t>
            </w:r>
          </w:p>
        </w:tc>
        <w:tc>
          <w:tcPr>
            <w:tcW w:w="464"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双</w:t>
            </w:r>
          </w:p>
        </w:tc>
        <w:tc>
          <w:tcPr>
            <w:tcW w:w="875"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w:t>
            </w:r>
          </w:p>
        </w:tc>
        <w:tc>
          <w:tcPr>
            <w:tcW w:w="103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0.55</w:t>
            </w:r>
          </w:p>
        </w:tc>
        <w:tc>
          <w:tcPr>
            <w:tcW w:w="506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1.型号规格要求：非织造布制成，聚乙烯薄膜制成。</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2.尺寸要求：鞋套尺寸范围为：长（100-600）mm，宽（100-500）mm；允差±7%。</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3.外观要求：鞋套的外观应洁净平整，色泽均匀一致，无异味、无破洞；缝制或热压应坚固；成型整齐。</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4.克重要求：非织造布型鞋套所用的非织造布的规格不低于18g/㎡。</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5.松紧带要求：聚乙烯薄膜型鞋套采用的松紧带应长至2倍三次不断裂。</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6.聚乙烯薄膜厚度要求：聚乙烯薄膜型鞋套所用的聚乙烯薄膜厚度不得低于0.02mm。</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7.断裂力要求：非织造布型鞋套所用非织造布纵向断裂强力应≥17N，横向断裂强力应≥3.0N。</w:t>
            </w:r>
          </w:p>
          <w:p>
            <w:pPr>
              <w:widowControl/>
              <w:spacing w:line="360" w:lineRule="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8.鞋套若经环氧乙烷灭菌，其环氧乙烷残留量应不大于10ug/g。</w:t>
            </w:r>
          </w:p>
        </w:tc>
      </w:tr>
      <w:tr>
        <w:tblPrEx>
          <w:tblCellMar>
            <w:top w:w="0" w:type="dxa"/>
            <w:left w:w="108" w:type="dxa"/>
            <w:bottom w:w="0" w:type="dxa"/>
            <w:right w:w="108" w:type="dxa"/>
          </w:tblCellMar>
        </w:tblPrEx>
        <w:trPr>
          <w:trHeight w:val="1245" w:hRule="atLeast"/>
          <w:jc w:val="center"/>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w:t>
            </w:r>
          </w:p>
        </w:tc>
        <w:tc>
          <w:tcPr>
            <w:tcW w:w="984"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靴套</w:t>
            </w:r>
          </w:p>
        </w:tc>
        <w:tc>
          <w:tcPr>
            <w:tcW w:w="464"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双</w:t>
            </w:r>
          </w:p>
        </w:tc>
        <w:tc>
          <w:tcPr>
            <w:tcW w:w="875"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w:t>
            </w:r>
          </w:p>
        </w:tc>
        <w:tc>
          <w:tcPr>
            <w:tcW w:w="1036"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5.7</w:t>
            </w:r>
          </w:p>
        </w:tc>
        <w:tc>
          <w:tcPr>
            <w:tcW w:w="5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1.型号规格要求：非织造布制成，聚乙烯薄膜制成。</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2.尺寸：隔离鞋套单规格尺寸：高：</w:t>
            </w:r>
            <w:r>
              <w:rPr>
                <w:rFonts w:hint="eastAsia" w:ascii="仿宋" w:hAnsi="仿宋" w:eastAsia="仿宋" w:cs="仿宋"/>
                <w:color w:val="000000"/>
                <w:kern w:val="0"/>
                <w:sz w:val="24"/>
                <w:szCs w:val="24"/>
                <w:highlight w:val="none"/>
                <w:lang w:val="en-US" w:eastAsia="zh-CN"/>
              </w:rPr>
              <w:t>30</w:t>
            </w:r>
            <w:r>
              <w:rPr>
                <w:rFonts w:hint="eastAsia" w:ascii="仿宋" w:hAnsi="仿宋" w:eastAsia="仿宋" w:cs="仿宋"/>
                <w:color w:val="000000"/>
                <w:kern w:val="0"/>
                <w:sz w:val="24"/>
                <w:szCs w:val="24"/>
                <w:highlight w:val="none"/>
              </w:rPr>
              <w:t>-</w:t>
            </w:r>
            <w:r>
              <w:rPr>
                <w:rFonts w:hint="eastAsia" w:ascii="仿宋" w:hAnsi="仿宋" w:eastAsia="仿宋" w:cs="仿宋"/>
                <w:color w:val="000000"/>
                <w:kern w:val="0"/>
                <w:sz w:val="24"/>
                <w:szCs w:val="24"/>
                <w:highlight w:val="none"/>
                <w:lang w:val="en-US" w:eastAsia="zh-CN"/>
              </w:rPr>
              <w:t>150</w:t>
            </w:r>
            <w:r>
              <w:rPr>
                <w:rFonts w:hint="eastAsia" w:ascii="仿宋" w:hAnsi="仿宋" w:eastAsia="仿宋" w:cs="仿宋"/>
                <w:color w:val="000000"/>
                <w:kern w:val="0"/>
                <w:sz w:val="24"/>
                <w:szCs w:val="24"/>
                <w:highlight w:val="none"/>
              </w:rPr>
              <w:t>cm；长：</w:t>
            </w:r>
            <w:r>
              <w:rPr>
                <w:rFonts w:hint="eastAsia" w:ascii="仿宋" w:hAnsi="仿宋" w:eastAsia="仿宋" w:cs="仿宋"/>
                <w:color w:val="000000"/>
                <w:kern w:val="0"/>
                <w:sz w:val="24"/>
                <w:szCs w:val="24"/>
                <w:highlight w:val="none"/>
                <w:lang w:val="en-US" w:eastAsia="zh-CN"/>
              </w:rPr>
              <w:t>20</w:t>
            </w:r>
            <w:r>
              <w:rPr>
                <w:rFonts w:hint="eastAsia" w:ascii="仿宋" w:hAnsi="仿宋" w:eastAsia="仿宋" w:cs="仿宋"/>
                <w:color w:val="000000"/>
                <w:kern w:val="0"/>
                <w:sz w:val="24"/>
                <w:szCs w:val="24"/>
                <w:highlight w:val="none"/>
              </w:rPr>
              <w:t>-50cm 允差±10%。</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3.外观：医用隔离鞋套应干燥、清洁、无霉斑，表面不允许有粘连、裂缝、孔洞等 缺陷。医用隔离鞋套连接部位可釆用针缝、热合等加工方式。缝制的针距40mm 不少于7针，线迹应均匀、平直，不得有跳针；热合应均匀，牢固、无毛边。</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4.非织造布制成的医用隔离鞋套材料外侧面占水等级应不低于3级的要求。 </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5.非织造布制成的医用隔离鞋套材料的断裂强力应不小于30N。</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6.聚乙烯薄膜制成的医用隔离鞋套材料的断裂强力应不小于5N</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7.非织造布制成的医用隔离鞋套材料的断裂伸长率应不小于15%o</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8.聚乙烯薄膜制成的医用隔离鞋套材料的断裂伸长率应不小于5%。</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9.弹力带：弹力带弹性应良好，伸长比应不小于1.7。</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10.鞋套所用的聚乙烯薄膜的厚度应不少于0.015mm。</w:t>
            </w:r>
          </w:p>
        </w:tc>
      </w:tr>
      <w:tr>
        <w:tblPrEx>
          <w:tblCellMar>
            <w:top w:w="0" w:type="dxa"/>
            <w:left w:w="108" w:type="dxa"/>
            <w:bottom w:w="0" w:type="dxa"/>
            <w:right w:w="108" w:type="dxa"/>
          </w:tblCellMar>
        </w:tblPrEx>
        <w:trPr>
          <w:trHeight w:val="582"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9</w:t>
            </w:r>
          </w:p>
        </w:tc>
        <w:tc>
          <w:tcPr>
            <w:tcW w:w="98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检查手套</w:t>
            </w:r>
          </w:p>
        </w:tc>
        <w:tc>
          <w:tcPr>
            <w:tcW w:w="46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双</w:t>
            </w:r>
          </w:p>
        </w:tc>
        <w:tc>
          <w:tcPr>
            <w:tcW w:w="8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小号、中号、大号无粉</w:t>
            </w:r>
          </w:p>
        </w:tc>
        <w:tc>
          <w:tcPr>
            <w:tcW w:w="10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0.8</w:t>
            </w:r>
          </w:p>
        </w:tc>
        <w:tc>
          <w:tcPr>
            <w:tcW w:w="50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 xml:space="preserve">1、符合国家标准GB10213-2006《一次性使用医用橡胶检查手套》。 </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2、材质由天然橡胶乳制造；灭菌包装，应有灭菌、一次性使用、检查手套字样。</w:t>
            </w:r>
          </w:p>
        </w:tc>
      </w:tr>
      <w:tr>
        <w:tblPrEx>
          <w:tblCellMar>
            <w:top w:w="0" w:type="dxa"/>
            <w:left w:w="108" w:type="dxa"/>
            <w:bottom w:w="0" w:type="dxa"/>
            <w:right w:w="108" w:type="dxa"/>
          </w:tblCellMar>
        </w:tblPrEx>
        <w:trPr>
          <w:trHeight w:val="765"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98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46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87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103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c>
          <w:tcPr>
            <w:tcW w:w="50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85" w:hRule="atLeast"/>
          <w:jc w:val="center"/>
        </w:trPr>
        <w:tc>
          <w:tcPr>
            <w:tcW w:w="45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10</w:t>
            </w:r>
          </w:p>
        </w:tc>
        <w:tc>
          <w:tcPr>
            <w:tcW w:w="984"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防护面屏</w:t>
            </w:r>
          </w:p>
        </w:tc>
        <w:tc>
          <w:tcPr>
            <w:tcW w:w="46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个</w:t>
            </w:r>
          </w:p>
        </w:tc>
        <w:tc>
          <w:tcPr>
            <w:tcW w:w="87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03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9</w:t>
            </w:r>
          </w:p>
        </w:tc>
        <w:tc>
          <w:tcPr>
            <w:tcW w:w="50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color w:val="000000"/>
                <w:kern w:val="0"/>
                <w:sz w:val="24"/>
                <w:szCs w:val="24"/>
                <w:highlight w:val="none"/>
              </w:rPr>
              <w:t>由面罩片、海绵条、不干胶、弹力橡筋等组成。</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2、</w:t>
            </w:r>
            <w:r>
              <w:rPr>
                <w:rFonts w:hint="eastAsia" w:ascii="仿宋" w:hAnsi="仿宋" w:eastAsia="仿宋" w:cs="仿宋"/>
                <w:color w:val="000000"/>
                <w:kern w:val="0"/>
                <w:sz w:val="24"/>
                <w:szCs w:val="24"/>
                <w:highlight w:val="none"/>
              </w:rPr>
              <w:t>面屏材质无毒、无害、无味、无刺激性和致敏性，且应具有防护隔离效果，其设计结构合理，适合各种头型。</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3、</w:t>
            </w:r>
            <w:r>
              <w:rPr>
                <w:rFonts w:hint="eastAsia" w:ascii="仿宋" w:hAnsi="仿宋" w:eastAsia="仿宋" w:cs="仿宋"/>
                <w:color w:val="000000"/>
                <w:kern w:val="0"/>
                <w:sz w:val="24"/>
                <w:szCs w:val="24"/>
                <w:highlight w:val="none"/>
              </w:rPr>
              <w:t>医用隔离面屏大小应完全覆盖整个面部，对眼睛、鼻腔、口腔形成有效防护，能够有效阻挡血液、体液及有害物质的飞溅。</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4、</w:t>
            </w:r>
            <w:r>
              <w:rPr>
                <w:rFonts w:hint="eastAsia" w:ascii="仿宋" w:hAnsi="仿宋" w:eastAsia="仿宋" w:cs="仿宋"/>
                <w:color w:val="000000"/>
                <w:kern w:val="0"/>
                <w:sz w:val="24"/>
                <w:szCs w:val="24"/>
                <w:highlight w:val="none"/>
              </w:rPr>
              <w:t>医用隔离面罩表面应洁净，无污点、污物，面屏应完整，不得有破损或分离，表面应光滑、无毛刺、划痕。</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5、</w:t>
            </w:r>
            <w:r>
              <w:rPr>
                <w:rFonts w:hint="eastAsia" w:ascii="仿宋" w:hAnsi="仿宋" w:eastAsia="仿宋" w:cs="仿宋"/>
                <w:color w:val="000000"/>
                <w:kern w:val="0"/>
                <w:sz w:val="24"/>
                <w:szCs w:val="24"/>
                <w:highlight w:val="none"/>
              </w:rPr>
              <w:t>面屏片与海绵条应粘连牢固，不易脱落。</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6、</w:t>
            </w:r>
            <w:r>
              <w:rPr>
                <w:rFonts w:hint="eastAsia" w:ascii="仿宋" w:hAnsi="仿宋" w:eastAsia="仿宋" w:cs="仿宋"/>
                <w:color w:val="000000"/>
                <w:kern w:val="0"/>
                <w:sz w:val="24"/>
                <w:szCs w:val="24"/>
                <w:highlight w:val="none"/>
              </w:rPr>
              <w:t>规格:长:10-60cm;宽:5-50cm，厚度0.2mm头箍宽度应大于1cm。</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7、</w:t>
            </w:r>
            <w:r>
              <w:rPr>
                <w:rFonts w:hint="eastAsia" w:ascii="仿宋" w:hAnsi="仿宋" w:eastAsia="仿宋" w:cs="仿宋"/>
                <w:color w:val="000000"/>
                <w:kern w:val="0"/>
                <w:sz w:val="24"/>
                <w:szCs w:val="24"/>
                <w:highlight w:val="none"/>
              </w:rPr>
              <w:t>海绵条应做到均匀、紧实、高弹、柔软、舒适、不掉屑、不易变形。</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8、</w:t>
            </w:r>
            <w:r>
              <w:rPr>
                <w:rFonts w:hint="eastAsia" w:ascii="仿宋" w:hAnsi="仿宋" w:eastAsia="仿宋" w:cs="仿宋"/>
                <w:color w:val="000000"/>
                <w:kern w:val="0"/>
                <w:sz w:val="24"/>
                <w:szCs w:val="24"/>
                <w:highlight w:val="none"/>
              </w:rPr>
              <w:t>面屏与弹力橡筋应链接牢固（使用扣子固定，固定装置与防护罩连接处的断裂强力不小于10N），不易脱落。橡筋弹性强（弹力带延伸率应不小于50%），松紧可调节，且不易断裂及松弛。</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9、</w:t>
            </w:r>
            <w:r>
              <w:rPr>
                <w:rFonts w:hint="eastAsia" w:ascii="仿宋" w:hAnsi="仿宋" w:eastAsia="仿宋" w:cs="仿宋"/>
                <w:color w:val="000000"/>
                <w:kern w:val="0"/>
                <w:sz w:val="24"/>
                <w:szCs w:val="24"/>
                <w:highlight w:val="none"/>
              </w:rPr>
              <w:t>本品为一次性使用，不可重复使用，不可水洗。</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10、</w:t>
            </w:r>
            <w:r>
              <w:rPr>
                <w:rFonts w:hint="eastAsia" w:ascii="仿宋" w:hAnsi="仿宋" w:eastAsia="仿宋" w:cs="仿宋"/>
                <w:color w:val="000000"/>
                <w:kern w:val="0"/>
                <w:sz w:val="24"/>
                <w:szCs w:val="24"/>
                <w:highlight w:val="none"/>
              </w:rPr>
              <w:t>面屏颜色应透明，佩戴时应视线清晰可见。</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11、</w:t>
            </w:r>
            <w:r>
              <w:rPr>
                <w:rFonts w:hint="eastAsia" w:ascii="仿宋" w:hAnsi="仿宋" w:eastAsia="仿宋" w:cs="仿宋"/>
                <w:color w:val="000000"/>
                <w:kern w:val="0"/>
                <w:sz w:val="24"/>
                <w:szCs w:val="24"/>
                <w:highlight w:val="none"/>
              </w:rPr>
              <w:t>具有良好的防雾功能，能有效的避免因长时间佩戴等引起屏面雾化，影响视觉。</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12、</w:t>
            </w:r>
            <w:r>
              <w:rPr>
                <w:rFonts w:hint="eastAsia" w:ascii="仿宋" w:hAnsi="仿宋" w:eastAsia="仿宋" w:cs="仿宋"/>
                <w:color w:val="000000"/>
                <w:kern w:val="0"/>
                <w:sz w:val="24"/>
                <w:szCs w:val="24"/>
                <w:highlight w:val="none"/>
              </w:rPr>
              <w:t>面屏应做到轻便、舒适，适宜较长时间佩戴使用。</w:t>
            </w:r>
          </w:p>
          <w:p>
            <w:pPr>
              <w:widowControl/>
              <w:spacing w:line="360" w:lineRule="auto"/>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13、</w:t>
            </w:r>
            <w:r>
              <w:rPr>
                <w:rFonts w:hint="eastAsia" w:ascii="仿宋" w:hAnsi="仿宋" w:eastAsia="仿宋" w:cs="仿宋"/>
                <w:color w:val="000000"/>
                <w:kern w:val="0"/>
                <w:sz w:val="24"/>
                <w:szCs w:val="24"/>
                <w:highlight w:val="none"/>
              </w:rPr>
              <w:t>面屏片内外两侧均应覆盖保护膜。</w:t>
            </w:r>
          </w:p>
        </w:tc>
      </w:tr>
      <w:tr>
        <w:tblPrEx>
          <w:tblCellMar>
            <w:top w:w="0" w:type="dxa"/>
            <w:left w:w="108" w:type="dxa"/>
            <w:bottom w:w="0" w:type="dxa"/>
            <w:right w:w="108" w:type="dxa"/>
          </w:tblCellMar>
        </w:tblPrEx>
        <w:trPr>
          <w:trHeight w:val="285" w:hRule="atLeast"/>
          <w:jc w:val="center"/>
        </w:trPr>
        <w:tc>
          <w:tcPr>
            <w:tcW w:w="456" w:type="dxa"/>
            <w:tcBorders>
              <w:top w:val="nil"/>
              <w:left w:val="nil"/>
              <w:bottom w:val="nil"/>
              <w:right w:val="nil"/>
            </w:tcBorders>
            <w:shd w:val="clear" w:color="auto" w:fill="auto"/>
            <w:noWrap/>
            <w:vAlign w:val="center"/>
          </w:tcPr>
          <w:p>
            <w:pPr>
              <w:widowControl/>
              <w:spacing w:line="240" w:lineRule="auto"/>
              <w:jc w:val="left"/>
              <w:rPr>
                <w:rFonts w:hint="eastAsia" w:ascii="仿宋" w:hAnsi="仿宋" w:eastAsia="仿宋" w:cs="仿宋"/>
                <w:color w:val="000000"/>
                <w:kern w:val="0"/>
                <w:sz w:val="24"/>
                <w:szCs w:val="24"/>
                <w:highlight w:val="none"/>
              </w:rPr>
            </w:pPr>
          </w:p>
        </w:tc>
        <w:tc>
          <w:tcPr>
            <w:tcW w:w="8427" w:type="dxa"/>
            <w:gridSpan w:val="5"/>
            <w:tcBorders>
              <w:top w:val="nil"/>
              <w:left w:val="nil"/>
              <w:bottom w:val="nil"/>
              <w:right w:val="nil"/>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注：</w:t>
            </w:r>
          </w:p>
        </w:tc>
      </w:tr>
      <w:tr>
        <w:tblPrEx>
          <w:tblCellMar>
            <w:top w:w="0" w:type="dxa"/>
            <w:left w:w="108" w:type="dxa"/>
            <w:bottom w:w="0" w:type="dxa"/>
            <w:right w:w="108" w:type="dxa"/>
          </w:tblCellMar>
        </w:tblPrEx>
        <w:trPr>
          <w:trHeight w:val="344" w:hRule="atLeast"/>
          <w:jc w:val="center"/>
        </w:trPr>
        <w:tc>
          <w:tcPr>
            <w:tcW w:w="456" w:type="dxa"/>
            <w:tcBorders>
              <w:top w:val="nil"/>
              <w:left w:val="nil"/>
              <w:bottom w:val="nil"/>
              <w:right w:val="nil"/>
            </w:tcBorders>
            <w:shd w:val="clear" w:color="auto" w:fill="auto"/>
            <w:noWrap/>
            <w:vAlign w:val="center"/>
          </w:tcPr>
          <w:p>
            <w:pPr>
              <w:spacing w:line="240" w:lineRule="auto"/>
              <w:ind w:firstLine="420" w:firstLineChars="200"/>
              <w:rPr>
                <w:rFonts w:hint="eastAsia"/>
                <w:highlight w:val="none"/>
              </w:rPr>
            </w:pPr>
          </w:p>
        </w:tc>
        <w:tc>
          <w:tcPr>
            <w:tcW w:w="8427" w:type="dxa"/>
            <w:gridSpan w:val="5"/>
            <w:tcBorders>
              <w:top w:val="nil"/>
              <w:left w:val="nil"/>
              <w:bottom w:val="nil"/>
              <w:right w:val="nil"/>
            </w:tcBorders>
            <w:shd w:val="clear" w:color="auto" w:fill="auto"/>
            <w:noWrap/>
            <w:vAlign w:val="center"/>
          </w:tcPr>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60" w:leftChars="0" w:firstLine="48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b/>
                <w:bCs/>
                <w:sz w:val="24"/>
                <w:szCs w:val="24"/>
                <w:highlight w:val="none"/>
              </w:rPr>
              <w:t>项为废标项</w:t>
            </w:r>
            <w:r>
              <w:rPr>
                <w:rFonts w:hint="eastAsia" w:ascii="仿宋" w:hAnsi="仿宋" w:eastAsia="仿宋" w:cs="仿宋"/>
                <w:sz w:val="24"/>
                <w:szCs w:val="24"/>
                <w:highlight w:val="none"/>
              </w:rPr>
              <w:t>。</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60" w:leftChars="0" w:firstLine="48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每一项产品必须满足或优于技术参数中要求的国家标准或行业标准。</w:t>
            </w:r>
          </w:p>
          <w:p>
            <w:pPr>
              <w:pBdr>
                <w:top w:val="none" w:color="auto" w:sz="0" w:space="0"/>
                <w:left w:val="none" w:color="auto" w:sz="0" w:space="0"/>
                <w:bottom w:val="none" w:color="auto" w:sz="0" w:space="0"/>
                <w:right w:val="none" w:color="auto" w:sz="0" w:space="0"/>
                <w:between w:val="none" w:color="auto" w:sz="0" w:space="0"/>
              </w:pBdr>
              <w:spacing w:line="24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3、公司投标时耗材名称书写格式：招标名称（注册证名称）。</w:t>
            </w:r>
          </w:p>
          <w:p>
            <w:pPr>
              <w:pBdr>
                <w:top w:val="none" w:color="auto" w:sz="0" w:space="0"/>
                <w:left w:val="none" w:color="auto" w:sz="0" w:space="0"/>
                <w:bottom w:val="none" w:color="auto" w:sz="0" w:space="0"/>
                <w:right w:val="none" w:color="auto" w:sz="0" w:space="0"/>
                <w:between w:val="none" w:color="auto" w:sz="0" w:space="0"/>
              </w:pBdr>
              <w:spacing w:line="24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b/>
                <w:bCs/>
                <w:sz w:val="24"/>
                <w:szCs w:val="24"/>
                <w:highlight w:val="none"/>
                <w:lang w:val="en-US" w:eastAsia="zh-CN"/>
              </w:rPr>
              <w:t>本项目核心产品为3、4、5项。</w:t>
            </w:r>
          </w:p>
        </w:tc>
      </w:tr>
    </w:tbl>
    <w:p>
      <w:pPr>
        <w:pBdr>
          <w:top w:val="none" w:color="auto" w:sz="0" w:space="0"/>
          <w:left w:val="none" w:color="auto" w:sz="0" w:space="0"/>
          <w:bottom w:val="none" w:color="auto" w:sz="0" w:space="0"/>
          <w:right w:val="none" w:color="auto" w:sz="0" w:space="0"/>
          <w:between w:val="none" w:color="auto" w:sz="0" w:space="0"/>
        </w:pBdr>
        <w:spacing w:beforeLines="100"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lang w:eastAsia="zh-CN"/>
        </w:rPr>
        <w:t>二</w:t>
      </w:r>
      <w:r>
        <w:rPr>
          <w:rFonts w:hint="eastAsia" w:ascii="仿宋" w:hAnsi="仿宋" w:eastAsia="仿宋" w:cs="仿宋"/>
          <w:b/>
          <w:sz w:val="24"/>
          <w:szCs w:val="24"/>
          <w:highlight w:val="none"/>
        </w:rPr>
        <w:t>、服务要求</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质量保证：乙方承诺所提供的医疗卫生耗材必须是符合药监部门质量标准的合格产品，进货渠道正常，并具备正规的产品注册证登记表、生产许可证，配送耗材时须提供配送批次产品的合格证明资料、检测报告、卫生安全评价报告等</w:t>
      </w:r>
    </w:p>
    <w:p>
      <w:pPr>
        <w:pBdr>
          <w:top w:val="none" w:color="auto" w:sz="0" w:space="0"/>
          <w:left w:val="none" w:color="auto" w:sz="0" w:space="0"/>
          <w:bottom w:val="none" w:color="auto" w:sz="0" w:space="0"/>
          <w:right w:val="none" w:color="auto" w:sz="0" w:space="0"/>
          <w:between w:val="none" w:color="auto" w:sz="0" w:space="0"/>
        </w:pBd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2、乙方不仅应随耗材向甲方提供使用说明书、质量标准或甲方所要求的相关资料，同时乙方须保证甲方在使用过程中的技术支持及售后服务，否则，甲方有权拒收耗材或则退货，责任由乙方承担。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3、乙方配送的耗材日期距离其出厂日期不得超过该耗材有效期的三分之一时间段。如过该耗材有效期超过三分之一时间段，甲方有权拒收或选择退货，由此造成的损失由乙方承担。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4、包装及其他要求：符合出厂要求、包装完整无破损；包装标识清楚，进口设备应具有原产国标识及中文标识且标识必须清楚，配送产品必须为全新未拆封产品且渠道合法。</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5、乙方所提供的医用卫生耗材在有效期内出现质量问题，甲方有权利要求乙方退货或换货，退换货时间不超过72小时。</w:t>
      </w:r>
    </w:p>
    <w:p>
      <w:pPr>
        <w:pBdr>
          <w:top w:val="none" w:color="auto" w:sz="0" w:space="0"/>
          <w:left w:val="none" w:color="auto" w:sz="0" w:space="0"/>
          <w:bottom w:val="none" w:color="auto" w:sz="0" w:space="0"/>
          <w:right w:val="none" w:color="auto" w:sz="0" w:space="0"/>
          <w:between w:val="none" w:color="auto" w:sz="0" w:space="0"/>
        </w:pBdr>
        <w:spacing w:beforeLines="100"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lang w:eastAsia="zh-CN"/>
        </w:rPr>
        <w:t>三</w:t>
      </w:r>
      <w:r>
        <w:rPr>
          <w:rFonts w:hint="eastAsia" w:ascii="仿宋" w:hAnsi="仿宋" w:eastAsia="仿宋" w:cs="仿宋"/>
          <w:b/>
          <w:sz w:val="24"/>
          <w:szCs w:val="24"/>
          <w:highlight w:val="none"/>
        </w:rPr>
        <w:t>、商务要求</w:t>
      </w:r>
    </w:p>
    <w:p>
      <w:pPr>
        <w:pBdr>
          <w:top w:val="none" w:color="auto" w:sz="0" w:space="0"/>
          <w:left w:val="none" w:color="auto" w:sz="0" w:space="0"/>
          <w:bottom w:val="none" w:color="auto" w:sz="0" w:space="0"/>
          <w:right w:val="none" w:color="auto" w:sz="0" w:space="0"/>
          <w:between w:val="none" w:color="auto" w:sz="0" w:space="0"/>
        </w:pBdr>
        <w:tabs>
          <w:tab w:val="left" w:pos="480"/>
        </w:tabs>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1、供货期：合同有效期为一年，在合同有效期内，如果甲方按照合同项采购货物，当采购金额达预算金额后，合同自动终止。</w:t>
      </w:r>
    </w:p>
    <w:p>
      <w:pPr>
        <w:tabs>
          <w:tab w:val="left" w:pos="480"/>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2、交货期：</w:t>
      </w:r>
      <w:r>
        <w:rPr>
          <w:rFonts w:hint="eastAsia" w:ascii="仿宋" w:hAnsi="仿宋" w:eastAsia="仿宋" w:cs="仿宋"/>
          <w:sz w:val="24"/>
          <w:szCs w:val="24"/>
          <w:highlight w:val="none"/>
          <w:u w:val="single"/>
        </w:rPr>
        <w:t>72</w:t>
      </w:r>
      <w:r>
        <w:rPr>
          <w:rFonts w:hint="eastAsia" w:ascii="仿宋" w:hAnsi="仿宋" w:eastAsia="仿宋" w:cs="仿宋"/>
          <w:sz w:val="24"/>
          <w:szCs w:val="24"/>
          <w:highlight w:val="none"/>
        </w:rPr>
        <w:t>小时。乙方接到甲方订货通知</w:t>
      </w:r>
      <w:r>
        <w:rPr>
          <w:rFonts w:hint="eastAsia" w:ascii="仿宋" w:hAnsi="仿宋" w:eastAsia="仿宋" w:cs="仿宋"/>
          <w:sz w:val="24"/>
          <w:szCs w:val="24"/>
          <w:highlight w:val="none"/>
          <w:u w:val="single"/>
        </w:rPr>
        <w:t>72小时</w:t>
      </w:r>
      <w:r>
        <w:rPr>
          <w:rFonts w:hint="eastAsia" w:ascii="仿宋" w:hAnsi="仿宋" w:eastAsia="仿宋" w:cs="仿宋"/>
          <w:sz w:val="24"/>
          <w:szCs w:val="24"/>
          <w:highlight w:val="none"/>
        </w:rPr>
        <w:t>内负责将货物运送至甲方指定的地点，由甲方负责按照相关标准进行验收，乙方在运送过程中所产生的一切费用由乙方负责承担。</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sz w:val="24"/>
          <w:szCs w:val="24"/>
          <w:highlight w:val="none"/>
        </w:rPr>
        <w:t>3、</w:t>
      </w:r>
      <w:r>
        <w:rPr>
          <w:rFonts w:hint="eastAsia" w:ascii="仿宋" w:hAnsi="仿宋" w:eastAsia="仿宋" w:cs="仿宋"/>
          <w:bCs/>
          <w:sz w:val="24"/>
          <w:szCs w:val="24"/>
          <w:highlight w:val="none"/>
        </w:rPr>
        <w:t>付款方式和结算条件</w:t>
      </w:r>
    </w:p>
    <w:p>
      <w:pPr>
        <w:tabs>
          <w:tab w:val="left" w:pos="480"/>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1、付款方式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通过银行转账方式将款项转入乙方银行账户。乙方银行账户信息如下：</w:t>
      </w:r>
    </w:p>
    <w:p>
      <w:pPr>
        <w:spacing w:line="360" w:lineRule="auto"/>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账户全称：</w:t>
      </w:r>
      <w:r>
        <w:rPr>
          <w:rFonts w:hint="eastAsia" w:ascii="仿宋" w:hAnsi="仿宋" w:eastAsia="仿宋" w:cs="仿宋"/>
          <w:sz w:val="24"/>
          <w:szCs w:val="24"/>
          <w:highlight w:val="none"/>
          <w:u w:val="single"/>
        </w:rPr>
        <w:t xml:space="preserve">                                   </w:t>
      </w:r>
    </w:p>
    <w:p>
      <w:pPr>
        <w:spacing w:line="360" w:lineRule="auto"/>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账    号：</w:t>
      </w:r>
      <w:r>
        <w:rPr>
          <w:rFonts w:hint="eastAsia" w:ascii="仿宋" w:hAnsi="仿宋" w:eastAsia="仿宋" w:cs="仿宋"/>
          <w:sz w:val="24"/>
          <w:szCs w:val="24"/>
          <w:highlight w:val="none"/>
          <w:u w:val="single"/>
        </w:rPr>
        <w:t xml:space="preserve">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开 户 行：</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甲方仅认可上述指定账户并向该账户付款，甲方有权拒绝向指定账户之外的任何账户付款，并且由此导致的付款延迟责任由乙方承担。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乙方要如实开具发票，不得变更开票内容，乙方开具发票出现税务争议时，乙方需承担税款、滞纳金、罚款等赔偿责任以及其他相关责任。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2、结算条件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交货验收入库时，乙方向甲方开具正规发票，并提供所供货品的进货发票，进货发票金额不得遮盖，确保“两票制”，乙方要如实开具发票，不得变更开票内容，乙方开具发票出现税务争议时，乙方需承担税款、滞纳金、罚款等赔偿责任以及其他相关责任，6个月后甲方向乙方据实结算转账支付货款。</w:t>
      </w:r>
    </w:p>
    <w:p>
      <w:pPr>
        <w:pBdr>
          <w:top w:val="none" w:color="auto" w:sz="0" w:space="0"/>
          <w:left w:val="none" w:color="auto" w:sz="0" w:space="0"/>
          <w:bottom w:val="none" w:color="auto" w:sz="0" w:space="0"/>
          <w:right w:val="none" w:color="auto" w:sz="0" w:space="0"/>
          <w:between w:val="none" w:color="auto" w:sz="0" w:space="0"/>
        </w:pBdr>
        <w:spacing w:beforeLines="100"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lang w:eastAsia="zh-CN"/>
        </w:rPr>
        <w:t>四</w:t>
      </w:r>
      <w:r>
        <w:rPr>
          <w:rFonts w:hint="eastAsia" w:ascii="仿宋" w:hAnsi="仿宋" w:eastAsia="仿宋" w:cs="仿宋"/>
          <w:b/>
          <w:sz w:val="24"/>
          <w:szCs w:val="24"/>
          <w:highlight w:val="none"/>
        </w:rPr>
        <w:t>、其他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（1）货物</w:t>
      </w:r>
      <w:r>
        <w:rPr>
          <w:rFonts w:hint="eastAsia" w:ascii="仿宋" w:hAnsi="仿宋" w:eastAsia="仿宋" w:cs="仿宋"/>
          <w:sz w:val="24"/>
          <w:szCs w:val="24"/>
          <w:highlight w:val="none"/>
        </w:rPr>
        <w:t>到达甲方指定地点后，甲乙双方根据合同要求，进行外观验收，确认产地、规格、型号和数量。验收无误，双方在货物清单上签字确认。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乙方向甲方提交货物实施过程中的所有资料。以便甲方日后管理和维护。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按《政府采购法》、《民法典》中的相关条款执行。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未按合同要求提供货物或质量不能满足招标技术要求，乙方必须无条件更换，提高技术，完善质量，否则，甲方有权终止合同，并对乙方的违约行为报监管机构进行相应的处罚，要求乙方赔偿甲方质量不合格产品价款的2倍作为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乙方不能按期交货，每延迟一天，乙方应偿付甲方总货款的0.5%的迟延违约金，违约金可累计计算。超过30天未交货，甲方有权解除合同。乙方违反合同约定应赔偿甲方总货款的30%作为违约金。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076C1"/>
    <w:multiLevelType w:val="singleLevel"/>
    <w:tmpl w:val="A40076C1"/>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YTIwNTRjYmJiMzcwOTU5NWY2NGMwNWE2NWZkZGMifQ=="/>
  </w:docVars>
  <w:rsids>
    <w:rsidRoot w:val="278A676D"/>
    <w:rsid w:val="025832D3"/>
    <w:rsid w:val="0C1B2876"/>
    <w:rsid w:val="0DFC4EFB"/>
    <w:rsid w:val="24747FE9"/>
    <w:rsid w:val="278A676D"/>
    <w:rsid w:val="27A1228D"/>
    <w:rsid w:val="317B0E62"/>
    <w:rsid w:val="44A906F3"/>
    <w:rsid w:val="4A39325E"/>
    <w:rsid w:val="4DB4130B"/>
    <w:rsid w:val="537A0008"/>
    <w:rsid w:val="60540AE2"/>
    <w:rsid w:val="6E7E3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0"/>
    <w:qFormat/>
    <w:uiPriority w:val="0"/>
    <w:pPr>
      <w:keepNext/>
      <w:keepLines/>
      <w:spacing w:before="340" w:beforeLines="0" w:beforeAutospacing="0" w:after="330" w:afterLines="0" w:afterAutospacing="0" w:line="240" w:lineRule="auto"/>
      <w:jc w:val="center"/>
      <w:outlineLvl w:val="0"/>
    </w:pPr>
    <w:rPr>
      <w:rFonts w:eastAsia="宋体" w:cs="宋体" w:asciiTheme="minorAscii" w:hAnsiTheme="minorAscii"/>
      <w:b/>
      <w:kern w:val="44"/>
      <w:sz w:val="36"/>
      <w:szCs w:val="36"/>
    </w:rPr>
  </w:style>
  <w:style w:type="paragraph" w:styleId="5">
    <w:name w:val="heading 2"/>
    <w:basedOn w:val="1"/>
    <w:next w:val="1"/>
    <w:link w:val="11"/>
    <w:semiHidden/>
    <w:unhideWhenUsed/>
    <w:qFormat/>
    <w:uiPriority w:val="0"/>
    <w:pPr>
      <w:keepNext/>
      <w:keepLines/>
      <w:spacing w:before="260" w:beforeLines="0" w:beforeAutospacing="0" w:after="260" w:afterLines="0" w:afterAutospacing="0" w:line="240" w:lineRule="auto"/>
      <w:jc w:val="left"/>
      <w:outlineLvl w:val="1"/>
    </w:pPr>
    <w:rPr>
      <w:rFonts w:ascii="宋体" w:hAnsi="宋体" w:eastAsia="宋体" w:cs="宋体"/>
      <w:b/>
      <w:sz w:val="32"/>
    </w:rPr>
  </w:style>
  <w:style w:type="paragraph" w:styleId="6">
    <w:name w:val="heading 3"/>
    <w:basedOn w:val="1"/>
    <w:next w:val="1"/>
    <w:semiHidden/>
    <w:unhideWhenUsed/>
    <w:qFormat/>
    <w:uiPriority w:val="0"/>
    <w:pPr>
      <w:keepNext/>
      <w:keepLines/>
      <w:spacing w:before="260" w:beforeLines="0" w:beforeAutospacing="0" w:after="260" w:afterLines="0" w:afterAutospacing="0" w:line="240" w:lineRule="auto"/>
      <w:jc w:val="center"/>
      <w:outlineLvl w:val="2"/>
    </w:pPr>
    <w:rPr>
      <w:rFonts w:ascii="Times New Roman" w:hAnsi="Times New Roman" w:eastAsia="宋体" w:cs="Times New Roman"/>
      <w:b/>
      <w:sz w:val="32"/>
    </w:rPr>
  </w:style>
  <w:style w:type="paragraph" w:styleId="7">
    <w:name w:val="heading 5"/>
    <w:basedOn w:val="1"/>
    <w:next w:val="1"/>
    <w:semiHidden/>
    <w:unhideWhenUsed/>
    <w:qFormat/>
    <w:uiPriority w:val="0"/>
    <w:pPr>
      <w:keepNext/>
      <w:keepLines/>
      <w:spacing w:before="280" w:beforeLines="0" w:beforeAutospacing="0" w:after="290" w:afterLines="0" w:afterAutospacing="0" w:line="360" w:lineRule="auto"/>
      <w:outlineLvl w:val="4"/>
    </w:pPr>
    <w:rPr>
      <w:rFonts w:asciiTheme="minorAscii" w:hAnsiTheme="minorAscii"/>
      <w:b/>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Body Text"/>
    <w:basedOn w:val="1"/>
    <w:next w:val="1"/>
    <w:qFormat/>
    <w:uiPriority w:val="0"/>
    <w:pPr>
      <w:spacing w:after="120" w:afterLines="0"/>
    </w:pPr>
    <w:rPr>
      <w:rFonts w:ascii="Times New Roman"/>
      <w:kern w:val="2"/>
      <w:sz w:val="21"/>
    </w:rPr>
  </w:style>
  <w:style w:type="character" w:customStyle="1" w:styleId="10">
    <w:name w:val="标题 1 Char"/>
    <w:link w:val="4"/>
    <w:qFormat/>
    <w:uiPriority w:val="0"/>
    <w:rPr>
      <w:rFonts w:eastAsia="宋体" w:cs="宋体" w:asciiTheme="minorAscii" w:hAnsiTheme="minorAscii"/>
      <w:b/>
      <w:kern w:val="44"/>
      <w:sz w:val="36"/>
      <w:szCs w:val="36"/>
    </w:rPr>
  </w:style>
  <w:style w:type="character" w:customStyle="1" w:styleId="11">
    <w:name w:val="标题 2 Char"/>
    <w:link w:val="5"/>
    <w:uiPriority w:val="0"/>
    <w:rPr>
      <w:rFonts w:ascii="宋体" w:hAnsi="宋体" w:eastAsia="宋体" w:cs="宋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3374</Words>
  <Characters>3677</Characters>
  <Lines>0</Lines>
  <Paragraphs>0</Paragraphs>
  <TotalTime>0</TotalTime>
  <ScaleCrop>false</ScaleCrop>
  <LinksUpToDate>false</LinksUpToDate>
  <CharactersWithSpaces>4367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2023-06-29T01:48:00Z</dcterms:created>
  <dc:creator>张亚娜</dc:creator>
  <cp:lastModifiedBy>张亚娜</cp:lastModifiedBy>
  <dcterms:modified xsi:type="dcterms:W3CDTF">2023-06-29T01:49:14Z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0F17F5D2BD6B4DC58964CC3B80DE3CFD_11</vt:lpwstr>
  </property>
</Properties>
</file>