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eastAsia="仿宋" w:cs="仿宋"/>
          <w:b/>
          <w:kern w:val="2"/>
          <w:sz w:val="32"/>
          <w:szCs w:val="32"/>
          <w:highlight w:val="none"/>
          <w:lang w:val="zh-CN"/>
        </w:rPr>
      </w:pPr>
      <w:bookmarkStart w:id="1" w:name="_GoBack"/>
      <w:bookmarkEnd w:id="1"/>
      <w:r>
        <w:rPr>
          <w:rFonts w:hint="eastAsia" w:ascii="仿宋" w:eastAsia="仿宋" w:cs="仿宋"/>
          <w:b/>
          <w:kern w:val="2"/>
          <w:sz w:val="32"/>
          <w:szCs w:val="32"/>
          <w:highlight w:val="none"/>
          <w:lang w:val="zh-CN"/>
        </w:rPr>
        <w:t>采购需求</w:t>
      </w:r>
    </w:p>
    <w:tbl>
      <w:tblPr>
        <w:tblStyle w:val="7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7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69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招标要求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扫描架系统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1.1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扫描架孔径：≥70cm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1.2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扫描架物理倾角（非数字）：≥±30°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1.3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探测器类型：稀土陶瓷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1.4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探测器排数：≥64排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1.5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探测器Z轴覆盖宽度：≥40mm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1.6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每排探测器单元数：≥900个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1.7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探测器物理单元总数：≥70000个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1.8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探测器Z轴最小晶体单元尺寸：≤0.6mm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1.9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最薄采集层厚：≤0.6mm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1.10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探测器最高数据采样率：≥4800views/360°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1.11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提供内置三维激光定位系统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1.12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提供机架内置无线一体化心电监测系统，无需外接心电监测设备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1.13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焦点到探测器距离：≥1050mm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1.14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焦点到扫描野中心距离：≥570mm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1.15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滑环类型：低压滑环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2．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扫描床系统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2.1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扫描床垂直升降最高高度：≥95cm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2.2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扫描床垂直升降最低高度：≤48cm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2.3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扫描床水平移动最大范围：≥210cm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2.4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扫描床水平最大可扫描范围：≥170cm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2.5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扫描床水平移动最高速度：≥200mm/s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2.6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扫描床水平移动最小速度：≤2mm/s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2.7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扫描床升降最大速度：≥40mm/s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2.8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扫描床承重量：≥205kg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2.9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扫描床移动精度：≤±0.25mm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2.10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提供扫描床控制脚踏开关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X线球管及高压发生器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3.1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球管阳极物理热容量（非等效）：≥7.5MHU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3.2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球管阳极实际散热率：≥1300KHU/min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3.3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球管最大电流：≥660mA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3.4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球管最小电流：≤10mA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3.5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球管最小电流递增幅度：≤1mA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3.6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球管最小输出管电压：≤70kV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3.7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球管最大输出管电压：≥130kV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3.8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球管最大焦点：≤1.0mm×1.0mm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3.9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球管最小焦点：≤0.7mm×0.7mm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3.10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高压发生器物理功率（非等效）：≥80kW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3.11</w:t>
            </w:r>
          </w:p>
        </w:tc>
        <w:tc>
          <w:tcPr>
            <w:tcW w:w="769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球管电压可调档位数量：≥5档，最低≤70kV，最高≥140kV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扫描参数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4.1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最快扫描时间/360°：≤0.35s/360°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4.2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单圈采集层数：≥128层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4.3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最薄采集层厚：≤0.625mm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4.4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扫描采集视野：≥50cm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4.5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最大螺距：≥2.0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4.6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最小螺距：≤0.1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</w:t>
            </w:r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单次连续螺旋扫描：≥100秒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4.8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提供10mA肺部扫描技术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4.9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提供智能mA调节技术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5.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AI全智能扫描导航系统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具备以下功能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5.1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摄像采集系统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5.2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智能定位：患者上床后可自动识别全身位置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5.3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可识别的患者体位种类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5.4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智能追踪：患者移动时，可自动追踪识别新的患者全身位置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5.5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智能摆位：可根据扫描协议和患者位置，自动设置进床位置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5.6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看护功能：扫描中可实时观察患者情况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5.7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智能扫描计划：可根据扫描协议和定位像，自动设置扫描起始位置、扫描角度和FOV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5.8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协议选择优化：可根据使用频率优化扫描协议排序，将最常用的扫描协议排序至顶端，方便技师选择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6.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图像质量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6.1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X-Y轴空间分辨率@MTF0%：≥20LP/CM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6.2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Z轴空间分辨率@MTF0%：≥20LP/CM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6.3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密度分辨率：≤2mm@0.3%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6.4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最小CT值（非扩展）：≤-1000HU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6.5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最大CT值（非扩展）：≥+8000HU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6.6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超高图像重建矩阵：≥1024X1024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6.7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图像重建速度：≥40幅/秒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6.8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提供最新最先进的低剂量技术平台：提供相应证明材料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6.9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提供最新最先进去伪影技术：提供相应证明材料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7.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主控制台计算机系统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7.1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主CPU型号：≥Intel Xeon E5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7.2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CPU：≥4核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7.3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内存：≥16GB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7.4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硬盘容量：≥1.0TB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7.5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图像存储量：≥900,000幅(512矩阵不压缩图像)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7.6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存储系统：DVD-RW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7.7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图像格式和传输存储：DICOM 3.0具有存贮、传输、查询、工作单管理、打印等PACS联接功能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8.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临床应用软件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具备以下功能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8.1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多平面重建（MPR）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8.2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最大密度投影（MIP）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8.3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最小密度投影（MinP）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8.4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曲面重建（CPR）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8.5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容积三维重建（VR）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8.6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区域生长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8.7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表面重建（SSD）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8.8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提供多种容积三维重建模板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8.9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三维仿真内窥镜显示功能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8.10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图像减影功能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8.11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电影模式图像浏览功能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8.12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模拟手术刀功能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8.13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多期增强扫描技术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8.14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CTA血管造影技术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8.15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CTU尿路造影技术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8.16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造影剂自动跟踪技术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8.17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小剂量团注跟踪测试技术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8.18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脑出血测量技术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8.19</w:t>
            </w:r>
          </w:p>
        </w:tc>
        <w:tc>
          <w:tcPr>
            <w:tcW w:w="76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脑容积测量技术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9.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提供原厂图像后处理工作站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9.1</w:t>
            </w:r>
          </w:p>
        </w:tc>
        <w:tc>
          <w:tcPr>
            <w:tcW w:w="769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主频：≥2.0GHz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9.2</w:t>
            </w:r>
          </w:p>
        </w:tc>
        <w:tc>
          <w:tcPr>
            <w:tcW w:w="769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CPU：≥4核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9.3</w:t>
            </w:r>
          </w:p>
        </w:tc>
        <w:tc>
          <w:tcPr>
            <w:tcW w:w="769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内存：≥16GB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9.4</w:t>
            </w:r>
          </w:p>
        </w:tc>
        <w:tc>
          <w:tcPr>
            <w:tcW w:w="769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硬盘容量：≥1.0TB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9.5</w:t>
            </w:r>
          </w:p>
        </w:tc>
        <w:tc>
          <w:tcPr>
            <w:tcW w:w="769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永久贮存刻录方式：DVD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9.6</w:t>
            </w:r>
          </w:p>
        </w:tc>
        <w:tc>
          <w:tcPr>
            <w:tcW w:w="769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图像格式、传输存储：DICOM 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10.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心血管成像及高级后处理软件包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具备以下功能：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10.1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心脏扫描与图像重建技术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10.2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心电门控技术及门控装置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10.3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床旁心电图显示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10.4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主控台心电图显示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10.5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前瞻式门控成像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10.6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心脏扫描自动时相技术，根据病人心率不同自动选择曝光时相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10.7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回顾式螺旋扫描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10.8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心脏扫描自动螺距技术，根据病人心率不同自动选择螺距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10.9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自动心律不齐检测和曝光调整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10.10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ECG自动管电流调制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10.11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图像预览功能，依据某一解剖层面重建0-100%时相数据，挑选最佳时相进行全心脏图像重建，事先无需重建全心脏数据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10.12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最佳时相自动重建功能，心脏扫描结束后自动重建最佳舒张期、收缩期图像，无需人为选择期相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10.13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针对房颤、室早等不同心律不齐，提供心电编辑软件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10.14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心血管高级后处理软件包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10.15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冠脉分析支持多期相数据加载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10.16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心脏自动分割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10.17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腔室自动分割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10.18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冠脉自动分割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10.19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中心线自动提取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10.20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中心线自动命名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10.21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中心线编辑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10.22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区域增长（血管，软组织）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10.23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单点冠脉半自动提取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10.24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多点冠脉半自动提取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10.25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手动编辑：裁剪、橡皮擦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10.26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狭窄近端远端距离测量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10.27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管径轮廓编辑:具备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10.28</w:t>
            </w:r>
          </w:p>
        </w:tc>
        <w:tc>
          <w:tcPr>
            <w:tcW w:w="76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狭窄参数计算（直径、截面积、长度、狭窄容积）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11.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灌注成像及高级后处理软件包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具备以下功能：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11.1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灌注扫描与图像重建技术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11.2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灌注采样最短间隔时间:1s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11.3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灌注非等间隔采样功能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11.4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神经系统一站式成像，一次对比剂注射，可以完成全脑血管、全脑4D血流成像、全脑动态灌注成像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11.5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脑部灌注分析软件包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11.6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卒中协议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11.7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肿瘤协议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11.8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头部运动校正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11.9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自动去骨分割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11.10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自动脑脊液分割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11.11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自动动静脉点选择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11.12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同时支持手动选取动静脉点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11.13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血管抑制屏蔽不参与计算的血管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11.14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自动计算CBV，CBF，TTP，MTT、Tmax和PS 等灌注参数，并以伪彩标记显示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11.15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自动计算感兴趣区的面积、最大值、最小值、平均值等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11.16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自动绘制感兴趣区的时间密度曲线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11.17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自动生成中心线对称的ROI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11.18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对称ROI对比统计分析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11.19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根据灌注参数阈值的缺血半暗带，梗死和缺血区计算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11.20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不同程度滤波调节，可对噪声较大的图像进行降噪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11.21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体灌注分析软件包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11.22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肝脏灌注分析协议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11.23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肺部灌注分析协议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11.24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肿瘤灌注分析协议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11.25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肾脏灌注分析协议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11.26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胰腺灌注分析协议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11.27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脾脏灌注分析协议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11.28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子宫灌注分析协议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11.29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运动校正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11.30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自动/手动软组织分割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11.31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自动肝动脉和门静脉选择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11.32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同时支持手动定义肝动脉和门静脉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11.33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血管抑制屏蔽不参与计算的血管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11.34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自动计算BV、BF、HAP、PVP、HPI、MTT、TTP等灌注参数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11.35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自动计算ROI的面积、最大值、最小值、平均值和标准差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11.36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自动绘制感兴趣区的时间密度曲线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12.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4D动态成像及高级后处理软件包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具备以下功能：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12.1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动态扫描与图像重建技术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12.2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摇篮床动态扫描范围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12.3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动态扫描非等间隔采样功能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12.4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4D动态分析软件包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12.5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多期相数据运动校正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12.6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选择多时刻点进行数据融合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12.7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动态数据电影播放功能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12.8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自动绘制感兴趣区的时间密度曲线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12.9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自动头部去骨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12.10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自动体部去骨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12.11</w:t>
            </w:r>
          </w:p>
        </w:tc>
        <w:tc>
          <w:tcPr>
            <w:tcW w:w="769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动静脉自动分离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12.12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支持通过区域生长编辑血管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12.13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头颈部血管分析高级后处理软件包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12.14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头颈部血管一键提取，无需平扫数据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12.15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头颈部DSA剪影去骨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12.16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一键分割和提取动脉瘤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12.17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动脉瘤体积、截面积、直径自动计算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12.18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自动去除静脉窦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12.19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支持通过多点追踪、管径轮廓编辑、血管/骨区域生长对血管进行编辑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12.20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中心线自动提取、中心线追踪、中心线编辑、显示/隐藏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12.21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支持对血管狭窄异常进行手动标记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12.22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狭窄程度计算：参考面选取、面积、直径、狭窄率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12.23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血管多参数计算：长度、直径、面积、角度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12.24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体部血管分析高级后处理软件包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12.25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体部血管一键提取，无需平扫数据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12.26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泌尿系统一键提取（输尿管、膀胱、尿道）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12.27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探针手动去骨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12.28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支持通过多点追踪、管径轮廓编辑、血管/骨区域生长对血管进行编辑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12.29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中心线自动提取、中心线追踪、中心线编辑、显示/隐藏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12.30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支持对血管狭窄异常进行手动标记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12.31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狭窄程度计算：参考面选取、面积、直径、狭窄率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12.32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血管多参数计算：长度、直径、面积、角度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12.33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一键式结构化报告，可将计算结果、截图直接发送至报告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13.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肺结节分析高级后处理软件包: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13.1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肺结节自动检测和分割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13.2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支持不同类型结节的提取：实性结节、磨玻璃结节、混合性结节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13.3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结节轮廓线可编辑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13.4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自动测量结节直径、体积、CT值等参数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13.5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自动计算结节内感兴趣成分占病灶整体的体积百分比、CT值等定量分析数据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13.6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支持同一患者在不同时间段的两个序列的图像比较，同步翻页阅片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13.7</w:t>
            </w:r>
          </w:p>
        </w:tc>
        <w:tc>
          <w:tcPr>
            <w:tcW w:w="7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结节传递：随访数据的结节半自动分割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13.8</w:t>
            </w:r>
          </w:p>
        </w:tc>
        <w:tc>
          <w:tcPr>
            <w:tcW w:w="769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支持评估结节的变化曲线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14.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肺实质分析高级后处理软件包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具备以下功能：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14.1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肺自动分割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14.2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肺轮廓编辑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14.3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肺叶自动分割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14.4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肺裂线调整、肺叶结果编辑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14.5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支持根据密度高低阈值调节的肺密度分析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14.6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肺气肿量化测量和颜色标记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14.7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左肺右肺全肺体积等参数、肺叶体积等参数、密度直方图及表格等参数计算及显示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14.8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气管自动分割、中心线自动提取，多截面及拉直CPR显示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14.9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中心线手动提取、中心线校正、气管内外径轮廓编辑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14.10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气道定量计算：提供截面积、气道壁面积和占比等参数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15.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提供肿瘤、结肠、体部血管分析功能软件包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配套设施及售后服务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16.1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整机保修(含工作站)：2年，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以验收时间为准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16.2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负责机房改造，提供设备运行所需附属器件，如配电柜、空调等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16.3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提供配套设备，供货方负责派合格的工程师到现场进行设备安装、调试，达到正常运作要求，保证买方正常使用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16.4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提供现场使用培训，不小于2次，每次时长不小于1周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16.5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机房用X线防护用品：防护服2套，铅衣整理架一个，铅帘2张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16.7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三通道无筒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高压注射器1台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单向滚子泵主机可调注射参数，最大压力≥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350psi，具备自动气泡检测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16.8</w:t>
            </w:r>
          </w:p>
        </w:tc>
        <w:tc>
          <w:tcPr>
            <w:tcW w:w="769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bidi="ar"/>
              </w:rPr>
              <w:t>配备高级工作台两张，工作椅两把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16.9</w:t>
            </w:r>
          </w:p>
        </w:tc>
        <w:tc>
          <w:tcPr>
            <w:tcW w:w="7695" w:type="dxa"/>
            <w:shd w:val="clear" w:color="auto" w:fill="auto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知名品牌一体机电脑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2台；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28英寸，触摸屏，处理器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i9-12000H，内存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32GB，支持指纹开机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16.10</w:t>
            </w:r>
          </w:p>
        </w:tc>
        <w:tc>
          <w:tcPr>
            <w:tcW w:w="7695" w:type="dxa"/>
            <w:shd w:val="clear" w:color="auto" w:fill="auto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负责设备与医院信息化网络接口链接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YTIwNTRjYmJiMzcwOTU5NWY2NGMwNWE2NWZkZGMifQ=="/>
  </w:docVars>
  <w:rsids>
    <w:rsidRoot w:val="78C55C3A"/>
    <w:rsid w:val="0DFC4EFB"/>
    <w:rsid w:val="24747FE9"/>
    <w:rsid w:val="27A1228D"/>
    <w:rsid w:val="317B0E62"/>
    <w:rsid w:val="44A906F3"/>
    <w:rsid w:val="4A39325E"/>
    <w:rsid w:val="4DB4130B"/>
    <w:rsid w:val="537A0008"/>
    <w:rsid w:val="60540AE2"/>
    <w:rsid w:val="6E7E3BB7"/>
    <w:rsid w:val="78C5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eastAsia="宋体" w:cs="宋体" w:asciiTheme="minorAscii" w:hAnsiTheme="minorAscii"/>
      <w:b/>
      <w:kern w:val="44"/>
      <w:sz w:val="36"/>
      <w:szCs w:val="36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1"/>
    </w:pPr>
    <w:rPr>
      <w:rFonts w:ascii="宋体" w:hAnsi="宋体" w:eastAsia="宋体" w:cs="宋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2"/>
    </w:pPr>
    <w:rPr>
      <w:rFonts w:ascii="Times New Roman" w:hAnsi="Times New Roman" w:eastAsia="宋体" w:cs="Times New Roman"/>
      <w:b/>
      <w:sz w:val="32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60" w:lineRule="auto"/>
      <w:outlineLvl w:val="4"/>
    </w:pPr>
    <w:rPr>
      <w:rFonts w:asciiTheme="minorAscii" w:hAnsiTheme="minorAscii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</w:rPr>
  </w:style>
  <w:style w:type="character" w:customStyle="1" w:styleId="9">
    <w:name w:val="标题 1 Char"/>
    <w:link w:val="2"/>
    <w:qFormat/>
    <w:uiPriority w:val="0"/>
    <w:rPr>
      <w:rFonts w:eastAsia="宋体" w:cs="宋体" w:asciiTheme="minorAscii" w:hAnsiTheme="minorAscii"/>
      <w:b/>
      <w:kern w:val="44"/>
      <w:sz w:val="36"/>
      <w:szCs w:val="36"/>
    </w:rPr>
  </w:style>
  <w:style w:type="character" w:customStyle="1" w:styleId="10">
    <w:name w:val="标题 2 Char"/>
    <w:link w:val="3"/>
    <w:uiPriority w:val="0"/>
    <w:rPr>
      <w:rFonts w:ascii="宋体" w:hAnsi="宋体" w:eastAsia="宋体" w:cs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2023-07-11T02:40:00Z</dcterms:created>
  <dc:creator>张亚娜</dc:creator>
  <cp:lastModifiedBy>张亚娜</cp:lastModifiedBy>
  <dcterms:modified xsi:type="dcterms:W3CDTF">2023-07-11T02:41:10Z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364CC21D9E244E88BABA9C7CA7EE07A5_11</vt:lpwstr>
  </property>
</Properties>
</file>