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outlineLvl w:val="0"/>
        <w:rPr>
          <w:rFonts w:hint="eastAsia" w:ascii="宋体" w:hAnsi="宋体" w:eastAsia="宋体" w:cs="宋体"/>
          <w:b/>
          <w:color w:val="auto"/>
          <w:sz w:val="32"/>
          <w:szCs w:val="32"/>
          <w:highlight w:val="none"/>
        </w:rPr>
      </w:pPr>
      <w:bookmarkStart w:id="0" w:name="_Toc13625"/>
      <w:bookmarkStart w:id="1" w:name="_Toc15068"/>
    </w:p>
    <w:p>
      <w:pPr>
        <w:spacing w:line="800" w:lineRule="exact"/>
        <w:outlineLvl w:val="0"/>
        <w:rPr>
          <w:rFonts w:hint="eastAsia" w:ascii="宋体" w:hAnsi="宋体" w:eastAsia="宋体" w:cs="宋体"/>
          <w:b/>
          <w:color w:val="auto"/>
          <w:sz w:val="32"/>
          <w:szCs w:val="32"/>
          <w:highlight w:val="none"/>
          <w:lang w:eastAsia="zh-CN"/>
        </w:rPr>
      </w:pPr>
      <w:bookmarkStart w:id="2" w:name="_Toc13555"/>
      <w:r>
        <w:rPr>
          <w:rFonts w:hint="eastAsia" w:ascii="宋体" w:hAnsi="宋体" w:eastAsia="宋体" w:cs="宋体"/>
          <w:b/>
          <w:color w:val="auto"/>
          <w:sz w:val="32"/>
          <w:szCs w:val="32"/>
          <w:highlight w:val="none"/>
        </w:rPr>
        <w:t>项目编号:</w:t>
      </w:r>
      <w:bookmarkEnd w:id="0"/>
      <w:bookmarkEnd w:id="1"/>
      <w:r>
        <w:rPr>
          <w:rFonts w:hint="eastAsia" w:ascii="宋体" w:hAnsi="宋体" w:eastAsia="宋体" w:cs="宋体"/>
          <w:b/>
          <w:color w:val="auto"/>
          <w:sz w:val="32"/>
          <w:szCs w:val="32"/>
          <w:highlight w:val="none"/>
          <w:lang w:eastAsia="zh-CN"/>
        </w:rPr>
        <w:t>HSGJ2023-171</w:t>
      </w:r>
      <w:bookmarkEnd w:id="2"/>
    </w:p>
    <w:p>
      <w:pPr>
        <w:pStyle w:val="16"/>
        <w:rPr>
          <w:rFonts w:hint="eastAsia" w:ascii="宋体" w:hAnsi="宋体" w:eastAsia="宋体" w:cs="宋体"/>
          <w:b/>
          <w:color w:val="auto"/>
          <w:sz w:val="28"/>
          <w:szCs w:val="28"/>
          <w:highlight w:val="none"/>
        </w:rPr>
      </w:pPr>
    </w:p>
    <w:p>
      <w:pPr>
        <w:pStyle w:val="16"/>
        <w:rPr>
          <w:rFonts w:hint="eastAsia" w:ascii="宋体" w:hAnsi="宋体" w:eastAsia="宋体" w:cs="宋体"/>
          <w:color w:val="auto"/>
          <w:sz w:val="28"/>
          <w:szCs w:val="28"/>
          <w:highlight w:val="none"/>
        </w:rPr>
      </w:pPr>
    </w:p>
    <w:p>
      <w:pPr>
        <w:pStyle w:val="16"/>
        <w:rPr>
          <w:rFonts w:hint="eastAsia" w:ascii="宋体" w:hAnsi="宋体" w:eastAsia="宋体" w:cs="宋体"/>
          <w:b/>
          <w:color w:val="auto"/>
          <w:sz w:val="52"/>
          <w:szCs w:val="52"/>
          <w:highlight w:val="none"/>
        </w:rPr>
      </w:pPr>
    </w:p>
    <w:p>
      <w:pPr>
        <w:jc w:val="center"/>
        <w:outlineLvl w:val="0"/>
        <w:rPr>
          <w:rFonts w:hint="eastAsia" w:ascii="宋体" w:hAnsi="宋体" w:eastAsia="宋体" w:cs="宋体"/>
          <w:b/>
          <w:bCs/>
          <w:color w:val="auto"/>
          <w:sz w:val="56"/>
          <w:szCs w:val="56"/>
          <w:highlight w:val="none"/>
          <w:lang w:eastAsia="zh-CN"/>
        </w:rPr>
      </w:pPr>
      <w:bookmarkStart w:id="3" w:name="_Toc8987"/>
      <w:r>
        <w:rPr>
          <w:rFonts w:hint="eastAsia" w:ascii="宋体" w:hAnsi="宋体" w:eastAsia="宋体" w:cs="宋体"/>
          <w:b/>
          <w:bCs/>
          <w:color w:val="auto"/>
          <w:sz w:val="56"/>
          <w:szCs w:val="56"/>
          <w:highlight w:val="none"/>
          <w:lang w:eastAsia="zh-CN"/>
        </w:rPr>
        <w:t>西安市文物保护考古研究院综合业务处理系统开发</w:t>
      </w:r>
      <w:bookmarkEnd w:id="3"/>
    </w:p>
    <w:p>
      <w:pPr>
        <w:tabs>
          <w:tab w:val="left" w:pos="5145"/>
        </w:tabs>
        <w:spacing w:line="1400" w:lineRule="atLeast"/>
        <w:jc w:val="center"/>
        <w:rPr>
          <w:rFonts w:hint="eastAsia" w:ascii="宋体" w:hAnsi="宋体" w:eastAsia="宋体" w:cs="宋体"/>
          <w:b/>
          <w:color w:val="auto"/>
          <w:sz w:val="64"/>
          <w:szCs w:val="56"/>
          <w:highlight w:val="none"/>
        </w:rPr>
      </w:pPr>
    </w:p>
    <w:p>
      <w:pPr>
        <w:tabs>
          <w:tab w:val="left" w:pos="5145"/>
        </w:tabs>
        <w:spacing w:line="1400" w:lineRule="atLeast"/>
        <w:jc w:val="center"/>
        <w:outlineLvl w:val="0"/>
        <w:rPr>
          <w:rFonts w:hint="eastAsia" w:ascii="宋体" w:hAnsi="宋体" w:eastAsia="宋体" w:cs="宋体"/>
          <w:b/>
          <w:color w:val="auto"/>
          <w:sz w:val="64"/>
          <w:szCs w:val="56"/>
          <w:highlight w:val="none"/>
        </w:rPr>
      </w:pPr>
      <w:bookmarkStart w:id="4" w:name="_Toc15337"/>
      <w:bookmarkStart w:id="5" w:name="_Toc14588"/>
      <w:bookmarkStart w:id="6" w:name="_Toc6890"/>
      <w:r>
        <w:rPr>
          <w:rFonts w:hint="eastAsia" w:ascii="宋体" w:hAnsi="宋体" w:eastAsia="宋体" w:cs="宋体"/>
          <w:b/>
          <w:color w:val="auto"/>
          <w:sz w:val="64"/>
          <w:szCs w:val="56"/>
          <w:highlight w:val="none"/>
        </w:rPr>
        <w:t>公开招标文件</w:t>
      </w:r>
      <w:bookmarkEnd w:id="4"/>
      <w:bookmarkEnd w:id="5"/>
      <w:bookmarkEnd w:id="6"/>
    </w:p>
    <w:p>
      <w:pPr>
        <w:pStyle w:val="24"/>
        <w:rPr>
          <w:rFonts w:hint="eastAsia" w:ascii="宋体" w:hAnsi="宋体" w:eastAsia="宋体" w:cs="宋体"/>
          <w:b/>
          <w:color w:val="auto"/>
          <w:sz w:val="52"/>
          <w:szCs w:val="52"/>
          <w:highlight w:val="none"/>
        </w:rPr>
      </w:pPr>
    </w:p>
    <w:p>
      <w:pPr>
        <w:pStyle w:val="24"/>
        <w:rPr>
          <w:rFonts w:hint="eastAsia" w:ascii="宋体" w:hAnsi="宋体" w:eastAsia="宋体" w:cs="宋体"/>
          <w:b/>
          <w:color w:val="auto"/>
          <w:sz w:val="52"/>
          <w:szCs w:val="52"/>
          <w:highlight w:val="none"/>
        </w:rPr>
      </w:pPr>
    </w:p>
    <w:p>
      <w:pPr>
        <w:pStyle w:val="24"/>
        <w:rPr>
          <w:rFonts w:hint="eastAsia" w:ascii="宋体" w:hAnsi="宋体" w:eastAsia="宋体" w:cs="宋体"/>
          <w:b/>
          <w:color w:val="auto"/>
          <w:sz w:val="52"/>
          <w:szCs w:val="52"/>
          <w:highlight w:val="none"/>
        </w:rPr>
      </w:pPr>
    </w:p>
    <w:p>
      <w:pPr>
        <w:pStyle w:val="24"/>
        <w:rPr>
          <w:rFonts w:hint="eastAsia" w:ascii="宋体" w:hAnsi="宋体" w:eastAsia="宋体" w:cs="宋体"/>
          <w:b/>
          <w:color w:val="auto"/>
          <w:sz w:val="52"/>
          <w:szCs w:val="52"/>
          <w:highlight w:val="none"/>
        </w:rPr>
      </w:pPr>
    </w:p>
    <w:p>
      <w:pPr>
        <w:spacing w:line="480" w:lineRule="auto"/>
        <w:ind w:firstLine="1280" w:firstLineChars="400"/>
        <w:outlineLvl w:val="0"/>
        <w:rPr>
          <w:rFonts w:hint="eastAsia" w:ascii="宋体" w:hAnsi="宋体" w:eastAsia="宋体" w:cs="宋体"/>
          <w:b/>
          <w:color w:val="auto"/>
          <w:sz w:val="32"/>
          <w:szCs w:val="32"/>
          <w:highlight w:val="none"/>
          <w:lang w:eastAsia="zh-CN"/>
        </w:rPr>
      </w:pPr>
      <w:bookmarkStart w:id="7" w:name="_Toc12262"/>
      <w:bookmarkStart w:id="8" w:name="_Toc2655"/>
      <w:bookmarkStart w:id="9" w:name="_Toc27290"/>
      <w:r>
        <w:rPr>
          <w:rFonts w:hint="eastAsia" w:ascii="宋体" w:hAnsi="宋体" w:eastAsia="宋体" w:cs="宋体"/>
          <w:b/>
          <w:color w:val="auto"/>
          <w:sz w:val="32"/>
          <w:szCs w:val="32"/>
          <w:highlight w:val="none"/>
        </w:rPr>
        <w:t>采   购   人：</w:t>
      </w:r>
      <w:bookmarkEnd w:id="7"/>
      <w:bookmarkEnd w:id="8"/>
      <w:r>
        <w:rPr>
          <w:rFonts w:hint="eastAsia" w:ascii="宋体" w:hAnsi="宋体" w:eastAsia="宋体" w:cs="宋体"/>
          <w:b/>
          <w:color w:val="auto"/>
          <w:sz w:val="32"/>
          <w:szCs w:val="32"/>
          <w:highlight w:val="none"/>
          <w:lang w:eastAsia="zh-CN"/>
        </w:rPr>
        <w:t>西安市文物保护考古研究院</w:t>
      </w:r>
      <w:bookmarkEnd w:id="9"/>
    </w:p>
    <w:p>
      <w:pPr>
        <w:spacing w:line="480" w:lineRule="auto"/>
        <w:ind w:firstLine="1280" w:firstLineChars="400"/>
        <w:outlineLvl w:val="0"/>
        <w:rPr>
          <w:rFonts w:hint="eastAsia" w:ascii="宋体" w:hAnsi="宋体" w:eastAsia="宋体" w:cs="宋体"/>
          <w:b/>
          <w:color w:val="auto"/>
          <w:sz w:val="32"/>
          <w:szCs w:val="32"/>
          <w:highlight w:val="none"/>
        </w:rPr>
      </w:pPr>
      <w:bookmarkStart w:id="10" w:name="_Toc9269"/>
      <w:bookmarkStart w:id="11" w:name="_Toc16289"/>
      <w:bookmarkStart w:id="12" w:name="_Toc7270"/>
      <w:bookmarkStart w:id="13" w:name="_Toc2128"/>
      <w:r>
        <w:rPr>
          <w:rFonts w:hint="eastAsia" w:ascii="宋体" w:hAnsi="宋体" w:eastAsia="宋体" w:cs="宋体"/>
          <w:b/>
          <w:color w:val="auto"/>
          <w:sz w:val="32"/>
          <w:szCs w:val="32"/>
          <w:highlight w:val="none"/>
        </w:rPr>
        <w:t>采购代理机构：</w:t>
      </w:r>
      <w:bookmarkEnd w:id="10"/>
      <w:r>
        <w:rPr>
          <w:rFonts w:hint="eastAsia" w:ascii="宋体" w:hAnsi="宋体" w:eastAsia="宋体" w:cs="宋体"/>
          <w:b/>
          <w:color w:val="auto"/>
          <w:sz w:val="32"/>
          <w:szCs w:val="32"/>
          <w:highlight w:val="none"/>
        </w:rPr>
        <w:t>华晟国际项目管理有限公司</w:t>
      </w:r>
      <w:bookmarkEnd w:id="11"/>
      <w:bookmarkEnd w:id="12"/>
      <w:bookmarkEnd w:id="13"/>
    </w:p>
    <w:p>
      <w:pPr>
        <w:spacing w:line="480" w:lineRule="auto"/>
        <w:ind w:firstLine="1280" w:firstLineChars="400"/>
        <w:outlineLvl w:val="0"/>
        <w:rPr>
          <w:rFonts w:hint="eastAsia" w:ascii="宋体" w:hAnsi="宋体" w:eastAsia="宋体" w:cs="宋体"/>
          <w:b/>
          <w:color w:val="auto"/>
          <w:sz w:val="32"/>
          <w:szCs w:val="32"/>
          <w:highlight w:val="none"/>
        </w:rPr>
      </w:pPr>
      <w:bookmarkStart w:id="14" w:name="_Toc2766"/>
      <w:bookmarkStart w:id="15" w:name="_Toc4570"/>
      <w:bookmarkStart w:id="16" w:name="_Toc221"/>
      <w:r>
        <w:rPr>
          <w:rFonts w:hint="eastAsia" w:ascii="宋体" w:hAnsi="宋体" w:eastAsia="宋体" w:cs="宋体"/>
          <w:b/>
          <w:color w:val="auto"/>
          <w:sz w:val="32"/>
          <w:szCs w:val="32"/>
          <w:highlight w:val="none"/>
        </w:rPr>
        <w:t>日        期：二〇二三年</w:t>
      </w:r>
      <w:r>
        <w:rPr>
          <w:rFonts w:hint="eastAsia" w:ascii="宋体" w:hAnsi="宋体" w:cs="宋体"/>
          <w:b/>
          <w:color w:val="auto"/>
          <w:sz w:val="32"/>
          <w:szCs w:val="32"/>
          <w:highlight w:val="none"/>
          <w:lang w:eastAsia="zh-CN"/>
        </w:rPr>
        <w:t>七</w:t>
      </w:r>
      <w:r>
        <w:rPr>
          <w:rFonts w:hint="eastAsia" w:ascii="宋体" w:hAnsi="宋体" w:eastAsia="宋体" w:cs="宋体"/>
          <w:b/>
          <w:color w:val="auto"/>
          <w:sz w:val="32"/>
          <w:szCs w:val="32"/>
          <w:highlight w:val="none"/>
        </w:rPr>
        <w:t>月</w:t>
      </w:r>
      <w:bookmarkEnd w:id="14"/>
      <w:bookmarkEnd w:id="15"/>
      <w:bookmarkEnd w:id="16"/>
    </w:p>
    <w:p>
      <w:pPr>
        <w:spacing w:line="480" w:lineRule="auto"/>
        <w:jc w:val="center"/>
        <w:outlineLvl w:val="9"/>
        <w:rPr>
          <w:rFonts w:hint="eastAsia" w:ascii="宋体" w:hAnsi="宋体" w:eastAsia="宋体" w:cs="宋体"/>
          <w:b/>
          <w:bCs/>
          <w:color w:val="auto"/>
          <w:sz w:val="44"/>
          <w:szCs w:val="52"/>
          <w:highlight w:val="none"/>
        </w:rPr>
      </w:pPr>
    </w:p>
    <w:p>
      <w:pPr>
        <w:spacing w:line="480" w:lineRule="auto"/>
        <w:jc w:val="center"/>
        <w:outlineLvl w:val="0"/>
        <w:rPr>
          <w:rFonts w:hint="eastAsia" w:ascii="宋体" w:hAnsi="宋体" w:eastAsia="宋体" w:cs="宋体"/>
          <w:b/>
          <w:bCs/>
          <w:color w:val="auto"/>
          <w:sz w:val="44"/>
          <w:szCs w:val="52"/>
          <w:highlight w:val="none"/>
        </w:rPr>
        <w:sectPr>
          <w:headerReference r:id="rId3" w:type="default"/>
          <w:footerReference r:id="rId4" w:type="default"/>
          <w:footerReference r:id="rId5" w:type="even"/>
          <w:pgSz w:w="11906" w:h="16838"/>
          <w:pgMar w:top="1440" w:right="1083" w:bottom="1440" w:left="1519" w:header="851" w:footer="992" w:gutter="0"/>
          <w:pgNumType w:fmt="decimal" w:start="1"/>
          <w:cols w:space="425" w:num="1"/>
          <w:docGrid w:type="linesAndChars" w:linePitch="420" w:charSpace="0"/>
        </w:sectPr>
      </w:pPr>
    </w:p>
    <w:p>
      <w:pPr>
        <w:spacing w:line="480" w:lineRule="auto"/>
        <w:jc w:val="center"/>
        <w:outlineLvl w:val="0"/>
        <w:rPr>
          <w:rFonts w:hint="eastAsia" w:ascii="宋体" w:hAnsi="宋体" w:eastAsia="宋体" w:cs="宋体"/>
          <w:b/>
          <w:bCs/>
          <w:color w:val="auto"/>
          <w:sz w:val="52"/>
          <w:szCs w:val="52"/>
          <w:highlight w:val="none"/>
        </w:rPr>
      </w:pPr>
      <w:bookmarkStart w:id="17" w:name="_Toc2208"/>
      <w:r>
        <w:rPr>
          <w:rFonts w:hint="eastAsia" w:ascii="宋体" w:hAnsi="宋体" w:eastAsia="宋体" w:cs="宋体"/>
          <w:b/>
          <w:bCs/>
          <w:color w:val="auto"/>
          <w:sz w:val="44"/>
          <w:szCs w:val="52"/>
          <w:highlight w:val="none"/>
        </w:rPr>
        <w:t>目录</w:t>
      </w:r>
      <w:bookmarkEnd w:id="17"/>
    </w:p>
    <w:p>
      <w:pPr>
        <w:pStyle w:val="26"/>
        <w:tabs>
          <w:tab w:val="right" w:leader="dot" w:pos="9304"/>
        </w:tabs>
        <w:rPr>
          <w:b/>
          <w:bCs/>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"1-1" \h \u </w:instrText>
      </w:r>
      <w:r>
        <w:rPr>
          <w:rFonts w:hint="eastAsia" w:ascii="宋体" w:hAnsi="宋体" w:eastAsia="宋体" w:cs="宋体"/>
          <w:color w:val="auto"/>
          <w:highlight w:val="none"/>
        </w:rPr>
        <w:fldChar w:fldCharType="separate"/>
      </w:r>
    </w:p>
    <w:p>
      <w:pPr>
        <w:pStyle w:val="26"/>
        <w:tabs>
          <w:tab w:val="right" w:leader="dot" w:pos="9304"/>
        </w:tabs>
        <w:rPr>
          <w:b/>
          <w:bCs/>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_Toc30683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szCs w:val="32"/>
          <w:highlight w:val="none"/>
        </w:rPr>
        <w:t>第一章  招标公告</w:t>
      </w:r>
      <w:r>
        <w:rPr>
          <w:b/>
          <w:bCs/>
          <w:color w:val="auto"/>
          <w:highlight w:val="none"/>
        </w:rPr>
        <w:tab/>
      </w:r>
      <w:r>
        <w:rPr>
          <w:b/>
          <w:bCs/>
          <w:color w:val="auto"/>
          <w:highlight w:val="none"/>
        </w:rPr>
        <w:fldChar w:fldCharType="begin"/>
      </w:r>
      <w:r>
        <w:rPr>
          <w:b/>
          <w:bCs/>
          <w:color w:val="auto"/>
          <w:highlight w:val="none"/>
        </w:rPr>
        <w:instrText xml:space="preserve"> PAGEREF _Toc30683 \h </w:instrText>
      </w:r>
      <w:r>
        <w:rPr>
          <w:b/>
          <w:bCs/>
          <w:color w:val="auto"/>
          <w:highlight w:val="none"/>
        </w:rPr>
        <w:fldChar w:fldCharType="separate"/>
      </w:r>
      <w:r>
        <w:rPr>
          <w:b/>
          <w:bCs/>
          <w:color w:val="auto"/>
          <w:highlight w:val="none"/>
        </w:rPr>
        <w:t>1</w:t>
      </w:r>
      <w:r>
        <w:rPr>
          <w:b/>
          <w:bCs/>
          <w:color w:val="auto"/>
          <w:highlight w:val="none"/>
        </w:rPr>
        <w:fldChar w:fldCharType="end"/>
      </w:r>
      <w:r>
        <w:rPr>
          <w:rFonts w:hint="eastAsia" w:ascii="宋体" w:hAnsi="宋体" w:eastAsia="宋体" w:cs="宋体"/>
          <w:b/>
          <w:bCs/>
          <w:color w:val="auto"/>
          <w:highlight w:val="none"/>
        </w:rPr>
        <w:fldChar w:fldCharType="end"/>
      </w:r>
    </w:p>
    <w:p>
      <w:pPr>
        <w:pStyle w:val="26"/>
        <w:tabs>
          <w:tab w:val="right" w:leader="dot" w:pos="9304"/>
        </w:tabs>
        <w:rPr>
          <w:b/>
          <w:bCs/>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_Toc25783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szCs w:val="32"/>
          <w:highlight w:val="none"/>
        </w:rPr>
        <w:t>第二章  供应商须知</w:t>
      </w:r>
      <w:r>
        <w:rPr>
          <w:b/>
          <w:bCs/>
          <w:color w:val="auto"/>
          <w:highlight w:val="none"/>
        </w:rPr>
        <w:tab/>
      </w:r>
      <w:r>
        <w:rPr>
          <w:b/>
          <w:bCs/>
          <w:color w:val="auto"/>
          <w:highlight w:val="none"/>
        </w:rPr>
        <w:fldChar w:fldCharType="begin"/>
      </w:r>
      <w:r>
        <w:rPr>
          <w:b/>
          <w:bCs/>
          <w:color w:val="auto"/>
          <w:highlight w:val="none"/>
        </w:rPr>
        <w:instrText xml:space="preserve"> PAGEREF _Toc25783 \h </w:instrText>
      </w:r>
      <w:r>
        <w:rPr>
          <w:b/>
          <w:bCs/>
          <w:color w:val="auto"/>
          <w:highlight w:val="none"/>
        </w:rPr>
        <w:fldChar w:fldCharType="separate"/>
      </w:r>
      <w:r>
        <w:rPr>
          <w:b/>
          <w:bCs/>
          <w:color w:val="auto"/>
          <w:highlight w:val="none"/>
        </w:rPr>
        <w:t>7</w:t>
      </w:r>
      <w:r>
        <w:rPr>
          <w:b/>
          <w:bCs/>
          <w:color w:val="auto"/>
          <w:highlight w:val="none"/>
        </w:rPr>
        <w:fldChar w:fldCharType="end"/>
      </w:r>
      <w:r>
        <w:rPr>
          <w:rFonts w:hint="eastAsia" w:ascii="宋体" w:hAnsi="宋体" w:eastAsia="宋体" w:cs="宋体"/>
          <w:b/>
          <w:bCs/>
          <w:color w:val="auto"/>
          <w:highlight w:val="none"/>
        </w:rPr>
        <w:fldChar w:fldCharType="end"/>
      </w:r>
    </w:p>
    <w:p>
      <w:pPr>
        <w:pStyle w:val="26"/>
        <w:tabs>
          <w:tab w:val="right" w:leader="dot" w:pos="9304"/>
        </w:tabs>
        <w:rPr>
          <w:b/>
          <w:bCs/>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_Toc3819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szCs w:val="32"/>
          <w:highlight w:val="none"/>
        </w:rPr>
        <w:t>第三章  招标内容及要求</w:t>
      </w:r>
      <w:r>
        <w:rPr>
          <w:b/>
          <w:bCs/>
          <w:color w:val="auto"/>
          <w:highlight w:val="none"/>
        </w:rPr>
        <w:tab/>
      </w:r>
      <w:r>
        <w:rPr>
          <w:b/>
          <w:bCs/>
          <w:color w:val="auto"/>
          <w:highlight w:val="none"/>
        </w:rPr>
        <w:fldChar w:fldCharType="begin"/>
      </w:r>
      <w:r>
        <w:rPr>
          <w:b/>
          <w:bCs/>
          <w:color w:val="auto"/>
          <w:highlight w:val="none"/>
        </w:rPr>
        <w:instrText xml:space="preserve"> PAGEREF _Toc3819 \h </w:instrText>
      </w:r>
      <w:r>
        <w:rPr>
          <w:b/>
          <w:bCs/>
          <w:color w:val="auto"/>
          <w:highlight w:val="none"/>
        </w:rPr>
        <w:fldChar w:fldCharType="separate"/>
      </w:r>
      <w:r>
        <w:rPr>
          <w:b/>
          <w:bCs/>
          <w:color w:val="auto"/>
          <w:highlight w:val="none"/>
        </w:rPr>
        <w:t>55</w:t>
      </w:r>
      <w:r>
        <w:rPr>
          <w:b/>
          <w:bCs/>
          <w:color w:val="auto"/>
          <w:highlight w:val="none"/>
        </w:rPr>
        <w:fldChar w:fldCharType="end"/>
      </w:r>
      <w:r>
        <w:rPr>
          <w:rFonts w:hint="eastAsia" w:ascii="宋体" w:hAnsi="宋体" w:eastAsia="宋体" w:cs="宋体"/>
          <w:b/>
          <w:bCs/>
          <w:color w:val="auto"/>
          <w:highlight w:val="none"/>
        </w:rPr>
        <w:fldChar w:fldCharType="end"/>
      </w:r>
    </w:p>
    <w:p>
      <w:pPr>
        <w:pStyle w:val="26"/>
        <w:tabs>
          <w:tab w:val="right" w:leader="dot" w:pos="9304"/>
        </w:tabs>
        <w:rPr>
          <w:b/>
          <w:bCs/>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_Toc29276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szCs w:val="32"/>
          <w:highlight w:val="none"/>
        </w:rPr>
        <w:t xml:space="preserve">第四章  </w:t>
      </w:r>
      <w:r>
        <w:rPr>
          <w:rFonts w:hint="eastAsia" w:ascii="宋体" w:hAnsi="宋体" w:eastAsia="宋体" w:cs="宋体"/>
          <w:b/>
          <w:bCs/>
          <w:color w:val="auto"/>
          <w:szCs w:val="32"/>
          <w:highlight w:val="none"/>
          <w:lang w:eastAsia="zh-CN"/>
        </w:rPr>
        <w:t>商务及</w:t>
      </w:r>
      <w:r>
        <w:rPr>
          <w:rFonts w:hint="eastAsia" w:ascii="宋体" w:hAnsi="宋体" w:eastAsia="宋体" w:cs="宋体"/>
          <w:b/>
          <w:bCs/>
          <w:color w:val="auto"/>
          <w:szCs w:val="32"/>
          <w:highlight w:val="none"/>
        </w:rPr>
        <w:t>合同文本</w:t>
      </w:r>
      <w:r>
        <w:rPr>
          <w:b/>
          <w:bCs/>
          <w:color w:val="auto"/>
          <w:highlight w:val="none"/>
        </w:rPr>
        <w:tab/>
      </w:r>
      <w:r>
        <w:rPr>
          <w:b/>
          <w:bCs/>
          <w:color w:val="auto"/>
          <w:highlight w:val="none"/>
        </w:rPr>
        <w:fldChar w:fldCharType="begin"/>
      </w:r>
      <w:r>
        <w:rPr>
          <w:b/>
          <w:bCs/>
          <w:color w:val="auto"/>
          <w:highlight w:val="none"/>
        </w:rPr>
        <w:instrText xml:space="preserve"> PAGEREF _Toc29276 \h </w:instrText>
      </w:r>
      <w:r>
        <w:rPr>
          <w:b/>
          <w:bCs/>
          <w:color w:val="auto"/>
          <w:highlight w:val="none"/>
        </w:rPr>
        <w:fldChar w:fldCharType="separate"/>
      </w:r>
      <w:r>
        <w:rPr>
          <w:b/>
          <w:bCs/>
          <w:color w:val="auto"/>
          <w:highlight w:val="none"/>
        </w:rPr>
        <w:t>64</w:t>
      </w:r>
      <w:r>
        <w:rPr>
          <w:b/>
          <w:bCs/>
          <w:color w:val="auto"/>
          <w:highlight w:val="none"/>
        </w:rPr>
        <w:fldChar w:fldCharType="end"/>
      </w:r>
      <w:r>
        <w:rPr>
          <w:rFonts w:hint="eastAsia" w:ascii="宋体" w:hAnsi="宋体" w:eastAsia="宋体" w:cs="宋体"/>
          <w:b/>
          <w:bCs/>
          <w:color w:val="auto"/>
          <w:highlight w:val="none"/>
        </w:rPr>
        <w:fldChar w:fldCharType="end"/>
      </w:r>
    </w:p>
    <w:p>
      <w:pPr>
        <w:pStyle w:val="26"/>
        <w:tabs>
          <w:tab w:val="right" w:leader="dot" w:pos="9304"/>
        </w:tabs>
        <w:rPr>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_Toc18612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szCs w:val="32"/>
          <w:highlight w:val="none"/>
        </w:rPr>
        <w:t>第五章  投标文件构成及格式</w:t>
      </w:r>
      <w:r>
        <w:rPr>
          <w:b/>
          <w:bCs/>
          <w:color w:val="auto"/>
          <w:highlight w:val="none"/>
        </w:rPr>
        <w:tab/>
      </w:r>
      <w:r>
        <w:rPr>
          <w:b/>
          <w:bCs/>
          <w:color w:val="auto"/>
          <w:highlight w:val="none"/>
        </w:rPr>
        <w:fldChar w:fldCharType="begin"/>
      </w:r>
      <w:r>
        <w:rPr>
          <w:b/>
          <w:bCs/>
          <w:color w:val="auto"/>
          <w:highlight w:val="none"/>
        </w:rPr>
        <w:instrText xml:space="preserve"> PAGEREF _Toc18612 \h </w:instrText>
      </w:r>
      <w:r>
        <w:rPr>
          <w:b/>
          <w:bCs/>
          <w:color w:val="auto"/>
          <w:highlight w:val="none"/>
        </w:rPr>
        <w:fldChar w:fldCharType="separate"/>
      </w:r>
      <w:r>
        <w:rPr>
          <w:b/>
          <w:bCs/>
          <w:color w:val="auto"/>
          <w:highlight w:val="none"/>
        </w:rPr>
        <w:t>72</w:t>
      </w:r>
      <w:r>
        <w:rPr>
          <w:b/>
          <w:bCs/>
          <w:color w:val="auto"/>
          <w:highlight w:val="none"/>
        </w:rPr>
        <w:fldChar w:fldCharType="end"/>
      </w:r>
      <w:r>
        <w:rPr>
          <w:rFonts w:hint="eastAsia" w:ascii="宋体" w:hAnsi="宋体" w:eastAsia="宋体" w:cs="宋体"/>
          <w:b/>
          <w:bCs/>
          <w:color w:val="auto"/>
          <w:highlight w:val="none"/>
        </w:rPr>
        <w:fldChar w:fldCharType="end"/>
      </w:r>
    </w:p>
    <w:p>
      <w:pPr>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pPr>
        <w:pStyle w:val="3"/>
        <w:tabs>
          <w:tab w:val="left" w:pos="4631"/>
        </w:tabs>
        <w:ind w:right="113"/>
        <w:rPr>
          <w:rFonts w:hint="eastAsia" w:ascii="宋体" w:hAnsi="宋体" w:eastAsia="宋体" w:cs="宋体"/>
          <w:b/>
          <w:bCs/>
          <w:color w:val="auto"/>
          <w:sz w:val="32"/>
          <w:szCs w:val="32"/>
          <w:highlight w:val="none"/>
        </w:rPr>
        <w:sectPr>
          <w:footerReference r:id="rId6" w:type="default"/>
          <w:pgSz w:w="11906" w:h="16838"/>
          <w:pgMar w:top="1440" w:right="1083" w:bottom="1440" w:left="1519" w:header="851" w:footer="992" w:gutter="0"/>
          <w:pgNumType w:fmt="decimal" w:start="1"/>
          <w:cols w:space="425" w:num="1"/>
          <w:docGrid w:type="linesAndChars" w:linePitch="420" w:charSpace="0"/>
        </w:sectPr>
      </w:pPr>
    </w:p>
    <w:p>
      <w:pPr>
        <w:pStyle w:val="3"/>
        <w:tabs>
          <w:tab w:val="left" w:pos="4631"/>
        </w:tabs>
        <w:ind w:right="113"/>
        <w:rPr>
          <w:rFonts w:hint="eastAsia" w:ascii="宋体" w:hAnsi="宋体" w:eastAsia="宋体" w:cs="宋体"/>
          <w:color w:val="auto"/>
          <w:sz w:val="30"/>
          <w:szCs w:val="30"/>
          <w:highlight w:val="none"/>
        </w:rPr>
      </w:pPr>
      <w:bookmarkStart w:id="18" w:name="_Toc30683"/>
      <w:r>
        <w:rPr>
          <w:rFonts w:hint="eastAsia" w:ascii="宋体" w:hAnsi="宋体" w:eastAsia="宋体" w:cs="宋体"/>
          <w:b/>
          <w:bCs/>
          <w:color w:val="auto"/>
          <w:sz w:val="32"/>
          <w:szCs w:val="32"/>
          <w:highlight w:val="none"/>
        </w:rPr>
        <w:t>第一章  招标公告</w:t>
      </w:r>
      <w:bookmarkEnd w:id="18"/>
    </w:p>
    <w:p>
      <w:pPr>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项目概况</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西安市文物保护考古研究院综合业务处理系统开发</w:t>
      </w:r>
      <w:r>
        <w:rPr>
          <w:rFonts w:hint="eastAsia" w:ascii="宋体" w:hAnsi="宋体" w:eastAsia="宋体" w:cs="宋体"/>
          <w:color w:val="auto"/>
          <w:highlight w:val="none"/>
        </w:rPr>
        <w:t>的潜在投标人应在全国公共资源交易平台（陕西省·西安市）网站〖首页〉电子交易平台〉陕西政府采购交易系统〉企业端〗（http://sxggzyjy.xa.gov.cn/）获取招标文件，并于2023年</w:t>
      </w:r>
      <w:r>
        <w:rPr>
          <w:rFonts w:hint="eastAsia" w:ascii="宋体" w:hAnsi="宋体" w:cs="宋体"/>
          <w:color w:val="auto"/>
          <w:highlight w:val="none"/>
          <w:lang w:val="en-US" w:eastAsia="zh-CN"/>
        </w:rPr>
        <w:t>07</w:t>
      </w:r>
      <w:r>
        <w:rPr>
          <w:rFonts w:hint="eastAsia" w:ascii="宋体" w:hAnsi="宋体" w:eastAsia="宋体" w:cs="宋体"/>
          <w:color w:val="auto"/>
          <w:highlight w:val="none"/>
        </w:rPr>
        <w:t>月</w:t>
      </w:r>
      <w:r>
        <w:rPr>
          <w:rFonts w:hint="eastAsia" w:ascii="宋体" w:hAnsi="宋体" w:cs="宋体"/>
          <w:color w:val="auto"/>
          <w:highlight w:val="none"/>
          <w:lang w:val="en-US" w:eastAsia="zh-CN"/>
        </w:rPr>
        <w:t>25</w:t>
      </w:r>
      <w:r>
        <w:rPr>
          <w:rFonts w:hint="eastAsia" w:ascii="宋体" w:hAnsi="宋体" w:eastAsia="宋体" w:cs="宋体"/>
          <w:color w:val="auto"/>
          <w:highlight w:val="none"/>
        </w:rPr>
        <w:t>日</w:t>
      </w:r>
      <w:r>
        <w:rPr>
          <w:rFonts w:hint="eastAsia" w:ascii="宋体" w:hAnsi="宋体" w:cs="宋体"/>
          <w:color w:val="auto"/>
          <w:highlight w:val="none"/>
          <w:lang w:val="en-US" w:eastAsia="zh-CN"/>
        </w:rPr>
        <w:t>0</w:t>
      </w:r>
      <w:r>
        <w:rPr>
          <w:rFonts w:hint="eastAsia" w:ascii="宋体" w:hAnsi="宋体" w:eastAsia="宋体" w:cs="宋体"/>
          <w:color w:val="auto"/>
          <w:highlight w:val="none"/>
        </w:rPr>
        <w:t>9点</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0分（北京时间）前递交投标文件。</w:t>
      </w:r>
    </w:p>
    <w:p>
      <w:pPr>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一、项目基本情况</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项目编号：</w:t>
      </w:r>
      <w:r>
        <w:rPr>
          <w:rFonts w:hint="eastAsia" w:ascii="宋体" w:hAnsi="宋体" w:eastAsia="宋体" w:cs="宋体"/>
          <w:color w:val="auto"/>
          <w:highlight w:val="none"/>
          <w:lang w:eastAsia="zh-CN"/>
        </w:rPr>
        <w:t>HSGJ2023-171</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eastAsia="宋体" w:cs="宋体"/>
          <w:color w:val="auto"/>
          <w:highlight w:val="none"/>
          <w:lang w:eastAsia="zh-CN"/>
        </w:rPr>
        <w:t>西安市文物保护考古研究院综合业务处理系统开发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采购方式：公开招标</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预算金额：</w:t>
      </w:r>
      <w:r>
        <w:rPr>
          <w:rFonts w:hint="eastAsia" w:ascii="宋体" w:hAnsi="宋体" w:eastAsia="宋体" w:cs="宋体"/>
          <w:color w:val="auto"/>
          <w:highlight w:val="none"/>
          <w:lang w:eastAsia="zh-CN"/>
        </w:rPr>
        <w:t>2000000.00</w:t>
      </w:r>
      <w:r>
        <w:rPr>
          <w:rFonts w:hint="eastAsia" w:ascii="宋体" w:hAnsi="宋体" w:eastAsia="宋体" w:cs="宋体"/>
          <w:color w:val="auto"/>
          <w:highlight w:val="none"/>
        </w:rPr>
        <w:t>元</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采购需求：</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合同包1（</w:t>
      </w:r>
      <w:r>
        <w:rPr>
          <w:rFonts w:hint="eastAsia" w:ascii="宋体" w:hAnsi="宋体" w:eastAsia="宋体" w:cs="宋体"/>
          <w:color w:val="auto"/>
          <w:highlight w:val="none"/>
          <w:lang w:eastAsia="zh-CN"/>
        </w:rPr>
        <w:t>西安市文物保护考古研究院综合业务处理系统开发</w:t>
      </w:r>
      <w:r>
        <w:rPr>
          <w:rFonts w:hint="eastAsia" w:ascii="宋体" w:hAnsi="宋体" w:eastAsia="宋体" w:cs="宋体"/>
          <w:color w:val="auto"/>
          <w:highlight w:val="none"/>
        </w:rPr>
        <w:t>）</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合同包预算金额：</w:t>
      </w:r>
      <w:r>
        <w:rPr>
          <w:rFonts w:hint="eastAsia" w:ascii="宋体" w:hAnsi="宋体" w:eastAsia="宋体" w:cs="宋体"/>
          <w:color w:val="auto"/>
          <w:highlight w:val="none"/>
          <w:lang w:eastAsia="zh-CN"/>
        </w:rPr>
        <w:t>2000000.00</w:t>
      </w:r>
      <w:r>
        <w:rPr>
          <w:rFonts w:hint="eastAsia" w:ascii="宋体" w:hAnsi="宋体" w:eastAsia="宋体" w:cs="宋体"/>
          <w:color w:val="auto"/>
          <w:highlight w:val="none"/>
        </w:rPr>
        <w:t>元</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合同包最高限价：</w:t>
      </w:r>
    </w:p>
    <w:tbl>
      <w:tblPr>
        <w:tblStyle w:val="33"/>
        <w:tblW w:w="956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757"/>
        <w:gridCol w:w="1178"/>
        <w:gridCol w:w="1495"/>
        <w:gridCol w:w="1064"/>
        <w:gridCol w:w="1932"/>
        <w:gridCol w:w="1646"/>
        <w:gridCol w:w="14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41" w:hRule="atLeast"/>
          <w:tblHeader/>
        </w:trPr>
        <w:tc>
          <w:tcPr>
            <w:tcW w:w="757"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品目号</w:t>
            </w:r>
          </w:p>
        </w:tc>
        <w:tc>
          <w:tcPr>
            <w:tcW w:w="1178"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品目</w:t>
            </w:r>
          </w:p>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名称</w:t>
            </w:r>
          </w:p>
        </w:tc>
        <w:tc>
          <w:tcPr>
            <w:tcW w:w="1495"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采购标的</w:t>
            </w:r>
          </w:p>
        </w:tc>
        <w:tc>
          <w:tcPr>
            <w:tcW w:w="1064"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数量</w:t>
            </w:r>
          </w:p>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（辆）</w:t>
            </w:r>
          </w:p>
        </w:tc>
        <w:tc>
          <w:tcPr>
            <w:tcW w:w="193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技术规格、参数及要求</w:t>
            </w:r>
          </w:p>
        </w:tc>
        <w:tc>
          <w:tcPr>
            <w:tcW w:w="1646"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ind w:firstLine="240"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品目预算</w:t>
            </w:r>
          </w:p>
          <w:p>
            <w:pPr>
              <w:spacing w:line="360" w:lineRule="auto"/>
              <w:ind w:firstLine="480" w:firstLineChars="200"/>
              <w:jc w:val="center"/>
              <w:rPr>
                <w:rFonts w:hint="eastAsia" w:ascii="宋体" w:hAnsi="宋体" w:eastAsia="宋体" w:cs="宋体"/>
                <w:color w:val="auto"/>
                <w:highlight w:val="none"/>
              </w:rPr>
            </w:pPr>
            <w:r>
              <w:rPr>
                <w:rFonts w:hint="eastAsia" w:ascii="宋体" w:hAnsi="宋体" w:eastAsia="宋体" w:cs="宋体"/>
                <w:color w:val="auto"/>
                <w:highlight w:val="none"/>
              </w:rPr>
              <w:t>(元)</w:t>
            </w:r>
          </w:p>
        </w:tc>
        <w:tc>
          <w:tcPr>
            <w:tcW w:w="149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最高限价</w:t>
            </w:r>
          </w:p>
          <w:p>
            <w:pPr>
              <w:spacing w:line="360" w:lineRule="auto"/>
              <w:ind w:firstLine="240"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407" w:hRule="atLeast"/>
        </w:trPr>
        <w:tc>
          <w:tcPr>
            <w:tcW w:w="757"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1178"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应用软件</w:t>
            </w:r>
          </w:p>
        </w:tc>
        <w:tc>
          <w:tcPr>
            <w:tcW w:w="1495"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办公及业务信息平台软件开发</w:t>
            </w:r>
          </w:p>
        </w:tc>
        <w:tc>
          <w:tcPr>
            <w:tcW w:w="1064"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批</w:t>
            </w:r>
            <w:r>
              <w:rPr>
                <w:rFonts w:hint="eastAsia" w:ascii="宋体" w:hAnsi="宋体" w:eastAsia="宋体" w:cs="宋体"/>
                <w:color w:val="auto"/>
                <w:highlight w:val="none"/>
              </w:rPr>
              <w:t>)</w:t>
            </w:r>
          </w:p>
        </w:tc>
        <w:tc>
          <w:tcPr>
            <w:tcW w:w="193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详见采购文件</w:t>
            </w:r>
          </w:p>
        </w:tc>
        <w:tc>
          <w:tcPr>
            <w:tcW w:w="1646"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2000000.00</w:t>
            </w:r>
          </w:p>
        </w:tc>
        <w:tc>
          <w:tcPr>
            <w:tcW w:w="149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w:t>
            </w:r>
          </w:p>
        </w:tc>
      </w:tr>
    </w:tbl>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本项目不接受联合体投标。</w:t>
      </w:r>
    </w:p>
    <w:p>
      <w:pPr>
        <w:spacing w:line="360" w:lineRule="auto"/>
        <w:ind w:firstLine="480" w:firstLineChars="200"/>
        <w:jc w:val="both"/>
        <w:rPr>
          <w:rFonts w:hint="default" w:ascii="宋体" w:hAnsi="宋体" w:eastAsia="宋体" w:cs="宋体"/>
          <w:color w:val="auto"/>
          <w:highlight w:val="none"/>
          <w:lang w:val="en-US"/>
        </w:rPr>
      </w:pPr>
      <w:r>
        <w:rPr>
          <w:rFonts w:hint="eastAsia" w:ascii="宋体" w:hAnsi="宋体" w:eastAsia="宋体" w:cs="宋体"/>
          <w:color w:val="auto"/>
          <w:highlight w:val="none"/>
        </w:rPr>
        <w:t>合同履行期限：</w:t>
      </w:r>
      <w:r>
        <w:rPr>
          <w:rFonts w:hint="eastAsia" w:ascii="宋体" w:hAnsi="宋体" w:cs="宋体"/>
          <w:color w:val="auto"/>
          <w:highlight w:val="none"/>
          <w:lang w:val="en-US" w:eastAsia="zh-CN"/>
        </w:rPr>
        <w:t>合同签订后90日历日内交付。</w:t>
      </w:r>
    </w:p>
    <w:p>
      <w:pPr>
        <w:spacing w:line="360" w:lineRule="auto"/>
        <w:jc w:val="both"/>
        <w:rPr>
          <w:rFonts w:hint="eastAsia" w:ascii="宋体" w:hAnsi="宋体" w:eastAsia="宋体" w:cs="宋体"/>
          <w:color w:val="auto"/>
          <w:highlight w:val="none"/>
          <w:lang w:eastAsia="zh-CN"/>
        </w:rPr>
      </w:pPr>
      <w:r>
        <w:rPr>
          <w:rFonts w:hint="eastAsia" w:ascii="宋体" w:hAnsi="宋体" w:eastAsia="宋体" w:cs="宋体"/>
          <w:b/>
          <w:bCs/>
          <w:color w:val="auto"/>
          <w:highlight w:val="none"/>
        </w:rPr>
        <w:t>二、申请人的资格要求</w:t>
      </w:r>
      <w:r>
        <w:rPr>
          <w:rFonts w:hint="eastAsia" w:ascii="宋体" w:hAnsi="宋体" w:eastAsia="宋体" w:cs="宋体"/>
          <w:b/>
          <w:bCs/>
          <w:color w:val="auto"/>
          <w:highlight w:val="none"/>
          <w:lang w:eastAsia="zh-CN"/>
        </w:rPr>
        <w:t>：</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2、落实政府采购政策需满足的资格要求：</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合同包1(</w:t>
      </w:r>
      <w:r>
        <w:rPr>
          <w:rFonts w:hint="eastAsia" w:ascii="宋体" w:hAnsi="宋体" w:eastAsia="宋体" w:cs="宋体"/>
          <w:color w:val="auto"/>
          <w:highlight w:val="none"/>
          <w:lang w:eastAsia="zh-CN"/>
        </w:rPr>
        <w:t>西安市文物保护考古研究院综合业务处理系统开发</w:t>
      </w:r>
      <w:r>
        <w:rPr>
          <w:rFonts w:hint="eastAsia" w:ascii="宋体" w:hAnsi="宋体" w:eastAsia="宋体" w:cs="宋体"/>
          <w:color w:val="auto"/>
          <w:highlight w:val="none"/>
        </w:rPr>
        <w:t>):</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《政府采购促进中小企业发展管理办法》（财库﹝2020﹞46号）；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《财政部司法部关于政府采购支持监狱企业发展有关问题的通知》（财库〔2014〕68号）；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《国务院办公厅关于建立政府强制采购节能产品制度的通知》（国办发〔2007〕51号）；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《财政部环保总局关于环境标志产品政府采购实施的意见》（财库[2006]90号）；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《财政部国家发展改革委关于印发〈节能产品政府采购实施意见〉的通知》（财库〔2004〕185号）；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《三部门联合发布关于促进残疾人就业政府采购政策的通知》（财库〔2017〕141号）；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《财政部发展改革委生态环境部市场监管总局关于调整优化节能产品、环境标志产品政府采购执行机制的通知》（财库〔2019〕9号）；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《关于运用政府采购政策支持乡村产业振兴的通知》财库〔2021〕19号；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《陕西省中小企业政府采购信用融资办法》（陕财办采〔2018〕23号）；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《财政部 农业城市部 国家乡村振兴局 中华全国供销合作总社关于印发&lt;关于深入开展政府采购脱贫地区农副产品工作推进乡村产业振兴的实施意见&gt;的通知》（财库〔2021〕20 号）；</w:t>
      </w:r>
    </w:p>
    <w:p>
      <w:pPr>
        <w:pStyle w:val="12"/>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11)如有最新颁布的政府采购政策，按最新的文件执行；</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3、本项目的特定资格要求：</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合同包1(</w:t>
      </w:r>
      <w:r>
        <w:rPr>
          <w:rFonts w:hint="eastAsia" w:ascii="宋体" w:hAnsi="宋体" w:eastAsia="宋体" w:cs="宋体"/>
          <w:color w:val="auto"/>
          <w:highlight w:val="none"/>
          <w:lang w:eastAsia="zh-CN"/>
        </w:rPr>
        <w:t>西安市文物保护考古研究院综合业务处理系统开发</w:t>
      </w:r>
      <w:r>
        <w:rPr>
          <w:rFonts w:hint="eastAsia" w:ascii="宋体" w:hAnsi="宋体" w:eastAsia="宋体" w:cs="宋体"/>
          <w:color w:val="auto"/>
          <w:highlight w:val="none"/>
        </w:rPr>
        <w:t>)特定资格要求如下:</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（1）基本资格条件：符合《中华人民共和国政府采购法》第二十二条的规定；</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1）提供合格有效的法人或者其他组织的营业执照等证明文件或自然人的身份证明；</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2）财务状况报告：提供2021年度或2022年度的财务审计报告或开标前六个月内其基本存款账户开户银行出具的资信证明（附开户许可证或开户备案证明或基本账户信息）；</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3）社会保障资金缴纳证明：提供2022年7月1日至今已缴存的至少一个月的社会保障资金缴存单据或社保机构开具的社会保险参保缴费情况证明，依法不需要缴纳社会保障资金的单位应提供相关证明材料；</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4）税收缴纳证明：提供2022年7月1日至今已缴存的至少一个月的纳税证明或完税证明，依法免税的单位应提供相关证明材料；</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5）参加政府采购活动前3年内，在经营活动中没有重大违法记录的书面声明；</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6）供应商应授权合法的人员参加投标全过程，其中法定代表人直接参加投标的，须出具法定代表人身份证明，并与营业执照上信息一致。法定代表人授权代表参加投标的，须出具法定代表人授权书及授权代表身份证明；</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7）具备履行合同所必需的设备和专业技术能力的证明材料(由供应商根据项目需求提供说明材料或者承诺)；</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8）</w:t>
      </w:r>
      <w:r>
        <w:rPr>
          <w:rFonts w:hint="eastAsia" w:ascii="宋体" w:hAnsi="宋体" w:eastAsia="宋体" w:cs="宋体"/>
          <w:color w:val="auto"/>
          <w:highlight w:val="none"/>
          <w:lang w:eastAsia="zh-CN"/>
        </w:rPr>
        <w:t>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9）单位负责人为同一人或者存在直接控股、管理关系的不同投标人，不得参加同一合同项下的投标活动</w:t>
      </w:r>
      <w:r>
        <w:rPr>
          <w:rFonts w:hint="eastAsia" w:ascii="宋体" w:hAnsi="宋体" w:eastAsia="宋体" w:cs="宋体"/>
          <w:color w:val="auto"/>
          <w:highlight w:val="none"/>
          <w:lang w:eastAsia="zh-CN"/>
        </w:rPr>
        <w:t>；</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10)</w:t>
      </w:r>
      <w:r>
        <w:rPr>
          <w:rFonts w:hint="eastAsia" w:ascii="宋体" w:hAnsi="宋体" w:cs="宋体"/>
          <w:color w:val="auto"/>
          <w:highlight w:val="none"/>
          <w:lang w:val="en-US" w:eastAsia="zh-CN"/>
        </w:rPr>
        <w:t>本项目专门面向中小企业</w:t>
      </w:r>
      <w:r>
        <w:rPr>
          <w:rFonts w:hint="eastAsia" w:ascii="宋体" w:hAnsi="宋体" w:eastAsia="宋体" w:cs="宋体"/>
          <w:color w:val="auto"/>
          <w:highlight w:val="none"/>
          <w:lang w:val="en-US" w:eastAsia="zh-CN"/>
        </w:rPr>
        <w:t>。</w:t>
      </w:r>
    </w:p>
    <w:p>
      <w:pPr>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三、获取采购文件</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时间：2023年</w:t>
      </w:r>
      <w:r>
        <w:rPr>
          <w:rFonts w:hint="eastAsia" w:ascii="宋体" w:hAnsi="宋体" w:cs="宋体"/>
          <w:color w:val="auto"/>
          <w:highlight w:val="none"/>
          <w:lang w:val="en-US" w:eastAsia="zh-CN"/>
        </w:rPr>
        <w:t>07</w:t>
      </w:r>
      <w:r>
        <w:rPr>
          <w:rFonts w:hint="eastAsia" w:ascii="宋体" w:hAnsi="宋体" w:eastAsia="宋体" w:cs="宋体"/>
          <w:color w:val="auto"/>
          <w:highlight w:val="none"/>
        </w:rPr>
        <w:t>月</w:t>
      </w:r>
      <w:r>
        <w:rPr>
          <w:rFonts w:hint="eastAsia" w:ascii="宋体" w:hAnsi="宋体" w:cs="宋体"/>
          <w:color w:val="auto"/>
          <w:highlight w:val="none"/>
          <w:lang w:val="en-US" w:eastAsia="zh-CN"/>
        </w:rPr>
        <w:t>03</w:t>
      </w:r>
      <w:r>
        <w:rPr>
          <w:rFonts w:hint="eastAsia" w:ascii="宋体" w:hAnsi="宋体" w:eastAsia="宋体" w:cs="宋体"/>
          <w:color w:val="auto"/>
          <w:highlight w:val="none"/>
        </w:rPr>
        <w:t>日至2023年</w:t>
      </w:r>
      <w:r>
        <w:rPr>
          <w:rFonts w:hint="eastAsia" w:ascii="宋体" w:hAnsi="宋体" w:cs="宋体"/>
          <w:color w:val="auto"/>
          <w:highlight w:val="none"/>
          <w:lang w:val="en-US" w:eastAsia="zh-CN"/>
        </w:rPr>
        <w:t>07</w:t>
      </w:r>
      <w:r>
        <w:rPr>
          <w:rFonts w:hint="eastAsia" w:ascii="宋体" w:hAnsi="宋体" w:eastAsia="宋体" w:cs="宋体"/>
          <w:color w:val="auto"/>
          <w:highlight w:val="none"/>
        </w:rPr>
        <w:t>月</w:t>
      </w:r>
      <w:r>
        <w:rPr>
          <w:rFonts w:hint="eastAsia" w:ascii="宋体" w:hAnsi="宋体" w:cs="宋体"/>
          <w:color w:val="auto"/>
          <w:highlight w:val="none"/>
          <w:lang w:val="en-US" w:eastAsia="zh-CN"/>
        </w:rPr>
        <w:t>10</w:t>
      </w:r>
      <w:r>
        <w:rPr>
          <w:rFonts w:hint="eastAsia" w:ascii="宋体" w:hAnsi="宋体" w:eastAsia="宋体" w:cs="宋体"/>
          <w:color w:val="auto"/>
          <w:highlight w:val="none"/>
        </w:rPr>
        <w:t>日，每天上午 00:00:00 至 12:00:00 ，下午12:00:00至23:59:59（北京时间）</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途径：全国公共资源交易平台（陕西省·西安市）网站〖首页〉电子交易平台〉陕西政府采购交易系统〉企业端〗（http://sxggzyjy.xa.gov.cn/）</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方式：在线获取</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售价：免费获取</w:t>
      </w:r>
    </w:p>
    <w:p>
      <w:pPr>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四、提交投标文件截止时间、开标时间和地点</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时间：2023年</w:t>
      </w:r>
      <w:r>
        <w:rPr>
          <w:rFonts w:hint="eastAsia" w:ascii="宋体" w:hAnsi="宋体" w:cs="宋体"/>
          <w:color w:val="auto"/>
          <w:highlight w:val="none"/>
          <w:lang w:val="en-US" w:eastAsia="zh-CN"/>
        </w:rPr>
        <w:t>07</w:t>
      </w:r>
      <w:r>
        <w:rPr>
          <w:rFonts w:hint="eastAsia" w:ascii="宋体" w:hAnsi="宋体" w:eastAsia="宋体" w:cs="宋体"/>
          <w:color w:val="auto"/>
          <w:highlight w:val="none"/>
        </w:rPr>
        <w:t>月</w:t>
      </w:r>
      <w:r>
        <w:rPr>
          <w:rFonts w:hint="eastAsia" w:ascii="宋体" w:hAnsi="宋体" w:cs="宋体"/>
          <w:color w:val="auto"/>
          <w:highlight w:val="none"/>
          <w:lang w:val="en-US" w:eastAsia="zh-CN"/>
        </w:rPr>
        <w:t>25</w:t>
      </w:r>
      <w:r>
        <w:rPr>
          <w:rFonts w:hint="eastAsia" w:ascii="宋体" w:hAnsi="宋体" w:eastAsia="宋体" w:cs="宋体"/>
          <w:color w:val="auto"/>
          <w:highlight w:val="none"/>
        </w:rPr>
        <w:t>日</w:t>
      </w:r>
      <w:r>
        <w:rPr>
          <w:rFonts w:hint="eastAsia" w:ascii="宋体" w:hAnsi="宋体" w:cs="宋体"/>
          <w:color w:val="auto"/>
          <w:highlight w:val="none"/>
          <w:lang w:val="en-US" w:eastAsia="zh-CN"/>
        </w:rPr>
        <w:t>0</w:t>
      </w:r>
      <w:r>
        <w:rPr>
          <w:rFonts w:hint="eastAsia" w:ascii="宋体" w:hAnsi="宋体" w:eastAsia="宋体" w:cs="宋体"/>
          <w:color w:val="auto"/>
          <w:highlight w:val="none"/>
        </w:rPr>
        <w:t>9时</w:t>
      </w:r>
      <w:r>
        <w:rPr>
          <w:rFonts w:hint="eastAsia" w:ascii="宋体" w:hAnsi="宋体" w:cs="宋体"/>
          <w:color w:val="auto"/>
          <w:highlight w:val="none"/>
          <w:lang w:val="en-US" w:eastAsia="zh-CN"/>
        </w:rPr>
        <w:t>0</w:t>
      </w:r>
      <w:r>
        <w:rPr>
          <w:rFonts w:hint="eastAsia" w:ascii="宋体" w:hAnsi="宋体" w:eastAsia="宋体" w:cs="宋体"/>
          <w:color w:val="auto"/>
          <w:highlight w:val="none"/>
        </w:rPr>
        <w:t>0分（北京时间）</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提交投标文件地点：从西安市公共资源交易中心首页【首页·&gt;电子交易平台·&gt;陕西省政府采购系统·&gt;企业端】登录，登录后切换到【我的项目】模块，依次点选【项目流程·&gt;项目管理·&gt;上传投标文件】上传加密后的电子投标文件</w:t>
      </w:r>
      <w:r>
        <w:rPr>
          <w:rFonts w:hint="eastAsia" w:ascii="宋体" w:hAnsi="宋体" w:eastAsia="宋体" w:cs="宋体"/>
          <w:color w:val="auto"/>
          <w:highlight w:val="none"/>
          <w:lang w:eastAsia="zh-CN"/>
        </w:rPr>
        <w:t>。</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开标地点：全国公共资源交易平台（陕西省.西安</w:t>
      </w:r>
      <w:bookmarkStart w:id="56" w:name="_GoBack"/>
      <w:bookmarkEnd w:id="56"/>
      <w:r>
        <w:rPr>
          <w:rFonts w:hint="eastAsia" w:ascii="宋体" w:hAnsi="宋体" w:eastAsia="宋体" w:cs="宋体"/>
          <w:color w:val="auto"/>
          <w:highlight w:val="none"/>
        </w:rPr>
        <w:t>市）.不见面开标大厅。</w:t>
      </w:r>
    </w:p>
    <w:p>
      <w:pPr>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五、公告期限</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自本公告发布之日起5个工作日。</w:t>
      </w:r>
    </w:p>
    <w:p>
      <w:pPr>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六、其他补充事宜</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供应商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3.请供应商务必及时下载招标文件并做好备份，否则会影响投标文件编制及后续投标活动。</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5.按照陕西省财政厅《关于政府采购供应商注册登记有关事项的通知》中的要求，供应商应通过陕西省政府采购网（http://www.ccgp-shaanxi.gov.cn/）注册登记，加入陕西省政府采购供应商库。</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6.其他事项见本项目招标文件。</w:t>
      </w:r>
    </w:p>
    <w:p>
      <w:pPr>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 xml:space="preserve">七、对本次招标提出询问，请按以下方式联系。 </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1、采购人信息</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eastAsia="宋体" w:cs="宋体"/>
          <w:color w:val="auto"/>
          <w:highlight w:val="none"/>
          <w:lang w:eastAsia="zh-CN"/>
        </w:rPr>
        <w:t>西安市文物保护考古研究院</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地  址：</w:t>
      </w:r>
      <w:r>
        <w:rPr>
          <w:rFonts w:hint="eastAsia" w:ascii="宋体" w:hAnsi="宋体" w:eastAsia="宋体" w:cs="宋体"/>
          <w:color w:val="auto"/>
          <w:highlight w:val="none"/>
          <w:lang w:eastAsia="zh-CN"/>
        </w:rPr>
        <w:t>西安市碑林区友谊西路68号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联系方式：</w:t>
      </w:r>
      <w:r>
        <w:rPr>
          <w:rFonts w:hint="eastAsia" w:ascii="宋体" w:hAnsi="宋体" w:eastAsia="宋体" w:cs="宋体"/>
          <w:color w:val="auto"/>
          <w:highlight w:val="none"/>
          <w:lang w:eastAsia="zh-CN"/>
        </w:rPr>
        <w:t>张</w:t>
      </w:r>
      <w:r>
        <w:rPr>
          <w:rFonts w:hint="eastAsia" w:ascii="宋体" w:hAnsi="宋体" w:eastAsia="宋体" w:cs="宋体"/>
          <w:color w:val="auto"/>
          <w:highlight w:val="none"/>
        </w:rPr>
        <w:t>老师</w:t>
      </w:r>
      <w:r>
        <w:rPr>
          <w:rFonts w:hint="eastAsia" w:ascii="宋体" w:hAnsi="宋体" w:eastAsia="宋体" w:cs="宋体"/>
          <w:color w:val="auto"/>
          <w:highlight w:val="none"/>
          <w:lang w:val="en-US" w:eastAsia="zh-CN"/>
        </w:rPr>
        <w:t>029-85258795</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2、采购代理机构信息</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名  称：华晟国际项目管理有限公司</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地  址：西安市高新路88号尚品国际B幢25层</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联系方式：</w:t>
      </w:r>
      <w:r>
        <w:rPr>
          <w:rFonts w:hint="eastAsia" w:ascii="宋体" w:hAnsi="宋体" w:eastAsia="宋体" w:cs="宋体"/>
          <w:i w:val="0"/>
          <w:iCs w:val="0"/>
          <w:caps w:val="0"/>
          <w:color w:val="auto"/>
          <w:spacing w:val="0"/>
          <w:sz w:val="24"/>
          <w:szCs w:val="24"/>
          <w:highlight w:val="none"/>
          <w:shd w:val="clear" w:color="auto" w:fill="FFFFFF"/>
        </w:rPr>
        <w:t>029-81779899转8009</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3、项目联系方式</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项目联系人：</w:t>
      </w:r>
      <w:r>
        <w:rPr>
          <w:rFonts w:hint="eastAsia" w:ascii="宋体" w:hAnsi="宋体" w:eastAsia="宋体" w:cs="宋体"/>
          <w:color w:val="auto"/>
          <w:highlight w:val="none"/>
          <w:lang w:eastAsia="zh-CN"/>
        </w:rPr>
        <w:t>屈晨、杨帆、贾娜娜</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电 话：</w:t>
      </w:r>
      <w:r>
        <w:rPr>
          <w:rFonts w:hint="eastAsia" w:ascii="宋体" w:hAnsi="宋体" w:eastAsia="宋体" w:cs="宋体"/>
          <w:i w:val="0"/>
          <w:iCs w:val="0"/>
          <w:caps w:val="0"/>
          <w:color w:val="auto"/>
          <w:spacing w:val="0"/>
          <w:sz w:val="24"/>
          <w:szCs w:val="24"/>
          <w:highlight w:val="none"/>
          <w:shd w:val="clear" w:color="auto" w:fill="FFFFFF"/>
        </w:rPr>
        <w:t>029-81779899转8009</w:t>
      </w:r>
    </w:p>
    <w:p>
      <w:pPr>
        <w:spacing w:line="360" w:lineRule="auto"/>
        <w:ind w:firstLine="480" w:firstLineChars="200"/>
        <w:jc w:val="right"/>
        <w:rPr>
          <w:rFonts w:hint="eastAsia" w:ascii="宋体" w:hAnsi="宋体" w:eastAsia="宋体" w:cs="宋体"/>
          <w:color w:val="auto"/>
          <w:highlight w:val="none"/>
        </w:rPr>
      </w:pPr>
      <w:r>
        <w:rPr>
          <w:rFonts w:hint="eastAsia" w:ascii="宋体" w:hAnsi="宋体" w:eastAsia="宋体" w:cs="宋体"/>
          <w:color w:val="auto"/>
          <w:highlight w:val="none"/>
        </w:rPr>
        <w:t>华晟国际项目管理有限公司</w:t>
      </w:r>
    </w:p>
    <w:p>
      <w:pPr>
        <w:spacing w:line="360" w:lineRule="auto"/>
        <w:ind w:firstLine="480" w:firstLineChars="200"/>
        <w:jc w:val="right"/>
        <w:rPr>
          <w:rFonts w:hint="eastAsia" w:ascii="宋体" w:hAnsi="宋体" w:eastAsia="宋体" w:cs="宋体"/>
          <w:color w:val="auto"/>
          <w:highlight w:val="none"/>
        </w:rPr>
      </w:pPr>
      <w:r>
        <w:rPr>
          <w:rFonts w:hint="eastAsia" w:ascii="宋体" w:hAnsi="宋体" w:eastAsia="宋体" w:cs="宋体"/>
          <w:color w:val="auto"/>
          <w:highlight w:val="none"/>
        </w:rPr>
        <w:t>2023年</w:t>
      </w:r>
      <w:r>
        <w:rPr>
          <w:rFonts w:hint="eastAsia" w:ascii="宋体" w:hAnsi="宋体" w:cs="宋体"/>
          <w:color w:val="auto"/>
          <w:highlight w:val="none"/>
          <w:lang w:val="en-US" w:eastAsia="zh-CN"/>
        </w:rPr>
        <w:t>07</w:t>
      </w:r>
      <w:r>
        <w:rPr>
          <w:rFonts w:hint="eastAsia" w:ascii="宋体" w:hAnsi="宋体" w:eastAsia="宋体" w:cs="宋体"/>
          <w:color w:val="auto"/>
          <w:highlight w:val="none"/>
        </w:rPr>
        <w:t>月</w:t>
      </w:r>
      <w:r>
        <w:rPr>
          <w:rFonts w:hint="eastAsia" w:ascii="宋体" w:hAnsi="宋体" w:cs="宋体"/>
          <w:color w:val="auto"/>
          <w:highlight w:val="none"/>
          <w:lang w:val="en-US" w:eastAsia="zh-CN"/>
        </w:rPr>
        <w:t>03</w:t>
      </w:r>
      <w:r>
        <w:rPr>
          <w:rFonts w:hint="eastAsia" w:ascii="宋体" w:hAnsi="宋体" w:eastAsia="宋体" w:cs="宋体"/>
          <w:color w:val="auto"/>
          <w:highlight w:val="none"/>
        </w:rPr>
        <w:t>日</w:t>
      </w:r>
    </w:p>
    <w:p>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pPr>
        <w:pStyle w:val="3"/>
        <w:spacing w:line="240" w:lineRule="auto"/>
        <w:rPr>
          <w:rFonts w:hint="eastAsia" w:ascii="宋体" w:hAnsi="宋体" w:eastAsia="宋体" w:cs="宋体"/>
          <w:b/>
          <w:bCs/>
          <w:color w:val="auto"/>
          <w:highlight w:val="none"/>
        </w:rPr>
      </w:pPr>
      <w:bookmarkStart w:id="19" w:name="_Toc25783"/>
      <w:bookmarkStart w:id="20" w:name="_Toc6230"/>
      <w:r>
        <w:rPr>
          <w:rFonts w:hint="eastAsia" w:ascii="宋体" w:hAnsi="宋体" w:eastAsia="宋体" w:cs="宋体"/>
          <w:b/>
          <w:bCs/>
          <w:color w:val="auto"/>
          <w:sz w:val="32"/>
          <w:szCs w:val="32"/>
          <w:highlight w:val="none"/>
        </w:rPr>
        <w:t>第二章  供应商须知</w:t>
      </w:r>
      <w:bookmarkEnd w:id="19"/>
      <w:bookmarkEnd w:id="20"/>
    </w:p>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〖前附表〗</w:t>
      </w:r>
    </w:p>
    <w:tbl>
      <w:tblPr>
        <w:tblStyle w:val="33"/>
        <w:tblW w:w="4994"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36"/>
        <w:gridCol w:w="1234"/>
        <w:gridCol w:w="73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tcBorders>
              <w:top w:val="single" w:color="auto" w:sz="12" w:space="0"/>
            </w:tcBorders>
            <w:shd w:val="clear" w:color="auto" w:fill="F2F2F2"/>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649" w:type="pct"/>
            <w:tcBorders>
              <w:top w:val="single" w:color="auto" w:sz="12" w:space="0"/>
            </w:tcBorders>
            <w:shd w:val="clear" w:color="auto" w:fill="F2F2F2"/>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内容</w:t>
            </w:r>
          </w:p>
        </w:tc>
        <w:tc>
          <w:tcPr>
            <w:tcW w:w="3858" w:type="pct"/>
            <w:tcBorders>
              <w:top w:val="single" w:color="auto" w:sz="12" w:space="0"/>
            </w:tcBorders>
            <w:shd w:val="clear" w:color="auto" w:fill="F2F2F2"/>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3858" w:type="pct"/>
            <w:vAlign w:val="center"/>
          </w:tcPr>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西安市文物保护考古研究院综合业务处理系统开发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项目编号</w:t>
            </w:r>
          </w:p>
        </w:tc>
        <w:tc>
          <w:tcPr>
            <w:tcW w:w="3858" w:type="pct"/>
            <w:vAlign w:val="center"/>
          </w:tcPr>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HSGJ2023-171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备案（核准）编号</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ZCBN-西安市-2023-00970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Merge w:val="restar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是否预留份额</w:t>
            </w:r>
          </w:p>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专门面向中小企业采购</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是 ☐否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Merge w:val="continue"/>
            <w:vAlign w:val="center"/>
          </w:tcPr>
          <w:p>
            <w:pPr>
              <w:spacing w:line="360" w:lineRule="auto"/>
              <w:ind w:firstLine="480" w:firstLineChars="200"/>
              <w:jc w:val="both"/>
              <w:rPr>
                <w:rFonts w:hint="eastAsia" w:ascii="宋体" w:hAnsi="宋体" w:eastAsia="宋体" w:cs="宋体"/>
                <w:color w:val="auto"/>
                <w:highlight w:val="none"/>
              </w:rPr>
            </w:pP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支持中小企业发展</w:t>
            </w:r>
          </w:p>
        </w:tc>
        <w:tc>
          <w:tcPr>
            <w:tcW w:w="3858" w:type="pct"/>
            <w:vAlign w:val="center"/>
          </w:tcPr>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根据《政府采购促进中小企业发展管理办法》（财库〔2020〕46号）、《关于进一步加大政府采购支持中小企业力度的通知》财库〔2022〕19号文件的有关规定，货物</w:t>
            </w:r>
            <w:r>
              <w:rPr>
                <w:rFonts w:hint="eastAsia" w:ascii="宋体" w:hAnsi="宋体" w:eastAsia="宋体" w:cs="宋体"/>
                <w:color w:val="auto"/>
                <w:highlight w:val="none"/>
                <w:lang w:eastAsia="zh-CN"/>
              </w:rPr>
              <w:t>或服务项目投标人</w:t>
            </w:r>
            <w:r>
              <w:rPr>
                <w:rFonts w:hint="eastAsia" w:ascii="宋体" w:hAnsi="宋体" w:eastAsia="宋体" w:cs="宋体"/>
                <w:color w:val="auto"/>
                <w:highlight w:val="none"/>
              </w:rPr>
              <w:t>参与政府采购活动时对小微型企业产品的报价给予10%~20%（工程项目3%~5%）的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color w:val="auto"/>
                <w:kern w:val="0"/>
                <w:sz w:val="28"/>
                <w:szCs w:val="28"/>
                <w:highlight w:val="none"/>
              </w:rPr>
              <w:t>本项目所属行业为</w:t>
            </w:r>
            <w:r>
              <w:rPr>
                <w:rFonts w:hint="eastAsia" w:ascii="宋体" w:hAnsi="宋体" w:eastAsia="宋体" w:cs="宋体"/>
                <w:b/>
                <w:bCs/>
                <w:color w:val="auto"/>
                <w:kern w:val="0"/>
                <w:sz w:val="28"/>
                <w:szCs w:val="28"/>
                <w:highlight w:val="none"/>
                <w:lang w:eastAsia="zh-CN"/>
              </w:rPr>
              <w:t>软件和信息技术服务业。</w:t>
            </w:r>
          </w:p>
          <w:p>
            <w:pPr>
              <w:spacing w:line="360" w:lineRule="auto"/>
              <w:ind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本项目的扣除比例为：</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Merge w:val="continue"/>
            <w:vAlign w:val="center"/>
          </w:tcPr>
          <w:p>
            <w:pPr>
              <w:spacing w:line="360" w:lineRule="auto"/>
              <w:ind w:firstLine="480" w:firstLineChars="200"/>
              <w:jc w:val="both"/>
              <w:rPr>
                <w:rFonts w:hint="eastAsia" w:ascii="宋体" w:hAnsi="宋体" w:eastAsia="宋体" w:cs="宋体"/>
                <w:color w:val="auto"/>
                <w:highlight w:val="none"/>
              </w:rPr>
            </w:pP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支持监狱企业发展</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根据财政部、司法部联合下发的《关于政府采购支持监狱企业发展有关问题的通知》（财库〔2014〕68号）的规定，监狱企业视同小微型企业。价格评审时给予10%～20%的扣除，用扣除后的价格参与评审。</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本项目的扣除比例为：</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Merge w:val="continue"/>
            <w:vAlign w:val="center"/>
          </w:tcPr>
          <w:p>
            <w:pPr>
              <w:spacing w:line="360" w:lineRule="auto"/>
              <w:ind w:firstLine="480" w:firstLineChars="200"/>
              <w:jc w:val="both"/>
              <w:rPr>
                <w:rFonts w:hint="eastAsia" w:ascii="宋体" w:hAnsi="宋体" w:eastAsia="宋体" w:cs="宋体"/>
                <w:color w:val="auto"/>
                <w:highlight w:val="none"/>
              </w:rPr>
            </w:pP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其他法律法规强制性规定的</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微型企业，享受预留份额、评审中价格扣除等促进中小企业发展的政府采购政策。残疾人福利性单位属于小微型企业的，不重复享受政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Merge w:val="continue"/>
            <w:vAlign w:val="center"/>
          </w:tcPr>
          <w:p>
            <w:pPr>
              <w:spacing w:line="360" w:lineRule="auto"/>
              <w:ind w:firstLine="480" w:firstLineChars="200"/>
              <w:jc w:val="both"/>
              <w:rPr>
                <w:rFonts w:hint="eastAsia" w:ascii="宋体" w:hAnsi="宋体" w:eastAsia="宋体" w:cs="宋体"/>
                <w:color w:val="auto"/>
                <w:highlight w:val="none"/>
              </w:rPr>
            </w:pPr>
          </w:p>
        </w:tc>
        <w:tc>
          <w:tcPr>
            <w:tcW w:w="649" w:type="pct"/>
            <w:vAlign w:val="center"/>
          </w:tcPr>
          <w:p>
            <w:pPr>
              <w:spacing w:line="360" w:lineRule="auto"/>
              <w:ind w:firstLine="480" w:firstLineChars="200"/>
              <w:jc w:val="center"/>
              <w:rPr>
                <w:rFonts w:hint="eastAsia" w:ascii="宋体" w:hAnsi="宋体" w:eastAsia="宋体" w:cs="宋体"/>
                <w:color w:val="auto"/>
                <w:highlight w:val="none"/>
              </w:rPr>
            </w:pPr>
            <w:r>
              <w:rPr>
                <w:rFonts w:hint="eastAsia" w:ascii="宋体" w:hAnsi="宋体" w:eastAsia="宋体" w:cs="宋体"/>
                <w:color w:val="auto"/>
                <w:highlight w:val="none"/>
              </w:rPr>
              <w:t>其他</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参加政府采购活动的中小企业</w:t>
            </w:r>
            <w:r>
              <w:rPr>
                <w:rFonts w:hint="eastAsia" w:ascii="宋体" w:hAnsi="宋体" w:eastAsia="宋体" w:cs="宋体"/>
                <w:color w:val="auto"/>
                <w:highlight w:val="none"/>
                <w:lang w:eastAsia="zh-CN"/>
              </w:rPr>
              <w:t>或</w:t>
            </w:r>
            <w:r>
              <w:rPr>
                <w:rFonts w:hint="eastAsia" w:ascii="宋体" w:hAnsi="宋体" w:eastAsia="宋体" w:cs="宋体"/>
                <w:color w:val="auto"/>
                <w:highlight w:val="none"/>
              </w:rPr>
              <w:t>监狱企业</w:t>
            </w:r>
            <w:r>
              <w:rPr>
                <w:rFonts w:hint="eastAsia" w:ascii="宋体" w:hAnsi="宋体" w:eastAsia="宋体" w:cs="宋体"/>
                <w:color w:val="auto"/>
                <w:highlight w:val="none"/>
                <w:lang w:eastAsia="zh-CN"/>
              </w:rPr>
              <w:t>或</w:t>
            </w:r>
            <w:r>
              <w:rPr>
                <w:rFonts w:hint="eastAsia" w:ascii="宋体" w:hAnsi="宋体" w:eastAsia="宋体" w:cs="宋体"/>
                <w:color w:val="auto"/>
                <w:highlight w:val="none"/>
              </w:rPr>
              <w:t>残疾人福利性单位应根据企业性质分别提供《中小企业声明函》</w:t>
            </w:r>
            <w:r>
              <w:rPr>
                <w:rFonts w:hint="eastAsia" w:ascii="宋体" w:hAnsi="宋体" w:eastAsia="宋体" w:cs="宋体"/>
                <w:color w:val="auto"/>
                <w:highlight w:val="none"/>
                <w:lang w:eastAsia="zh-CN"/>
              </w:rPr>
              <w:t>或</w:t>
            </w:r>
            <w:r>
              <w:rPr>
                <w:rFonts w:hint="eastAsia" w:ascii="宋体" w:hAnsi="宋体" w:eastAsia="宋体" w:cs="宋体"/>
                <w:color w:val="auto"/>
                <w:highlight w:val="none"/>
              </w:rPr>
              <w:t>《监狱企业证明函》</w:t>
            </w:r>
            <w:r>
              <w:rPr>
                <w:rFonts w:hint="eastAsia" w:ascii="宋体" w:hAnsi="宋体" w:eastAsia="宋体" w:cs="宋体"/>
                <w:color w:val="auto"/>
                <w:highlight w:val="none"/>
                <w:lang w:eastAsia="zh-CN"/>
              </w:rPr>
              <w:t>或</w:t>
            </w:r>
            <w:r>
              <w:rPr>
                <w:rFonts w:hint="eastAsia" w:ascii="宋体" w:hAnsi="宋体" w:eastAsia="宋体" w:cs="宋体"/>
                <w:color w:val="auto"/>
                <w:highlight w:val="none"/>
              </w:rPr>
              <w:t>《残疾人福利性单位声明函》。其中，《监狱企业证明函》应由省级以上监狱管理局、戒毒管理局（含新疆生产建设兵团）出具。未提供上述声明函</w:t>
            </w:r>
            <w:r>
              <w:rPr>
                <w:rFonts w:hint="eastAsia" w:ascii="宋体" w:hAnsi="宋体" w:eastAsia="宋体" w:cs="宋体"/>
                <w:color w:val="auto"/>
                <w:highlight w:val="none"/>
                <w:lang w:eastAsia="zh-CN"/>
              </w:rPr>
              <w:t>或</w:t>
            </w:r>
            <w:r>
              <w:rPr>
                <w:rFonts w:hint="eastAsia" w:ascii="宋体" w:hAnsi="宋体" w:eastAsia="宋体" w:cs="宋体"/>
                <w:color w:val="auto"/>
                <w:highlight w:val="none"/>
              </w:rPr>
              <w:t>证明函的，不能享受招标文件规定的价格扣除，但不影响投标文件的有效性。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预算金额</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2000000.00</w:t>
            </w:r>
            <w:r>
              <w:rPr>
                <w:rFonts w:hint="eastAsia" w:ascii="宋体" w:hAnsi="宋体" w:eastAsia="宋体" w:cs="宋体"/>
                <w:color w:val="auto"/>
                <w:highlight w:val="none"/>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是否接受联合体</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☐是  ☑否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是否允许进口产品</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☐是  ☑否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是否允许大中企业</w:t>
            </w:r>
          </w:p>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向小微企业分包</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☐是  ☑否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投标保证金</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履约保证金</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供应商应在领取中标通知书后5个工作日内将履约保证金足额交纳至以下账户，其数额（或担保金额）为合同金额的〈0-10〉%（舍入到百元），履约保证金由采购代理机构代收和退还\采购人自行收取和退还。</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户　名：_____________________________</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账　号：_____________________________</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开户行：_____________________________</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业务咨询电话：_______________________</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本项目无履约保证金。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投标供应商无需提供；</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中标供应商在领取中标通知书时提供正本壹份、副本贰份，电子版壹份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现场踏勘和集中答疑</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不统一组织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政府采购信息发布媒体（采购公告、采购结果公告、变更公告）</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1．陕西省政府采购网：仅提供项目公告，官网地址：http://ccgp-shaanxi.gov.cn/。</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2．全国公共资源交易平台（陕西省·西安市）：即西安市公共资源交易平台，提供项目公告和采购文件下载。官网地址：http://sxggzyjy.xa.gov.cn/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询问和质疑</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见招标公告中的“联系方式”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投诉受理</w:t>
            </w:r>
          </w:p>
        </w:tc>
        <w:tc>
          <w:tcPr>
            <w:tcW w:w="3858" w:type="pct"/>
            <w:vAlign w:val="center"/>
          </w:tcPr>
          <w:p>
            <w:pPr>
              <w:spacing w:line="360" w:lineRule="auto"/>
              <w:jc w:val="both"/>
              <w:rPr>
                <w:rFonts w:hint="eastAsia" w:ascii="宋体" w:hAnsi="宋体" w:eastAsia="宋体" w:cs="宋体"/>
                <w:color w:val="auto"/>
                <w:highlight w:val="none"/>
                <w:lang w:eastAsia="zh-CN"/>
              </w:rPr>
            </w:pPr>
            <w:r>
              <w:rPr>
                <w:rFonts w:ascii="宋体" w:hAnsi="宋体" w:eastAsia="宋体" w:cs="宋体"/>
                <w:color w:val="auto"/>
                <w:sz w:val="24"/>
                <w:szCs w:val="24"/>
                <w:highlight w:val="none"/>
              </w:rPr>
              <w:t>1．受理单位：西安市财政局政府采购管理处</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2．联系电话：029-89821846</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3．地址：西安市未央区西北国金中心A座18层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信用信息查询截至时点</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同提交投标文件截止时间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开标形式</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☑不见面开标  ☐见面开标</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详见本章“开标程序”有关内容。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是否允许递交多个备选投标方案</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☐是  ☑否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中标通知书</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1．领取地点：西安市高新路88号尚品国际B幢25层</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2．联系电话：029-81779899转8002</w:t>
            </w:r>
          </w:p>
          <w:p>
            <w:pPr>
              <w:spacing w:line="360" w:lineRule="auto"/>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3．联系人：</w:t>
            </w:r>
            <w:r>
              <w:rPr>
                <w:rFonts w:hint="eastAsia" w:ascii="宋体" w:hAnsi="宋体" w:eastAsia="宋体" w:cs="宋体"/>
                <w:color w:val="auto"/>
                <w:highlight w:val="none"/>
                <w:lang w:eastAsia="zh-CN"/>
              </w:rPr>
              <w:t>屈晨、杨帆、贾娜娜</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中标服务费</w:t>
            </w:r>
          </w:p>
        </w:tc>
        <w:tc>
          <w:tcPr>
            <w:tcW w:w="3858" w:type="pct"/>
            <w:vAlign w:val="center"/>
          </w:tcPr>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中标单位应向采购代理机构交纳招标代理服务费。招标代理服务费收取按照国家计委颁布的《招标代理服务收费管理暂行办法》（计价格[2002]1980号）和（发改办价格[2003]857号）按收费标准计取。此服务费应计入投标报价中，但不需要单独开列。</w:t>
            </w:r>
          </w:p>
          <w:p>
            <w:pPr>
              <w:pStyle w:val="21"/>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2、代理服务费账户：</w:t>
            </w:r>
          </w:p>
          <w:p>
            <w:pPr>
              <w:pStyle w:val="21"/>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收款单位：华晟国际项目管理有限公司</w:t>
            </w:r>
          </w:p>
          <w:p>
            <w:pPr>
              <w:pStyle w:val="21"/>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开户银行：建设银行西安劳动路支行</w:t>
            </w:r>
          </w:p>
          <w:p>
            <w:pPr>
              <w:pStyle w:val="21"/>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账    号：610501 740015 00000 427</w:t>
            </w:r>
          </w:p>
          <w:p>
            <w:pPr>
              <w:pStyle w:val="21"/>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color w:val="auto"/>
                <w:highlight w:val="none"/>
              </w:rPr>
            </w:pPr>
            <w:r>
              <w:rPr>
                <w:rFonts w:hint="eastAsia" w:ascii="宋体" w:hAnsi="宋体" w:eastAsia="宋体" w:cs="宋体"/>
                <w:color w:val="auto"/>
                <w:kern w:val="0"/>
                <w:sz w:val="24"/>
                <w:szCs w:val="24"/>
                <w:highlight w:val="none"/>
                <w:lang w:val="en-US" w:eastAsia="zh-CN" w:bidi="ar-SA"/>
              </w:rPr>
              <w:t>转账事由：HSGJ2023-171中标服务费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西安市公共资源交易中心电子化政府采购系统技术支持（软件开发商）</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国泰新点软件股份有限公司</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1．技术支持热线：400-998-0000/400-928-0095</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2．驻场技术人员：029-86510166/86510167转80310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22</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CA业务网点</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陕西省数字证书认证中心股份有限公司</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网点1：西安市高新三路信息港大厦1楼客服中心</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客服电话：4006-369-888</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网点2：西安市长安北路14号省体育公寓B座一楼</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咨询电话：029-88661241</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网点3：西安市文景北路16号白桦林国际B座2楼11#窗口</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咨询电话：029-86510073转80211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23</w:t>
            </w:r>
          </w:p>
        </w:tc>
        <w:tc>
          <w:tcPr>
            <w:tcW w:w="649" w:type="pct"/>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政府采购信用担保及信用融资政策</w:t>
            </w:r>
          </w:p>
        </w:tc>
        <w:tc>
          <w:tcPr>
            <w:tcW w:w="3858" w:type="pct"/>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西安市政府采购信用担保及信用融资政策</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92" w:type="pct"/>
            <w:tcBorders>
              <w:bottom w:val="single" w:color="auto" w:sz="12" w:space="0"/>
            </w:tcBorders>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24</w:t>
            </w:r>
          </w:p>
        </w:tc>
        <w:tc>
          <w:tcPr>
            <w:tcW w:w="649" w:type="pct"/>
            <w:tcBorders>
              <w:bottom w:val="single" w:color="auto" w:sz="12" w:space="0"/>
            </w:tcBorders>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highlight w:val="none"/>
              </w:rPr>
              <w:t>核心产品</w:t>
            </w:r>
          </w:p>
        </w:tc>
        <w:tc>
          <w:tcPr>
            <w:tcW w:w="3858" w:type="pct"/>
            <w:tcBorders>
              <w:bottom w:val="single" w:color="auto" w:sz="12" w:space="0"/>
            </w:tcBorders>
            <w:vAlign w:val="center"/>
          </w:tcPr>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b/>
                <w:bCs/>
                <w:color w:val="auto"/>
                <w:highlight w:val="none"/>
              </w:rPr>
              <w:t>本项目核心产品为</w:t>
            </w:r>
            <w:r>
              <w:rPr>
                <w:rFonts w:hint="eastAsia" w:ascii="宋体" w:hAnsi="宋体" w:eastAsia="宋体" w:cs="宋体"/>
                <w:b/>
                <w:bCs/>
                <w:color w:val="auto"/>
                <w:highlight w:val="none"/>
                <w:lang w:val="en-US" w:eastAsia="zh-CN"/>
              </w:rPr>
              <w:t>考古业务管理子系统</w:t>
            </w:r>
            <w:r>
              <w:rPr>
                <w:rFonts w:hint="eastAsia" w:ascii="宋体" w:hAnsi="宋体" w:eastAsia="宋体" w:cs="宋体"/>
                <w:color w:val="auto"/>
                <w:highlight w:val="none"/>
              </w:rPr>
              <w:t>。</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综合评分法：核心产品（相同品牌）且通过资格审查、符合性审查的不同投标人参加同一合同项下投标的，按一家投标人计算，评审后得分最高的同品牌投标人获得中标人推荐资格；评审得分相同的，按照以下方式确定一个投标人获得中标人推荐资格，其他同品牌投标人不作为中标候选人。 得分相同的，按投标报价由低到高顺序排列。</w:t>
            </w:r>
          </w:p>
        </w:tc>
      </w:tr>
    </w:tbl>
    <w:p>
      <w:pPr>
        <w:jc w:val="both"/>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pPr>
        <w:pStyle w:val="4"/>
        <w:ind w:firstLine="316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一、有关定义</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1．采购人：</w:t>
      </w:r>
      <w:r>
        <w:rPr>
          <w:rFonts w:hint="eastAsia" w:ascii="宋体" w:hAnsi="宋体" w:eastAsia="宋体" w:cs="宋体"/>
          <w:color w:val="auto"/>
          <w:highlight w:val="none"/>
          <w:lang w:eastAsia="zh-CN"/>
        </w:rPr>
        <w:t>西安市文物保护考古研究院</w:t>
      </w:r>
      <w:r>
        <w:rPr>
          <w:rFonts w:hint="eastAsia" w:ascii="宋体" w:hAnsi="宋体" w:eastAsia="宋体" w:cs="宋体"/>
          <w:color w:val="auto"/>
          <w:highlight w:val="none"/>
        </w:rPr>
        <w:t>。</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2．供应商：指向采购人提供货物、工程或者服务的法人、其他组织或者自然人。</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3．同级政府采购监管部门：西安</w:t>
      </w:r>
      <w:r>
        <w:rPr>
          <w:rFonts w:hint="eastAsia" w:ascii="宋体" w:hAnsi="宋体" w:cs="宋体"/>
          <w:color w:val="auto"/>
          <w:highlight w:val="none"/>
          <w:lang w:eastAsia="zh-CN"/>
        </w:rPr>
        <w:t>市财政局</w:t>
      </w:r>
      <w:r>
        <w:rPr>
          <w:rFonts w:hint="eastAsia" w:ascii="宋体" w:hAnsi="宋体" w:eastAsia="宋体" w:cs="宋体"/>
          <w:color w:val="auto"/>
          <w:highlight w:val="none"/>
        </w:rPr>
        <w:t>。</w:t>
      </w:r>
    </w:p>
    <w:p>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4．西安市公共资源交易平台：即【全国公共资源交易平台（陕西省·西安市）】的简称，官网地址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"http://sxggzyjy.xa.gov.cn/"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http://sxggzyjy.xa.gov.cn/</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w:t>
      </w:r>
    </w:p>
    <w:p>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5．企业端：指西安市公共资源交易平台〖首页·〉电子交易平台·〉陕西政府采购交易系统·〉企业端〗，快捷登录网址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"http://www.sxggzyjy.cn:9002/TPBidder/memberLogin"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http://www.sxggzyjy.cn:9002/TPBidder/memberLogin</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w:t>
      </w:r>
    </w:p>
    <w:p>
      <w:pPr>
        <w:pStyle w:val="4"/>
        <w:ind w:firstLine="316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二、供应商注意事项</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（一）供应商投标流程</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使用电子交易系统的采购项目（即线上项目），将同时提供WORD\PDF格式（仅用于预览）和SXSZF格式（用于制作电子投标文件）两个版本，文件内容一致。</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1．预览采购文件：打开西安市公共资源交易平台〖首页·〉交易大厅·〉政府采购〗栏目，下载和阅读本项目采购文件的预览版本（WORD\PDF格式）；</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2．办理注册登记（针对初次使用电子交易系统的用户）：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（1）办理诚信入库注册：在决定参加本项目采购活动后，供应商应先在西安市公共资源交易平台上完成“诚信入库登记”；</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widowControl w:val="0"/>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办理须知：</w:t>
      </w:r>
    </w:p>
    <w:p>
      <w:pPr>
        <w:widowControl w:val="0"/>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http://</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"http://www.snca.com.cn/channel/show/27.html"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www.snca.com.cn/channel/show/27.html</w:t>
      </w:r>
      <w:r>
        <w:rPr>
          <w:rStyle w:val="44"/>
          <w:rFonts w:hint="eastAsia" w:ascii="宋体" w:hAnsi="宋体" w:eastAsia="宋体" w:cs="宋体"/>
          <w:color w:val="auto"/>
          <w:highlight w:val="none"/>
          <w:u w:val="none"/>
        </w:rPr>
        <w:fldChar w:fldCharType="end"/>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（3）绑定和激活CA：将数字证书与诚信库中的供应商账户进行绑定。</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4．制作电子投标文件：需要使用专用制作软件“新点投 标文件制作软件（陕西公共资源）”进行编制，编制完成后使用CA锁对电子投标文件进行签章、加密。详见本章中的“投标文件”相关内容。</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5．提交电子投标文件：在提交投标文件截止时间前及时提交加密后电子投标文件，逾期提交的，系统将会拒收；</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6．在线参加开标大会：开标当日，供应商法定代表人或其授权代表需提前登录“不见面开 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7．等待专家评审：评审期间，可能需要对评审专家提出的问题进行澄清或答复。在主持人宣布评审结束前，供应商请勿擅自离席，否则由此造成的不利后果，由供应商自行承担。</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8．中标供应商注册：按照陕西省政府采购监管部门的要求，采购代理机构在发布中标公告前，应由中标供应商在陕西省政府采购网上完成注册。</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（二）关于询问、质疑和投诉</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1．询问</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供应商对政府采购活动事项有疑问的，可以向采购人或采购代理机构提出询问。采购人或采购代理机构将在3个工作日内对供应商依法提出的询问作出答复。</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根据采购人和采购代理机构签订的《政府采购委托代理协议》，针对采购需求（包括采购内容、技术或服务要求、商务要求、合同条款、供应商资格条件、评审要素及分值一览表）的询问请向采购人提出。</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2．质疑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（1）供应商认为采购文件、采购过程、成交结果使自己的权益受到损害的，可以在知道或应知其权益受到损害之日起7个工作日内以书面形式向采购人、采购代理机构提出。</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（2）质疑方式：</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① 在线质疑：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登录西安市公共资源交易平台〖首页·〉电子交易平台·〉企业端〗，在〖我的项目〗中点击“项目流程·〉提出质疑”，填写表单并提交质疑。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② 书面质疑：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书面质疑函应按照财政部国库司制定的《政府采购供应商质疑函范本》（见下方链接）进行填写，签字、盖章后提交至采购人、采购代理机构。</w:t>
      </w:r>
    </w:p>
    <w:p>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质疑函范本地址：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"http://download.ccgp.gov.cn/2018/zhiyihanfanben.zip"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http://download.ccgp.gov.cn/2018/zhiyihanfanben.zip</w:t>
      </w:r>
      <w:r>
        <w:rPr>
          <w:rStyle w:val="44"/>
          <w:rFonts w:hint="eastAsia" w:ascii="宋体" w:hAnsi="宋体" w:eastAsia="宋体" w:cs="宋体"/>
          <w:color w:val="auto"/>
          <w:highlight w:val="none"/>
          <w:u w:val="none"/>
        </w:rPr>
        <w:fldChar w:fldCharType="end"/>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（4）在法定质疑期内，针对同一采购程序环节的质疑应当一次性提出。采购人、采购代理机构将在收到书面质疑后7个工作日内做出答复，并以书面形式通知质疑人和其他有关供应商。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（5）有下列情形之一的，属于无效质疑：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① 对采购文件提出质疑的质疑人不是依法获取采购文件的潜在供应商；对采购过程、中标结果提出质疑的质疑人不是参与本次政府采购项目的供应商；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② 超过法定期限或未以书面形式提出的；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③ 缺乏必要的证明材料，或捏造事实、提供虚假材料，或以非法手段取得证明材料的；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④ 质疑函没有合法有效的签字、盖章或委托授权书的（代理人提出质疑和投诉，应当提交供应商签署的授权委托书）；</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⑤ 针对同一采购程序环节又提出其他质疑事项的，或质疑答复后就同一事项再次提出质疑的；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⑥ 不符合法律、法规、规章和政府采购监管机构规定的其他条件的。</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3．投诉</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质疑供应商对采购人、采购代理机构的答复不满意，或者采购人、采购代理机构未在规定的时间内做出答复的，可以在答复期满后15个工作日内按照《政府采购质疑和投诉办法》（财政部94号令）相关规定向西安</w:t>
      </w:r>
      <w:r>
        <w:rPr>
          <w:rFonts w:hint="eastAsia" w:ascii="宋体" w:hAnsi="宋体" w:cs="宋体"/>
          <w:color w:val="auto"/>
          <w:highlight w:val="none"/>
          <w:lang w:eastAsia="zh-CN"/>
        </w:rPr>
        <w:t>市财政局</w:t>
      </w:r>
      <w:r>
        <w:rPr>
          <w:rFonts w:hint="eastAsia" w:ascii="宋体" w:hAnsi="宋体" w:eastAsia="宋体" w:cs="宋体"/>
          <w:color w:val="auto"/>
          <w:highlight w:val="none"/>
        </w:rPr>
        <w:t>提出投诉。</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（2）供应商投诉的事项不得超出已质疑事项的范围。供应商提出投诉时，应当提交投诉书和必要的证明材料，并按财政部《投诉书范本》给定的格式进行填写。</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投诉书范本地址：</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"http://download.ccgp.gov.cn/2018/tousushufanben.zip"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rPr>
        <w:t>http://download.ccgp.gov.cn/2018/tousushufanben.zip</w:t>
      </w:r>
      <w:r>
        <w:rPr>
          <w:rStyle w:val="44"/>
          <w:rFonts w:hint="eastAsia" w:ascii="宋体" w:hAnsi="宋体" w:eastAsia="宋体" w:cs="宋体"/>
          <w:color w:val="auto"/>
          <w:highlight w:val="none"/>
        </w:rPr>
        <w:fldChar w:fldCharType="end"/>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4．恶意质疑、投诉的法律后果</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（1）对捏造事实、提供虚假材料进行质疑、投诉的行为予以严肃处理：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（2）对捏造事实诬告陷害他人、诽谤他人的法律适用：</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《中华人民共和国刑法》第243条【诬告陷害罪】捏造事实诬告陷害他人，意图使他人受刑事追究，情节严重的，处三年以下有期徒刑、拘役或者管制；造成严重后果的，处三年以上十年以下有期徒刑。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《中华人民共和国刑法》第246条【侮辱罪、诽谤罪】以暴力或者其他方法公然侮辱他人或者捏造事实诽谤他人，情节严重的，处三年以下有期徒刑、拘役、管制或者剥夺政治权利。</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（三）关于保证金</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1．西安市政府采购信用担保及信用融资政策</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《实施方案》链接地址：</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"http://xaczj.xa.gov.cn/zfcg/cgfg/5db90552fd850863a9e4594d.html"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http://xaczj.xa.gov.cn/zfcg/cgfg/5db90552fd850863a9e4594d.html</w:t>
      </w:r>
      <w:r>
        <w:rPr>
          <w:rStyle w:val="44"/>
          <w:rFonts w:hint="eastAsia" w:ascii="宋体" w:hAnsi="宋体" w:eastAsia="宋体" w:cs="宋体"/>
          <w:color w:val="auto"/>
          <w:highlight w:val="none"/>
          <w:u w:val="none"/>
        </w:rPr>
        <w:fldChar w:fldCharType="end"/>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《合作机构名单》链接地址：</w:t>
      </w:r>
    </w:p>
    <w:p>
      <w:pPr>
        <w:pStyle w:val="121"/>
        <w:ind w:firstLine="478" w:firstLineChars="171"/>
        <w:rPr>
          <w:rStyle w:val="44"/>
          <w:rFonts w:hint="eastAsia" w:ascii="宋体" w:hAnsi="宋体" w:eastAsia="宋体" w:cs="宋体"/>
          <w:color w:val="auto"/>
          <w:sz w:val="24"/>
          <w:highlight w:val="none"/>
          <w:u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"http://xaczj.xa.gov.cn/zfcg/cgfg/5db9054565cbd804f69e97e0.html"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sz w:val="24"/>
          <w:highlight w:val="none"/>
          <w:u w:val="none"/>
        </w:rPr>
        <w:t>http://xaczj.xa.gov.cn/zfcg/cgfg/5db9054565cbd804f69e97e0.html</w:t>
      </w:r>
      <w:r>
        <w:rPr>
          <w:rStyle w:val="44"/>
          <w:rFonts w:hint="eastAsia" w:ascii="宋体" w:hAnsi="宋体" w:eastAsia="宋体" w:cs="宋体"/>
          <w:color w:val="auto"/>
          <w:sz w:val="24"/>
          <w:highlight w:val="none"/>
          <w:u w:val="none"/>
        </w:rPr>
        <w:fldChar w:fldCharType="end"/>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2．投标保证金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按照西安市财政局《关于促进政府采购公平竞争优化营商环境的通知》第三条规定，供应商参与西安市政府采购活动时，免交投标保证金。</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3．履约保证金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（1）交纳履约保证金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（2）采用履约保函形式时应注意以下事项：</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① 履约保函的受益人为采购人，供应商未能按合同规定履行其义务时，采购人有权从履约保证金中取得补偿。</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③ 担保金额不少于《投标邀请函》中规定的履约保证金交纳金额；</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④ 保函申请人须与供应商名称一致。若供应商为联合体形式，原则上可由联合体任意一方或多方作为保函申请人，然而对于电子保函，目前只能由下载电子招标文件的一方作为保函申请人。</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（3）退还履约保证金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（四）关于联合体</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政府采购促进中小企业发展管理办法》（财库〔2020〕46号）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30%以上的，对联合体或者大中型企业的报价给予4%-6%（工程项目为1%~2%）的扣除，用扣除后的价格参加评审。</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4．供应商以联合体形式参加政府采购活动时，遵循以下规则：</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③ 采用资格前审的项目，联合体应当在提交资格前审申请文件前组成。资格前审后联合体不得增减、更换成员。</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④ 资格审查阶段，采购人</w:t>
      </w:r>
      <w:r>
        <w:rPr>
          <w:rFonts w:hint="eastAsia" w:ascii="宋体" w:hAnsi="宋体" w:cs="宋体"/>
          <w:color w:val="auto"/>
          <w:highlight w:val="none"/>
          <w:lang w:eastAsia="zh-CN"/>
        </w:rPr>
        <w:t>或采购代理机构</w:t>
      </w:r>
      <w:r>
        <w:rPr>
          <w:rFonts w:hint="eastAsia" w:ascii="宋体" w:hAnsi="宋体" w:eastAsia="宋体" w:cs="宋体"/>
          <w:color w:val="auto"/>
          <w:highlight w:val="none"/>
        </w:rPr>
        <w:t>将对所有联合体成员进行信用记录查询，联合体成员存在不良信用记录的，视同联合体存在不良信用记录。</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⑤ 招标文件要求供应商交纳保证金的，可以由联合体中的一方或者多方共同交纳保证金，其交纳的保证金对联合体各方均具有约束力。</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⑥ 招标文件要求供应商提供履约人员和设备情况的，联合体各方均应提供，以说明其作为独立供应商所具有的能有效执行合同的能力和资源。</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⑦ 招标文件要求供应商提供同类或类似项目业绩的，联合体各方符合招标文件要求的同类或类似业绩可以累计，但联合体一方或多方共同参与的同一业绩不重复计算。</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⑨ 对采购项目提出投诉时，应当由组成联合体的所有供应商共同提出。</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（5）联合体出现下列情形之一的，联合体投标无效：</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① 没有提交有效的联合体协议的；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② 组成联合体的大中型企业和其他自然人、法人或者其他组织，与小型、微型企业之间存在投资关系的；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③ 联合体协议签订后，联合体成员单独参加或者与其他供应商另外组成联合体参加同一合同项下的政府采购活动的；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④ 资格前审后联合体增减、更换成员的；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⑤ 联合体成员因存在不良信用记录，被拒绝其参与政府采购活动的。</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（五）关于进口产品</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（六）关于政府采购政策</w:t>
      </w:r>
    </w:p>
    <w:p>
      <w:pPr>
        <w:pStyle w:val="11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1．对中小企业、监狱企业、残疾人福利性单位的优惠政策</w:t>
      </w: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highlight w:val="none"/>
        </w:rPr>
        <w:t>根据《政府采购促进中小企业发展管理办法》（财库〔2020〕46号）、《关于进一步加大政府采购支持中小企业力度的通知》财库〔2022〕19号文件的有关规定，货物</w:t>
      </w:r>
      <w:r>
        <w:rPr>
          <w:rFonts w:hint="eastAsia" w:ascii="宋体" w:hAnsi="宋体" w:eastAsia="宋体" w:cs="宋体"/>
          <w:color w:val="auto"/>
          <w:highlight w:val="none"/>
          <w:lang w:eastAsia="zh-CN"/>
        </w:rPr>
        <w:t>或服务项目投标人</w:t>
      </w:r>
      <w:r>
        <w:rPr>
          <w:rFonts w:hint="eastAsia" w:ascii="宋体" w:hAnsi="宋体" w:eastAsia="宋体" w:cs="宋体"/>
          <w:color w:val="auto"/>
          <w:highlight w:val="none"/>
        </w:rPr>
        <w:t>参与政府采购活动时对小微型企业产品的报价给予10%~20%（工程项目3%~5%）的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color w:val="auto"/>
          <w:sz w:val="24"/>
          <w:szCs w:val="24"/>
          <w:highlight w:val="none"/>
        </w:rPr>
        <w:t>（实际价格扣除比例以本章《评审要素及分值一览表》中的具体规定为准），用扣除后的价格参加评审。</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（2）根据财政部、司法部联合下发的《关于政府采购支持监狱企业发展有关问题的通知》（财库〔2014〕68号）的规定，监狱企业视同小型</w:t>
      </w:r>
      <w:r>
        <w:rPr>
          <w:rFonts w:hint="eastAsia" w:ascii="宋体" w:hAnsi="宋体" w:cs="宋体"/>
          <w:color w:val="auto"/>
          <w:highlight w:val="none"/>
          <w:lang w:eastAsia="zh-CN"/>
        </w:rPr>
        <w:t>或</w:t>
      </w:r>
      <w:r>
        <w:rPr>
          <w:rFonts w:hint="eastAsia" w:ascii="宋体" w:hAnsi="宋体" w:eastAsia="宋体" w:cs="宋体"/>
          <w:color w:val="auto"/>
          <w:highlight w:val="none"/>
        </w:rPr>
        <w:t>微型企业。</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w:t>
      </w:r>
      <w:r>
        <w:rPr>
          <w:rFonts w:hint="eastAsia" w:ascii="宋体" w:hAnsi="宋体" w:cs="宋体"/>
          <w:color w:val="auto"/>
          <w:highlight w:val="none"/>
          <w:lang w:eastAsia="zh-CN"/>
        </w:rPr>
        <w:t>或</w:t>
      </w:r>
      <w:r>
        <w:rPr>
          <w:rFonts w:hint="eastAsia" w:ascii="宋体" w:hAnsi="宋体" w:eastAsia="宋体" w:cs="宋体"/>
          <w:color w:val="auto"/>
          <w:highlight w:val="none"/>
        </w:rPr>
        <w:t>微型企业，享受预留份额、评审中价格扣除等促进中小企业发展的政府采购政策。残疾人福利性单位属于小型</w:t>
      </w:r>
      <w:r>
        <w:rPr>
          <w:rFonts w:hint="eastAsia" w:ascii="宋体" w:hAnsi="宋体" w:cs="宋体"/>
          <w:color w:val="auto"/>
          <w:highlight w:val="none"/>
          <w:lang w:eastAsia="zh-CN"/>
        </w:rPr>
        <w:t>或</w:t>
      </w:r>
      <w:r>
        <w:rPr>
          <w:rFonts w:hint="eastAsia" w:ascii="宋体" w:hAnsi="宋体" w:eastAsia="宋体" w:cs="宋体"/>
          <w:color w:val="auto"/>
          <w:highlight w:val="none"/>
        </w:rPr>
        <w:t>微型企业的，不重复享受政策。</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pPr>
        <w:pStyle w:val="11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2．节能、环保产品采购政策</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（3）《节能产品政府采购品目清单》见财政部、发展改革委《关于印发节能产品政府采购品目清单的通知》（财库〔2019〕19号）附件。</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（4）《环境标志产品政府采购品目清单》见财政部、生态环境部《关于印发环境标志产品政府采购品目清单的通知》（财库〔2019〕18号）附件。</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（5）“国家确定的认证机构”名单见市场监管总局《关于发布参与实施政府采购节能产品、环境标志产品认证机构名录的公告》（2019年第16号）。</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3．陕西省中小企业政府采购信用融资办法</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链接地址：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"http://www.ccgp-shaanxi.gov.cn/zcdservice/zcd/shanxi/article/zcdt/1390497710741917696"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http://www.ccgp-shaanxi.gov.cn/zcdservice/zcd/shanxi/article/zcdt/1390497710741917696</w:t>
      </w:r>
      <w:r>
        <w:rPr>
          <w:rStyle w:val="44"/>
          <w:rFonts w:hint="eastAsia" w:ascii="宋体" w:hAnsi="宋体" w:eastAsia="宋体" w:cs="宋体"/>
          <w:color w:val="auto"/>
          <w:highlight w:val="none"/>
          <w:u w:val="none"/>
        </w:rPr>
        <w:fldChar w:fldCharType="end"/>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（七）关于现场踏勘和集中答疑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采购人可以根据项目实际情况决定是否组织现场踏勘\标前集中答疑。投标邀请函中明确载明安排上述活动的，各供应商应派出技术、预算等相关人员，在招标文件约定的时间、地点参加现场踏勘\标前集中答疑。</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凡未参加现场踏勘和集中答疑的供应商，由此带来的不利后果由该供应商自行承担。</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（八）关于同一品牌产品的处理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（九）关于知识产权和保密事项</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1．所有涉及知识产权的产品及设计，供应商必须确保委托人、采购人拥有其合法的、不受限制的无偿使用权，并免受任何侵权诉讼或索偿；否则，由此产生的一切经济损失和法律责任由供应商承担。</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2．由采购人向供应商提供的用户需求书、图纸、样品、模型、模件和所有资料，供应商获得后，应对其保密。除非采购人同意，供应商不得向第三方透露或将其用于本次投 标以外的任何用途。开标后，若采购人有要求，供应商人须归还采购人认为需保密的文件和资料，并销毁所有相应的备份文件及资料。</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（十）关于信用记录的查询和使用</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1．根据财政部《关于在政府采购活动中查询及使用信用记录有关问题的通知》（财库〔2016〕125号）第二条有关要求，采购人</w:t>
      </w:r>
      <w:r>
        <w:rPr>
          <w:rFonts w:hint="eastAsia" w:ascii="宋体" w:hAnsi="宋体" w:eastAsia="宋体" w:cs="宋体"/>
          <w:color w:val="auto"/>
          <w:highlight w:val="none"/>
          <w:lang w:eastAsia="zh-CN"/>
        </w:rPr>
        <w:t>或采购代理机构</w:t>
      </w:r>
      <w:r>
        <w:rPr>
          <w:rFonts w:hint="eastAsia" w:ascii="宋体" w:hAnsi="宋体" w:eastAsia="宋体" w:cs="宋体"/>
          <w:color w:val="auto"/>
          <w:highlight w:val="none"/>
        </w:rPr>
        <w:t>将在资格审查阶段通过【信用中国】（</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"https://www.creditchina.gov.cn"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https://www.creditchina.gov.cn</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/）和【中国政府采购网】（</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http://www.ccgp.gov.cn/）</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对供应商的信用情况进行甄别。</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2．对列入失信被执行人、</w:t>
      </w:r>
      <w:r>
        <w:rPr>
          <w:rFonts w:hint="eastAsia" w:ascii="宋体" w:hAnsi="宋体" w:eastAsia="宋体" w:cs="宋体"/>
          <w:color w:val="auto"/>
          <w:highlight w:val="none"/>
          <w:lang w:eastAsia="zh-CN"/>
        </w:rPr>
        <w:t>重大税收违法失信主体</w:t>
      </w:r>
      <w:r>
        <w:rPr>
          <w:rFonts w:hint="eastAsia" w:ascii="宋体" w:hAnsi="宋体" w:eastAsia="宋体" w:cs="宋体"/>
          <w:color w:val="auto"/>
          <w:highlight w:val="none"/>
        </w:rPr>
        <w:t>、政府采购严重违法失信行为记录名单及其他不符合《中华人民共和国政府采购法》第二十二条规定条件的供应商，将拒绝其参与政府采购活动。</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3．供应商在参加政府采购活动前3年内因违法经营被禁止在一定期限内参加政府采购活动，期限届满的，可以参加政府采购活动的，但供应商应提供相关证明材料。</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4．信用记录查询结果打印后，将与其他采购文件一并保存。</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（十一）其他重要事项</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1．招标文件内所附网络链接仅供参考，不保证其长期有效性。</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2．供应商的投标费用自理。</w:t>
      </w:r>
    </w:p>
    <w:p>
      <w:pPr>
        <w:pStyle w:val="4"/>
        <w:spacing w:line="360" w:lineRule="auto"/>
        <w:ind w:firstLine="316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三、招标文件</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（一）招标文件的解释权</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本项目招标文件的解释权归采购代理机构，评标委员会成员应根据政府采购法律法规和招标文件所载明的评审方法、标准进行评审。</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（二）招标文件主要内容</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第1章  招标公告</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第2章  供应商须知</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第3章  招标内容及要求</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第4章  </w:t>
      </w:r>
      <w:r>
        <w:rPr>
          <w:rFonts w:hint="eastAsia" w:ascii="宋体" w:hAnsi="宋体" w:cs="宋体"/>
          <w:color w:val="auto"/>
          <w:highlight w:val="none"/>
          <w:lang w:eastAsia="zh-CN"/>
        </w:rPr>
        <w:t>商务及</w:t>
      </w:r>
      <w:r>
        <w:rPr>
          <w:rFonts w:hint="eastAsia" w:ascii="宋体" w:hAnsi="宋体" w:eastAsia="宋体" w:cs="宋体"/>
          <w:color w:val="auto"/>
          <w:highlight w:val="none"/>
        </w:rPr>
        <w:t>合同文本</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第5章  投标文件构成及格式</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（三）招标文件的检查及阅读</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供应商应认真阅读和充分理解招标文件中所有的事项、格式条款和规范要求，在投标文件中对招标文件做出全面响应，并按招标文件的要求提交全部资料。</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项目废标后重新组织招标的，采购代理机构将重新编制、发布新版招标文件，供应商应按新版招标文件重新编制投标文件。原招标文件及投标文件失效。</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（四）招标文件的修改、澄清</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1．提交投标文件截止之日前，采购人或采购代理机构可能对已发出的招标文件进行澄清或者修改，澄清或者修改的内容为招标文件的组成部分。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2．当需要澄清或修改时，采购代理机构将在提交投标文件截止之日15日前，在财政部门指定的“政府采购信息发布媒体”上发布变更公告；不足15日的，将顺延提交投标文件截止时间。</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4．请各供应商在提交投标文件截止时间之前，务必随时关注“政府采购信息发布媒体”上发布的变更公告，采购代理机构不再另行通知，因供应商未及时关注所造成的一切后果由供应商自行承担：</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"http://www.ccgp-shaanxi.gov.cn"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陕西省政府采购网</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"http://www.ccgp-shaanxi.gov.cn/"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http://www.ccgp-shaanxi.gov.cn/</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）中的〖首页·〉信息公告·〉市级·〉西安市〗；</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"http://xa.sxggzyjy.cn/"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全国公共资源交易网（陕西省·西安市）</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"http://sxggzyjy.xa.gov.cn/"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http://sxggzyjy.xa.gov.cn/</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）中的〖首页·〉交易大厅·〉政府采购〗。</w:t>
      </w:r>
    </w:p>
    <w:p>
      <w:pPr>
        <w:pStyle w:val="4"/>
        <w:spacing w:line="360" w:lineRule="auto"/>
        <w:ind w:firstLine="316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四、投标文件</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（一）投标文件的式样</w:t>
      </w:r>
    </w:p>
    <w:p>
      <w:pPr>
        <w:pStyle w:val="11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1．组成及格式</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供应商依照招标文件第五章《投标文件构成及格式》给定形式进行编制投标文件。项目分标段的，应按所投标段分别准备投标文件。</w:t>
      </w:r>
    </w:p>
    <w:p>
      <w:pPr>
        <w:pStyle w:val="11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2．语言</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招标活动的所有文件、资料、函电文字均使用简体中文，确需提交用其他语言形成的资料，必须翻译成简体中文，如有差异，以简体中文为准。</w:t>
      </w:r>
    </w:p>
    <w:p>
      <w:pPr>
        <w:pStyle w:val="11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3．计量单位</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投标文件的计量单位应使用中华人民共和国法定计量单位，但招标文件另有规定的除外。</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（二）投标文件的有效期</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投标文件有效期为自开标之日起不少于90个日历日。如中标，延长至合同执行完毕时止。</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（三）投标报价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投标报价是供应商响应采购项目要求的全部工作内容的价格体现，包括完成采购内容所需的直接费、间接费、利润、税金及其它相关的一切费用。</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1．供应商在报价时应充分考虑所有可能发生的费用，招标文件未列明，而供应商认为应当计取的费用均应列入报价中。报价时不论是否计取，采购人均按已计取对待。</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3．投标报价货币：人民币；单位：元。</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4．投标文件报价出现前后不一致的，除招标文件另有规定外，按照下列规则修正：</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（1）投标文件中开标一览表内容与投标文件中其他位置相应内容表述不一致的，以开标一览表为准；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（2）大写金额和小写金额不一致的，以大写金额为准；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同时出现两种以上不一致的，按照前款规定的顺序修正。修正后的报价经供应商确认后产生约束力，供应商不确认的，其投标无效。</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5．因供应商对招标文件理解不透、误解、疏漏或对市场行情了解不清造成的后果和风险，均由供应商自己负责。</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（四）投标文件的制作和签章</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color w:val="auto"/>
          <w:highlight w:val="none"/>
        </w:rPr>
        <w:t>政府采购项目投标文件制作软件及操作手册</w:t>
      </w:r>
      <w:r>
        <w:rPr>
          <w:rFonts w:hint="eastAsia" w:ascii="宋体" w:hAnsi="宋体" w:eastAsia="宋体" w:cs="宋体"/>
          <w:color w:val="auto"/>
          <w:highlight w:val="none"/>
        </w:rPr>
        <w:t>》。</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链接地址：</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"http://sxggzyjy.xa.gov.cn/fwzn/004003/20181115/4d59c184-e8f6-4d5a-a416-c2f6b0601e66.html"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rPr>
        <w:t>http://sxggzyjy.xa.gov.cn/fwzn/004003/20181115/4d59c184-e8f6-4d5a-a416-c2f6b0601e66.html</w:t>
      </w:r>
      <w:r>
        <w:rPr>
          <w:rStyle w:val="44"/>
          <w:rFonts w:hint="eastAsia" w:ascii="宋体" w:hAnsi="宋体" w:eastAsia="宋体" w:cs="宋体"/>
          <w:color w:val="auto"/>
          <w:highlight w:val="none"/>
        </w:rPr>
        <w:fldChar w:fldCharType="end"/>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2．编制电子投标文件前，</w:t>
      </w:r>
      <w:r>
        <w:rPr>
          <w:rFonts w:hint="eastAsia" w:ascii="宋体" w:hAnsi="宋体" w:eastAsia="宋体" w:cs="宋体"/>
          <w:b/>
          <w:bCs/>
          <w:color w:val="auto"/>
          <w:highlight w:val="none"/>
        </w:rPr>
        <w:t>务必先做好电子招标文件的备份工作</w:t>
      </w:r>
      <w:r>
        <w:rPr>
          <w:rFonts w:hint="eastAsia" w:ascii="宋体" w:hAnsi="宋体" w:eastAsia="宋体" w:cs="宋体"/>
          <w:color w:val="auto"/>
          <w:highlight w:val="none"/>
        </w:rPr>
        <w:t>。然后按操作手册中给出的方法将电子招标文件（*.SXSZF）或答疑文件（*.SXSCF，即更新后的电子招标文件）导入制作软件，最后按照章节分别编制投标文件各个部分。</w:t>
      </w:r>
    </w:p>
    <w:p>
      <w:pPr>
        <w:spacing w:line="360" w:lineRule="auto"/>
        <w:ind w:firstLine="480" w:firstLineChars="200"/>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再次提醒</w:t>
      </w:r>
      <w:r>
        <w:rPr>
          <w:rFonts w:hint="eastAsia" w:ascii="宋体" w:hAnsi="宋体" w:eastAsia="宋体" w:cs="宋体"/>
          <w:color w:val="auto"/>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color w:val="auto"/>
          <w:highlight w:val="none"/>
        </w:rPr>
        <w:t>使用旧版电子招标文件制作的电子投标文件（*.SXSTF），系统将拒绝接收。</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3．电子投标文件制作过程中，需要法定代表人签字或盖章的地方，请使用“法人CA锁”进行签章；需要加盖供应商公章的地方，请使用“企业CA锁”进行签章。</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（五）投标文件的加密和提交</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1．在生成电子投标文件时，需要使用CA锁对投标文件进行加密。</w:t>
      </w:r>
    </w:p>
    <w:p>
      <w:pPr>
        <w:spacing w:line="360" w:lineRule="auto"/>
        <w:ind w:firstLine="480" w:firstLineChars="200"/>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注意：加密投标文件和开标时解密投标文件应当使用同一CA，否则将会导致解密失败。</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3．上传文件有误或需要重新提交的，可先撤销已经上传的文件，然后重新上传新文件。</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（六）投标文件的补充、修改和撤回</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2．供应商在提交投标文件截止时间后，撤回投标文件的，投标保证金不予退还。</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（七）关于投标文件的雷同性分析</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若“文件创建标识码”一致，则表示不同投标供应商使用投标文件制作软件时，使用同一源工程文件，该情形建议由评标委员会结合项目情况综合判定。</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（八）投标文件被拒绝接收的情形</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1．误投的或采用旧版电子招标文件制作的；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2．逾期提交电子投标文件的。</w:t>
      </w:r>
    </w:p>
    <w:p>
      <w:pPr>
        <w:pStyle w:val="4"/>
        <w:spacing w:line="360" w:lineRule="auto"/>
        <w:ind w:firstLine="316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五、开标程序</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开标工作由采购代理机构组织实施，整个过程受同级政府采购监管机构的监督、管理。</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[适用于不见面开标项目]（一）“不见面开标”基本流程</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“不见面开标”是依托政府采购云平台实现的供应商在线参与开标的一种组织形式。供应商无需抵达开标现场，即可在线实现开标、解密、澄清等操作。</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1．供应商登录：开标前，请各供应商至少提前半小时登录西安市公共资源交易平台〖首页·〉不见面开标〗系统。</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2．主持人宣布开标：提交投标文件截止时间过后，系统将不再接收任何投标文件。</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3．解密投标文件：供应商在收到主持人“开始解密”指令后，应使用“加密该投标文件的CA锁（</w:t>
      </w:r>
      <w:r>
        <w:rPr>
          <w:rFonts w:hint="eastAsia" w:ascii="宋体" w:hAnsi="宋体" w:eastAsia="宋体" w:cs="宋体"/>
          <w:b/>
          <w:bCs/>
          <w:color w:val="auto"/>
          <w:highlight w:val="none"/>
        </w:rPr>
        <w:t>必须是同一把锁</w:t>
      </w:r>
      <w:r>
        <w:rPr>
          <w:rFonts w:hint="eastAsia" w:ascii="宋体" w:hAnsi="宋体" w:eastAsia="宋体" w:cs="宋体"/>
          <w:color w:val="auto"/>
          <w:highlight w:val="none"/>
        </w:rPr>
        <w:t>）”在线完成投标文件解密。除因【西安市公共资源交易中心】断电、断网、系统故障及其他不可抗力等因素，导致“不见面开标”系统无法正常运行外，供应商应在规定的解密时间内完成解密。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4．唱标：对于公开招标项目，“不见面开标”系统将自动展示供应商名单及其投标报价。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5．开标结束：进入评审环节。供应商请保持在线，评审期间评标委员会可能会要求供应商做相应的澄清。因供应商擅自离席造成的不利后果，由供应商自行承担。</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“不见面开标”系统操作说明：详见西安市公共资源交易平台〖首页·〉服务指南·〉下载专区〗中的《</w:t>
      </w:r>
      <w:r>
        <w:rPr>
          <w:rFonts w:hint="eastAsia" w:ascii="宋体" w:hAnsi="宋体" w:eastAsia="宋体" w:cs="宋体"/>
          <w:b/>
          <w:bCs/>
          <w:color w:val="auto"/>
          <w:highlight w:val="none"/>
        </w:rPr>
        <w:t>西安公共资源交易不见面开标大厅供应商操作手册</w:t>
      </w:r>
      <w:r>
        <w:rPr>
          <w:rFonts w:hint="eastAsia" w:ascii="宋体" w:hAnsi="宋体" w:eastAsia="宋体" w:cs="宋体"/>
          <w:color w:val="auto"/>
          <w:highlight w:val="none"/>
        </w:rPr>
        <w:t>》。</w:t>
      </w:r>
    </w:p>
    <w:p>
      <w:pPr>
        <w:spacing w:line="360" w:lineRule="auto"/>
        <w:ind w:firstLine="480" w:firstLineChars="200"/>
        <w:rPr>
          <w:rStyle w:val="44"/>
          <w:rFonts w:hint="eastAsia" w:ascii="宋体" w:hAnsi="宋体" w:eastAsia="宋体" w:cs="宋体"/>
          <w:color w:val="auto"/>
          <w:highlight w:val="none"/>
          <w:u w:val="none"/>
        </w:rPr>
      </w:pPr>
      <w:r>
        <w:rPr>
          <w:rFonts w:hint="eastAsia" w:ascii="宋体" w:hAnsi="宋体" w:eastAsia="宋体" w:cs="宋体"/>
          <w:color w:val="auto"/>
          <w:highlight w:val="none"/>
        </w:rPr>
        <w:t>链接地址：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"http://sxggzyjy.xa.gov.cn/fwzn/004003/20200426/bc8b2c1e-abe2-4168-913c-68ff93345faf.html"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http://sxggzyjy.xa.gov.cn/fwzn/004003/20200426/bc8b2c1e-abe2-4168-913c-68ff93345faf.html</w:t>
      </w:r>
      <w:r>
        <w:rPr>
          <w:rStyle w:val="44"/>
          <w:rFonts w:hint="eastAsia" w:ascii="宋体" w:hAnsi="宋体" w:eastAsia="宋体" w:cs="宋体"/>
          <w:color w:val="auto"/>
          <w:highlight w:val="none"/>
          <w:u w:val="none"/>
        </w:rPr>
        <w:fldChar w:fldCharType="end"/>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（二）开标环节投标文件视为无效的情形</w:t>
      </w:r>
    </w:p>
    <w:p>
      <w:pPr>
        <w:pStyle w:val="16"/>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pPr>
        <w:pStyle w:val="16"/>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pPr>
        <w:pStyle w:val="16"/>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pPr>
        <w:pStyle w:val="16"/>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（三）开标环节投标文件视为无效的情形</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（四）突发状况的应急处置</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在开评标过程中，如因停电、断网、电子化系统故障等特殊原因导致电子化开、评标工作无法正常进行时，采购代理机构将及时汇报政府采购监管部门，并等待或中止后续活动。</w:t>
      </w:r>
    </w:p>
    <w:p>
      <w:pPr>
        <w:pStyle w:val="4"/>
        <w:spacing w:line="360" w:lineRule="auto"/>
        <w:ind w:firstLine="3168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六、资格审查</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供应商提供的资格证明文件缺少任何一项或有任何一项不满足，都将被视为无效投标。供应商所提供的资格证明文件应图文清晰、易于辨识，否则由此带来的不利后果由供应商自行承担。</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资格审查结束后，资格审查小组成员应当对审查结果进行签字确认；对未通过资格审查的供应商，资格审查小组应当场告知其未通过的原因。</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合格供应商不足3家的，不得评标。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〖资格性审查表〗</w:t>
      </w:r>
    </w:p>
    <w:tbl>
      <w:tblPr>
        <w:tblStyle w:val="33"/>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6"/>
        <w:gridCol w:w="2336"/>
        <w:gridCol w:w="9"/>
        <w:gridCol w:w="56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tcBorders>
              <w:top w:val="single" w:color="auto" w:sz="12" w:space="0"/>
            </w:tcBorders>
            <w:shd w:val="clear" w:color="auto" w:fill="F2F2F2"/>
            <w:vAlign w:val="center"/>
          </w:tcPr>
          <w:p>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2336" w:type="dxa"/>
            <w:tcBorders>
              <w:top w:val="single" w:color="auto" w:sz="12" w:space="0"/>
            </w:tcBorders>
            <w:shd w:val="clear" w:color="auto" w:fill="F2F2F2"/>
            <w:vAlign w:val="center"/>
          </w:tcPr>
          <w:p>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资格项</w:t>
            </w:r>
          </w:p>
        </w:tc>
        <w:tc>
          <w:tcPr>
            <w:tcW w:w="5696" w:type="dxa"/>
            <w:gridSpan w:val="2"/>
            <w:tcBorders>
              <w:top w:val="single" w:color="auto" w:sz="12" w:space="0"/>
            </w:tcBorders>
            <w:shd w:val="clear" w:color="auto" w:fill="F2F2F2"/>
            <w:vAlign w:val="center"/>
          </w:tcPr>
          <w:p>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有效的主体资格证明</w:t>
            </w:r>
          </w:p>
        </w:tc>
        <w:tc>
          <w:tcPr>
            <w:tcW w:w="5696" w:type="dxa"/>
            <w:gridSpan w:val="2"/>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提供合格有效的法人或者其他组织的营业执照等证明文件或自然人的身份证明；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财务状况报告</w:t>
            </w:r>
          </w:p>
        </w:tc>
        <w:tc>
          <w:tcPr>
            <w:tcW w:w="5696" w:type="dxa"/>
            <w:gridSpan w:val="2"/>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提供2021年度或2022年度的财务审计报告或开标前六个月内其基本存款账户开户银行出具的资信证明（附开户许可证或开户备案证明或基本账户信息）；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3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社会保障资金缴纳证明</w:t>
            </w:r>
          </w:p>
        </w:tc>
        <w:tc>
          <w:tcPr>
            <w:tcW w:w="5696" w:type="dxa"/>
            <w:gridSpan w:val="2"/>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提供2022年7月1日至今已缴存的至少一个月的社会保障资金缴存单据或社保机构开具的社会保险参保缴费情况证明，依法不需要缴纳社会保障资金的单位应提供相关证明材料；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3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税收缴纳证明</w:t>
            </w:r>
          </w:p>
        </w:tc>
        <w:tc>
          <w:tcPr>
            <w:tcW w:w="5696" w:type="dxa"/>
            <w:gridSpan w:val="2"/>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提供2022年7月1日至今已缴存的至少一个月的纳税证明或完税证明，依法免税的单位应提供相关证明材料；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无重大违法记录声明</w:t>
            </w:r>
          </w:p>
        </w:tc>
        <w:tc>
          <w:tcPr>
            <w:tcW w:w="5696" w:type="dxa"/>
            <w:gridSpan w:val="2"/>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参加政府采购活动前3年内，在经营活动中没有重大违法记录的书面声明；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highlight w:val="none"/>
              </w:rPr>
              <w:t>6</w:t>
            </w:r>
          </w:p>
        </w:tc>
        <w:tc>
          <w:tcPr>
            <w:tcW w:w="2345" w:type="dxa"/>
            <w:gridSpan w:val="2"/>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法定代表人（主要负责人）委托授权书\身份证明</w:t>
            </w:r>
          </w:p>
        </w:tc>
        <w:tc>
          <w:tcPr>
            <w:tcW w:w="5687" w:type="dxa"/>
            <w:vAlign w:val="center"/>
          </w:tcPr>
          <w:p>
            <w:pPr>
              <w:spacing w:line="360" w:lineRule="auto"/>
              <w:jc w:val="center"/>
              <w:rPr>
                <w:rFonts w:hint="eastAsia" w:ascii="宋体" w:hAnsi="宋体" w:eastAsia="宋体" w:cs="宋体"/>
                <w:color w:val="auto"/>
                <w:highlight w:val="none"/>
              </w:rPr>
            </w:pPr>
            <w:r>
              <w:rPr>
                <w:rFonts w:hint="eastAsia" w:ascii="宋体" w:hAnsi="宋体" w:cs="宋体"/>
                <w:color w:val="auto"/>
                <w:highlight w:val="none"/>
                <w:lang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w:t>
            </w:r>
            <w:r>
              <w:rPr>
                <w:rFonts w:hint="eastAsia" w:ascii="宋体" w:hAnsi="宋体" w:eastAsia="宋体" w:cs="宋体"/>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highlight w:val="none"/>
              </w:rPr>
              <w:t>7</w:t>
            </w:r>
          </w:p>
        </w:tc>
        <w:tc>
          <w:tcPr>
            <w:tcW w:w="2345" w:type="dxa"/>
            <w:gridSpan w:val="2"/>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highlight w:val="none"/>
              </w:rPr>
              <w:t>专业技术能力证明</w:t>
            </w:r>
          </w:p>
        </w:tc>
        <w:tc>
          <w:tcPr>
            <w:tcW w:w="5687" w:type="dxa"/>
            <w:vAlign w:val="center"/>
          </w:tcPr>
          <w:p>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highlight w:val="none"/>
              </w:rPr>
              <w:t>具备履行合同所必需的设备和专业技术能力的证明材料(由供应商根据项目需求提供说明材料或者承诺)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2345" w:type="dxa"/>
            <w:gridSpan w:val="2"/>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信用查询</w:t>
            </w:r>
          </w:p>
        </w:tc>
        <w:tc>
          <w:tcPr>
            <w:tcW w:w="5687" w:type="dxa"/>
            <w:vAlign w:val="center"/>
          </w:tcPr>
          <w:p>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2345" w:type="dxa"/>
            <w:gridSpan w:val="2"/>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控股关系</w:t>
            </w:r>
          </w:p>
        </w:tc>
        <w:tc>
          <w:tcPr>
            <w:tcW w:w="5687"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单位负责人为同一人或者存在直接控股、管理关系的不同投标人，不得参加同一合同项下的投标活动。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pPr>
              <w:spacing w:line="36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2345" w:type="dxa"/>
            <w:gridSpan w:val="2"/>
            <w:vAlign w:val="center"/>
          </w:tcPr>
          <w:p>
            <w:pPr>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lang w:eastAsia="zh-CN"/>
              </w:rPr>
              <w:t>专门面向中小企业</w:t>
            </w:r>
          </w:p>
        </w:tc>
        <w:tc>
          <w:tcPr>
            <w:tcW w:w="5687" w:type="dxa"/>
            <w:vAlign w:val="center"/>
          </w:tcPr>
          <w:p>
            <w:pPr>
              <w:spacing w:line="360" w:lineRule="auto"/>
              <w:jc w:val="center"/>
              <w:rPr>
                <w:rFonts w:hint="eastAsia" w:ascii="宋体" w:hAnsi="宋体" w:eastAsia="宋体" w:cs="宋体"/>
                <w:color w:val="auto"/>
                <w:highlight w:val="none"/>
              </w:rPr>
            </w:pPr>
            <w:r>
              <w:rPr>
                <w:rFonts w:hint="eastAsia" w:ascii="宋体" w:hAnsi="宋体" w:cs="宋体"/>
                <w:color w:val="auto"/>
                <w:highlight w:val="none"/>
                <w:lang w:val="en-US" w:eastAsia="zh-CN"/>
              </w:rPr>
              <w:t>本项目专门面向中小企业（货物：所投产品的制造商或生产厂家须为中型或小型或微型；监狱企业及残疾人福利性单位视为小微型企业）</w:t>
            </w:r>
            <w:r>
              <w:rPr>
                <w:rFonts w:hint="eastAsia" w:ascii="宋体" w:hAnsi="宋体" w:eastAsia="宋体" w:cs="宋体"/>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868" w:type="dxa"/>
            <w:gridSpan w:val="4"/>
            <w:tcBorders>
              <w:bottom w:val="single" w:color="auto" w:sz="12" w:space="0"/>
            </w:tcBorders>
            <w:vAlign w:val="center"/>
          </w:tcPr>
          <w:p>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注意事项：</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3．以联合体形式参与投标时，应提供有效的《联合体协议书》，并遵循招标文件第二章中“关于联合体”的相关规定。</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4．《无重大违法记录声明》、《法定代表人委托授权书》、《法定代表人身份证明书》、《联合体协议书》应按第五章《投标文件构成及格式》中给定的格式填写，并按要求签字、盖章。</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5．按照财政部《关于在政府采购活动中查询及使用信用记录有关问题的通知》（财库〔2016〕125号）要求，在资格审查阶段，采购人</w:t>
            </w:r>
            <w:r>
              <w:rPr>
                <w:rFonts w:hint="eastAsia" w:ascii="宋体" w:hAnsi="宋体" w:eastAsia="宋体" w:cs="宋体"/>
                <w:color w:val="auto"/>
                <w:highlight w:val="none"/>
                <w:lang w:eastAsia="zh-CN"/>
              </w:rPr>
              <w:t>或采购代理机构</w:t>
            </w:r>
            <w:r>
              <w:rPr>
                <w:rFonts w:hint="eastAsia" w:ascii="宋体" w:hAnsi="宋体" w:eastAsia="宋体" w:cs="宋体"/>
                <w:color w:val="auto"/>
                <w:highlight w:val="none"/>
              </w:rPr>
              <w:t>将对投标供应商的信用记录进行核查，出现招标文件第二章中“关于信用记录的查询和使用”所列失信行为的，将拒绝其参与政府采购活动。</w:t>
            </w:r>
          </w:p>
        </w:tc>
      </w:tr>
    </w:tbl>
    <w:p>
      <w:pPr>
        <w:pStyle w:val="4"/>
        <w:spacing w:line="360" w:lineRule="auto"/>
        <w:ind w:firstLine="3168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七、评审方法和程序</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（一）评标方法</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本项目采用综合评分法，即投标文件满足招标文件全部实质性要求，且按照评审因素的量化指标评审得分最高的供应商为中标候选人。</w:t>
      </w:r>
    </w:p>
    <w:p>
      <w:pPr>
        <w:pStyle w:val="113"/>
        <w:spacing w:before="210" w:after="210" w:line="360" w:lineRule="auto"/>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（二）评标程序</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1．组建评标委员会</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由采购代理机构组织评标委员会推选评标组长，采购人代表不得担任组长。</w:t>
      </w:r>
    </w:p>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2．投标文件的符合性审查</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供应商资格性审查通过后，评标委员会对符合资格的投标人的投标文件进行符合性审查，以确定其是否满足招标文件的实质性要求。</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〖符合性审查表〗</w:t>
      </w:r>
    </w:p>
    <w:tbl>
      <w:tblPr>
        <w:tblStyle w:val="33"/>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78"/>
        <w:gridCol w:w="2392"/>
        <w:gridCol w:w="549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12" w:space="0"/>
            </w:tcBorders>
            <w:shd w:val="clear" w:color="auto" w:fill="F2F2F2"/>
            <w:vAlign w:val="center"/>
          </w:tcPr>
          <w:p>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2392" w:type="dxa"/>
            <w:tcBorders>
              <w:top w:val="single" w:color="auto" w:sz="12" w:space="0"/>
            </w:tcBorders>
            <w:shd w:val="clear" w:color="auto" w:fill="F2F2F2"/>
            <w:vAlign w:val="center"/>
          </w:tcPr>
          <w:p>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符合性审查项</w:t>
            </w:r>
          </w:p>
        </w:tc>
        <w:tc>
          <w:tcPr>
            <w:tcW w:w="5498" w:type="dxa"/>
            <w:tcBorders>
              <w:top w:val="single" w:color="auto" w:sz="12" w:space="0"/>
            </w:tcBorders>
            <w:shd w:val="clear" w:color="auto" w:fill="F2F2F2"/>
            <w:vAlign w:val="center"/>
          </w:tcPr>
          <w:p>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与项目的一致性</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至少以下三处的项目名称、项目编号、标段（未分标段的除外）与本项目完全一致：</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（1）投标文件封面</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（2）投标函</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（3）法定代表人（主要负责人）委托授权书\身份证明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投标文件组成</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投标文件应包含以下部分：</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（1）投标函</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（2）开标一览表</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（3）资格证明文件</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（4）供应商概况</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（5）供应商参加政府采购活动承诺书</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（6）投标方案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签章</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签章均符合招标文件要求，且无遗漏。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语言和计量单位</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投标文件有效期</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投标报价</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同时满足以下条款：</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（1）货币单位符合招标文件要求</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（2）报价符合唯一性要求</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（3）未超出采购预算或最高限价</w:t>
            </w:r>
          </w:p>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（4）符合《开标一览表》的填报要求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实质性条款响应</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完全响应招标文件要求的各项技术（服务）、商务实质性条款。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合同条款响应</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完全理解并响应招标文件合同条款的要求，且未含有采购人不能接受的附加条件的。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2392" w:type="dxa"/>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电子投标文件雷同性分析</w:t>
            </w:r>
          </w:p>
        </w:tc>
        <w:tc>
          <w:tcPr>
            <w:tcW w:w="5498" w:type="dxa"/>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电子投标文件的“文件制作机器码”和“文件创建标识码”通过评标系统的雷同性分析。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bottom w:val="single" w:color="auto" w:sz="12" w:space="0"/>
            </w:tcBorders>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2392" w:type="dxa"/>
            <w:tcBorders>
              <w:bottom w:val="single" w:color="auto" w:sz="12" w:space="0"/>
            </w:tcBorders>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其他</w:t>
            </w:r>
          </w:p>
        </w:tc>
        <w:tc>
          <w:tcPr>
            <w:tcW w:w="5498" w:type="dxa"/>
            <w:tcBorders>
              <w:bottom w:val="single" w:color="auto" w:sz="12" w:space="0"/>
            </w:tcBorders>
            <w:vAlign w:val="center"/>
          </w:tcPr>
          <w:p>
            <w:pPr>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完全理解并接受法律法规和招标文件对供应商合法经营的各类规约和责任义务要求，没有出现法律法规或招标文件规定的其他无效情形。</w:t>
            </w:r>
          </w:p>
        </w:tc>
      </w:tr>
    </w:tbl>
    <w:p>
      <w:pPr>
        <w:pStyle w:val="112"/>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3．综合比较与评价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评标委员会按《评审要素及分值一览表》中规定的评标方法和标准，对通过符合性审查的投标文件进行商务和技术评估，综合比较与评价。</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出现下列情形的，供应商投标无效：</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（1）投标文件报价出现本章第五小节“投标报价”所列需要修正情形，但供应商对修正后的报价不予确认的；</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spacing w:line="560" w:lineRule="exact"/>
        <w:jc w:val="center"/>
        <w:outlineLvl w:val="2"/>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〖评审要素及分值一览表〗</w:t>
      </w:r>
    </w:p>
    <w:tbl>
      <w:tblPr>
        <w:tblStyle w:val="33"/>
        <w:tblW w:w="9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254"/>
        <w:gridCol w:w="7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4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评分项</w:t>
            </w:r>
          </w:p>
        </w:tc>
        <w:tc>
          <w:tcPr>
            <w:tcW w:w="1254"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c>
          <w:tcPr>
            <w:tcW w:w="7688" w:type="dxa"/>
            <w:noWrap w:val="0"/>
            <w:vAlign w:val="center"/>
          </w:tcPr>
          <w:p>
            <w:pPr>
              <w:keepNext w:val="0"/>
              <w:keepLines w:val="0"/>
              <w:pageBreakBefore w:val="0"/>
              <w:widowControl/>
              <w:kinsoku/>
              <w:wordWrap/>
              <w:overflowPunct/>
              <w:topLinePunct w:val="0"/>
              <w:bidi w:val="0"/>
              <w:snapToGrid/>
              <w:spacing w:line="360" w:lineRule="auto"/>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4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1254"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30分</w:t>
            </w:r>
          </w:p>
        </w:tc>
        <w:tc>
          <w:tcPr>
            <w:tcW w:w="7688" w:type="dxa"/>
            <w:noWrap w:val="0"/>
            <w:vAlign w:val="center"/>
          </w:tcPr>
          <w:p>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投标报价得分=（评标基准价/有效报价）×价格权重（30%）×100</w:t>
            </w:r>
          </w:p>
          <w:p>
            <w:pPr>
              <w:pStyle w:val="12"/>
              <w:keepNext w:val="0"/>
              <w:keepLines w:val="0"/>
              <w:pageBreakBefore w:val="0"/>
              <w:widowControl/>
              <w:kinsoku/>
              <w:wordWrap/>
              <w:overflowPunct/>
              <w:topLinePunct w:val="0"/>
              <w:bidi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注：本项目专门面向中小企业采购，根据财政部发布《政府采购促进中小企业发展政策问答》的规定，专门面向中小企业采购的项目或者采购包，不再执行价格评审优惠的扶持政策。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w:t>
            </w:r>
          </w:p>
        </w:tc>
        <w:tc>
          <w:tcPr>
            <w:tcW w:w="1254"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7688" w:type="dxa"/>
            <w:noWrap w:val="0"/>
            <w:vAlign w:val="center"/>
          </w:tcPr>
          <w:p>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提供</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1日</w:t>
            </w:r>
            <w:r>
              <w:rPr>
                <w:rFonts w:hint="eastAsia" w:ascii="宋体" w:hAnsi="宋体" w:eastAsia="宋体" w:cs="宋体"/>
                <w:color w:val="auto"/>
                <w:sz w:val="24"/>
                <w:szCs w:val="24"/>
                <w:highlight w:val="none"/>
              </w:rPr>
              <w:t>起至今类似业绩合同</w:t>
            </w:r>
            <w:r>
              <w:rPr>
                <w:rFonts w:hint="eastAsia" w:ascii="宋体" w:hAnsi="宋体" w:eastAsia="宋体" w:cs="宋体"/>
                <w:color w:val="auto"/>
                <w:sz w:val="24"/>
                <w:szCs w:val="24"/>
                <w:highlight w:val="none"/>
                <w:lang w:val="zh-CN"/>
              </w:rPr>
              <w:t>每一项</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分，（以合同签订时间为准），一个业绩</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分，最高得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分。注：提供合同复印件</w:t>
            </w:r>
            <w:r>
              <w:rPr>
                <w:rFonts w:hint="eastAsia" w:ascii="宋体" w:hAnsi="宋体" w:eastAsia="宋体" w:cs="宋体"/>
                <w:color w:val="auto"/>
                <w:sz w:val="24"/>
                <w:szCs w:val="24"/>
                <w:highlight w:val="none"/>
                <w:lang w:val="en-US" w:eastAsia="zh-CN"/>
              </w:rPr>
              <w:t>或中标通知书复印件</w:t>
            </w:r>
            <w:r>
              <w:rPr>
                <w:rFonts w:hint="eastAsia" w:ascii="宋体" w:hAnsi="宋体" w:eastAsia="宋体" w:cs="宋体"/>
                <w:color w:val="auto"/>
                <w:sz w:val="24"/>
                <w:szCs w:val="24"/>
                <w:highlight w:val="none"/>
                <w:lang w:val="zh-CN"/>
              </w:rPr>
              <w:t>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w:t>
            </w:r>
          </w:p>
          <w:p>
            <w:pPr>
              <w:keepNext w:val="0"/>
              <w:keepLines w:val="0"/>
              <w:pageBreakBefore w:val="0"/>
              <w:widowControl/>
              <w:kinsoku/>
              <w:wordWrap/>
              <w:overflowPunct/>
              <w:topLinePunct w:val="0"/>
              <w:bidi w:val="0"/>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体系</w:t>
            </w:r>
          </w:p>
        </w:tc>
        <w:tc>
          <w:tcPr>
            <w:tcW w:w="1254"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3分</w:t>
            </w:r>
          </w:p>
        </w:tc>
        <w:tc>
          <w:tcPr>
            <w:tcW w:w="7688" w:type="dxa"/>
            <w:noWrap w:val="0"/>
            <w:vAlign w:val="center"/>
          </w:tcPr>
          <w:p>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投标人具有质量管理体系认证证书、信息安全管理体系认证证书、知识产权管理体系认证证书，提供满足以上要求的1项证书得1分，最高得3分，不提供不得分。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方案</w:t>
            </w:r>
          </w:p>
        </w:tc>
        <w:tc>
          <w:tcPr>
            <w:tcW w:w="1254"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tc>
        <w:tc>
          <w:tcPr>
            <w:tcW w:w="7688" w:type="dxa"/>
            <w:noWrap w:val="0"/>
            <w:vAlign w:val="center"/>
          </w:tcPr>
          <w:p>
            <w:pPr>
              <w:pStyle w:val="15"/>
              <w:keepNext w:val="0"/>
              <w:keepLines w:val="0"/>
              <w:pageBreakBefore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项目总体实施方案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整体方案符合</w:t>
            </w:r>
            <w:r>
              <w:rPr>
                <w:rFonts w:hint="eastAsia" w:ascii="宋体" w:hAnsi="宋体" w:eastAsia="宋体" w:cs="宋体"/>
                <w:color w:val="auto"/>
                <w:sz w:val="24"/>
                <w:szCs w:val="24"/>
                <w:highlight w:val="none"/>
                <w:lang w:eastAsia="zh-CN"/>
              </w:rPr>
              <w:t>本项目第三章招标内容及要求中的系统功能要求和建设要求。</w:t>
            </w:r>
            <w:r>
              <w:rPr>
                <w:rFonts w:hint="eastAsia" w:ascii="宋体" w:hAnsi="宋体" w:eastAsia="宋体" w:cs="宋体"/>
                <w:color w:val="auto"/>
                <w:sz w:val="24"/>
                <w:szCs w:val="24"/>
                <w:highlight w:val="none"/>
              </w:rPr>
              <w:t>整体方案完整、重点内容突出，</w:t>
            </w:r>
            <w:r>
              <w:rPr>
                <w:rFonts w:hint="eastAsia" w:ascii="宋体" w:hAnsi="宋体" w:eastAsia="宋体" w:cs="宋体"/>
                <w:color w:val="auto"/>
                <w:sz w:val="24"/>
                <w:szCs w:val="24"/>
                <w:highlight w:val="none"/>
                <w:lang w:eastAsia="zh-CN"/>
              </w:rPr>
              <w:t>包含重难点分析及解决方案</w:t>
            </w:r>
            <w:r>
              <w:rPr>
                <w:rFonts w:hint="eastAsia" w:ascii="宋体" w:hAnsi="宋体" w:eastAsia="宋体" w:cs="宋体"/>
                <w:color w:val="auto"/>
                <w:sz w:val="24"/>
                <w:szCs w:val="24"/>
                <w:highlight w:val="none"/>
              </w:rPr>
              <w:t>总体架构和技术架构设计合理、层次清楚、特色鲜明方案合理，安全、技术路线、任务分解等有明确的工作目标。完全符合项目需求得（</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]分；方案基本合理，安全、技术路线、任务分解等有较为明确的工作目标，基本符合项目需求得（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]分；方案部分合理，安全、技术路线、任务分解等有工作目标混乱，不清晰，部分符合项目需求得（0-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]分，未提供不得分。</w:t>
            </w:r>
          </w:p>
          <w:p>
            <w:pPr>
              <w:pStyle w:val="15"/>
              <w:keepNext w:val="0"/>
              <w:keepLines w:val="0"/>
              <w:pageBreakBefore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2、投标人根据本项目招标文件中“项目技术要求”的功能要求（技术参数）提供所投产品的功能要求（技术参数），由评标委员会评定。</w:t>
            </w:r>
          </w:p>
          <w:p>
            <w:pPr>
              <w:pStyle w:val="15"/>
              <w:keepNext w:val="0"/>
              <w:keepLines w:val="0"/>
              <w:pageBreakBefore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2.1若一般参数完全符合招标文件要求得5分，若有一项参数负偏离扣0.5分，扣完为止。</w:t>
            </w:r>
          </w:p>
          <w:p>
            <w:pPr>
              <w:pStyle w:val="15"/>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2.2标注★的功能要求（技术参数）为重要参数，若重要参数完全符合招标文件得10分，若有一项重要参数负偏离扣1分，扣完为止。</w:t>
            </w:r>
          </w:p>
          <w:p>
            <w:pPr>
              <w:pStyle w:val="15"/>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3、质量服务保障：投标人</w:t>
            </w:r>
            <w:r>
              <w:rPr>
                <w:rFonts w:hint="eastAsia" w:ascii="宋体" w:hAnsi="宋体" w:eastAsia="宋体" w:cs="宋体"/>
                <w:color w:val="auto"/>
                <w:kern w:val="2"/>
                <w:sz w:val="24"/>
                <w:szCs w:val="24"/>
                <w:highlight w:val="none"/>
                <w:lang w:val="en-US" w:eastAsia="zh-CN" w:bidi="ar-SA"/>
              </w:rPr>
              <w:t>具有相关的计算机软件著作权证书，每提供1种类型得1分，最高得5分（同一类型证书仅记一次得分）。</w:t>
            </w:r>
          </w:p>
          <w:p>
            <w:pPr>
              <w:pStyle w:val="15"/>
              <w:keepNext w:val="0"/>
              <w:keepLines w:val="0"/>
              <w:pageBreakBefore w:val="0"/>
              <w:numPr>
                <w:ilvl w:val="0"/>
                <w:numId w:val="0"/>
              </w:numPr>
              <w:kinsoku/>
              <w:wordWrap/>
              <w:overflowPunct/>
              <w:topLinePunct w:val="0"/>
              <w:bidi w:val="0"/>
              <w:snapToGrid/>
              <w:spacing w:line="360" w:lineRule="auto"/>
              <w:ind w:firstLine="480" w:firstLineChars="200"/>
              <w:textAlignment w:val="auto"/>
              <w:rPr>
                <w:rFonts w:hint="eastAsia" w:ascii="宋体" w:hAnsi="宋体" w:eastAsia="华文仿宋"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调试和验收</w:t>
            </w:r>
            <w:r>
              <w:rPr>
                <w:rFonts w:hint="eastAsia" w:ascii="宋体" w:hAnsi="宋体" w:eastAsia="宋体" w:cs="宋体"/>
                <w:color w:val="auto"/>
                <w:sz w:val="24"/>
                <w:szCs w:val="24"/>
                <w:highlight w:val="none"/>
              </w:rPr>
              <w:t>服务保障措施、进度保证措施</w:t>
            </w:r>
            <w:r>
              <w:rPr>
                <w:rFonts w:hint="eastAsia" w:ascii="宋体" w:hAnsi="宋体" w:eastAsia="宋体" w:cs="宋体"/>
                <w:color w:val="auto"/>
                <w:sz w:val="24"/>
                <w:szCs w:val="24"/>
                <w:highlight w:val="none"/>
                <w:lang w:eastAsia="zh-CN"/>
              </w:rPr>
              <w:t>、应急响应方案（包括但不限于病毒事件、系统宕机、数据库被篡改、软件BUG等），</w:t>
            </w:r>
            <w:r>
              <w:rPr>
                <w:rFonts w:hint="eastAsia" w:ascii="宋体" w:hAnsi="宋体" w:eastAsia="宋体" w:cs="宋体"/>
                <w:color w:val="auto"/>
                <w:kern w:val="2"/>
                <w:sz w:val="24"/>
                <w:szCs w:val="24"/>
                <w:highlight w:val="none"/>
                <w:lang w:val="en-US" w:eastAsia="zh-CN" w:bidi="ar-SA"/>
              </w:rPr>
              <w:t>针对本项目提供具体可行的调试和验收服务措施及保证按期交付，对重要业务做出应急响应方案。</w:t>
            </w:r>
            <w:r>
              <w:rPr>
                <w:rFonts w:hint="eastAsia" w:ascii="宋体" w:hAnsi="宋体" w:eastAsia="宋体" w:cs="宋体"/>
                <w:color w:val="auto"/>
                <w:sz w:val="24"/>
                <w:szCs w:val="24"/>
                <w:highlight w:val="none"/>
              </w:rPr>
              <w:t>措施计划</w:t>
            </w:r>
            <w:r>
              <w:rPr>
                <w:rFonts w:hint="eastAsia" w:ascii="宋体" w:hAnsi="宋体" w:eastAsia="宋体" w:cs="宋体"/>
                <w:color w:val="auto"/>
                <w:kern w:val="2"/>
                <w:sz w:val="24"/>
                <w:szCs w:val="24"/>
                <w:highlight w:val="none"/>
                <w:lang w:val="en-US" w:eastAsia="zh-CN" w:bidi="ar-SA"/>
              </w:rPr>
              <w:t>方案详细合理、针对性强及优于按期交付计</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7-10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措</w:t>
            </w:r>
            <w:r>
              <w:rPr>
                <w:rFonts w:hint="eastAsia" w:ascii="宋体" w:hAnsi="宋体" w:eastAsia="宋体" w:cs="宋体"/>
                <w:color w:val="auto"/>
                <w:sz w:val="24"/>
                <w:szCs w:val="24"/>
                <w:highlight w:val="none"/>
              </w:rPr>
              <w:t>施计划较详细合理，</w:t>
            </w:r>
            <w:r>
              <w:rPr>
                <w:rFonts w:hint="eastAsia" w:ascii="宋体" w:hAnsi="宋体" w:eastAsia="宋体" w:cs="宋体"/>
                <w:color w:val="auto"/>
                <w:kern w:val="2"/>
                <w:sz w:val="24"/>
                <w:szCs w:val="24"/>
                <w:highlight w:val="none"/>
                <w:lang w:val="en-US" w:eastAsia="zh-CN" w:bidi="ar-SA"/>
              </w:rPr>
              <w:t>针对性较强，</w:t>
            </w:r>
            <w:r>
              <w:rPr>
                <w:rFonts w:hint="eastAsia" w:ascii="宋体" w:hAnsi="宋体" w:eastAsia="宋体" w:cs="宋体"/>
                <w:color w:val="auto"/>
                <w:sz w:val="24"/>
                <w:szCs w:val="24"/>
                <w:highlight w:val="none"/>
              </w:rPr>
              <w:t>满足本项目需求得（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]分；措施计划欠缺、基本合理，</w:t>
            </w:r>
            <w:r>
              <w:rPr>
                <w:rFonts w:hint="eastAsia" w:ascii="宋体" w:hAnsi="宋体" w:eastAsia="宋体" w:cs="宋体"/>
                <w:color w:val="auto"/>
                <w:sz w:val="24"/>
                <w:szCs w:val="24"/>
                <w:highlight w:val="none"/>
                <w:lang w:eastAsia="zh-CN"/>
              </w:rPr>
              <w:t>部分</w:t>
            </w:r>
            <w:r>
              <w:rPr>
                <w:rFonts w:hint="eastAsia" w:ascii="宋体" w:hAnsi="宋体" w:eastAsia="宋体" w:cs="宋体"/>
                <w:color w:val="auto"/>
                <w:sz w:val="24"/>
                <w:szCs w:val="24"/>
                <w:highlight w:val="none"/>
              </w:rPr>
              <w:t>满足本项目需求得（0-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104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项目团队</w:t>
            </w:r>
          </w:p>
        </w:tc>
        <w:tc>
          <w:tcPr>
            <w:tcW w:w="1254"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7688" w:type="dxa"/>
            <w:noWrap w:val="0"/>
            <w:vAlign w:val="top"/>
          </w:tcPr>
          <w:p>
            <w:pPr>
              <w:widowControl/>
              <w:spacing w:line="360" w:lineRule="auto"/>
              <w:ind w:firstLine="240" w:firstLineChars="1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根据项目团队人员专业配置齐全情况进行评分：</w:t>
            </w:r>
          </w:p>
          <w:p>
            <w:pPr>
              <w:widowControl/>
              <w:spacing w:line="360" w:lineRule="auto"/>
              <w:ind w:leftChars="1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1）每提供软件或系统相关专业技术人员一人得1分，最高3分。</w:t>
            </w:r>
          </w:p>
          <w:p>
            <w:pPr>
              <w:widowControl/>
              <w:spacing w:line="360" w:lineRule="auto"/>
              <w:ind w:leftChars="10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2）每提供考古相关专业技术人员一人得1分，最高2分。</w:t>
            </w:r>
          </w:p>
          <w:p>
            <w:pPr>
              <w:keepNext w:val="0"/>
              <w:keepLines w:val="0"/>
              <w:pageBreakBefore w:val="0"/>
              <w:widowControl/>
              <w:kinsoku/>
              <w:wordWrap/>
              <w:overflowPunct/>
              <w:topLinePunct w:val="0"/>
              <w:bidi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t>注：以上所有技术人员需提供毕业证书及身份证明文件（投标单位为该人员缴纳的近半年内任意一个月社保缴纳证明、身份证复印件）并加盖公章；同一技术人员具有多项证书，仅计1分，不能重复记分；未按要求提供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104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培训</w:t>
            </w:r>
            <w:r>
              <w:rPr>
                <w:rFonts w:hint="eastAsia" w:ascii="宋体" w:hAnsi="宋体" w:eastAsia="宋体" w:cs="宋体"/>
                <w:color w:val="auto"/>
                <w:sz w:val="24"/>
                <w:szCs w:val="24"/>
                <w:highlight w:val="none"/>
                <w:lang w:eastAsia="zh-CN"/>
              </w:rPr>
              <w:t>方案</w:t>
            </w:r>
          </w:p>
        </w:tc>
        <w:tc>
          <w:tcPr>
            <w:tcW w:w="1254"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7688" w:type="dxa"/>
            <w:noWrap w:val="0"/>
            <w:vAlign w:val="top"/>
          </w:tcPr>
          <w:p>
            <w:pPr>
              <w:keepNext w:val="0"/>
              <w:keepLines w:val="0"/>
              <w:pageBreakBefore w:val="0"/>
              <w:widowControl/>
              <w:kinsoku/>
              <w:wordWrap/>
              <w:overflowPunct/>
              <w:topLinePunct w:val="0"/>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本项目实际需求提供技术培训方案，包括但不限于系统设备的日常使用操作、简单故障的排除、紧急情况的处理等，保证最终用户能够熟练操作及简单故障的排除以及处理紧急情况，方案完全满足要求且执行性强得（</w:t>
            </w:r>
            <w:r>
              <w:rPr>
                <w:rFonts w:hint="eastAsia" w:ascii="宋体" w:hAnsi="宋体" w:cs="宋体"/>
                <w:color w:val="auto"/>
                <w:sz w:val="24"/>
                <w:szCs w:val="24"/>
                <w:highlight w:val="none"/>
                <w:lang w:val="en-US" w:eastAsia="zh-CN"/>
              </w:rPr>
              <w:t>3-5</w:t>
            </w:r>
            <w:r>
              <w:rPr>
                <w:rFonts w:hint="eastAsia" w:ascii="宋体" w:hAnsi="宋体" w:eastAsia="宋体" w:cs="宋体"/>
                <w:color w:val="auto"/>
                <w:sz w:val="24"/>
                <w:szCs w:val="24"/>
                <w:highlight w:val="none"/>
              </w:rPr>
              <w:t>]分；方案部分满足要求且执行性一般得（0-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45"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1254" w:type="dxa"/>
            <w:noWrap w:val="0"/>
            <w:vAlign w:val="center"/>
          </w:tcPr>
          <w:p>
            <w:pPr>
              <w:keepNext w:val="0"/>
              <w:keepLines w:val="0"/>
              <w:pageBreakBefore w:val="0"/>
              <w:widowControl/>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分</w:t>
            </w:r>
          </w:p>
        </w:tc>
        <w:tc>
          <w:tcPr>
            <w:tcW w:w="7688" w:type="dxa"/>
            <w:noWrap w:val="0"/>
            <w:vAlign w:val="top"/>
          </w:tcPr>
          <w:p>
            <w:pPr>
              <w:pStyle w:val="119"/>
              <w:keepNext w:val="0"/>
              <w:keepLines w:val="0"/>
              <w:pageBreakBefore w:val="0"/>
              <w:widowControl/>
              <w:numPr>
                <w:ilvl w:val="0"/>
                <w:numId w:val="0"/>
              </w:numPr>
              <w:kinsoku/>
              <w:wordWrap/>
              <w:overflowPunct/>
              <w:topLinePunct w:val="0"/>
              <w:bidi w:val="0"/>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根据本项目实际需求提供售后</w:t>
            </w:r>
            <w:r>
              <w:rPr>
                <w:rFonts w:hint="eastAsia" w:ascii="宋体" w:hAnsi="宋体" w:eastAsia="宋体" w:cs="宋体"/>
                <w:color w:val="auto"/>
                <w:sz w:val="24"/>
                <w:szCs w:val="24"/>
                <w:highlight w:val="none"/>
                <w:lang w:val="zh-CN"/>
              </w:rPr>
              <w:t>服务方案：包括但不限于</w:t>
            </w:r>
            <w:r>
              <w:rPr>
                <w:rFonts w:hint="eastAsia" w:ascii="宋体" w:hAnsi="宋体" w:eastAsia="宋体" w:cs="宋体"/>
                <w:color w:val="auto"/>
                <w:sz w:val="24"/>
                <w:szCs w:val="24"/>
                <w:highlight w:val="none"/>
              </w:rPr>
              <w:t>故障响应速度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服务管理流程、安全评估服务、重要时期保障服务、例行检查、售后服务团队。</w:t>
            </w:r>
            <w:r>
              <w:rPr>
                <w:rFonts w:hint="eastAsia" w:ascii="宋体" w:hAnsi="宋体" w:eastAsia="宋体" w:cs="宋体"/>
                <w:color w:val="auto"/>
                <w:sz w:val="24"/>
                <w:szCs w:val="24"/>
                <w:highlight w:val="none"/>
                <w:lang w:eastAsia="zh-CN"/>
              </w:rPr>
              <w:t>方案优于本项目第四章合同文本中的售后服务要求，</w:t>
            </w:r>
            <w:r>
              <w:rPr>
                <w:rFonts w:hint="eastAsia" w:ascii="宋体" w:hAnsi="宋体" w:eastAsia="宋体" w:cs="宋体"/>
                <w:color w:val="auto"/>
                <w:sz w:val="24"/>
                <w:szCs w:val="24"/>
                <w:highlight w:val="none"/>
                <w:lang w:val="zh-CN"/>
              </w:rPr>
              <w:t>内容全面，方案可行性强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；方案完全符合本项目第四章合同文本中的售后服务要求，</w:t>
            </w:r>
            <w:r>
              <w:rPr>
                <w:rFonts w:hint="eastAsia" w:ascii="宋体" w:hAnsi="宋体" w:eastAsia="宋体" w:cs="宋体"/>
                <w:color w:val="auto"/>
                <w:sz w:val="24"/>
                <w:szCs w:val="24"/>
                <w:highlight w:val="none"/>
                <w:lang w:val="zh-CN"/>
              </w:rPr>
              <w:t>内容较全面，</w:t>
            </w:r>
            <w:r>
              <w:rPr>
                <w:rFonts w:hint="eastAsia" w:ascii="宋体" w:hAnsi="宋体" w:eastAsia="宋体" w:cs="宋体"/>
                <w:color w:val="auto"/>
                <w:sz w:val="24"/>
                <w:szCs w:val="24"/>
                <w:highlight w:val="none"/>
                <w:lang w:eastAsia="zh-CN"/>
              </w:rPr>
              <w:t>方案</w:t>
            </w:r>
            <w:r>
              <w:rPr>
                <w:rFonts w:hint="eastAsia" w:ascii="宋体" w:hAnsi="宋体" w:eastAsia="宋体" w:cs="宋体"/>
                <w:color w:val="auto"/>
                <w:sz w:val="24"/>
                <w:szCs w:val="24"/>
                <w:highlight w:val="none"/>
              </w:rPr>
              <w:t>部分满足要求，执行性</w:t>
            </w:r>
            <w:r>
              <w:rPr>
                <w:rFonts w:hint="eastAsia" w:ascii="宋体" w:hAnsi="宋体" w:cs="宋体"/>
                <w:color w:val="auto"/>
                <w:sz w:val="24"/>
                <w:szCs w:val="24"/>
                <w:highlight w:val="none"/>
                <w:lang w:val="en-US" w:eastAsia="zh-CN"/>
              </w:rPr>
              <w:t>一般</w:t>
            </w:r>
            <w:r>
              <w:rPr>
                <w:rFonts w:hint="eastAsia" w:ascii="宋体" w:hAnsi="宋体" w:eastAsia="宋体" w:cs="宋体"/>
                <w:color w:val="auto"/>
                <w:sz w:val="24"/>
                <w:szCs w:val="24"/>
                <w:highlight w:val="none"/>
              </w:rPr>
              <w:t>得（0-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]分，未提供不得分。</w:t>
            </w:r>
          </w:p>
        </w:tc>
      </w:tr>
    </w:tbl>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说明：</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1</w:t>
      </w:r>
      <w:r>
        <w:rPr>
          <w:rFonts w:hint="eastAsia" w:ascii="宋体" w:hAnsi="宋体" w:eastAsia="宋体" w:cs="宋体"/>
          <w:color w:val="auto"/>
          <w:highlight w:val="none"/>
        </w:rPr>
        <w:t>）评委打分超过得分界限或未按本方法赋分时，该评委的打分按废票处理。</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2</w:t>
      </w:r>
      <w:r>
        <w:rPr>
          <w:rFonts w:hint="eastAsia" w:ascii="宋体" w:hAnsi="宋体" w:eastAsia="宋体" w:cs="宋体"/>
          <w:color w:val="auto"/>
          <w:highlight w:val="none"/>
        </w:rPr>
        <w:t>）各种计算数字均保留两位小数，第三位“四舍五入”。</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）评标委员会根据以上内容打分，由高到低进行，推荐出</w:t>
      </w:r>
      <w:r>
        <w:rPr>
          <w:rFonts w:hint="eastAsia" w:ascii="宋体" w:hAnsi="宋体" w:cs="宋体"/>
          <w:color w:val="auto"/>
          <w:highlight w:val="none"/>
          <w:lang w:eastAsia="zh-CN"/>
        </w:rPr>
        <w:t>中标候选人</w:t>
      </w:r>
      <w:r>
        <w:rPr>
          <w:rFonts w:hint="eastAsia" w:ascii="宋体" w:hAnsi="宋体" w:eastAsia="宋体" w:cs="宋体"/>
          <w:color w:val="auto"/>
          <w:highlight w:val="none"/>
        </w:rPr>
        <w:t>。</w:t>
      </w:r>
    </w:p>
    <w:p>
      <w:pPr>
        <w:pStyle w:val="19"/>
        <w:ind w:firstLine="31680"/>
        <w:rPr>
          <w:rFonts w:hint="eastAsia" w:ascii="宋体" w:hAnsi="宋体" w:eastAsia="宋体" w:cs="宋体"/>
          <w:color w:val="auto"/>
          <w:highlight w:val="none"/>
        </w:rPr>
      </w:pPr>
    </w:p>
    <w:p>
      <w:pPr>
        <w:pStyle w:val="11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4．推荐中标候选人</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（1）采用最低评标价法的，评标结果按投标报价由低到高顺序排列。投标报价相同的并列。投标文件满足招标文件全部实质性要求且投标报价最低的投标人为排名第一的中标候选人。</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pPr>
        <w:pStyle w:val="11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5．编写评审报告</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评审报告是评标委员会根据全体评标成员签字的原始评标记录和评标结果编写的报告，其主要内容包括：</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（1）招标公告刊登的媒体名称、开标日期和地点；</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（2）投标供应商名单和评标委员会成员名单；</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（3）评标方法；</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（4）开标记录和评标情况及说明，包括投标无效供应商名单及原因；</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（5）评标结果，确定的中标候选人名单或者经采购人委托直接确定的中标供应商；</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（6）其他需要说明的情况，包括评标过程中投标供应商根据评标委员会要求进行的澄清、说明或者补正，评标委员会成员的更换等。</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113"/>
        <w:spacing w:before="210" w:after="210"/>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（三）评标争议处理规则</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pPr>
        <w:pStyle w:val="113"/>
        <w:spacing w:before="210" w:after="210"/>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（四）评审现场人员的保密责任</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pPr>
        <w:pStyle w:val="113"/>
        <w:spacing w:before="210" w:after="210"/>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（五）视同供应商串通投标的情形，其投标无效：</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1．不同供应商的投标文件由同一单位或者个人编制；</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2．不同供应商委托同一单位或者个人办理投标事宜；</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3．不同供应商的投标文件载明的项目管理成员或者联系人员为同一人；</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4．不同供应商的投标文件异常一致或者投标报价呈规律性差异。</w:t>
      </w:r>
    </w:p>
    <w:p>
      <w:pPr>
        <w:pStyle w:val="4"/>
        <w:ind w:firstLine="316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八、中标</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1．采购代理机构在评标工作结束后2个工作日内将评审报告送采购人。</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3．采购代理机构将在中标供应商确定之日起2个工作日内，在【</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"http://www.ccgp-shaanxi.gov.cn"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陕西省政府采购网</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"http://www.ccgp-shaanxi.gov.cn/" </w:instrText>
      </w:r>
      <w:r>
        <w:rPr>
          <w:rFonts w:hint="eastAsia" w:ascii="宋体" w:hAnsi="宋体" w:eastAsia="宋体" w:cs="宋体"/>
          <w:color w:val="auto"/>
          <w:highlight w:val="none"/>
        </w:rPr>
        <w:fldChar w:fldCharType="separate"/>
      </w:r>
      <w:r>
        <w:rPr>
          <w:rStyle w:val="44"/>
          <w:rFonts w:hint="eastAsia" w:ascii="宋体" w:hAnsi="宋体" w:eastAsia="宋体" w:cs="宋体"/>
          <w:color w:val="auto"/>
          <w:highlight w:val="none"/>
          <w:u w:val="none"/>
        </w:rPr>
        <w:t>http://www.ccgp-shaanxi.gov.cn/</w:t>
      </w:r>
      <w:r>
        <w:rPr>
          <w:rStyle w:val="44"/>
          <w:rFonts w:hint="eastAsia" w:ascii="宋体" w:hAnsi="宋体" w:eastAsia="宋体" w:cs="宋体"/>
          <w:color w:val="auto"/>
          <w:highlight w:val="none"/>
          <w:u w:val="none"/>
        </w:rPr>
        <w:fldChar w:fldCharType="end"/>
      </w:r>
      <w:r>
        <w:rPr>
          <w:rFonts w:hint="eastAsia" w:ascii="宋体" w:hAnsi="宋体" w:eastAsia="宋体" w:cs="宋体"/>
          <w:color w:val="auto"/>
          <w:highlight w:val="none"/>
        </w:rPr>
        <w:t>）上公布中标结果。中标公告期限为1个工作日。</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4．在公告中标结果的同时，采购代理机构将向中标供应商发出中标通知书，中标供应商在领取中标通知书时提供一正两副纸质投标文件及电子版一份用于备案。</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6．采购代理机构按照相关规定将评审报告送监管机构备案。</w:t>
      </w:r>
    </w:p>
    <w:p>
      <w:pPr>
        <w:pStyle w:val="4"/>
        <w:ind w:firstLine="316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九、合同签订、履行及验收</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招标文件、投标文件、澄清、补充合同等为政府采购合同的组成部分，具有同等法律效力。</w:t>
      </w:r>
    </w:p>
    <w:p>
      <w:pPr>
        <w:pStyle w:val="113"/>
        <w:spacing w:before="210" w:after="210"/>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（一）签订政府采购合同</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1．自中标通知书发出之日起</w:t>
      </w:r>
      <w:r>
        <w:rPr>
          <w:rFonts w:hint="eastAsia" w:ascii="宋体" w:hAnsi="宋体" w:cs="宋体"/>
          <w:color w:val="auto"/>
          <w:highlight w:val="none"/>
          <w:lang w:val="en-US" w:eastAsia="zh-CN"/>
        </w:rPr>
        <w:t>25</w:t>
      </w:r>
      <w:r>
        <w:rPr>
          <w:rFonts w:hint="eastAsia" w:ascii="宋体" w:hAnsi="宋体" w:eastAsia="宋体" w:cs="宋体"/>
          <w:color w:val="auto"/>
          <w:highlight w:val="none"/>
        </w:rPr>
        <w:t>日内，采购人与中标供应商应按招标文件和中标供应商投标文件的约定，签订书面合同。</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2．中标供应商拒绝与采购人签订合同的，采购人可以按照《政府采购法实施条例》第四十九条规定，确定下一候选人为中标供应商，也可以重新开展政府采购活动。</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4．质疑或者投诉事项可能影响中标、成交结果的，采购人应当暂停签订合同，已经签订合同的，应当中止履行合同。</w:t>
      </w:r>
    </w:p>
    <w:p>
      <w:pPr>
        <w:pStyle w:val="113"/>
        <w:spacing w:before="210" w:after="210"/>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（二）合同公告及备案</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1．采购人应当自政府采购合同签订之日起2个工作日内，在陕西省政府采购网对合同进行公示，但政府采购合同中涉及国家秘密、商业秘密的内容除外。</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2．采购人应自合同签订之日起7个工作日内将政府采购合同报送监管机构备案。</w:t>
      </w:r>
    </w:p>
    <w:p>
      <w:pPr>
        <w:pStyle w:val="113"/>
        <w:spacing w:before="210" w:after="210"/>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（三）履行合同</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1．合同一经签订，双方应严格履行合同规定的义务。</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2．在合同履行过程中，如发生合同纠纷，合同双方应按照《中华人民共和国民法典》及合同条款的有关规定进行处理。</w:t>
      </w:r>
    </w:p>
    <w:p>
      <w:pPr>
        <w:pStyle w:val="113"/>
        <w:spacing w:before="210" w:after="210"/>
        <w:ind w:firstLine="316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（四）验收或考核</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1．采购人严格按照国家相关法律法规的要求及招标文件的要求组织验收或考核。</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2．采购人按《关于促进政府采购公平竞争优化营商环境的通知》（财库〔2019〕38号）、《保障中小企业款项支付条例》（国务院令第728号）等规定及采购合同的约定进行支付合同款项。</w:t>
      </w:r>
    </w:p>
    <w:p>
      <w:pPr>
        <w:pStyle w:val="4"/>
        <w:ind w:firstLine="316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十、废标及重新招标</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2．根据《政府采购法》第三十六条规定，在招标采购中，出现下列情形之一的，本项目按废标处理：</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（1）出现影响采购公正的违法、违规行为的；</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（2）供应商的报价均超过了采购预算，采购人不能支付的；</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（3）因重大变故，采购任务取消的。</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废标后，除采购任务取消外，本项目将重新组织招标。</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4．招标文件未明确的其他事项，按《政府采购法》及其相关法律法规执行。</w:t>
      </w:r>
    </w:p>
    <w:p>
      <w:pPr>
        <w:spacing w:line="360" w:lineRule="auto"/>
        <w:rPr>
          <w:rFonts w:hint="eastAsia" w:ascii="宋体" w:hAnsi="宋体" w:eastAsia="宋体" w:cs="宋体"/>
          <w:b/>
          <w:color w:val="auto"/>
          <w:sz w:val="24"/>
          <w:szCs w:val="24"/>
          <w:highlight w:val="none"/>
          <w:lang w:val="en-US" w:eastAsia="zh-CN"/>
        </w:rPr>
      </w:pPr>
      <w:bookmarkStart w:id="21" w:name="_Toc100219614"/>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附件一</w:t>
      </w:r>
    </w:p>
    <w:p>
      <w:pPr>
        <w:spacing w:before="90" w:after="0" w:line="360" w:lineRule="auto"/>
        <w:ind w:left="3157"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8"/>
          <w:sz w:val="24"/>
          <w:szCs w:val="24"/>
          <w:highlight w:val="none"/>
        </w:rPr>
        <w:t>“政采贷”业务介绍</w:t>
      </w:r>
    </w:p>
    <w:p>
      <w:pPr>
        <w:spacing w:before="279" w:after="0" w:line="360" w:lineRule="auto"/>
        <w:ind w:left="48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政采贷，即政府采购合同融资，是银行机构以政府采购诚信考核和信用审查</w:t>
      </w:r>
    </w:p>
    <w:p>
      <w:pPr>
        <w:spacing w:before="312"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为基础，凭借中小企业取得并提供的政府采购合同，按优于一般中小企业贷款的</w:t>
      </w:r>
    </w:p>
    <w:p>
      <w:pPr>
        <w:spacing w:before="309"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利率直接向申请贷款的中小企业发放贷款的一种新融资方式。政府采购贷特点政</w:t>
      </w:r>
    </w:p>
    <w:p>
      <w:pPr>
        <w:spacing w:before="309"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5"/>
          <w:sz w:val="24"/>
          <w:szCs w:val="24"/>
          <w:highlight w:val="none"/>
        </w:rPr>
        <w:t>采贷以中小企业的政府采购信用和国库集中支付作为履约保障的政府采购合同</w:t>
      </w:r>
    </w:p>
    <w:p>
      <w:pPr>
        <w:pStyle w:val="119"/>
        <w:spacing w:before="40"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为基础，借力政府采购诚信保障，提供了银企对接的机会和相关的服务支持。</w:t>
      </w:r>
    </w:p>
    <w:p>
      <w:pPr>
        <w:spacing w:line="360" w:lineRule="auto"/>
        <w:rPr>
          <w:rFonts w:hint="eastAsia" w:ascii="宋体" w:hAnsi="宋体" w:eastAsia="宋体" w:cs="宋体"/>
          <w:b/>
          <w:color w:val="auto"/>
          <w:sz w:val="24"/>
          <w:highlight w:val="none"/>
          <w:lang w:eastAsia="zh-CN"/>
        </w:rPr>
      </w:pPr>
      <w:r>
        <w:rPr>
          <w:rFonts w:hint="eastAsia" w:ascii="宋体" w:hAnsi="宋体" w:eastAsia="宋体" w:cs="宋体"/>
          <w:color w:val="auto"/>
          <w:spacing w:val="0"/>
          <w:sz w:val="24"/>
          <w:szCs w:val="24"/>
          <w:highlight w:val="none"/>
        </w:rPr>
        <w:br w:type="page"/>
      </w:r>
      <w:r>
        <w:rPr>
          <w:rFonts w:hint="eastAsia" w:ascii="宋体" w:hAnsi="宋体" w:eastAsia="宋体" w:cs="宋体"/>
          <w:b/>
          <w:color w:val="auto"/>
          <w:sz w:val="24"/>
          <w:highlight w:val="none"/>
          <w:lang w:eastAsia="zh-CN"/>
        </w:rPr>
        <w:t>附件二</w:t>
      </w:r>
    </w:p>
    <w:p>
      <w:pPr>
        <w:spacing w:before="281" w:after="0" w:line="360" w:lineRule="auto"/>
        <w:ind w:left="480" w:right="0" w:firstLine="0"/>
        <w:jc w:val="center"/>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陕西政府采购供应商信用融资信息服务平台操作手册</w:t>
      </w:r>
    </w:p>
    <w:p>
      <w:pPr>
        <w:keepNext w:val="0"/>
        <w:keepLines w:val="0"/>
        <w:pageBreakBefore w:val="0"/>
        <w:widowControl w:val="0"/>
        <w:kinsoku/>
        <w:wordWrap/>
        <w:overflowPunct/>
        <w:topLinePunct w:val="0"/>
        <w:autoSpaceDE/>
        <w:autoSpaceDN/>
        <w:bidi w:val="0"/>
        <w:adjustRightInd/>
        <w:snapToGrid/>
        <w:spacing w:before="281"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陕西政府采购供应商信用融资信息服务平台主要功能为：供应商凭中标项目</w:t>
      </w:r>
    </w:p>
    <w:p>
      <w:pPr>
        <w:keepNext w:val="0"/>
        <w:keepLines w:val="0"/>
        <w:pageBreakBefore w:val="0"/>
        <w:widowControl w:val="0"/>
        <w:kinsoku/>
        <w:wordWrap/>
        <w:overflowPunct/>
        <w:topLinePunct w:val="0"/>
        <w:autoSpaceDE/>
        <w:autoSpaceDN/>
        <w:bidi w:val="0"/>
        <w:adjustRightInd/>
        <w:snapToGrid/>
        <w:spacing w:before="309"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或成交合提交融资意向，查看融资申请进度等功能，本操作手册将详细说明这些</w:t>
      </w:r>
    </w:p>
    <w:p>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功能。</w:t>
      </w:r>
    </w:p>
    <w:p>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1、首页</w:t>
      </w:r>
    </w:p>
    <w:p>
      <w:pPr>
        <w:keepNext w:val="0"/>
        <w:keepLines w:val="0"/>
        <w:pageBreakBefore w:val="0"/>
        <w:widowControl w:val="0"/>
        <w:kinsoku/>
        <w:wordWrap/>
        <w:overflowPunct/>
        <w:topLinePunct w:val="0"/>
        <w:autoSpaceDE/>
        <w:autoSpaceDN/>
        <w:bidi w:val="0"/>
        <w:adjustRightInd/>
        <w:snapToGrid/>
        <w:spacing w:before="310"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平台首页主要呈现陕西政府采购信用融资相关政策法规、基本操作流程及供</w:t>
      </w:r>
    </w:p>
    <w:p>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应商帮助内容，供应商企业可由登录注册模块登录平台。</w:t>
      </w:r>
    </w:p>
    <w:p>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2、登录</w:t>
      </w:r>
    </w:p>
    <w:p>
      <w:pPr>
        <w:keepNext w:val="0"/>
        <w:keepLines w:val="0"/>
        <w:pageBreakBefore w:val="0"/>
        <w:widowControl w:val="0"/>
        <w:kinsoku/>
        <w:wordWrap/>
        <w:overflowPunct/>
        <w:topLinePunct w:val="0"/>
        <w:autoSpaceDE/>
        <w:autoSpaceDN/>
        <w:bidi w:val="0"/>
        <w:adjustRightInd/>
        <w:snapToGrid/>
        <w:spacing w:before="309" w:after="0" w:line="240" w:lineRule="auto"/>
        <w:ind w:left="96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陕西政府采购网的中标企业可用手机号注册用户，注册时需要填写企业</w:t>
      </w:r>
    </w:p>
    <w:p>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b/>
          <w:color w:val="auto"/>
          <w:sz w:val="24"/>
          <w:highlight w:val="none"/>
          <w:lang w:eastAsia="zh-CN"/>
        </w:rPr>
      </w:pPr>
      <w:r>
        <w:rPr>
          <w:rFonts w:hint="eastAsia" w:ascii="宋体" w:hAnsi="宋体" w:eastAsia="宋体" w:cs="宋体"/>
          <w:color w:val="auto"/>
          <w:spacing w:val="0"/>
          <w:sz w:val="24"/>
          <w:highlight w:val="none"/>
        </w:rPr>
        <w:t>名称及社会统一信用代码等信息，如下图：</w:t>
      </w:r>
    </w:p>
    <w:p>
      <w:pPr>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drawing>
          <wp:inline distT="0" distB="0" distL="114300" distR="114300">
            <wp:extent cx="5502910" cy="3246755"/>
            <wp:effectExtent l="0" t="0" r="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9"/>
                    <a:stretch>
                      <a:fillRect/>
                    </a:stretch>
                  </pic:blipFill>
                  <pic:spPr>
                    <a:xfrm>
                      <a:off x="0" y="0"/>
                      <a:ext cx="5502910" cy="3246755"/>
                    </a:xfrm>
                    <a:prstGeom prst="rect">
                      <a:avLst/>
                    </a:prstGeom>
                    <a:noFill/>
                    <a:ln>
                      <a:noFill/>
                    </a:ln>
                  </pic:spPr>
                </pic:pic>
              </a:graphicData>
            </a:graphic>
          </wp:inline>
        </w:drawing>
      </w:r>
    </w:p>
    <w:p>
      <w:pP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注册成功后，凭手机登录平台，如下图，点击首页：</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0"/>
                    <a:stretch>
                      <a:fillRect/>
                    </a:stretch>
                  </pic:blipFill>
                  <pic:spPr>
                    <a:xfrm>
                      <a:off x="0" y="0"/>
                      <a:ext cx="5502910" cy="3104515"/>
                    </a:xfrm>
                    <a:prstGeom prst="rect">
                      <a:avLst/>
                    </a:prstGeom>
                    <a:noFill/>
                    <a:ln>
                      <a:noFill/>
                    </a:ln>
                  </pic:spPr>
                </pic:pic>
              </a:graphicData>
            </a:graphic>
          </wp:inline>
        </w:drawing>
      </w:r>
    </w:p>
    <w:p>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3.点击“可融资项目/合同”，再点击申请贷款：</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1"/>
                    <a:stretch>
                      <a:fillRect/>
                    </a:stretch>
                  </pic:blipFill>
                  <pic:spPr>
                    <a:xfrm>
                      <a:off x="0" y="0"/>
                      <a:ext cx="5490845" cy="3096260"/>
                    </a:xfrm>
                    <a:prstGeom prst="rect">
                      <a:avLst/>
                    </a:prstGeom>
                    <a:noFill/>
                    <a:ln>
                      <a:noFill/>
                    </a:ln>
                  </pic:spPr>
                </pic:pic>
              </a:graphicData>
            </a:graphic>
          </wp:inline>
        </w:drawing>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4.勾选融资意向书：</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0"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2"/>
                    <a:stretch>
                      <a:fillRect/>
                    </a:stretch>
                  </pic:blipFill>
                  <pic:spPr>
                    <a:xfrm>
                      <a:off x="0" y="0"/>
                      <a:ext cx="5490845" cy="3096260"/>
                    </a:xfrm>
                    <a:prstGeom prst="rect">
                      <a:avLst/>
                    </a:prstGeom>
                    <a:noFill/>
                    <a:ln>
                      <a:noFill/>
                    </a:ln>
                  </pic:spPr>
                </pic:pic>
              </a:graphicData>
            </a:graphic>
          </wp:inline>
        </w:drawing>
      </w:r>
    </w:p>
    <w:p>
      <w:pPr>
        <w:spacing w:before="0" w:after="0" w:line="360" w:lineRule="auto"/>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5.</w:t>
      </w:r>
      <w:r>
        <w:rPr>
          <w:rFonts w:hint="eastAsia" w:ascii="宋体" w:hAnsi="宋体" w:eastAsia="宋体" w:cs="宋体"/>
          <w:color w:val="auto"/>
          <w:spacing w:val="-3"/>
          <w:sz w:val="24"/>
          <w:highlight w:val="none"/>
        </w:rPr>
        <w:t>页面下拉，输入贷款金额、预计用款周期、可接受利率、贷款资金用途，点击</w:t>
      </w:r>
      <w:r>
        <w:rPr>
          <w:rFonts w:hint="eastAsia" w:ascii="宋体" w:hAnsi="宋体" w:eastAsia="宋体" w:cs="宋体"/>
          <w:color w:val="auto"/>
          <w:spacing w:val="0"/>
          <w:sz w:val="24"/>
          <w:highlight w:val="none"/>
        </w:rPr>
        <w:t>保存，选择办理贷款机构所在地，然后点击下一步。</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0"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3"/>
                    <a:stretch>
                      <a:fillRect/>
                    </a:stretch>
                  </pic:blipFill>
                  <pic:spPr>
                    <a:xfrm>
                      <a:off x="0" y="0"/>
                      <a:ext cx="5502910" cy="3104515"/>
                    </a:xfrm>
                    <a:prstGeom prst="rect">
                      <a:avLst/>
                    </a:prstGeom>
                    <a:noFill/>
                    <a:ln>
                      <a:noFill/>
                    </a:ln>
                  </pic:spPr>
                </pic:pic>
              </a:graphicData>
            </a:graphic>
          </wp:inline>
        </w:drawing>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6.在意向银行列点击提交贷款意向并确定：</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0" b="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4"/>
                    <a:stretch>
                      <a:fillRect/>
                    </a:stretch>
                  </pic:blipFill>
                  <pic:spPr>
                    <a:xfrm>
                      <a:off x="0" y="0"/>
                      <a:ext cx="5502910" cy="3104515"/>
                    </a:xfrm>
                    <a:prstGeom prst="rect">
                      <a:avLst/>
                    </a:prstGeom>
                    <a:noFill/>
                    <a:ln>
                      <a:noFill/>
                    </a:ln>
                  </pic:spPr>
                </pic:pic>
              </a:graphicData>
            </a:graphic>
          </wp:inline>
        </w:drawing>
      </w:r>
    </w:p>
    <w:p>
      <w:pP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7.在申请进度栏即可查看本笔融资进度：</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0" b="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5"/>
                    <a:stretch>
                      <a:fillRect/>
                    </a:stretch>
                  </pic:blipFill>
                  <pic:spPr>
                    <a:xfrm>
                      <a:off x="0" y="0"/>
                      <a:ext cx="5490845" cy="3096260"/>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sz w:val="32"/>
          <w:szCs w:val="32"/>
          <w:highlight w:val="none"/>
        </w:rPr>
        <w:br w:type="page"/>
      </w:r>
    </w:p>
    <w:p>
      <w:pPr>
        <w:pStyle w:val="3"/>
        <w:rPr>
          <w:rFonts w:hint="eastAsia" w:ascii="宋体" w:hAnsi="宋体" w:eastAsia="宋体" w:cs="宋体"/>
          <w:b/>
          <w:bCs/>
          <w:color w:val="auto"/>
          <w:sz w:val="32"/>
          <w:szCs w:val="32"/>
          <w:highlight w:val="none"/>
          <w:lang w:val="en-US" w:eastAsia="zh-CN"/>
        </w:rPr>
      </w:pPr>
      <w:bookmarkStart w:id="22" w:name="_Toc12670"/>
      <w:bookmarkStart w:id="23" w:name="_Toc3819"/>
      <w:r>
        <w:rPr>
          <w:rFonts w:hint="eastAsia" w:ascii="宋体" w:hAnsi="宋体" w:eastAsia="宋体" w:cs="宋体"/>
          <w:b/>
          <w:bCs/>
          <w:color w:val="auto"/>
          <w:sz w:val="32"/>
          <w:szCs w:val="32"/>
          <w:highlight w:val="none"/>
        </w:rPr>
        <w:t>第三章  招标内容及要求</w:t>
      </w:r>
      <w:bookmarkEnd w:id="21"/>
      <w:bookmarkEnd w:id="22"/>
      <w:bookmarkEnd w:id="23"/>
    </w:p>
    <w:p>
      <w:pPr>
        <w:pStyle w:val="4"/>
        <w:keepLines w:val="0"/>
        <w:pageBreakBefore w:val="0"/>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color w:val="auto"/>
          <w:sz w:val="24"/>
          <w:szCs w:val="24"/>
          <w:highlight w:val="none"/>
          <w:lang w:val="en-US" w:eastAsia="zh-CN"/>
        </w:rPr>
      </w:pPr>
      <w:bookmarkStart w:id="24" w:name="_Toc100219615"/>
      <w:r>
        <w:rPr>
          <w:rFonts w:hint="eastAsia" w:ascii="宋体" w:hAnsi="宋体" w:eastAsia="宋体" w:cs="宋体"/>
          <w:color w:val="auto"/>
          <w:sz w:val="24"/>
          <w:szCs w:val="24"/>
          <w:highlight w:val="none"/>
          <w:lang w:val="en-US" w:eastAsia="zh-CN"/>
        </w:rPr>
        <w:t>一、项目概述</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为实现西安市文物保护考古研究院的</w:t>
      </w:r>
      <w:r>
        <w:rPr>
          <w:rFonts w:hint="eastAsia" w:ascii="宋体" w:hAnsi="宋体" w:eastAsia="宋体" w:cs="宋体"/>
          <w:color w:val="auto"/>
          <w:sz w:val="24"/>
          <w:szCs w:val="24"/>
          <w:highlight w:val="none"/>
        </w:rPr>
        <w:t>信息化</w:t>
      </w:r>
      <w:r>
        <w:rPr>
          <w:rFonts w:hint="eastAsia" w:ascii="宋体" w:hAnsi="宋体" w:eastAsia="宋体" w:cs="宋体"/>
          <w:color w:val="auto"/>
          <w:sz w:val="24"/>
          <w:szCs w:val="24"/>
          <w:highlight w:val="none"/>
          <w:lang w:val="en-US" w:eastAsia="zh-CN"/>
        </w:rPr>
        <w:t>管理，</w:t>
      </w:r>
      <w:r>
        <w:rPr>
          <w:rFonts w:hint="eastAsia" w:ascii="宋体" w:hAnsi="宋体" w:eastAsia="宋体" w:cs="宋体"/>
          <w:color w:val="auto"/>
          <w:sz w:val="24"/>
          <w:szCs w:val="24"/>
          <w:highlight w:val="none"/>
        </w:rPr>
        <w:t>提升管理水平和办公效率，提高审批环节，简化办事流程，使得的单位内部和外部的人、财、物、信息资源更趋于系统和完整。</w:t>
      </w:r>
      <w:r>
        <w:rPr>
          <w:rFonts w:hint="eastAsia" w:ascii="宋体" w:hAnsi="宋体" w:eastAsia="宋体" w:cs="宋体"/>
          <w:color w:val="auto"/>
          <w:sz w:val="24"/>
          <w:szCs w:val="24"/>
          <w:highlight w:val="none"/>
          <w:lang w:val="en-US" w:eastAsia="zh-CN"/>
        </w:rPr>
        <w:t>项目计划开展</w:t>
      </w:r>
      <w:r>
        <w:rPr>
          <w:rFonts w:hint="eastAsia" w:ascii="宋体" w:hAnsi="宋体" w:eastAsia="宋体" w:cs="宋体"/>
          <w:color w:val="auto"/>
          <w:sz w:val="24"/>
          <w:szCs w:val="24"/>
          <w:highlight w:val="none"/>
        </w:rPr>
        <w:t>西安市文物保护考古研究院</w:t>
      </w:r>
      <w:r>
        <w:rPr>
          <w:rFonts w:hint="eastAsia" w:ascii="宋体" w:hAnsi="宋体" w:eastAsia="宋体" w:cs="宋体"/>
          <w:color w:val="auto"/>
          <w:sz w:val="24"/>
          <w:szCs w:val="24"/>
          <w:highlight w:val="none"/>
          <w:lang w:val="en-US" w:eastAsia="zh-CN"/>
        </w:rPr>
        <w:t>综合管理系统建设工作</w:t>
      </w:r>
      <w:r>
        <w:rPr>
          <w:rFonts w:hint="eastAsia" w:ascii="宋体" w:hAnsi="宋体" w:eastAsia="宋体" w:cs="宋体"/>
          <w:color w:val="auto"/>
          <w:sz w:val="24"/>
          <w:szCs w:val="24"/>
          <w:highlight w:val="none"/>
        </w:rPr>
        <w:t>。</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系统建设过程中</w:t>
      </w:r>
      <w:r>
        <w:rPr>
          <w:rFonts w:hint="eastAsia" w:ascii="宋体" w:hAnsi="宋体" w:eastAsia="宋体" w:cs="宋体"/>
          <w:color w:val="auto"/>
          <w:sz w:val="24"/>
          <w:szCs w:val="24"/>
          <w:highlight w:val="none"/>
          <w:lang w:val="en-US" w:eastAsia="zh-CN"/>
        </w:rPr>
        <w:t>需要</w:t>
      </w:r>
      <w:r>
        <w:rPr>
          <w:rFonts w:hint="eastAsia" w:ascii="宋体" w:hAnsi="宋体" w:eastAsia="宋体" w:cs="宋体"/>
          <w:color w:val="auto"/>
          <w:sz w:val="24"/>
          <w:szCs w:val="24"/>
          <w:highlight w:val="none"/>
        </w:rPr>
        <w:t>本着总体设计、分步实施的原则，功能模块逐步实施完善，为管理层提供科学、可靠、精确的数据</w:t>
      </w:r>
      <w:r>
        <w:rPr>
          <w:rFonts w:hint="eastAsia" w:ascii="宋体" w:hAnsi="宋体" w:eastAsia="宋体" w:cs="宋体"/>
          <w:color w:val="auto"/>
          <w:sz w:val="24"/>
          <w:szCs w:val="24"/>
          <w:highlight w:val="none"/>
          <w:lang w:val="en-US" w:eastAsia="zh-CN"/>
        </w:rPr>
        <w:t>统计</w:t>
      </w:r>
      <w:r>
        <w:rPr>
          <w:rFonts w:hint="eastAsia" w:ascii="宋体" w:hAnsi="宋体" w:eastAsia="宋体" w:cs="宋体"/>
          <w:color w:val="auto"/>
          <w:sz w:val="24"/>
          <w:szCs w:val="24"/>
          <w:highlight w:val="none"/>
        </w:rPr>
        <w:t>，实现简单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快捷地管理、记录、查询和统计，提高工作效率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并且</w:t>
      </w:r>
      <w:r>
        <w:rPr>
          <w:rFonts w:hint="eastAsia" w:ascii="宋体" w:hAnsi="宋体" w:eastAsia="宋体" w:cs="宋体"/>
          <w:color w:val="auto"/>
          <w:sz w:val="24"/>
          <w:szCs w:val="24"/>
          <w:highlight w:val="none"/>
        </w:rPr>
        <w:t>充分把握业务数据使用之间的关联性，遵循现有管理规范和技术标准。</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本次项目主要建设目标主要</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val="en-US" w:eastAsia="zh-CN"/>
        </w:rPr>
        <w:t>西安市</w:t>
      </w:r>
      <w:r>
        <w:rPr>
          <w:rFonts w:hint="eastAsia" w:ascii="宋体" w:hAnsi="宋体" w:eastAsia="宋体" w:cs="宋体"/>
          <w:color w:val="auto"/>
          <w:sz w:val="24"/>
          <w:szCs w:val="24"/>
          <w:highlight w:val="none"/>
        </w:rPr>
        <w:t>考古</w:t>
      </w:r>
      <w:r>
        <w:rPr>
          <w:rFonts w:hint="eastAsia" w:ascii="宋体" w:hAnsi="宋体" w:eastAsia="宋体" w:cs="宋体"/>
          <w:color w:val="auto"/>
          <w:sz w:val="24"/>
          <w:szCs w:val="24"/>
          <w:highlight w:val="none"/>
          <w:lang w:val="en-US" w:eastAsia="zh-CN"/>
        </w:rPr>
        <w:t>研究院综合管理</w:t>
      </w:r>
      <w:r>
        <w:rPr>
          <w:rFonts w:hint="eastAsia" w:ascii="宋体" w:hAnsi="宋体" w:eastAsia="宋体" w:cs="宋体"/>
          <w:color w:val="auto"/>
          <w:sz w:val="24"/>
          <w:szCs w:val="24"/>
          <w:highlight w:val="none"/>
        </w:rPr>
        <w:t>信息化建设的总体思路，</w:t>
      </w:r>
      <w:r>
        <w:rPr>
          <w:rFonts w:hint="eastAsia" w:ascii="宋体" w:hAnsi="宋体" w:eastAsia="宋体" w:cs="宋体"/>
          <w:color w:val="auto"/>
          <w:sz w:val="24"/>
          <w:szCs w:val="24"/>
          <w:highlight w:val="none"/>
          <w:lang w:val="en-US" w:eastAsia="zh-CN"/>
        </w:rPr>
        <w:t>分为三大子系统，档案管理子系统、考古业务管理子系统及人事考勤管理子系统。</w:t>
      </w:r>
    </w:p>
    <w:p>
      <w:pPr>
        <w:pStyle w:val="4"/>
        <w:keepLines w:val="0"/>
        <w:pageBreakBefore w:val="0"/>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二、项目技术要求</w:t>
      </w:r>
    </w:p>
    <w:p>
      <w:pPr>
        <w:pStyle w:val="5"/>
        <w:keepLines w:val="0"/>
        <w:pageBreakBefore w:val="0"/>
        <w:tabs>
          <w:tab w:val="left" w:pos="588"/>
        </w:tabs>
        <w:kinsoku/>
        <w:wordWrap/>
        <w:overflowPunct/>
        <w:topLinePunct w:val="0"/>
        <w:autoSpaceDE/>
        <w:autoSpaceDN/>
        <w:bidi w:val="0"/>
        <w:adjustRightInd/>
        <w:snapToGrid/>
        <w:spacing w:line="360" w:lineRule="auto"/>
        <w:ind w:left="0" w:firstLine="480" w:firstLineChars="20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（一）、系统功能要求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bCs/>
          <w:color w:val="auto"/>
          <w:highlight w:val="none"/>
          <w:lang w:val="en-US" w:eastAsia="zh-CN"/>
        </w:rPr>
      </w:pPr>
      <w:r>
        <w:rPr>
          <w:rFonts w:hint="eastAsia"/>
          <w:b/>
          <w:bCs/>
          <w:color w:val="auto"/>
          <w:highlight w:val="none"/>
          <w:lang w:val="en-US" w:eastAsia="zh-CN"/>
        </w:rPr>
        <w:t>1.档案管理子系统</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b/>
          <w:bCs/>
          <w:color w:val="auto"/>
          <w:highlight w:val="none"/>
          <w:lang w:val="en-US" w:eastAsia="zh-CN"/>
        </w:rPr>
      </w:pPr>
      <w:r>
        <w:rPr>
          <w:rFonts w:hint="eastAsia"/>
          <w:b/>
          <w:bCs/>
          <w:color w:val="auto"/>
          <w:highlight w:val="none"/>
          <w:lang w:val="en-US" w:eastAsia="zh-CN"/>
        </w:rPr>
        <w:t>1.1档案管理模块需求</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档案管理</w:t>
      </w:r>
      <w:r>
        <w:rPr>
          <w:rFonts w:hint="eastAsia" w:ascii="宋体" w:hAnsi="宋体" w:eastAsia="宋体" w:cs="宋体"/>
          <w:color w:val="auto"/>
          <w:sz w:val="24"/>
          <w:szCs w:val="24"/>
          <w:highlight w:val="none"/>
          <w:lang w:val="en-US" w:eastAsia="zh-CN"/>
        </w:rPr>
        <w:t>模块</w:t>
      </w:r>
      <w:r>
        <w:rPr>
          <w:rFonts w:hint="eastAsia" w:ascii="宋体" w:hAnsi="宋体" w:eastAsia="宋体" w:cs="宋体"/>
          <w:color w:val="auto"/>
          <w:sz w:val="24"/>
          <w:szCs w:val="24"/>
          <w:highlight w:val="none"/>
        </w:rPr>
        <w:t>面向西安市文物保护考古研究院内部应用，以数字档案资料管理为目标，主要管理</w:t>
      </w:r>
      <w:r>
        <w:rPr>
          <w:rFonts w:hint="eastAsia" w:ascii="宋体" w:hAnsi="宋体" w:eastAsia="宋体" w:cs="宋体"/>
          <w:color w:val="auto"/>
          <w:sz w:val="24"/>
          <w:szCs w:val="24"/>
          <w:highlight w:val="none"/>
          <w:lang w:val="en-US" w:eastAsia="zh-CN"/>
        </w:rPr>
        <w:t>各类电子化</w:t>
      </w:r>
      <w:r>
        <w:rPr>
          <w:rFonts w:hint="eastAsia" w:ascii="宋体" w:hAnsi="宋体" w:eastAsia="宋体" w:cs="宋体"/>
          <w:color w:val="auto"/>
          <w:sz w:val="24"/>
          <w:szCs w:val="24"/>
          <w:highlight w:val="none"/>
        </w:rPr>
        <w:t>资料。</w:t>
      </w:r>
    </w:p>
    <w:tbl>
      <w:tblPr>
        <w:tblStyle w:val="33"/>
        <w:tblW w:w="89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5"/>
        <w:gridCol w:w="1939"/>
        <w:gridCol w:w="63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模块</w:t>
            </w:r>
          </w:p>
        </w:tc>
        <w:tc>
          <w:tcPr>
            <w:tcW w:w="63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项目信息管理</w:t>
            </w:r>
          </w:p>
        </w:tc>
        <w:tc>
          <w:tcPr>
            <w:tcW w:w="63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根据档案资料的项目类型进行对档案信息的记录、对其所包含的各项资料文件和存放的位置进行添加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资料查询管理</w:t>
            </w:r>
          </w:p>
        </w:tc>
        <w:tc>
          <w:tcPr>
            <w:tcW w:w="63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根据档案袋文件或者档案文件名称进行系统内全部资料的快速查询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资料移交管理</w:t>
            </w:r>
          </w:p>
        </w:tc>
        <w:tc>
          <w:tcPr>
            <w:tcW w:w="63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对档案资料文件的移交申请、移交审批记录及相关信息进行记录和管理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档案室管理</w:t>
            </w:r>
          </w:p>
        </w:tc>
        <w:tc>
          <w:tcPr>
            <w:tcW w:w="63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自定义设置档案室名称以及各个档案室内的柜架信息，建立虚拟档案资料存放室，对档案资料的存放和库存清晰呈现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资料统计</w:t>
            </w:r>
          </w:p>
        </w:tc>
        <w:tc>
          <w:tcPr>
            <w:tcW w:w="63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对各项目包含资料文件数量、档案盒、档案袋以及资料文件格式进行数据统计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封面打印</w:t>
            </w:r>
          </w:p>
        </w:tc>
        <w:tc>
          <w:tcPr>
            <w:tcW w:w="63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打印档案盒封面、档案袋封面标签</w:t>
            </w:r>
          </w:p>
        </w:tc>
      </w:tr>
    </w:tbl>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1.2固定资产管理模块需求</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固定资产管理模块是综合业务处理系统中的一个重要组成部分，</w:t>
      </w:r>
      <w:r>
        <w:rPr>
          <w:rFonts w:hint="eastAsia" w:ascii="宋体" w:hAnsi="宋体" w:eastAsia="宋体" w:cs="宋体"/>
          <w:color w:val="auto"/>
          <w:sz w:val="24"/>
          <w:szCs w:val="24"/>
          <w:highlight w:val="none"/>
        </w:rPr>
        <w:t>西安市文物保护考古研究院</w:t>
      </w:r>
      <w:r>
        <w:rPr>
          <w:rFonts w:hint="eastAsia" w:ascii="宋体" w:hAnsi="宋体" w:eastAsia="宋体" w:cs="宋体"/>
          <w:color w:val="auto"/>
          <w:sz w:val="24"/>
          <w:szCs w:val="24"/>
          <w:highlight w:val="none"/>
          <w:lang w:val="en-US" w:eastAsia="zh-CN"/>
        </w:rPr>
        <w:t>的固定资产具有价值高，使用周期长、使用地点分散、管理难度大等特点。固定资产管理模块要求通过对固定资产日常工作中所产生的各种原始数据，根据资产管理的要求，对数据进行分类、统计、汇总、分析，从而建立起一套有效的管理系统。该模块可以对资产名称、类型、状态、时间、编号进行增删改查。对资产的借还操作进行记录，以及对资产信息进行统计等。</w:t>
      </w:r>
    </w:p>
    <w:tbl>
      <w:tblPr>
        <w:tblStyle w:val="33"/>
        <w:tblW w:w="89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2"/>
        <w:gridCol w:w="1400"/>
        <w:gridCol w:w="6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序号</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模块</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资产维护</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对资产的名称、类别、规格、存放位置以及购买资产信息和维保信息进行登记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资产领用</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对资产领用的主题、经费来源、申请部门和申请人等信息进行记录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资产归还</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对归还的资产信息进行记录，包括资产的申请人归还说明以及归还后存放地点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资产转移</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对正在借用中的资产使用人信息进行更改，包括更改操作员、转移申请人、转移后使用人和转移后存放位置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采购清单</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对申请采购资产信息进行记录，包括申请部门、申请人、申请理由、具体资产信息和相关审批附件信息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维修记录</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对固定资产的维修人员、维修预算、维修原因等信息进行记录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报废登记</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对固定资产报废的信息进行记录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资产折旧</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对贵重资产的折旧金额信息进行计算并且可查询和导出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数据分析</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对资产分类进行、资产维保到期和资产概况信息进行统计分析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系统配置</w:t>
            </w:r>
          </w:p>
        </w:tc>
        <w:tc>
          <w:tcPr>
            <w:tcW w:w="6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对资产的分类、来源、存放地点、启用状态的选择项内容</w:t>
            </w:r>
          </w:p>
        </w:tc>
      </w:tr>
    </w:tbl>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1.3图书管理模块需求</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建立电子图书管理</w:t>
      </w:r>
      <w:r>
        <w:rPr>
          <w:rFonts w:hint="eastAsia" w:ascii="宋体" w:hAnsi="宋体" w:eastAsia="宋体" w:cs="宋体"/>
          <w:color w:val="auto"/>
          <w:sz w:val="24"/>
          <w:szCs w:val="24"/>
          <w:highlight w:val="none"/>
          <w:lang w:val="en-US" w:eastAsia="zh-CN"/>
        </w:rPr>
        <w:t>模块</w:t>
      </w:r>
      <w:r>
        <w:rPr>
          <w:rFonts w:hint="eastAsia" w:ascii="宋体" w:hAnsi="宋体" w:eastAsia="宋体" w:cs="宋体"/>
          <w:color w:val="auto"/>
          <w:sz w:val="24"/>
          <w:szCs w:val="24"/>
          <w:highlight w:val="none"/>
        </w:rPr>
        <w:t>，提高图书的使用效率，使广大科研人员能够及时查询需要的图书，并建立图书电子入库、借还流程，方便图书管理</w:t>
      </w:r>
      <w:r>
        <w:rPr>
          <w:rFonts w:hint="eastAsia" w:ascii="宋体" w:hAnsi="宋体" w:eastAsia="宋体" w:cs="宋体"/>
          <w:color w:val="auto"/>
          <w:sz w:val="24"/>
          <w:szCs w:val="24"/>
          <w:highlight w:val="none"/>
          <w:lang w:eastAsia="zh-CN"/>
        </w:rPr>
        <w:t>。</w:t>
      </w:r>
    </w:p>
    <w:tbl>
      <w:tblPr>
        <w:tblStyle w:val="33"/>
        <w:tblW w:w="89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336"/>
        <w:gridCol w:w="6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模块</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图书管理</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管理图书名称、编号、作者、出版方、库存、存放位置、照片、电子书附件、简介等基本信息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图书查找</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对需要借阅的图书进行查找、查看基本信息和可借阅数量，进行图书借阅。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借阅记录</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对图书系统中所有的借阅记录信息进行查找和查看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借阅延期</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对借阅中的图书进行延期操作，并对图书的借阅进行进行查看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归还图书</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对所有正在借出中的图书进行查询和归还操作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拒绝借出</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用于记录在审核过程中拒绝借出的借阅记录信息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已归还图书</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用于记录已经归还的图书借阅记录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数据统计</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对图书借阅人、图书借阅次数、图书借阅状态等信息分别进行数据统计分析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库房设置</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自定义增加图书存放库房同时可自定义设置各个库房内的书架的层和区信息。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库房查看</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可对该图书存放库房内的柜架库容情况进行一目了然的查看，快速了解线下实际库房图书存放情况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系统管理</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对图书登记信息中的出版社、图书类型的下拉选择内容进行自定义的增改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系统日志</w:t>
            </w:r>
          </w:p>
        </w:tc>
        <w:tc>
          <w:tcPr>
            <w:tcW w:w="6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对进入图书管理系统的所有用户账号、ip、操作时间、具体操作内容进行记录</w:t>
            </w:r>
          </w:p>
        </w:tc>
      </w:tr>
    </w:tbl>
    <w:p>
      <w:pPr>
        <w:keepLines w:val="0"/>
        <w:pageBreakBefore w:val="0"/>
        <w:kinsoku/>
        <w:wordWrap/>
        <w:overflowPunct/>
        <w:topLinePunct w:val="0"/>
        <w:autoSpaceDE/>
        <w:autoSpaceDN/>
        <w:bidi w:val="0"/>
        <w:adjustRightInd/>
        <w:snapToGrid/>
        <w:spacing w:line="360" w:lineRule="auto"/>
        <w:ind w:left="0" w:firstLine="480" w:firstLineChars="20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2.考古业务管理子系统</w:t>
      </w:r>
      <w:r>
        <w:rPr>
          <w:rFonts w:hint="eastAsia" w:ascii="宋体" w:hAnsi="宋体" w:cs="宋体"/>
          <w:b/>
          <w:bCs/>
          <w:color w:val="auto"/>
          <w:sz w:val="24"/>
          <w:szCs w:val="24"/>
          <w:highlight w:val="none"/>
          <w:lang w:val="en-US" w:eastAsia="zh-CN"/>
        </w:rPr>
        <w:t>（核心产品）</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考古业务管理子系统主要对所有项目及其项目相关的合同文件进行管理，使得项目资料得以更加完善的存储</w:t>
      </w:r>
      <w:r>
        <w:rPr>
          <w:rFonts w:hint="eastAsia" w:ascii="宋体" w:hAnsi="宋体" w:eastAsia="宋体" w:cs="宋体"/>
          <w:color w:val="auto"/>
          <w:sz w:val="24"/>
          <w:szCs w:val="24"/>
          <w:highlight w:val="none"/>
          <w:lang w:eastAsia="zh-CN"/>
        </w:rPr>
        <w:t>管理，也加便于项目管理人员快速对项目的检查和管理。</w:t>
      </w:r>
    </w:p>
    <w:tbl>
      <w:tblPr>
        <w:tblStyle w:val="33"/>
        <w:tblW w:w="89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1"/>
        <w:gridCol w:w="1383"/>
        <w:gridCol w:w="6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6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模块</w:t>
            </w:r>
          </w:p>
        </w:tc>
        <w:tc>
          <w:tcPr>
            <w:tcW w:w="6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6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项目管理</w:t>
            </w:r>
          </w:p>
        </w:tc>
        <w:tc>
          <w:tcPr>
            <w:tcW w:w="6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对所涉及的各个项目及其项目涉及的工作内容、工期、人员信息、合作方信息等相关的文件进行记录和管理。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6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合同管理</w:t>
            </w:r>
          </w:p>
        </w:tc>
        <w:tc>
          <w:tcPr>
            <w:tcW w:w="6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对所有的合同文件资料进行记录和管理，便于在添加项目进行时候合同信息进行快速关联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6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附件检索</w:t>
            </w:r>
          </w:p>
        </w:tc>
        <w:tc>
          <w:tcPr>
            <w:tcW w:w="6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对在系统内添加的所有文件，进行快速的按照项目或按照附件名称进行查找，便于文件的查看和下载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6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数据统计</w:t>
            </w:r>
          </w:p>
        </w:tc>
        <w:tc>
          <w:tcPr>
            <w:tcW w:w="6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对项目数量、年度项目类型数量、项目工地数据、从业人员参与项目数量进行数据统计和分析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6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项目进度</w:t>
            </w:r>
          </w:p>
        </w:tc>
        <w:tc>
          <w:tcPr>
            <w:tcW w:w="69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配置及查阅项目实施进度信息</w:t>
            </w:r>
          </w:p>
        </w:tc>
      </w:tr>
    </w:tbl>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3.人事考勤子系统</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3.1人事管理模块</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人事管理系统</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能够使用对人事信息进行管理，检索迅速、查找方便、结果可靠、存储量大、保密性好、寿命长、成本低，能为使用人员提供充足的信息和快捷的查询手段。该系统可进行档案管理、培训管理、评定管理、奖惩管理及调动管理。</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3.1.1系统功能需求</w:t>
      </w:r>
    </w:p>
    <w:tbl>
      <w:tblPr>
        <w:tblStyle w:val="33"/>
        <w:tblW w:w="85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9"/>
        <w:gridCol w:w="1667"/>
        <w:gridCol w:w="61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模块</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员工花名册</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对职工基本人员信息进行记录登记，并支持人员信息的导出。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调动记录</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对职工的岗位调动信息进行记录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离职记录</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对职工的离职基本信息进行记录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复职记录</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对职工复职信息进行记录，便能够支持对复职记录的检索。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合同管理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对职工录用相应使用到的录用合同或者试用合同文件进行登记管理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教育经历管理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对职工的受教育信息进行记录，例如毕业院校、毕业时间等信息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工作经历管理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对职工的工作经历进行记录，例如工作时间、所在单位、职位等信息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组织管理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对单位内部的各个组织部门及其部门审核人和分管领导进行设置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职位管理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对单位的的各个职位进行对其名称及其基本工作内容描述信息的设置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10</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奖惩管理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对单位内的奖励和惩罚事件及其时间进行记录个管理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培训管理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对单位内的各项培训事件进行记录，包括培训名称、渠道、培训方式等信息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考勤管理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对职工的打卡出勤的信息进行记录和管理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证照管理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对职工相关的各类证照信息进行电子化记录和管理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职称管理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对职工评定的职称及其相关证明文件进行记录和管理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15</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系统管理</w:t>
            </w:r>
          </w:p>
        </w:tc>
        <w:tc>
          <w:tcPr>
            <w:tcW w:w="61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对职工基础信息表中用到的学历、证件类型、职位、调动类型等相关的下拉选择内容进行自定义设置</w:t>
            </w:r>
          </w:p>
        </w:tc>
      </w:tr>
    </w:tbl>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3.2个人办公管理模块</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系统与其他系统进行数据通信，在个人办公中展现其它系统与个人相关部分，包括个人负责项目查看、电子档案提交、固定资产领用、转交、个人考勤信息等。</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3.2.1系统功能需求</w:t>
      </w:r>
    </w:p>
    <w:tbl>
      <w:tblPr>
        <w:tblStyle w:val="33"/>
        <w:tblW w:w="85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6"/>
        <w:gridCol w:w="1150"/>
        <w:gridCol w:w="6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模块</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发起申请</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发起电子档案提交、图书借阅、资产领用、资产归还、资产转移等相关的各类申请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待我审批</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接收相关需要审批的内容并进行对应的审核操作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我的申请</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可以对个人所发起的资产、项目、图书、资料相关的申请信息及进行记录，并查看申请审核进度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审批记录</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对由个人用户审批过的各项申请记录及其内容进行记录和管理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项目管理</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查看个人参与项目信息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图书借阅</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进行图书查找和借阅申请，并记录个人图书借阅记录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资产管理</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查看个人领用的资产信息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个人管理</w:t>
            </w:r>
          </w:p>
        </w:tc>
        <w:tc>
          <w:tcPr>
            <w:tcW w:w="66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eastAsia"/>
                <w:color w:val="auto"/>
                <w:highlight w:val="none"/>
              </w:rPr>
            </w:pPr>
            <w:r>
              <w:rPr>
                <w:rFonts w:hint="eastAsia"/>
                <w:color w:val="auto"/>
                <w:highlight w:val="none"/>
                <w:lang w:val="en-US" w:eastAsia="zh-CN"/>
              </w:rPr>
              <w:t>用于修改个人基本信息、查看个人打卡记录</w:t>
            </w:r>
          </w:p>
        </w:tc>
      </w:tr>
    </w:tbl>
    <w:p>
      <w:pPr>
        <w:pStyle w:val="5"/>
        <w:keepLines w:val="0"/>
        <w:pageBreakBefore w:val="0"/>
        <w:tabs>
          <w:tab w:val="left" w:pos="588"/>
        </w:tabs>
        <w:kinsoku/>
        <w:wordWrap/>
        <w:overflowPunct/>
        <w:topLinePunct w:val="0"/>
        <w:autoSpaceDE/>
        <w:autoSpaceDN/>
        <w:bidi w:val="0"/>
        <w:adjustRightInd/>
        <w:snapToGrid/>
        <w:spacing w:line="360" w:lineRule="auto"/>
        <w:ind w:left="0" w:firstLine="480" w:firstLineChars="200"/>
        <w:jc w:val="left"/>
        <w:rPr>
          <w:rFonts w:hint="eastAsia" w:ascii="宋体" w:hAnsi="宋体" w:eastAsia="宋体" w:cs="宋体"/>
          <w:b/>
          <w:bCs/>
          <w:color w:val="auto"/>
          <w:sz w:val="24"/>
          <w:szCs w:val="24"/>
          <w:highlight w:val="none"/>
          <w:lang w:val="en-US" w:eastAsia="zh-CN"/>
        </w:rPr>
      </w:pPr>
      <w:bookmarkStart w:id="25" w:name="2.5.11.2. 系统接口"/>
      <w:bookmarkEnd w:id="25"/>
      <w:bookmarkStart w:id="26" w:name="2.5.11.2. 系统接口"/>
      <w:bookmarkEnd w:id="26"/>
      <w:r>
        <w:rPr>
          <w:rFonts w:hint="eastAsia" w:ascii="宋体" w:hAnsi="宋体" w:eastAsia="宋体" w:cs="宋体"/>
          <w:b/>
          <w:bCs/>
          <w:color w:val="auto"/>
          <w:sz w:val="24"/>
          <w:szCs w:val="24"/>
          <w:highlight w:val="none"/>
          <w:lang w:val="en-US" w:eastAsia="zh-CN"/>
        </w:rPr>
        <w:t>（二）、系统建设要求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 云存储</w:t>
      </w:r>
    </w:p>
    <w:p>
      <w:pPr>
        <w:keepLines w:val="0"/>
        <w:pageBreakBefore w:val="0"/>
        <w:kinsoku/>
        <w:wordWrap/>
        <w:overflowPunct/>
        <w:topLinePunct w:val="0"/>
        <w:autoSpaceDE/>
        <w:autoSpaceDN/>
        <w:bidi w:val="0"/>
        <w:adjustRightInd/>
        <w:snapToGrid/>
        <w:spacing w:line="360" w:lineRule="auto"/>
        <w:ind w:left="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提供2T云存储1年服务。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（2）系统建设要求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1）系统要求采用浏览端/服务端(B/S)架构</w:t>
      </w:r>
    </w:p>
    <w:tbl>
      <w:tblPr>
        <w:tblStyle w:val="33"/>
        <w:tblW w:w="0" w:type="auto"/>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3023"/>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327"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tc>
        <w:tc>
          <w:tcPr>
            <w:tcW w:w="3023"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c>
          <w:tcPr>
            <w:tcW w:w="3184"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327"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架构</w:t>
            </w:r>
          </w:p>
        </w:tc>
        <w:tc>
          <w:tcPr>
            <w:tcW w:w="3023"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采用B/S架构</w:t>
            </w:r>
          </w:p>
        </w:tc>
        <w:tc>
          <w:tcPr>
            <w:tcW w:w="3184"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327"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数据库</w:t>
            </w:r>
          </w:p>
        </w:tc>
        <w:tc>
          <w:tcPr>
            <w:tcW w:w="3023"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数据库平台</w:t>
            </w:r>
          </w:p>
        </w:tc>
        <w:tc>
          <w:tcPr>
            <w:tcW w:w="3184"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327"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系统运行环境</w:t>
            </w:r>
          </w:p>
        </w:tc>
        <w:tc>
          <w:tcPr>
            <w:tcW w:w="3023"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Windows系统</w:t>
            </w:r>
          </w:p>
        </w:tc>
        <w:tc>
          <w:tcPr>
            <w:tcW w:w="3184"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Windows 7以上操作系统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327"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系统开发框架</w:t>
            </w:r>
          </w:p>
        </w:tc>
        <w:tc>
          <w:tcPr>
            <w:tcW w:w="3023"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.Ne</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t framework+Html</w:t>
            </w:r>
          </w:p>
        </w:tc>
        <w:tc>
          <w:tcPr>
            <w:tcW w:w="3184"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.Net framework 4.0以上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327"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ADO.NET</w:t>
            </w:r>
          </w:p>
        </w:tc>
        <w:tc>
          <w:tcPr>
            <w:tcW w:w="3023"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数据库处理技术</w:t>
            </w:r>
          </w:p>
        </w:tc>
        <w:tc>
          <w:tcPr>
            <w:tcW w:w="3184"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数据存取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327"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IIS</w:t>
            </w:r>
          </w:p>
        </w:tc>
        <w:tc>
          <w:tcPr>
            <w:tcW w:w="3023"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互联网信息服务</w:t>
            </w:r>
          </w:p>
        </w:tc>
        <w:tc>
          <w:tcPr>
            <w:tcW w:w="3184" w:type="dxa"/>
            <w:noWrap w:val="0"/>
            <w:vAlign w:val="center"/>
          </w:tcPr>
          <w:p>
            <w:pPr>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具体要求如下：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WEB系统的开发采用.Net+html技术体系；</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数据库软件采用主流数据库软件；</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平台能够支持目前通用的各类操作系统环境，服务端需支持WINDOWS SERVER 2008及以上；客户端需支持WINDOWS 7、Windows 10操作系统，浏览器应支持IE9以上，以及360和CHROME浏览器；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本项目包含系统应便于迁移和复制，要能够在普通台式机上运行，根据目前国内操作系统现状，要求能够在window系统上，不安装其他软件，在非特定环境下正常运行，便于工作人员日常维护。</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项目要求采用标准的、开放的、成熟的、先进的应用技术进行建设，安全高效，功能完善，结构合理，易于扩展，充分考虑到系统今后纵向和横向的平滑扩张能力。</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2）数据承载软件</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作为大规模应用的数据库软件，应支持大规模并发能力，具备数据库集群支持能力，具备TB级海量空间数据存储管理能力，可在主流操作系统平台上运行。</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灵活高效的海量数据处理能力、多用户并发访问、高安全可靠的共享等特点，需符合国内重大工程实施数据库选型现状和综合业务处理系统的发展需要。</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3）系统安全设计要求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保证系统的运行安全和数据安全，应能提供用户管理、权限管理、认证等具体安全功能，从系统安全和应用安全等层次进行安全设计。系统安全重点解决操作系统、数据库和功能服务器（如应用服务器、数据库服务器等）系统级安全问题，以建立一个安全的系统运行平台。应用安全应针对平台存储的资料提供完善的数据备份策略。</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4）平台性能要求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为保证系统运行稳定，软件应兼容当前主流Windows操作系统，响应平均时间&lt;1000毫秒，吞吐量&gt;1000,并发数&gt;1000。</w:t>
      </w:r>
    </w:p>
    <w:p>
      <w:pPr>
        <w:pStyle w:val="5"/>
        <w:keepLines w:val="0"/>
        <w:pageBreakBefore w:val="0"/>
        <w:numPr>
          <w:ilvl w:val="0"/>
          <w:numId w:val="3"/>
        </w:numPr>
        <w:tabs>
          <w:tab w:val="left" w:pos="588"/>
        </w:tabs>
        <w:kinsoku/>
        <w:wordWrap/>
        <w:overflowPunct/>
        <w:topLinePunct w:val="0"/>
        <w:autoSpaceDE/>
        <w:autoSpaceDN/>
        <w:bidi w:val="0"/>
        <w:adjustRightInd/>
        <w:snapToGrid/>
        <w:spacing w:line="360" w:lineRule="auto"/>
        <w:ind w:left="0" w:firstLine="480" w:firstLineChars="20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系统支持设备</w:t>
      </w:r>
    </w:p>
    <w:p>
      <w:pPr>
        <w:pStyle w:val="5"/>
        <w:keepLines w:val="0"/>
        <w:pageBreakBefore w:val="0"/>
        <w:numPr>
          <w:ilvl w:val="0"/>
          <w:numId w:val="0"/>
        </w:numPr>
        <w:tabs>
          <w:tab w:val="left" w:pos="588"/>
        </w:tabs>
        <w:kinsoku/>
        <w:wordWrap/>
        <w:overflowPunct/>
        <w:topLinePunct w:val="0"/>
        <w:autoSpaceDE/>
        <w:autoSpaceDN/>
        <w:bidi w:val="0"/>
        <w:adjustRightInd/>
        <w:snapToGrid/>
        <w:spacing w:line="360" w:lineRule="auto"/>
        <w:ind w:leftChars="20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为人事管理模块的考勤管理，需配备10台考勤打卡机，以便于开展各个项目地人员的管</w:t>
      </w:r>
      <w:r>
        <w:rPr>
          <w:rFonts w:hint="eastAsia" w:ascii="宋体" w:hAnsi="宋体" w:cs="宋体"/>
          <w:color w:val="auto"/>
          <w:kern w:val="2"/>
          <w:sz w:val="24"/>
          <w:szCs w:val="24"/>
          <w:highlight w:val="none"/>
          <w:lang w:val="en-US" w:eastAsia="zh-CN" w:bidi="ar-SA"/>
        </w:rPr>
        <w:t>理</w:t>
      </w:r>
      <w:r>
        <w:rPr>
          <w:rFonts w:hint="eastAsia" w:ascii="宋体" w:hAnsi="宋体" w:eastAsia="宋体" w:cs="宋体"/>
          <w:color w:val="auto"/>
          <w:kern w:val="2"/>
          <w:sz w:val="24"/>
          <w:szCs w:val="24"/>
          <w:highlight w:val="none"/>
          <w:lang w:val="en-US" w:eastAsia="zh-CN" w:bidi="ar-SA"/>
        </w:rPr>
        <w:t>工作。</w:t>
      </w:r>
    </w:p>
    <w:p>
      <w:pPr>
        <w:pStyle w:val="2"/>
        <w:spacing w:line="360" w:lineRule="auto"/>
        <w:ind w:left="0" w:leftChars="0" w:firstLine="480" w:firstLineChars="200"/>
        <w:rPr>
          <w:color w:val="auto"/>
          <w:highlight w:val="none"/>
        </w:rPr>
      </w:pPr>
      <w:r>
        <w:rPr>
          <w:rFonts w:hint="eastAsia" w:ascii="宋体" w:hAnsi="宋体" w:eastAsia="宋体" w:cs="宋体"/>
          <w:color w:val="auto"/>
          <w:kern w:val="2"/>
          <w:sz w:val="24"/>
          <w:szCs w:val="24"/>
          <w:highlight w:val="none"/>
          <w:lang w:val="en-US" w:eastAsia="zh-CN" w:bidi="ar-SA"/>
        </w:rPr>
        <w:t>考勤打卡机要求：</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验证方式：人脸识别</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处理器</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不低于</w:t>
      </w:r>
      <w:r>
        <w:rPr>
          <w:rFonts w:hint="eastAsia" w:ascii="宋体" w:hAnsi="宋体" w:eastAsia="宋体" w:cs="宋体"/>
          <w:color w:val="auto"/>
          <w:sz w:val="24"/>
          <w:szCs w:val="24"/>
          <w:highlight w:val="none"/>
          <w:lang w:val="en-US" w:eastAsia="zh-CN"/>
        </w:rPr>
        <w:t>四核A53 1.45GHz</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摄像头</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不低于18</w:t>
      </w:r>
      <w:r>
        <w:rPr>
          <w:rFonts w:hint="eastAsia" w:ascii="宋体" w:hAnsi="宋体" w:eastAsia="宋体" w:cs="宋体"/>
          <w:color w:val="auto"/>
          <w:sz w:val="24"/>
          <w:szCs w:val="24"/>
          <w:highlight w:val="none"/>
          <w:lang w:val="en-US" w:eastAsia="zh-CN"/>
        </w:rPr>
        <w:t>0万像素</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存储容量：人脸容量：不少于900张</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离线记录：不少于11万条</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识别距离：不小于</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米</w:t>
      </w:r>
    </w:p>
    <w:p>
      <w:pPr>
        <w:pStyle w:val="3"/>
        <w:keepLines w:val="0"/>
        <w:pageBreakBefore w:val="0"/>
        <w:kinsoku/>
        <w:wordWrap/>
        <w:overflowPunct/>
        <w:topLinePunct w:val="0"/>
        <w:autoSpaceDE/>
        <w:autoSpaceDN/>
        <w:bidi w:val="0"/>
        <w:adjustRightInd/>
        <w:snapToGrid/>
        <w:ind w:left="0" w:firstLine="880" w:firstLineChars="200"/>
        <w:jc w:val="both"/>
        <w:rPr>
          <w:color w:val="auto"/>
          <w:highlight w:val="none"/>
        </w:rPr>
        <w:sectPr>
          <w:footerReference r:id="rId7" w:type="default"/>
          <w:pgSz w:w="11906" w:h="16838"/>
          <w:pgMar w:top="1440" w:right="1083" w:bottom="1440" w:left="1519" w:header="851" w:footer="992" w:gutter="0"/>
          <w:pgNumType w:fmt="decimal" w:start="1"/>
          <w:cols w:space="425" w:num="1"/>
          <w:docGrid w:type="linesAndChars" w:linePitch="420" w:charSpace="0"/>
        </w:sectPr>
      </w:pPr>
    </w:p>
    <w:p>
      <w:pPr>
        <w:pStyle w:val="3"/>
        <w:rPr>
          <w:rFonts w:hint="eastAsia" w:ascii="宋体" w:hAnsi="宋体" w:eastAsia="宋体" w:cs="宋体"/>
          <w:color w:val="auto"/>
          <w:highlight w:val="none"/>
        </w:rPr>
      </w:pPr>
      <w:bookmarkStart w:id="27" w:name="_Toc29276"/>
      <w:r>
        <w:rPr>
          <w:rFonts w:hint="eastAsia" w:ascii="宋体" w:hAnsi="宋体" w:eastAsia="宋体" w:cs="宋体"/>
          <w:b/>
          <w:bCs/>
          <w:color w:val="auto"/>
          <w:sz w:val="32"/>
          <w:szCs w:val="32"/>
          <w:highlight w:val="none"/>
        </w:rPr>
        <w:t xml:space="preserve">第四章  </w:t>
      </w:r>
      <w:r>
        <w:rPr>
          <w:rFonts w:hint="eastAsia" w:ascii="宋体" w:hAnsi="宋体" w:eastAsia="宋体" w:cs="宋体"/>
          <w:b/>
          <w:bCs/>
          <w:color w:val="auto"/>
          <w:sz w:val="32"/>
          <w:szCs w:val="32"/>
          <w:highlight w:val="none"/>
          <w:lang w:eastAsia="zh-CN"/>
        </w:rPr>
        <w:t>商务及</w:t>
      </w:r>
      <w:r>
        <w:rPr>
          <w:rFonts w:hint="eastAsia" w:ascii="宋体" w:hAnsi="宋体" w:eastAsia="宋体" w:cs="宋体"/>
          <w:b/>
          <w:bCs/>
          <w:color w:val="auto"/>
          <w:sz w:val="32"/>
          <w:szCs w:val="32"/>
          <w:highlight w:val="none"/>
        </w:rPr>
        <w:t>合同文本</w:t>
      </w:r>
      <w:bookmarkEnd w:id="27"/>
    </w:p>
    <w:p>
      <w:pPr>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商务要求</w:t>
      </w:r>
    </w:p>
    <w:p>
      <w:pPr>
        <w:keepNext w:val="0"/>
        <w:keepLines w:val="0"/>
        <w:pageBreakBefore w:val="0"/>
        <w:numPr>
          <w:ilvl w:val="0"/>
          <w:numId w:val="4"/>
        </w:numPr>
        <w:kinsoku/>
        <w:wordWrap/>
        <w:overflowPunct/>
        <w:topLinePunct w:val="0"/>
        <w:autoSpaceDE/>
        <w:autoSpaceDN/>
        <w:bidi w:val="0"/>
        <w:adjustRightInd/>
        <w:snapToGrid/>
        <w:spacing w:line="336" w:lineRule="auto"/>
        <w:ind w:leftChars="0"/>
        <w:textAlignment w:val="auto"/>
        <w:rPr>
          <w:rFonts w:hint="eastAsia" w:ascii="宋体" w:hAnsi="宋体" w:cs="宋体"/>
          <w:color w:val="auto"/>
          <w:sz w:val="24"/>
          <w:highlight w:val="none"/>
        </w:rPr>
      </w:pPr>
      <w:r>
        <w:rPr>
          <w:rFonts w:hint="eastAsia" w:ascii="宋体" w:hAnsi="宋体" w:cs="宋体"/>
          <w:color w:val="auto"/>
          <w:sz w:val="24"/>
          <w:highlight w:val="none"/>
          <w:lang w:eastAsia="zh-CN"/>
        </w:rPr>
        <w:t>交付</w:t>
      </w:r>
      <w:r>
        <w:rPr>
          <w:rFonts w:hint="eastAsia" w:ascii="宋体" w:hAnsi="宋体" w:cs="宋体"/>
          <w:color w:val="auto"/>
          <w:sz w:val="24"/>
          <w:highlight w:val="none"/>
        </w:rPr>
        <w:t>地点：采购人指定地点。</w:t>
      </w:r>
    </w:p>
    <w:p>
      <w:pPr>
        <w:keepNext w:val="0"/>
        <w:keepLines w:val="0"/>
        <w:pageBreakBefore w:val="0"/>
        <w:numPr>
          <w:ilvl w:val="0"/>
          <w:numId w:val="4"/>
        </w:numPr>
        <w:kinsoku/>
        <w:wordWrap/>
        <w:overflowPunct/>
        <w:topLinePunct w:val="0"/>
        <w:autoSpaceDE/>
        <w:autoSpaceDN/>
        <w:bidi w:val="0"/>
        <w:adjustRightInd/>
        <w:snapToGrid/>
        <w:spacing w:line="336" w:lineRule="auto"/>
        <w:ind w:leftChars="0"/>
        <w:textAlignment w:val="auto"/>
        <w:rPr>
          <w:rFonts w:hint="eastAsia" w:ascii="宋体" w:hAnsi="宋体" w:cs="宋体"/>
          <w:color w:val="auto"/>
          <w:sz w:val="24"/>
          <w:highlight w:val="none"/>
        </w:rPr>
      </w:pPr>
      <w:r>
        <w:rPr>
          <w:rFonts w:hint="eastAsia" w:ascii="宋体" w:hAnsi="宋体" w:cs="宋体"/>
          <w:color w:val="auto"/>
          <w:sz w:val="24"/>
          <w:highlight w:val="none"/>
        </w:rPr>
        <w:t>交付期：</w:t>
      </w:r>
      <w:r>
        <w:rPr>
          <w:rFonts w:hint="eastAsia" w:ascii="宋体" w:hAnsi="宋体" w:cs="宋体"/>
          <w:color w:val="auto"/>
          <w:sz w:val="24"/>
          <w:highlight w:val="none"/>
          <w:lang w:val="en-US" w:eastAsia="zh-CN"/>
        </w:rPr>
        <w:t>合同签订后90日历日内交付</w:t>
      </w:r>
      <w:r>
        <w:rPr>
          <w:rFonts w:hint="eastAsia" w:ascii="宋体" w:hAnsi="宋体" w:cs="宋体"/>
          <w:color w:val="auto"/>
          <w:kern w:val="0"/>
          <w:sz w:val="24"/>
          <w:highlight w:val="none"/>
          <w:lang w:bidi="ar"/>
        </w:rPr>
        <w:t>。</w:t>
      </w:r>
    </w:p>
    <w:p>
      <w:pPr>
        <w:keepNext w:val="0"/>
        <w:keepLines w:val="0"/>
        <w:pageBreakBefore w:val="0"/>
        <w:numPr>
          <w:ilvl w:val="0"/>
          <w:numId w:val="4"/>
        </w:numPr>
        <w:kinsoku/>
        <w:wordWrap/>
        <w:overflowPunct/>
        <w:topLinePunct w:val="0"/>
        <w:autoSpaceDE/>
        <w:autoSpaceDN/>
        <w:bidi w:val="0"/>
        <w:adjustRightInd/>
        <w:snapToGrid/>
        <w:spacing w:line="336" w:lineRule="auto"/>
        <w:ind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r>
        <w:rPr>
          <w:rFonts w:hint="eastAsia" w:ascii="宋体" w:hAnsi="宋体" w:eastAsia="宋体" w:cs="宋体"/>
          <w:color w:val="auto"/>
          <w:sz w:val="24"/>
          <w:highlight w:val="none"/>
          <w:lang w:val="en-US" w:eastAsia="zh-CN"/>
        </w:rPr>
        <w:t>合同生效后15日内，支付合同总额的60%作为首付款；提交成果并验收合格后15日内，支付合同总额40%尾款</w:t>
      </w:r>
      <w:r>
        <w:rPr>
          <w:rFonts w:hint="eastAsia" w:ascii="宋体" w:hAnsi="宋体" w:eastAsia="宋体" w:cs="宋体"/>
          <w:color w:val="auto"/>
          <w:sz w:val="24"/>
          <w:highlight w:val="none"/>
        </w:rPr>
        <w:t>。</w:t>
      </w:r>
    </w:p>
    <w:p>
      <w:pPr>
        <w:keepNext w:val="0"/>
        <w:keepLines w:val="0"/>
        <w:pageBreakBefore w:val="0"/>
        <w:numPr>
          <w:ilvl w:val="0"/>
          <w:numId w:val="4"/>
        </w:numPr>
        <w:kinsoku/>
        <w:wordWrap/>
        <w:overflowPunct/>
        <w:topLinePunct w:val="0"/>
        <w:autoSpaceDE/>
        <w:autoSpaceDN/>
        <w:bidi w:val="0"/>
        <w:adjustRightInd/>
        <w:snapToGrid/>
        <w:spacing w:line="336" w:lineRule="auto"/>
        <w:ind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服务标准：符合国家及行业相关规范及标准。</w:t>
      </w:r>
    </w:p>
    <w:p>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5、售后服务</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质保期：验收合格后1年。</w:t>
      </w:r>
    </w:p>
    <w:p>
      <w:pPr>
        <w:keepNext w:val="0"/>
        <w:keepLines w:val="0"/>
        <w:pageBreakBefore w:val="0"/>
        <w:widowControl w:val="0"/>
        <w:kinsoku/>
        <w:wordWrap/>
        <w:overflowPunct/>
        <w:topLinePunct w:val="0"/>
        <w:autoSpaceDE/>
        <w:autoSpaceDN/>
        <w:bidi w:val="0"/>
        <w:adjustRightInd/>
        <w:snapToGrid/>
        <w:spacing w:line="336" w:lineRule="auto"/>
        <w:ind w:left="0" w:lef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响应时效：即时响应（包括电话响应）；电话响应无法解决2小时内到达现场。修复时间12小时内解决；如12小时内无法修复，应提供相应解决方案。</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firstLine="240" w:firstLineChars="1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（1）验收合格后提供1年的免费维护，服务内容包括远程技术支持、定期回访、软件更新、技术培训等；</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firstLine="240" w:firstLineChars="1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（2）项目质保期内，需提供本地化运维服务，由此产生的一切费用均由中标方承担。</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firstLine="240" w:firstLineChars="1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（3）如需其他技术支持服务，则费用由双方另议。</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firstLine="240" w:firstLineChars="1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（4）中标方要长期建立完善的技术支持和售后服务管理体系及服务队伍，为配合用户使用提供全方位的技术支持工作。</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firstLine="240" w:firstLineChars="1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（5）超过质保期后，每年运行维护和技术支持服务费用由双方商定但不得超过合同总金额的10% 。</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Chars="0" w:firstLine="240" w:firstLineChars="1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技术维修人员全年全天候服务响应，提供7*24小时服务；即时响应（包括电话响应）；电话响应无法解决2小时内到达现场。修复时间12小时内解决；如12小时内无法修复，应提供相应解决方案。同时在检验合格之日起，需提供电话、email、远程修复等支持。</w:t>
      </w:r>
    </w:p>
    <w:p>
      <w:pPr>
        <w:spacing w:line="360" w:lineRule="auto"/>
        <w:ind w:firstLine="6328" w:firstLineChars="2637"/>
        <w:rPr>
          <w:rFonts w:hint="eastAsia" w:ascii="宋体" w:hAnsi="宋体" w:eastAsia="宋体" w:cs="宋体"/>
          <w:b/>
          <w:bCs/>
          <w:color w:val="auto"/>
          <w:highlight w:val="none"/>
        </w:rPr>
      </w:pPr>
      <w:r>
        <w:rPr>
          <w:rFonts w:hint="eastAsia" w:ascii="宋体" w:hAnsi="宋体" w:eastAsia="宋体" w:cs="宋体"/>
          <w:color w:val="auto"/>
          <w:highlight w:val="none"/>
        </w:rPr>
        <w:br w:type="page"/>
      </w:r>
      <w:r>
        <w:rPr>
          <w:rFonts w:hint="eastAsia" w:ascii="宋体" w:hAnsi="宋体" w:eastAsia="宋体" w:cs="宋体"/>
          <w:b/>
          <w:bCs/>
          <w:color w:val="auto"/>
          <w:highlight w:val="none"/>
        </w:rPr>
        <w:t>合同编号：</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jc w:val="center"/>
        <w:rPr>
          <w:rFonts w:hint="eastAsia" w:ascii="宋体" w:hAnsi="宋体" w:eastAsia="宋体" w:cs="宋体"/>
          <w:b/>
          <w:bCs/>
          <w:color w:val="auto"/>
          <w:sz w:val="48"/>
          <w:szCs w:val="48"/>
          <w:highlight w:val="none"/>
          <w:lang w:eastAsia="zh-CN"/>
        </w:rPr>
      </w:pPr>
      <w:r>
        <w:rPr>
          <w:rFonts w:hint="eastAsia" w:ascii="宋体" w:hAnsi="宋体" w:eastAsia="宋体" w:cs="宋体"/>
          <w:b/>
          <w:bCs/>
          <w:color w:val="auto"/>
          <w:sz w:val="48"/>
          <w:szCs w:val="48"/>
          <w:highlight w:val="none"/>
          <w:lang w:eastAsia="zh-CN"/>
        </w:rPr>
        <w:t>西安市文物保护考古研究院综合业务处理系统开发</w:t>
      </w:r>
    </w:p>
    <w:p>
      <w:pPr>
        <w:rPr>
          <w:rFonts w:hint="eastAsia" w:ascii="宋体" w:hAnsi="宋体" w:eastAsia="宋体" w:cs="宋体"/>
          <w:color w:val="auto"/>
          <w:highlight w:val="none"/>
        </w:rPr>
      </w:pPr>
    </w:p>
    <w:p>
      <w:pPr>
        <w:jc w:val="both"/>
        <w:rPr>
          <w:rFonts w:hint="eastAsia" w:ascii="宋体" w:hAnsi="宋体" w:eastAsia="宋体" w:cs="宋体"/>
          <w:b/>
          <w:color w:val="auto"/>
          <w:sz w:val="52"/>
          <w:szCs w:val="52"/>
          <w:highlight w:val="none"/>
        </w:rPr>
      </w:pPr>
    </w:p>
    <w:p>
      <w:pPr>
        <w:jc w:val="center"/>
        <w:rPr>
          <w:rFonts w:hint="eastAsia" w:ascii="宋体" w:hAnsi="宋体" w:eastAsia="宋体" w:cs="宋体"/>
          <w:color w:val="auto"/>
          <w:highlight w:val="none"/>
        </w:rPr>
      </w:pPr>
      <w:r>
        <w:rPr>
          <w:rFonts w:hint="eastAsia" w:ascii="宋体" w:hAnsi="宋体" w:eastAsia="宋体" w:cs="宋体"/>
          <w:b/>
          <w:color w:val="auto"/>
          <w:sz w:val="52"/>
          <w:szCs w:val="52"/>
          <w:highlight w:val="none"/>
        </w:rPr>
        <w:t>合 同 书</w:t>
      </w:r>
    </w:p>
    <w:p>
      <w:pPr>
        <w:spacing w:line="360" w:lineRule="auto"/>
        <w:ind w:left="31680" w:hanging="1464" w:hangingChars="400"/>
        <w:jc w:val="center"/>
        <w:rPr>
          <w:rFonts w:hint="eastAsia" w:ascii="宋体" w:hAnsi="宋体" w:eastAsia="宋体" w:cs="宋体"/>
          <w:b/>
          <w:color w:val="auto"/>
          <w:spacing w:val="23"/>
          <w:sz w:val="32"/>
          <w:szCs w:val="32"/>
          <w:highlight w:val="none"/>
        </w:rPr>
      </w:pPr>
    </w:p>
    <w:p>
      <w:pPr>
        <w:spacing w:line="360" w:lineRule="auto"/>
        <w:ind w:left="31680" w:hanging="1464" w:hangingChars="400"/>
        <w:jc w:val="center"/>
        <w:rPr>
          <w:rFonts w:hint="eastAsia" w:ascii="宋体" w:hAnsi="宋体" w:eastAsia="宋体" w:cs="宋体"/>
          <w:b/>
          <w:color w:val="auto"/>
          <w:spacing w:val="23"/>
          <w:sz w:val="32"/>
          <w:szCs w:val="32"/>
          <w:highlight w:val="none"/>
        </w:rPr>
      </w:pPr>
    </w:p>
    <w:p>
      <w:pPr>
        <w:spacing w:line="360" w:lineRule="auto"/>
        <w:ind w:left="31680" w:hanging="1464" w:hangingChars="400"/>
        <w:jc w:val="center"/>
        <w:rPr>
          <w:rFonts w:hint="eastAsia" w:ascii="宋体" w:hAnsi="宋体" w:eastAsia="宋体" w:cs="宋体"/>
          <w:b/>
          <w:color w:val="auto"/>
          <w:spacing w:val="23"/>
          <w:sz w:val="32"/>
          <w:szCs w:val="32"/>
          <w:highlight w:val="none"/>
        </w:rPr>
      </w:pPr>
    </w:p>
    <w:p>
      <w:pPr>
        <w:spacing w:line="360" w:lineRule="auto"/>
        <w:ind w:left="31680" w:hanging="1464" w:hangingChars="400"/>
        <w:jc w:val="center"/>
        <w:rPr>
          <w:rFonts w:hint="eastAsia" w:ascii="宋体" w:hAnsi="宋体" w:eastAsia="宋体" w:cs="宋体"/>
          <w:b/>
          <w:color w:val="auto"/>
          <w:spacing w:val="23"/>
          <w:sz w:val="32"/>
          <w:szCs w:val="32"/>
          <w:highlight w:val="none"/>
        </w:rPr>
      </w:pPr>
    </w:p>
    <w:p>
      <w:pPr>
        <w:spacing w:line="360" w:lineRule="auto"/>
        <w:ind w:left="1533" w:leftChars="639"/>
        <w:jc w:val="both"/>
        <w:rPr>
          <w:rFonts w:hint="eastAsia" w:ascii="宋体" w:hAnsi="宋体" w:eastAsia="宋体" w:cs="宋体"/>
          <w:b/>
          <w:color w:val="auto"/>
          <w:spacing w:val="23"/>
          <w:sz w:val="32"/>
          <w:szCs w:val="32"/>
          <w:highlight w:val="none"/>
        </w:rPr>
      </w:pPr>
      <w:r>
        <w:rPr>
          <w:rFonts w:hint="eastAsia" w:ascii="宋体" w:hAnsi="宋体" w:eastAsia="宋体" w:cs="宋体"/>
          <w:b/>
          <w:color w:val="auto"/>
          <w:spacing w:val="23"/>
          <w:sz w:val="32"/>
          <w:szCs w:val="32"/>
          <w:highlight w:val="none"/>
        </w:rPr>
        <w:t>甲方(采购人)：</w:t>
      </w:r>
      <w:r>
        <w:rPr>
          <w:rFonts w:hint="eastAsia" w:ascii="宋体" w:hAnsi="宋体" w:eastAsia="宋体" w:cs="宋体"/>
          <w:b/>
          <w:color w:val="auto"/>
          <w:spacing w:val="23"/>
          <w:sz w:val="32"/>
          <w:szCs w:val="32"/>
          <w:highlight w:val="none"/>
          <w:u w:val="single"/>
        </w:rPr>
        <w:t xml:space="preserve">             </w:t>
      </w:r>
    </w:p>
    <w:p>
      <w:pPr>
        <w:spacing w:line="360" w:lineRule="auto"/>
        <w:ind w:left="1533" w:leftChars="639"/>
        <w:jc w:val="both"/>
        <w:rPr>
          <w:rFonts w:hint="eastAsia" w:ascii="宋体" w:hAnsi="宋体" w:eastAsia="宋体" w:cs="宋体"/>
          <w:color w:val="auto"/>
          <w:spacing w:val="23"/>
          <w:sz w:val="28"/>
          <w:szCs w:val="28"/>
          <w:highlight w:val="none"/>
          <w:u w:val="singl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"http://set2.mail.qq.com/cgi-bin/mail_spam?action=check_link&amp;spam=0&amp;url=http%3A%2F%2Fwww%2Ebaidu%2Ecom%2Fs%3Fwd%3D%25E4%25B9%2599%25E6%2596%25B9%26hl_tag%3Dtextlink%26tn%3DSE_hldp01350_v6v6zkg6" </w:instrText>
      </w:r>
      <w:r>
        <w:rPr>
          <w:rFonts w:hint="eastAsia" w:ascii="宋体" w:hAnsi="宋体" w:eastAsia="宋体" w:cs="宋体"/>
          <w:color w:val="auto"/>
          <w:highlight w:val="none"/>
        </w:rPr>
        <w:fldChar w:fldCharType="separate"/>
      </w:r>
      <w:r>
        <w:rPr>
          <w:rFonts w:hint="eastAsia" w:ascii="宋体" w:hAnsi="宋体" w:eastAsia="宋体" w:cs="宋体"/>
          <w:b/>
          <w:color w:val="auto"/>
          <w:spacing w:val="23"/>
          <w:sz w:val="32"/>
          <w:szCs w:val="32"/>
          <w:highlight w:val="none"/>
        </w:rPr>
        <w:t>乙方</w:t>
      </w:r>
      <w:r>
        <w:rPr>
          <w:rFonts w:hint="eastAsia" w:ascii="宋体" w:hAnsi="宋体" w:eastAsia="宋体" w:cs="宋体"/>
          <w:b/>
          <w:color w:val="auto"/>
          <w:spacing w:val="23"/>
          <w:sz w:val="32"/>
          <w:szCs w:val="32"/>
          <w:highlight w:val="none"/>
        </w:rPr>
        <w:fldChar w:fldCharType="end"/>
      </w:r>
      <w:r>
        <w:rPr>
          <w:rFonts w:hint="eastAsia" w:ascii="宋体" w:hAnsi="宋体" w:eastAsia="宋体" w:cs="宋体"/>
          <w:b/>
          <w:color w:val="auto"/>
          <w:spacing w:val="23"/>
          <w:sz w:val="32"/>
          <w:szCs w:val="32"/>
          <w:highlight w:val="none"/>
        </w:rPr>
        <w:t>(供应商)：</w:t>
      </w:r>
      <w:r>
        <w:rPr>
          <w:rFonts w:hint="eastAsia" w:ascii="宋体" w:hAnsi="宋体" w:eastAsia="宋体" w:cs="宋体"/>
          <w:color w:val="auto"/>
          <w:spacing w:val="23"/>
          <w:sz w:val="28"/>
          <w:szCs w:val="28"/>
          <w:highlight w:val="none"/>
          <w:u w:val="single"/>
        </w:rPr>
        <w:t xml:space="preserve">               </w:t>
      </w:r>
    </w:p>
    <w:p>
      <w:pPr>
        <w:spacing w:line="360" w:lineRule="auto"/>
        <w:ind w:left="1533" w:leftChars="639"/>
        <w:jc w:val="both"/>
        <w:rPr>
          <w:rFonts w:hint="eastAsia" w:ascii="宋体" w:hAnsi="宋体" w:eastAsia="宋体" w:cs="宋体"/>
          <w:b/>
          <w:color w:val="auto"/>
          <w:spacing w:val="23"/>
          <w:sz w:val="32"/>
          <w:szCs w:val="32"/>
          <w:highlight w:val="none"/>
        </w:rPr>
      </w:pPr>
      <w:r>
        <w:rPr>
          <w:rFonts w:hint="eastAsia" w:ascii="宋体" w:hAnsi="宋体" w:eastAsia="宋体" w:cs="宋体"/>
          <w:b/>
          <w:color w:val="auto"/>
          <w:spacing w:val="23"/>
          <w:sz w:val="32"/>
          <w:szCs w:val="32"/>
          <w:highlight w:val="none"/>
        </w:rPr>
        <w:t>签订时间：</w:t>
      </w:r>
      <w:r>
        <w:rPr>
          <w:rFonts w:hint="eastAsia" w:ascii="宋体" w:hAnsi="宋体" w:eastAsia="宋体" w:cs="宋体"/>
          <w:b/>
          <w:color w:val="auto"/>
          <w:spacing w:val="23"/>
          <w:sz w:val="32"/>
          <w:szCs w:val="32"/>
          <w:highlight w:val="none"/>
          <w:u w:val="single"/>
        </w:rPr>
        <w:t xml:space="preserve">    </w:t>
      </w:r>
      <w:r>
        <w:rPr>
          <w:rFonts w:hint="eastAsia" w:ascii="宋体" w:hAnsi="宋体" w:eastAsia="宋体" w:cs="宋体"/>
          <w:b/>
          <w:color w:val="auto"/>
          <w:spacing w:val="23"/>
          <w:sz w:val="32"/>
          <w:szCs w:val="32"/>
          <w:highlight w:val="none"/>
        </w:rPr>
        <w:t>年</w:t>
      </w:r>
      <w:r>
        <w:rPr>
          <w:rFonts w:hint="eastAsia" w:ascii="宋体" w:hAnsi="宋体" w:eastAsia="宋体" w:cs="宋体"/>
          <w:b/>
          <w:color w:val="auto"/>
          <w:spacing w:val="23"/>
          <w:sz w:val="32"/>
          <w:szCs w:val="32"/>
          <w:highlight w:val="none"/>
          <w:u w:val="single"/>
        </w:rPr>
        <w:t xml:space="preserve">    </w:t>
      </w:r>
      <w:r>
        <w:rPr>
          <w:rFonts w:hint="eastAsia" w:ascii="宋体" w:hAnsi="宋体" w:eastAsia="宋体" w:cs="宋体"/>
          <w:b/>
          <w:color w:val="auto"/>
          <w:spacing w:val="23"/>
          <w:sz w:val="32"/>
          <w:szCs w:val="32"/>
          <w:highlight w:val="none"/>
        </w:rPr>
        <w:t>月</w:t>
      </w:r>
      <w:r>
        <w:rPr>
          <w:rFonts w:hint="eastAsia" w:ascii="宋体" w:hAnsi="宋体" w:eastAsia="宋体" w:cs="宋体"/>
          <w:b/>
          <w:color w:val="auto"/>
          <w:spacing w:val="23"/>
          <w:sz w:val="32"/>
          <w:szCs w:val="32"/>
          <w:highlight w:val="none"/>
          <w:u w:val="single"/>
        </w:rPr>
        <w:t xml:space="preserve">    </w:t>
      </w:r>
      <w:r>
        <w:rPr>
          <w:rFonts w:hint="eastAsia" w:ascii="宋体" w:hAnsi="宋体" w:eastAsia="宋体" w:cs="宋体"/>
          <w:b/>
          <w:color w:val="auto"/>
          <w:spacing w:val="23"/>
          <w:sz w:val="32"/>
          <w:szCs w:val="32"/>
          <w:highlight w:val="none"/>
        </w:rPr>
        <w:t>日</w:t>
      </w:r>
    </w:p>
    <w:p>
      <w:pPr>
        <w:jc w:val="center"/>
        <w:outlineLvl w:val="1"/>
        <w:rPr>
          <w:rFonts w:hint="eastAsia" w:ascii="宋体" w:hAnsi="宋体" w:cs="宋体"/>
          <w:b/>
          <w:bCs/>
          <w:color w:val="auto"/>
          <w:sz w:val="32"/>
          <w:szCs w:val="40"/>
          <w:highlight w:val="none"/>
        </w:rPr>
      </w:pPr>
      <w:r>
        <w:rPr>
          <w:rFonts w:hint="eastAsia" w:ascii="宋体" w:hAnsi="宋体" w:eastAsia="宋体" w:cs="宋体"/>
          <w:b/>
          <w:color w:val="auto"/>
          <w:spacing w:val="23"/>
          <w:sz w:val="32"/>
          <w:szCs w:val="32"/>
          <w:highlight w:val="none"/>
        </w:rPr>
        <w:br w:type="page"/>
      </w:r>
      <w:bookmarkStart w:id="28" w:name="_Toc5471"/>
      <w:r>
        <w:rPr>
          <w:rFonts w:hint="eastAsia" w:ascii="宋体" w:hAnsi="宋体" w:cs="宋体"/>
          <w:b/>
          <w:bCs/>
          <w:color w:val="auto"/>
          <w:sz w:val="32"/>
          <w:szCs w:val="40"/>
          <w:highlight w:val="none"/>
        </w:rPr>
        <w:t>拟签订的合同文本</w:t>
      </w:r>
    </w:p>
    <w:p>
      <w:pPr>
        <w:jc w:val="center"/>
        <w:outlineLvl w:val="1"/>
        <w:rPr>
          <w:rFonts w:hint="eastAsia" w:ascii="宋体" w:hAnsi="宋体" w:cs="宋体"/>
          <w:b/>
          <w:bCs/>
          <w:color w:val="auto"/>
          <w:sz w:val="24"/>
          <w:szCs w:val="32"/>
          <w:highlight w:val="none"/>
        </w:rPr>
      </w:pPr>
      <w:r>
        <w:rPr>
          <w:rFonts w:hint="eastAsia" w:ascii="宋体" w:hAnsi="宋体" w:cs="宋体"/>
          <w:b/>
          <w:bCs/>
          <w:color w:val="auto"/>
          <w:sz w:val="28"/>
          <w:szCs w:val="28"/>
          <w:highlight w:val="none"/>
        </w:rPr>
        <w:t>合同主要条款</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采购人（以下简称甲方）：</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供应商（以下简称乙方）：</w:t>
      </w:r>
    </w:p>
    <w:p>
      <w:pPr>
        <w:keepNext w:val="0"/>
        <w:keepLines w:val="0"/>
        <w:pageBreakBefore w:val="0"/>
        <w:kinsoku/>
        <w:topLinePunct w:val="0"/>
        <w:bidi w:val="0"/>
        <w:spacing w:line="360" w:lineRule="auto"/>
        <w:ind w:left="0" w:right="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根据《中华人民共和国民法典》、《中华人民共和国政府采购法》及其它有关法律、行政法规，为明确双方在</w:t>
      </w:r>
      <w:r>
        <w:rPr>
          <w:rFonts w:hint="eastAsia" w:ascii="宋体" w:hAnsi="宋体" w:cs="宋体"/>
          <w:bCs/>
          <w:color w:val="auto"/>
          <w:sz w:val="24"/>
          <w:szCs w:val="24"/>
          <w:highlight w:val="none"/>
          <w:lang w:eastAsia="zh-CN"/>
        </w:rPr>
        <w:t>实施</w:t>
      </w:r>
      <w:r>
        <w:rPr>
          <w:rFonts w:hint="eastAsia" w:ascii="宋体" w:hAnsi="宋体" w:eastAsia="宋体" w:cs="宋体"/>
          <w:bCs/>
          <w:color w:val="auto"/>
          <w:sz w:val="24"/>
          <w:szCs w:val="24"/>
          <w:highlight w:val="none"/>
        </w:rPr>
        <w:t>过程中的权利、义务，经双方协商自愿签订本合同。</w:t>
      </w:r>
    </w:p>
    <w:p>
      <w:pPr>
        <w:keepNext w:val="0"/>
        <w:keepLines w:val="0"/>
        <w:pageBreakBefore w:val="0"/>
        <w:kinsoku/>
        <w:topLinePunct w:val="0"/>
        <w:bidi w:val="0"/>
        <w:spacing w:line="360" w:lineRule="auto"/>
        <w:ind w:left="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一、合同组成</w:t>
      </w:r>
    </w:p>
    <w:p>
      <w:pPr>
        <w:keepNext w:val="0"/>
        <w:keepLines w:val="0"/>
        <w:pageBreakBefore w:val="0"/>
        <w:kinsoku/>
        <w:topLinePunct w:val="0"/>
        <w:autoSpaceDE w:val="0"/>
        <w:autoSpaceDN w:val="0"/>
        <w:bidi w:val="0"/>
        <w:adjustRightInd w:val="0"/>
        <w:spacing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下述文件是构成本合同不可分割的部分</w:t>
      </w:r>
      <w:r>
        <w:rPr>
          <w:rFonts w:hint="eastAsia" w:ascii="宋体" w:hAnsi="宋体" w:eastAsia="宋体" w:cs="宋体"/>
          <w:color w:val="auto"/>
          <w:sz w:val="24"/>
          <w:szCs w:val="24"/>
          <w:highlight w:val="none"/>
        </w:rPr>
        <w:t>:</w:t>
      </w:r>
    </w:p>
    <w:p>
      <w:pPr>
        <w:keepNext w:val="0"/>
        <w:keepLines w:val="0"/>
        <w:pageBreakBefore w:val="0"/>
        <w:kinsoku/>
        <w:topLinePunct w:val="0"/>
        <w:autoSpaceDE w:val="0"/>
        <w:autoSpaceDN w:val="0"/>
        <w:bidi w:val="0"/>
        <w:adjustRightInd w:val="0"/>
        <w:spacing w:line="360" w:lineRule="auto"/>
        <w:ind w:left="0" w:right="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本合同条款及其所有附件。</w:t>
      </w:r>
    </w:p>
    <w:p>
      <w:pPr>
        <w:keepNext w:val="0"/>
        <w:keepLines w:val="0"/>
        <w:pageBreakBefore w:val="0"/>
        <w:kinsoku/>
        <w:topLinePunct w:val="0"/>
        <w:autoSpaceDE w:val="0"/>
        <w:autoSpaceDN w:val="0"/>
        <w:bidi w:val="0"/>
        <w:adjustRightInd w:val="0"/>
        <w:spacing w:line="360" w:lineRule="auto"/>
        <w:ind w:left="0" w:right="0" w:firstLine="48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甲方的招标文件及澄清文件。</w:t>
      </w:r>
    </w:p>
    <w:p>
      <w:pPr>
        <w:keepNext w:val="0"/>
        <w:keepLines w:val="0"/>
        <w:pageBreakBefore w:val="0"/>
        <w:kinsoku/>
        <w:topLinePunct w:val="0"/>
        <w:autoSpaceDE w:val="0"/>
        <w:autoSpaceDN w:val="0"/>
        <w:bidi w:val="0"/>
        <w:adjustRightInd w:val="0"/>
        <w:spacing w:line="360" w:lineRule="auto"/>
        <w:ind w:left="0" w:right="0" w:firstLine="48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乙方的投标文件及质疑解答文件。</w:t>
      </w:r>
    </w:p>
    <w:p>
      <w:pPr>
        <w:keepNext w:val="0"/>
        <w:keepLines w:val="0"/>
        <w:pageBreakBefore w:val="0"/>
        <w:kinsoku/>
        <w:topLinePunct w:val="0"/>
        <w:autoSpaceDE w:val="0"/>
        <w:autoSpaceDN w:val="0"/>
        <w:bidi w:val="0"/>
        <w:adjustRightInd w:val="0"/>
        <w:spacing w:line="360" w:lineRule="auto"/>
        <w:ind w:left="0" w:right="0"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中标通知书。</w:t>
      </w:r>
    </w:p>
    <w:p>
      <w:pPr>
        <w:keepNext w:val="0"/>
        <w:keepLines w:val="0"/>
        <w:pageBreakBefore w:val="0"/>
        <w:kinsoku/>
        <w:topLinePunct w:val="0"/>
        <w:autoSpaceDE w:val="0"/>
        <w:autoSpaceDN w:val="0"/>
        <w:bidi w:val="0"/>
        <w:adjustRightInd w:val="0"/>
        <w:spacing w:line="360" w:lineRule="auto"/>
        <w:ind w:left="0" w:right="0"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法定代表人授权书。</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（6）双方与合同有关的往来信函、传真经双方法定代表人或其授权代表签字并加盖单位公章确认后视为本合同的组成部分。</w:t>
      </w:r>
    </w:p>
    <w:p>
      <w:pPr>
        <w:keepNext w:val="0"/>
        <w:keepLines w:val="0"/>
        <w:pageBreakBefore w:val="0"/>
        <w:kinsoku/>
        <w:topLinePunct w:val="0"/>
        <w:autoSpaceDE w:val="0"/>
        <w:autoSpaceDN w:val="0"/>
        <w:bidi w:val="0"/>
        <w:adjustRightInd w:val="0"/>
        <w:spacing w:line="360" w:lineRule="auto"/>
        <w:ind w:left="0" w:right="0"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（7）经双方法定代表人或其授权代表签字并加盖单位公章确认的补充协议。</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如果乙方的投标文件及质疑解答文件内容违背或低于甲方招标文件要求或任何可能导致影响当次采购目的的情形，均应当被视为乙方自动放弃投标文件及质疑解答文件中相应部分而同意以招标文件相应内容为准。如果乙方的投标文件及质疑解答文件内容高于甲方招标文件要求，则以乙方的投标文件及质疑解答文件内容为准。如果合同条款与合同附件有矛盾之处，以合同条款内容为准。</w:t>
      </w:r>
      <w:r>
        <w:rPr>
          <w:rFonts w:hint="eastAsia" w:ascii="宋体" w:hAnsi="宋体" w:eastAsia="宋体" w:cs="宋体"/>
          <w:color w:val="auto"/>
          <w:sz w:val="24"/>
          <w:szCs w:val="24"/>
          <w:highlight w:val="none"/>
        </w:rPr>
        <w:t>如果合同附件之间有矛盾之处，以有利于甲方的附件内容为准。</w:t>
      </w:r>
    </w:p>
    <w:p>
      <w:pPr>
        <w:keepNext w:val="0"/>
        <w:keepLines w:val="0"/>
        <w:pageBreakBefore w:val="0"/>
        <w:kinsoku/>
        <w:overflowPunct w:val="0"/>
        <w:topLinePunct w:val="0"/>
        <w:bidi w:val="0"/>
        <w:spacing w:line="360" w:lineRule="auto"/>
        <w:ind w:left="0" w:right="0" w:firstLine="48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上述合同文件应能够相互解释、相互说明。如合同文件之间出现不一致，除本合同另有约定外，第（1）款至（6）款的排列顺序就是合同文件的优先解释顺序。对于第（7）款中双方达成的补充协议与原合同（包括（1）-（6）款中所列的所有文件）存在不一致，以签订日期在后的补充协议为准。</w:t>
      </w:r>
    </w:p>
    <w:p>
      <w:pPr>
        <w:keepNext w:val="0"/>
        <w:keepLines w:val="0"/>
        <w:pageBreakBefore w:val="0"/>
        <w:kinsoku/>
        <w:topLinePunct w:val="0"/>
        <w:bidi w:val="0"/>
        <w:spacing w:line="360" w:lineRule="auto"/>
        <w:ind w:left="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二、项目概况</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项目名称</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西安市文物保护考古研究院综合业务处理系统开发。</w:t>
      </w:r>
    </w:p>
    <w:p>
      <w:pPr>
        <w:keepNext w:val="0"/>
        <w:keepLines w:val="0"/>
        <w:pageBreakBefore w:val="0"/>
        <w:kinsoku/>
        <w:topLinePunct w:val="0"/>
        <w:bidi w:val="0"/>
        <w:spacing w:line="360" w:lineRule="auto"/>
        <w:ind w:left="0" w:right="0" w:firstLine="480" w:firstLineChars="200"/>
        <w:jc w:val="lef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2、交付期：</w:t>
      </w:r>
      <w:r>
        <w:rPr>
          <w:rFonts w:hint="eastAsia" w:ascii="宋体" w:hAnsi="宋体" w:eastAsia="宋体" w:cs="宋体"/>
          <w:bCs/>
          <w:color w:val="auto"/>
          <w:sz w:val="24"/>
          <w:szCs w:val="24"/>
          <w:highlight w:val="none"/>
          <w:lang w:val="en-US" w:eastAsia="zh-CN"/>
        </w:rPr>
        <w:t>合同签订后90日历日内交付</w:t>
      </w:r>
      <w:r>
        <w:rPr>
          <w:rFonts w:hint="eastAsia" w:ascii="宋体" w:hAnsi="宋体" w:eastAsia="宋体" w:cs="宋体"/>
          <w:color w:val="auto"/>
          <w:sz w:val="24"/>
          <w:szCs w:val="24"/>
          <w:highlight w:val="none"/>
          <w:shd w:val="clear" w:color="auto" w:fill="FFFFFF"/>
          <w:lang w:eastAsia="zh-CN"/>
        </w:rPr>
        <w:t>。</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交付</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指定地点</w:t>
      </w:r>
      <w:r>
        <w:rPr>
          <w:rFonts w:hint="eastAsia" w:ascii="宋体" w:hAnsi="宋体" w:eastAsia="宋体" w:cs="宋体"/>
          <w:color w:val="auto"/>
          <w:sz w:val="24"/>
          <w:szCs w:val="24"/>
          <w:highlight w:val="none"/>
          <w:lang w:eastAsia="zh-CN"/>
        </w:rPr>
        <w:t>。</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服务标准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符合国家及行业相关规范及标准</w:t>
      </w:r>
      <w:r>
        <w:rPr>
          <w:rFonts w:hint="eastAsia" w:ascii="宋体" w:hAnsi="宋体" w:eastAsia="宋体" w:cs="宋体"/>
          <w:color w:val="auto"/>
          <w:sz w:val="24"/>
          <w:szCs w:val="24"/>
          <w:highlight w:val="none"/>
        </w:rPr>
        <w:t>。</w:t>
      </w:r>
    </w:p>
    <w:p>
      <w:pPr>
        <w:keepNext w:val="0"/>
        <w:keepLines w:val="0"/>
        <w:pageBreakBefore w:val="0"/>
        <w:kinsoku/>
        <w:topLinePunct w:val="0"/>
        <w:bidi w:val="0"/>
        <w:spacing w:line="360" w:lineRule="auto"/>
        <w:ind w:left="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b/>
          <w:bCs/>
          <w:color w:val="auto"/>
          <w:sz w:val="24"/>
          <w:szCs w:val="24"/>
          <w:highlight w:val="none"/>
        </w:rPr>
        <w:t>合同价款及付款比例</w:t>
      </w:r>
    </w:p>
    <w:p>
      <w:pPr>
        <w:keepNext w:val="0"/>
        <w:keepLines w:val="0"/>
        <w:pageBreakBefore w:val="0"/>
        <w:kinsoku/>
        <w:topLinePunct w:val="0"/>
        <w:bidi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1、合同价款：</w:t>
      </w:r>
      <w:r>
        <w:rPr>
          <w:rFonts w:hint="eastAsia" w:ascii="宋体" w:hAnsi="宋体" w:eastAsia="宋体" w:cs="宋体"/>
          <w:color w:val="auto"/>
          <w:sz w:val="24"/>
          <w:szCs w:val="24"/>
          <w:highlight w:val="none"/>
        </w:rPr>
        <w:t>合同为固定总价合同。</w:t>
      </w:r>
    </w:p>
    <w:p>
      <w:pPr>
        <w:keepNext w:val="0"/>
        <w:keepLines w:val="0"/>
        <w:pageBreakBefore w:val="0"/>
        <w:kinsoku/>
        <w:topLinePunct w:val="0"/>
        <w:bidi w:val="0"/>
        <w:spacing w:line="360" w:lineRule="auto"/>
        <w:ind w:left="0" w:right="0" w:firstLine="480"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合同总价款人民币（大写）</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元，（小写）</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元。</w:t>
      </w:r>
    </w:p>
    <w:p>
      <w:pPr>
        <w:keepNext w:val="0"/>
        <w:keepLines w:val="0"/>
        <w:pageBreakBefore w:val="0"/>
        <w:widowControl/>
        <w:tabs>
          <w:tab w:val="left" w:pos="426"/>
        </w:tabs>
        <w:kinsoku/>
        <w:topLinePunct w:val="0"/>
        <w:bidi w:val="0"/>
        <w:adjustRightIn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2、付款方式：</w:t>
      </w:r>
      <w:r>
        <w:rPr>
          <w:rFonts w:hint="eastAsia" w:ascii="宋体" w:hAnsi="宋体" w:eastAsia="宋体" w:cs="宋体"/>
          <w:color w:val="auto"/>
          <w:sz w:val="24"/>
          <w:szCs w:val="24"/>
          <w:highlight w:val="none"/>
          <w:lang w:val="en-US" w:eastAsia="zh-CN"/>
        </w:rPr>
        <w:t>合同生效后15日内，支付合同总额的60%作为首付款；提交成果并验收合格后15日内，支付合同总额40%尾款。</w:t>
      </w:r>
    </w:p>
    <w:p>
      <w:pPr>
        <w:keepNext w:val="0"/>
        <w:keepLines w:val="0"/>
        <w:pageBreakBefore w:val="0"/>
        <w:widowControl/>
        <w:tabs>
          <w:tab w:val="left" w:pos="426"/>
        </w:tabs>
        <w:kinsoku/>
        <w:topLinePunct w:val="0"/>
        <w:bidi w:val="0"/>
        <w:adjustRightIn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3、乙方开户银行指定账户为：</w:t>
      </w:r>
    </w:p>
    <w:p>
      <w:pPr>
        <w:keepNext w:val="0"/>
        <w:keepLines w:val="0"/>
        <w:pageBreakBefore w:val="0"/>
        <w:widowControl/>
        <w:tabs>
          <w:tab w:val="left" w:pos="426"/>
        </w:tabs>
        <w:kinsoku/>
        <w:topLinePunct w:val="0"/>
        <w:bidi w:val="0"/>
        <w:adjustRightIn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收款人：</w:t>
      </w:r>
    </w:p>
    <w:p>
      <w:pPr>
        <w:keepNext w:val="0"/>
        <w:keepLines w:val="0"/>
        <w:pageBreakBefore w:val="0"/>
        <w:widowControl/>
        <w:tabs>
          <w:tab w:val="left" w:pos="426"/>
        </w:tabs>
        <w:kinsoku/>
        <w:topLinePunct w:val="0"/>
        <w:bidi w:val="0"/>
        <w:adjustRightIn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w:t>
      </w:r>
    </w:p>
    <w:p>
      <w:pPr>
        <w:keepNext w:val="0"/>
        <w:keepLines w:val="0"/>
        <w:pageBreakBefore w:val="0"/>
        <w:widowControl/>
        <w:tabs>
          <w:tab w:val="left" w:pos="426"/>
        </w:tabs>
        <w:kinsoku/>
        <w:topLinePunct w:val="0"/>
        <w:bidi w:val="0"/>
        <w:adjustRightIn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4、甲方付款前，乙方应向甲方开具正式等额发票，否则甲方有权延迟履行付款义务。</w:t>
      </w:r>
    </w:p>
    <w:p>
      <w:pPr>
        <w:keepNext w:val="0"/>
        <w:keepLines w:val="0"/>
        <w:pageBreakBefore w:val="0"/>
        <w:kinsoku/>
        <w:topLinePunct w:val="0"/>
        <w:bidi w:val="0"/>
        <w:spacing w:line="360" w:lineRule="auto"/>
        <w:ind w:left="0" w:right="0"/>
        <w:jc w:val="left"/>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四、甲方的主要责任和权利</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1、甲方有权随时了解乙方的工作进展情况，并对经费使用进行监督检查。</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2、甲方将向乙方提供为完成服务工作所需要的信息、资料和其他相关协助。</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3、甲方若认为乙方履行合同不力严重影响项目服务质量，甲方有权要求更换乙方主要人员，直至终止合同。</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4、甲方有权阐述对具体问题的意见和建议。</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5、甲方有权根据项目的具体情况，要求乙方按期到项目现场解决争议。</w:t>
      </w:r>
    </w:p>
    <w:p>
      <w:pPr>
        <w:keepNext w:val="0"/>
        <w:keepLines w:val="0"/>
        <w:pageBreakBefore w:val="0"/>
        <w:kinsoku/>
        <w:topLinePunct w:val="0"/>
        <w:bidi w:val="0"/>
        <w:spacing w:line="36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五、乙方的主要责任和权利</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1、乙方根据项目需求，确保系统如期保质保量交付</w:t>
      </w:r>
      <w:r>
        <w:rPr>
          <w:rFonts w:hint="eastAsia" w:ascii="宋体" w:hAnsi="宋体" w:eastAsia="宋体" w:cs="宋体"/>
          <w:color w:val="auto"/>
          <w:sz w:val="24"/>
          <w:szCs w:val="24"/>
          <w:highlight w:val="none"/>
          <w:lang w:eastAsia="zh-CN"/>
        </w:rPr>
        <w:t>。</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2、乙方应承担系统开发至交付过程中产生的所有风险，并自行承担由此导致的所有法律责任</w:t>
      </w:r>
      <w:r>
        <w:rPr>
          <w:rFonts w:hint="eastAsia" w:ascii="宋体" w:hAnsi="宋体" w:eastAsia="宋体" w:cs="宋体"/>
          <w:color w:val="auto"/>
          <w:sz w:val="24"/>
          <w:szCs w:val="24"/>
          <w:highlight w:val="none"/>
          <w:lang w:eastAsia="zh-CN"/>
        </w:rPr>
        <w:t>。</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2、乙方应根据本合同的约定提交相关文件、资料。</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3、对甲方提供的基础资料、数据、信息等严格保密。</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4、解答甲方提出的与项目有关的询问，接受甲方监督和检查。</w:t>
      </w:r>
    </w:p>
    <w:p>
      <w:pPr>
        <w:pStyle w:val="2"/>
        <w:keepNext w:val="0"/>
        <w:keepLines w:val="0"/>
        <w:pageBreakBefore w:val="0"/>
        <w:tabs>
          <w:tab w:val="left" w:pos="1134"/>
          <w:tab w:val="left" w:pos="1418"/>
        </w:tabs>
        <w:kinsoku/>
        <w:topLinePunct w:val="0"/>
        <w:bidi w:val="0"/>
        <w:adjustRightInd w:val="0"/>
        <w:spacing w:line="360" w:lineRule="auto"/>
        <w:ind w:left="0" w:right="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六、</w:t>
      </w:r>
      <w:r>
        <w:rPr>
          <w:rFonts w:hint="eastAsia" w:ascii="宋体" w:hAnsi="宋体" w:eastAsia="宋体" w:cs="宋体"/>
          <w:b/>
          <w:color w:val="auto"/>
          <w:sz w:val="24"/>
          <w:szCs w:val="24"/>
          <w:highlight w:val="none"/>
          <w:lang w:val="zh-CN" w:eastAsia="zh-CN"/>
        </w:rPr>
        <w:t>知识产权</w:t>
      </w:r>
    </w:p>
    <w:p>
      <w:pPr>
        <w:keepNext w:val="0"/>
        <w:keepLines w:val="0"/>
        <w:pageBreakBefore w:val="0"/>
        <w:kinsoku/>
        <w:topLinePunct w:val="0"/>
        <w:bidi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1、乙方在为甲方提供服务时所获得或形成成果的知识产权归甲乙双方所有，使用权归甲方所有；未经一方同意，另一方不得进行技术秘密的转让。</w:t>
      </w:r>
    </w:p>
    <w:p>
      <w:pPr>
        <w:keepNext w:val="0"/>
        <w:keepLines w:val="0"/>
        <w:pageBreakBefore w:val="0"/>
        <w:kinsoku/>
        <w:topLinePunct w:val="0"/>
        <w:bidi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2、若乙方在为甲方提供服务时侵犯了第三人的权利，致使甲方受到索赔或起诉，由此给甲方造成的一切损失由乙方承担，同时甲方有权解除合同，同时乙方及时消除不良影响。</w:t>
      </w:r>
    </w:p>
    <w:p>
      <w:pPr>
        <w:keepNext w:val="0"/>
        <w:keepLines w:val="0"/>
        <w:pageBreakBefore w:val="0"/>
        <w:kinsoku/>
        <w:topLinePunct w:val="0"/>
        <w:bidi w:val="0"/>
        <w:spacing w:line="360" w:lineRule="auto"/>
        <w:ind w:left="0" w:right="0"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3.若未经甲方许可，乙方擅自使用或向第三方披露或许可第三方使用在为甲方提供服务时所获得的成果，甲方有权要求乙方或第三方停止侵权，并承担以此带来的所有损失，同时消除不良影响。</w:t>
      </w:r>
    </w:p>
    <w:p>
      <w:pPr>
        <w:pStyle w:val="2"/>
        <w:keepNext w:val="0"/>
        <w:keepLines w:val="0"/>
        <w:pageBreakBefore w:val="0"/>
        <w:tabs>
          <w:tab w:val="left" w:pos="1134"/>
          <w:tab w:val="left" w:pos="1418"/>
        </w:tabs>
        <w:kinsoku/>
        <w:topLinePunct w:val="0"/>
        <w:bidi w:val="0"/>
        <w:adjustRightInd w:val="0"/>
        <w:spacing w:line="360" w:lineRule="auto"/>
        <w:ind w:left="0" w:right="0"/>
        <w:rPr>
          <w:rFonts w:hint="eastAsia" w:ascii="宋体" w:hAnsi="宋体" w:eastAsia="宋体" w:cs="宋体"/>
          <w:b/>
          <w:bCs/>
          <w:color w:val="auto"/>
          <w:kern w:val="2"/>
          <w:sz w:val="24"/>
          <w:szCs w:val="24"/>
          <w:highlight w:val="none"/>
          <w:lang w:eastAsia="zh-CN" w:bidi="ar-SA"/>
        </w:rPr>
      </w:pPr>
      <w:r>
        <w:rPr>
          <w:rFonts w:hint="eastAsia" w:ascii="宋体" w:hAnsi="宋体" w:eastAsia="宋体" w:cs="宋体"/>
          <w:b/>
          <w:color w:val="auto"/>
          <w:sz w:val="24"/>
          <w:szCs w:val="24"/>
          <w:highlight w:val="none"/>
          <w:lang w:eastAsia="zh-CN"/>
        </w:rPr>
        <w:t>七、验收</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1、初验：系统上线前，应对系统的各项功能进行详细验证，确保系统功能符合需求，并完成系统压力测试，甲乙双方对系统功能、业务流程确认无误，乙方向甲方交付需求确认书、系统设计方案、系统操作手册、使用说明等相关资料。双方共同签署系统检验确认书，但有关功能、业务、流程、性能等的检验不应视为最终检验。</w:t>
      </w:r>
    </w:p>
    <w:p>
      <w:pPr>
        <w:pStyle w:val="80"/>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2、终验：</w:t>
      </w:r>
    </w:p>
    <w:p>
      <w:pPr>
        <w:pStyle w:val="80"/>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（1）通过初验后，系统上线试运行，试运行结束后，能够实现技术要求，乙方准备验收文件并书面通知采购人。</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（2）甲方确认乙方的自检初验合格后，组织乙方（必要时请有关专家）进行系统验收，验收合格后，填写政府采购项目验收单（一式伍份）作为对项目的最终认可。</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3、验收依据</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（1）招标文件、投标文件、澄清表（如有）；</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（2）本合同及附件文本；</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（3）合同签订时国家及行业现行的标准和技术规范。</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4、乙方向甲方提交项目实施过程中的所有资料，以便采购人日后管理和维护。</w:t>
      </w:r>
    </w:p>
    <w:p>
      <w:pPr>
        <w:pStyle w:val="2"/>
        <w:keepNext w:val="0"/>
        <w:keepLines w:val="0"/>
        <w:pageBreakBefore w:val="0"/>
        <w:tabs>
          <w:tab w:val="left" w:pos="1134"/>
          <w:tab w:val="left" w:pos="1418"/>
        </w:tabs>
        <w:kinsoku/>
        <w:topLinePunct w:val="0"/>
        <w:bidi w:val="0"/>
        <w:adjustRightInd w:val="0"/>
        <w:spacing w:line="360" w:lineRule="auto"/>
        <w:ind w:left="0" w:right="0"/>
        <w:rPr>
          <w:rFonts w:hint="eastAsia" w:ascii="宋体" w:hAnsi="宋体" w:eastAsia="宋体" w:cs="宋体"/>
          <w:b/>
          <w:color w:val="auto"/>
          <w:sz w:val="24"/>
          <w:szCs w:val="24"/>
          <w:highlight w:val="none"/>
          <w:lang w:val="zh-CN" w:eastAsia="zh-CN"/>
        </w:rPr>
      </w:pPr>
      <w:r>
        <w:rPr>
          <w:rFonts w:hint="eastAsia" w:ascii="宋体" w:hAnsi="宋体" w:eastAsia="宋体" w:cs="宋体"/>
          <w:b/>
          <w:color w:val="auto"/>
          <w:sz w:val="24"/>
          <w:szCs w:val="24"/>
          <w:highlight w:val="none"/>
          <w:lang w:val="zh-CN" w:eastAsia="zh-CN"/>
        </w:rPr>
        <w:t>八、技术与服务</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val="zh-CN" w:eastAsia="zh-CN"/>
        </w:rPr>
      </w:pPr>
      <w:bookmarkStart w:id="29" w:name="_Toc21531"/>
      <w:bookmarkStart w:id="30" w:name="_Toc27630"/>
      <w:r>
        <w:rPr>
          <w:rFonts w:hint="eastAsia" w:ascii="宋体" w:hAnsi="宋体" w:eastAsia="宋体" w:cs="宋体"/>
          <w:bCs/>
          <w:color w:val="auto"/>
          <w:sz w:val="24"/>
          <w:szCs w:val="24"/>
          <w:highlight w:val="none"/>
          <w:lang w:eastAsia="zh-CN"/>
        </w:rPr>
        <w:t>1、</w:t>
      </w:r>
      <w:r>
        <w:rPr>
          <w:rFonts w:hint="eastAsia" w:ascii="宋体" w:hAnsi="宋体" w:eastAsia="宋体" w:cs="宋体"/>
          <w:bCs/>
          <w:color w:val="auto"/>
          <w:sz w:val="24"/>
          <w:szCs w:val="24"/>
          <w:highlight w:val="none"/>
          <w:lang w:val="zh-CN" w:eastAsia="zh-CN"/>
        </w:rPr>
        <w:t>技术资料</w:t>
      </w:r>
      <w:bookmarkEnd w:id="29"/>
      <w:bookmarkEnd w:id="30"/>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1）文档成果，文档形式提交：包括项目实施方案、系统数据库设计规范、系统操作手册、使用说明、维护手册、服务指南、测试报告、技术总结报告、验收报告以及项目管理中涉及的相关文字材料，需提交相关文档，具体数量项目验收前和甲方协商决定。</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（2）软件成果，以电子光盘形式提交。软件及数据成果包括：数据整理、建库各阶段的成果及辅助文件，各系统软件开发的程序源码及辅助文件，还包括各类技术文档、可执行程序、安装程序、有关图件等。</w:t>
      </w:r>
      <w:bookmarkStart w:id="31" w:name="_Toc13383"/>
      <w:bookmarkStart w:id="32" w:name="_Toc7323"/>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eastAsia="zh-CN"/>
        </w:rPr>
        <w:t>2、</w:t>
      </w:r>
      <w:r>
        <w:rPr>
          <w:rFonts w:hint="eastAsia" w:ascii="宋体" w:hAnsi="宋体" w:eastAsia="宋体" w:cs="宋体"/>
          <w:bCs/>
          <w:color w:val="auto"/>
          <w:sz w:val="24"/>
          <w:szCs w:val="24"/>
          <w:highlight w:val="none"/>
          <w:lang w:val="zh-CN" w:eastAsia="zh-CN"/>
        </w:rPr>
        <w:t>服务承诺</w:t>
      </w:r>
      <w:bookmarkEnd w:id="31"/>
      <w:bookmarkEnd w:id="32"/>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以投标文件、澄清表（如有）、合同和随系统的相关文件为准。</w:t>
      </w:r>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val="zh-CN" w:eastAsia="zh-CN"/>
        </w:rPr>
      </w:pPr>
      <w:bookmarkStart w:id="33" w:name="_Toc2407"/>
      <w:bookmarkStart w:id="34" w:name="_Toc6227"/>
      <w:r>
        <w:rPr>
          <w:rFonts w:hint="eastAsia" w:ascii="宋体" w:hAnsi="宋体" w:eastAsia="宋体" w:cs="宋体"/>
          <w:bCs/>
          <w:color w:val="auto"/>
          <w:sz w:val="24"/>
          <w:szCs w:val="24"/>
          <w:highlight w:val="none"/>
          <w:lang w:eastAsia="zh-CN"/>
        </w:rPr>
        <w:t>3、</w:t>
      </w:r>
      <w:r>
        <w:rPr>
          <w:rFonts w:hint="eastAsia" w:ascii="宋体" w:hAnsi="宋体" w:eastAsia="宋体" w:cs="宋体"/>
          <w:bCs/>
          <w:color w:val="auto"/>
          <w:sz w:val="24"/>
          <w:szCs w:val="24"/>
          <w:highlight w:val="none"/>
          <w:lang w:val="zh-CN" w:eastAsia="zh-CN"/>
        </w:rPr>
        <w:t>团队保障</w:t>
      </w:r>
      <w:bookmarkEnd w:id="33"/>
      <w:bookmarkEnd w:id="34"/>
    </w:p>
    <w:p>
      <w:pPr>
        <w:pStyle w:val="2"/>
        <w:keepNext w:val="0"/>
        <w:keepLines w:val="0"/>
        <w:pageBreakBefore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乙方应按项目需求为本合同设立专门项目实施团队，并以文件形式向采购人提交团队成员情况表及驻场人员情况表。</w:t>
      </w:r>
    </w:p>
    <w:p>
      <w:pPr>
        <w:pStyle w:val="125"/>
        <w:keepNext w:val="0"/>
        <w:keepLines w:val="0"/>
        <w:pageBreakBefore w:val="0"/>
        <w:kinsoku/>
        <w:topLinePunct w:val="0"/>
        <w:bidi w:val="0"/>
        <w:spacing w:line="360" w:lineRule="auto"/>
        <w:ind w:left="0" w:right="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九</w:t>
      </w:r>
      <w:r>
        <w:rPr>
          <w:rFonts w:hint="eastAsia" w:ascii="宋体" w:hAnsi="宋体" w:eastAsia="宋体" w:cs="宋体"/>
          <w:b/>
          <w:bCs/>
          <w:color w:val="auto"/>
          <w:sz w:val="24"/>
          <w:szCs w:val="24"/>
          <w:highlight w:val="none"/>
        </w:rPr>
        <w:t>、不可抗力</w:t>
      </w:r>
    </w:p>
    <w:p>
      <w:pPr>
        <w:pStyle w:val="125"/>
        <w:keepNext w:val="0"/>
        <w:keepLines w:val="0"/>
        <w:pageBreakBefore w:val="0"/>
        <w:kinsoku/>
        <w:topLinePunct w:val="0"/>
        <w:bidi w:val="0"/>
        <w:spacing w:line="360" w:lineRule="auto"/>
        <w:ind w:left="0" w:right="0" w:firstLine="48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如果双方任何一方由于遭受诸如战争、严重火灾、洪水、台风、地震等重大自然灾害、以及双方同意的其他不可抗力的事故，致使影响合同履行，履行合同的期限应予以延长，延长的期限应相当于事故所影响的时间。不可抗力事故系指甲乙双方在缔结合同时所不能预见的，并且它的发生及其后果是无法避免和无法克服的事故。</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2、遭受不可抗力一方应在不可抗力事故发生后尽快以书面形式通知另一方；并在事故发生后</w:t>
      </w:r>
      <w:r>
        <w:rPr>
          <w:rFonts w:hint="eastAsia" w:ascii="宋体" w:hAnsi="宋体" w:eastAsia="宋体" w:cs="宋体"/>
          <w:color w:val="auto"/>
          <w:sz w:val="24"/>
          <w:szCs w:val="24"/>
          <w:highlight w:val="none"/>
          <w:u w:val="single"/>
        </w:rPr>
        <w:t>十（10）</w:t>
      </w:r>
      <w:r>
        <w:rPr>
          <w:rFonts w:hint="eastAsia" w:ascii="宋体" w:hAnsi="宋体" w:eastAsia="宋体" w:cs="宋体"/>
          <w:color w:val="auto"/>
          <w:sz w:val="24"/>
          <w:szCs w:val="24"/>
          <w:highlight w:val="none"/>
        </w:rPr>
        <w:t>个日历日内，将有关部门出具的证明文件、详细情况报告以及不可抗力对合同影响程度的说明用特快专递或挂号信的形式寄给另一方。如果不可抗力影响时间延续</w:t>
      </w:r>
      <w:r>
        <w:rPr>
          <w:rFonts w:hint="eastAsia" w:ascii="宋体" w:hAnsi="宋体" w:eastAsia="宋体" w:cs="宋体"/>
          <w:color w:val="auto"/>
          <w:sz w:val="24"/>
          <w:szCs w:val="24"/>
          <w:highlight w:val="none"/>
          <w:u w:val="single"/>
        </w:rPr>
        <w:t>二十（20）</w:t>
      </w:r>
      <w:r>
        <w:rPr>
          <w:rFonts w:hint="eastAsia" w:ascii="宋体" w:hAnsi="宋体" w:eastAsia="宋体" w:cs="宋体"/>
          <w:color w:val="auto"/>
          <w:sz w:val="24"/>
          <w:szCs w:val="24"/>
          <w:highlight w:val="none"/>
        </w:rPr>
        <w:t>个日历日以上，双方应通过友好协商在合理的时间内达成进一步履行合同或终止合同的协议。</w:t>
      </w:r>
    </w:p>
    <w:p>
      <w:pPr>
        <w:keepNext w:val="0"/>
        <w:keepLines w:val="0"/>
        <w:pageBreakBefore w:val="0"/>
        <w:kinsoku/>
        <w:topLinePunct w:val="0"/>
        <w:bidi w:val="0"/>
        <w:spacing w:line="360" w:lineRule="auto"/>
        <w:ind w:left="0" w:right="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十、违约责任</w:t>
      </w:r>
    </w:p>
    <w:p>
      <w:pPr>
        <w:pStyle w:val="2"/>
        <w:keepNext w:val="0"/>
        <w:keepLines w:val="0"/>
        <w:pageBreakBefore w:val="0"/>
        <w:widowControl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1.按《中华人民共和国民法典》中的相关条款执行。</w:t>
      </w:r>
    </w:p>
    <w:p>
      <w:pPr>
        <w:pStyle w:val="2"/>
        <w:keepNext w:val="0"/>
        <w:keepLines w:val="0"/>
        <w:pageBreakBefore w:val="0"/>
        <w:widowControl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2.未按合同或招标书要求提供服务，质量不能满足采购方技术要求，采购单位有权终止合同，甚至对供方违约行为进行追究。</w:t>
      </w:r>
    </w:p>
    <w:p>
      <w:pPr>
        <w:pStyle w:val="2"/>
        <w:keepNext w:val="0"/>
        <w:keepLines w:val="0"/>
        <w:pageBreakBefore w:val="0"/>
        <w:widowControl w:val="0"/>
        <w:tabs>
          <w:tab w:val="left" w:pos="1134"/>
          <w:tab w:val="left" w:pos="1418"/>
        </w:tabs>
        <w:kinsoku/>
        <w:topLinePunct w:val="0"/>
        <w:bidi w:val="0"/>
        <w:adjustRightInd w:val="0"/>
        <w:spacing w:line="360" w:lineRule="auto"/>
        <w:ind w:left="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3.乙方由于自身过错，延误按本合同规定的服务成果交付时间，每延误一天，应减收本合同总额的2‰作为延误违约金。</w:t>
      </w:r>
    </w:p>
    <w:p>
      <w:pPr>
        <w:keepNext w:val="0"/>
        <w:keepLines w:val="0"/>
        <w:pageBreakBefore w:val="0"/>
        <w:kinsoku/>
        <w:topLinePunct w:val="0"/>
        <w:bidi w:val="0"/>
        <w:spacing w:line="36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一</w:t>
      </w:r>
      <w:r>
        <w:rPr>
          <w:rFonts w:hint="eastAsia" w:ascii="宋体" w:hAnsi="宋体" w:eastAsia="宋体" w:cs="宋体"/>
          <w:b/>
          <w:bCs/>
          <w:color w:val="auto"/>
          <w:sz w:val="24"/>
          <w:szCs w:val="24"/>
          <w:highlight w:val="none"/>
        </w:rPr>
        <w:t>、合同争议和解决办法</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应本着友好合作、积极协商的态度，严格履行本协议，因不可预见的因素或本协议未尽事宜发生争议，由双方协商解决,协商不成时，甲、乙双方同意提交西安仲裁委员会仲裁，仲裁裁决是终局的，对双方均有约束力。</w:t>
      </w:r>
    </w:p>
    <w:p>
      <w:pPr>
        <w:keepNext w:val="0"/>
        <w:keepLines w:val="0"/>
        <w:pageBreakBefore w:val="0"/>
        <w:kinsoku/>
        <w:topLinePunct w:val="0"/>
        <w:bidi w:val="0"/>
        <w:spacing w:line="36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rPr>
        <w:t>、其他事项</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采购人需追加与合同标的相同的货物、工程或者服务的，在不改变合同其他条款的前提下，可以与供应商协商签订补充合同，但所有补充合同的采购金额不得超过原合同采购金额的百分之十。</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sz w:val="24"/>
          <w:szCs w:val="24"/>
          <w:highlight w:val="none"/>
        </w:rPr>
        <w:t>未尽事宜，双方协商解决。在本合同履行过程中将双方达成的书面补充协议是本合同不可分割的组成部分，与本合同具有同等效力。</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3、本合同正本一式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份，副本一式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份，均以中文书写，在双方代表签字盖章后生效，甲方执正本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份、副本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份；乙方执正本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份，副本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份；政府采购管理部门备案副本一份，均具有同等法律效力。</w:t>
      </w:r>
    </w:p>
    <w:p>
      <w:pPr>
        <w:keepNext w:val="0"/>
        <w:keepLines w:val="0"/>
        <w:pageBreakBefore w:val="0"/>
        <w:kinsoku/>
        <w:topLinePunct w:val="0"/>
        <w:bidi w:val="0"/>
        <w:spacing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4、本合同自双方签字盖章之日起生效，合同执行完毕自动失效（合同的服务承诺长期有效）。</w:t>
      </w:r>
    </w:p>
    <w:p>
      <w:pPr>
        <w:pStyle w:val="32"/>
        <w:keepNext w:val="0"/>
        <w:keepLines w:val="0"/>
        <w:pageBreakBefore w:val="0"/>
        <w:kinsoku/>
        <w:topLinePunct w:val="0"/>
        <w:bidi w:val="0"/>
        <w:spacing w:line="360" w:lineRule="auto"/>
        <w:ind w:left="0" w:right="0"/>
        <w:rPr>
          <w:rFonts w:hint="eastAsia" w:ascii="宋体" w:hAnsi="宋体" w:eastAsia="宋体" w:cs="宋体"/>
          <w:color w:val="auto"/>
          <w:sz w:val="24"/>
          <w:szCs w:val="24"/>
          <w:highlight w:val="none"/>
        </w:rPr>
      </w:pPr>
    </w:p>
    <w:p>
      <w:pPr>
        <w:pStyle w:val="32"/>
        <w:keepNext w:val="0"/>
        <w:keepLines w:val="0"/>
        <w:pageBreakBefore w:val="0"/>
        <w:kinsoku/>
        <w:topLinePunct w:val="0"/>
        <w:bidi w:val="0"/>
        <w:spacing w:line="360" w:lineRule="auto"/>
        <w:ind w:left="0" w:right="0"/>
        <w:rPr>
          <w:rFonts w:hint="eastAsia" w:ascii="宋体" w:hAnsi="宋体" w:eastAsia="宋体" w:cs="宋体"/>
          <w:color w:val="auto"/>
          <w:sz w:val="24"/>
          <w:szCs w:val="24"/>
          <w:highlight w:val="none"/>
        </w:rPr>
      </w:pPr>
    </w:p>
    <w:tbl>
      <w:tblPr>
        <w:tblStyle w:val="33"/>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noWrap w:val="0"/>
            <w:vAlign w:val="top"/>
          </w:tcPr>
          <w:p>
            <w:pPr>
              <w:keepNext w:val="0"/>
              <w:keepLines w:val="0"/>
              <w:pageBreakBefore w:val="0"/>
              <w:kinsoku/>
              <w:topLinePunct w:val="0"/>
              <w:bidi w:val="0"/>
              <w:spacing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kern w:val="0"/>
                <w:sz w:val="24"/>
                <w:szCs w:val="24"/>
                <w:highlight w:val="none"/>
              </w:rPr>
              <w:t>甲方名称</w:t>
            </w:r>
            <w:r>
              <w:rPr>
                <w:rFonts w:hint="eastAsia" w:ascii="宋体" w:hAnsi="宋体" w:eastAsia="宋体" w:cs="宋体"/>
                <w:color w:val="auto"/>
                <w:spacing w:val="-20"/>
                <w:kern w:val="0"/>
                <w:sz w:val="24"/>
                <w:szCs w:val="24"/>
                <w:highlight w:val="none"/>
              </w:rPr>
              <w:t>（盖章）</w:t>
            </w:r>
            <w:r>
              <w:rPr>
                <w:rFonts w:hint="eastAsia" w:ascii="宋体" w:hAnsi="宋体" w:eastAsia="宋体" w:cs="宋体"/>
                <w:color w:val="auto"/>
                <w:kern w:val="0"/>
                <w:sz w:val="24"/>
                <w:szCs w:val="24"/>
                <w:highlight w:val="none"/>
              </w:rPr>
              <w:t>:</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代表人（签字）：</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帐号：</w:t>
            </w:r>
          </w:p>
        </w:tc>
        <w:tc>
          <w:tcPr>
            <w:tcW w:w="4643" w:type="dxa"/>
            <w:noWrap w:val="0"/>
            <w:vAlign w:val="top"/>
          </w:tcPr>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乙方名称</w:t>
            </w:r>
            <w:r>
              <w:rPr>
                <w:rFonts w:hint="eastAsia" w:ascii="宋体" w:hAnsi="宋体" w:eastAsia="宋体" w:cs="宋体"/>
                <w:color w:val="auto"/>
                <w:spacing w:val="-20"/>
                <w:kern w:val="0"/>
                <w:sz w:val="24"/>
                <w:szCs w:val="24"/>
                <w:highlight w:val="none"/>
              </w:rPr>
              <w:t>（盖章）</w:t>
            </w:r>
            <w:r>
              <w:rPr>
                <w:rFonts w:hint="eastAsia" w:ascii="宋体" w:hAnsi="宋体" w:eastAsia="宋体" w:cs="宋体"/>
                <w:color w:val="auto"/>
                <w:kern w:val="0"/>
                <w:sz w:val="24"/>
                <w:szCs w:val="24"/>
                <w:highlight w:val="none"/>
              </w:rPr>
              <w:t>:</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代表人（签字）：</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pPr>
              <w:keepNext w:val="0"/>
              <w:keepLines w:val="0"/>
              <w:pageBreakBefore w:val="0"/>
              <w:widowControl/>
              <w:kinsoku/>
              <w:topLinePunct w:val="0"/>
              <w:autoSpaceDE w:val="0"/>
              <w:autoSpaceDN w:val="0"/>
              <w:bidi w:val="0"/>
              <w:snapToGrid w:val="0"/>
              <w:spacing w:line="360" w:lineRule="auto"/>
              <w:ind w:left="0" w:right="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帐号：</w:t>
            </w:r>
          </w:p>
        </w:tc>
      </w:tr>
    </w:tbl>
    <w:p>
      <w:pPr>
        <w:jc w:val="center"/>
        <w:rPr>
          <w:rFonts w:hint="eastAsia" w:ascii="宋体" w:hAnsi="宋体" w:eastAsia="宋体" w:cs="宋体"/>
          <w:b/>
          <w:bCs/>
          <w:color w:val="auto"/>
          <w:sz w:val="32"/>
          <w:szCs w:val="32"/>
          <w:highlight w:val="none"/>
        </w:rPr>
      </w:pPr>
      <w:r>
        <w:rPr>
          <w:rFonts w:hint="eastAsia" w:ascii="宋体" w:hAnsi="宋体" w:eastAsia="宋体" w:cs="宋体"/>
          <w:color w:val="auto"/>
          <w:highlight w:val="none"/>
        </w:rPr>
        <w:br w:type="page"/>
      </w:r>
      <w:bookmarkEnd w:id="24"/>
      <w:bookmarkEnd w:id="28"/>
      <w:bookmarkStart w:id="35" w:name="_Toc100219616"/>
      <w:bookmarkStart w:id="36" w:name="_Toc7322"/>
      <w:bookmarkStart w:id="37" w:name="_Toc18612"/>
      <w:r>
        <w:rPr>
          <w:rStyle w:val="50"/>
          <w:rFonts w:hint="eastAsia" w:ascii="宋体" w:hAnsi="宋体" w:eastAsia="宋体" w:cs="宋体"/>
          <w:b/>
          <w:bCs/>
          <w:color w:val="auto"/>
          <w:sz w:val="32"/>
          <w:szCs w:val="32"/>
          <w:highlight w:val="none"/>
        </w:rPr>
        <w:t>第五章  投标文件构成及格式</w:t>
      </w:r>
      <w:bookmarkEnd w:id="35"/>
      <w:bookmarkEnd w:id="36"/>
      <w:bookmarkEnd w:id="37"/>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jc w:val="both"/>
        <w:rPr>
          <w:rFonts w:hint="eastAsia" w:ascii="宋体" w:hAnsi="宋体" w:eastAsia="宋体" w:cs="宋体"/>
          <w:color w:val="auto"/>
          <w:sz w:val="32"/>
          <w:szCs w:val="32"/>
          <w:highlight w:val="none"/>
        </w:rPr>
      </w:pPr>
    </w:p>
    <w:p>
      <w:pPr>
        <w:pStyle w:val="24"/>
        <w:jc w:val="center"/>
        <w:rPr>
          <w:rFonts w:hint="eastAsia" w:ascii="宋体" w:hAnsi="宋体" w:eastAsia="宋体" w:cs="宋体"/>
          <w:b/>
          <w:color w:val="auto"/>
          <w:kern w:val="2"/>
          <w:sz w:val="52"/>
          <w:szCs w:val="52"/>
          <w:highlight w:val="none"/>
          <w:lang w:eastAsia="zh-CN"/>
        </w:rPr>
      </w:pPr>
      <w:r>
        <w:rPr>
          <w:rFonts w:hint="eastAsia" w:ascii="宋体" w:hAnsi="宋体" w:eastAsia="宋体" w:cs="宋体"/>
          <w:b/>
          <w:color w:val="auto"/>
          <w:kern w:val="2"/>
          <w:sz w:val="52"/>
          <w:szCs w:val="52"/>
          <w:highlight w:val="none"/>
          <w:lang w:eastAsia="zh-CN"/>
        </w:rPr>
        <w:t>西安市文物保护考古研究院综合业务处理系统开发</w:t>
      </w:r>
    </w:p>
    <w:p>
      <w:pPr>
        <w:rPr>
          <w:rFonts w:hint="eastAsia" w:ascii="宋体" w:hAnsi="宋体" w:eastAsia="宋体" w:cs="宋体"/>
          <w:color w:val="auto"/>
          <w:highlight w:val="none"/>
        </w:rPr>
      </w:pPr>
    </w:p>
    <w:p>
      <w:pPr>
        <w:rPr>
          <w:rFonts w:hint="eastAsia" w:ascii="宋体" w:hAnsi="宋体" w:eastAsia="宋体" w:cs="宋体"/>
          <w:b/>
          <w:bCs/>
          <w:color w:val="auto"/>
          <w:sz w:val="52"/>
          <w:szCs w:val="52"/>
          <w:highlight w:val="none"/>
        </w:rPr>
      </w:pPr>
    </w:p>
    <w:p>
      <w:pPr>
        <w:jc w:val="center"/>
        <w:rPr>
          <w:rFonts w:hint="eastAsia" w:ascii="宋体" w:hAnsi="宋体" w:eastAsia="宋体" w:cs="宋体"/>
          <w:color w:val="auto"/>
          <w:highlight w:val="none"/>
        </w:rPr>
      </w:pPr>
      <w:r>
        <w:rPr>
          <w:rFonts w:hint="eastAsia" w:ascii="宋体" w:hAnsi="宋体" w:eastAsia="宋体" w:cs="宋体"/>
          <w:b/>
          <w:bCs/>
          <w:color w:val="auto"/>
          <w:sz w:val="52"/>
          <w:szCs w:val="52"/>
          <w:highlight w:val="none"/>
        </w:rPr>
        <w:t>投标文件</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2"/>
          <w:szCs w:val="32"/>
          <w:highlight w:val="none"/>
          <w:lang w:eastAsia="zh-CN"/>
        </w:rPr>
        <w:t>HSGJ2023-171</w:t>
      </w:r>
      <w:r>
        <w:rPr>
          <w:rFonts w:hint="eastAsia" w:ascii="宋体" w:hAnsi="宋体" w:eastAsia="宋体" w:cs="宋体"/>
          <w:b/>
          <w:bCs/>
          <w:color w:val="auto"/>
          <w:sz w:val="32"/>
          <w:szCs w:val="32"/>
          <w:highlight w:val="none"/>
        </w:rPr>
        <w:t>）</w:t>
      </w: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供 应 商：</w:t>
      </w:r>
      <w:r>
        <w:rPr>
          <w:rFonts w:hint="eastAsia" w:ascii="宋体" w:hAnsi="宋体" w:eastAsia="宋体" w:cs="宋体"/>
          <w:b/>
          <w:color w:val="auto"/>
          <w:sz w:val="30"/>
          <w:szCs w:val="30"/>
          <w:highlight w:val="none"/>
          <w:u w:val="single"/>
        </w:rPr>
        <w:t xml:space="preserve">                 （盖章）</w:t>
      </w:r>
    </w:p>
    <w:p>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日    期：     年  月  日</w:t>
      </w:r>
    </w:p>
    <w:p>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pPr>
        <w:spacing w:line="560" w:lineRule="exact"/>
        <w:ind w:firstLine="880" w:firstLineChars="200"/>
        <w:jc w:val="center"/>
        <w:rPr>
          <w:rFonts w:hint="eastAsia" w:ascii="宋体" w:hAnsi="宋体" w:eastAsia="宋体" w:cs="宋体"/>
          <w:color w:val="auto"/>
          <w:sz w:val="44"/>
          <w:szCs w:val="44"/>
          <w:highlight w:val="none"/>
        </w:rPr>
      </w:pPr>
    </w:p>
    <w:p>
      <w:pPr>
        <w:spacing w:line="560" w:lineRule="exact"/>
        <w:ind w:firstLine="880" w:firstLineChars="200"/>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目    录</w:t>
      </w:r>
    </w:p>
    <w:p>
      <w:pPr>
        <w:spacing w:line="560" w:lineRule="exact"/>
        <w:ind w:firstLine="640" w:firstLineChars="200"/>
        <w:jc w:val="both"/>
        <w:rPr>
          <w:rFonts w:hint="eastAsia" w:ascii="宋体" w:hAnsi="宋体" w:eastAsia="宋体" w:cs="宋体"/>
          <w:color w:val="auto"/>
          <w:sz w:val="32"/>
          <w:szCs w:val="32"/>
          <w:highlight w:val="none"/>
        </w:rPr>
      </w:pP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投标函</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开标一览表</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资格证明文件</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供应商概况</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供应商参加政府采购活动承诺书</w:t>
      </w:r>
    </w:p>
    <w:p>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投标方案</w:t>
      </w:r>
    </w:p>
    <w:p>
      <w:pPr>
        <w:jc w:val="center"/>
        <w:rPr>
          <w:rFonts w:hint="eastAsia" w:ascii="宋体" w:hAnsi="宋体" w:eastAsia="宋体" w:cs="宋体"/>
          <w:b/>
          <w:bCs/>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30"/>
          <w:szCs w:val="30"/>
          <w:highlight w:val="none"/>
        </w:rPr>
        <w:t>第一部分  投标函</w:t>
      </w:r>
    </w:p>
    <w:p>
      <w:pPr>
        <w:keepNext w:val="0"/>
        <w:keepLines w:val="0"/>
        <w:pageBreakBefore w:val="0"/>
        <w:widowControl w:val="0"/>
        <w:tabs>
          <w:tab w:val="left" w:pos="1809"/>
        </w:tabs>
        <w:kinsoku/>
        <w:wordWrap/>
        <w:overflowPunct/>
        <w:topLinePunct w:val="0"/>
        <w:autoSpaceDE/>
        <w:autoSpaceDN/>
        <w:bidi w:val="0"/>
        <w:adjustRightInd/>
        <w:snapToGrid/>
        <w:spacing w:line="336"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color="000000"/>
        </w:rPr>
        <w:t xml:space="preserve">           </w:t>
      </w:r>
      <w:r>
        <w:rPr>
          <w:rFonts w:hint="eastAsia" w:ascii="宋体" w:hAnsi="宋体" w:eastAsia="宋体" w:cs="宋体"/>
          <w:color w:val="auto"/>
          <w:highlight w:val="none"/>
        </w:rPr>
        <w:t>(采购人或采购代理机构)：</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方收到贵</w:t>
      </w:r>
      <w:r>
        <w:rPr>
          <w:rFonts w:hint="eastAsia" w:ascii="宋体" w:hAnsi="宋体" w:cs="宋体"/>
          <w:color w:val="auto"/>
          <w:highlight w:val="none"/>
          <w:lang w:eastAsia="zh-CN"/>
        </w:rPr>
        <w:t>单位</w:t>
      </w:r>
      <w:r>
        <w:rPr>
          <w:rFonts w:hint="eastAsia" w:ascii="宋体" w:hAnsi="宋体" w:eastAsia="宋体" w:cs="宋体"/>
          <w:color w:val="auto"/>
          <w:highlight w:val="none"/>
        </w:rPr>
        <w:t>发布的</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（项目编号：</w:t>
      </w:r>
      <w:r>
        <w:rPr>
          <w:rFonts w:hint="eastAsia" w:ascii="宋体" w:hAnsi="宋体" w:eastAsia="宋体" w:cs="宋体"/>
          <w:color w:val="auto"/>
          <w:highlight w:val="none"/>
          <w:u w:val="single"/>
        </w:rPr>
        <w:t>〈项目编号〉</w:t>
      </w:r>
      <w:r>
        <w:rPr>
          <w:rFonts w:hint="eastAsia" w:ascii="宋体" w:hAnsi="宋体" w:eastAsia="宋体" w:cs="宋体"/>
          <w:color w:val="auto"/>
          <w:highlight w:val="none"/>
        </w:rPr>
        <w:t>）招标文件，经详细研究，我方决定参加该项目的招标活动。为此，我方郑重声明以下诸点，并负法律责任。</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1．我方已详细阅读了招标文件，完全理解并同意招标文件的所有事项及内容。</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2．我方已悉知并及时关注了贵</w:t>
      </w:r>
      <w:r>
        <w:rPr>
          <w:rFonts w:hint="eastAsia" w:ascii="宋体" w:hAnsi="宋体" w:cs="宋体"/>
          <w:color w:val="auto"/>
          <w:highlight w:val="none"/>
          <w:lang w:eastAsia="zh-CN"/>
        </w:rPr>
        <w:t>单位</w:t>
      </w:r>
      <w:r>
        <w:rPr>
          <w:rFonts w:hint="eastAsia" w:ascii="宋体" w:hAnsi="宋体" w:eastAsia="宋体" w:cs="宋体"/>
          <w:color w:val="auto"/>
          <w:highlight w:val="none"/>
        </w:rPr>
        <w:t>在陕西省政府采购网、全国公共资源交易平台（陕西省·西安市）上发布的关于本项目的有关变更公告（包括但不限于对招标文件做出的修改或澄清、答疑纪要，以及项目暂停、重启、延期、终止等）。</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3．我方同意向贵</w:t>
      </w:r>
      <w:r>
        <w:rPr>
          <w:rFonts w:hint="eastAsia" w:ascii="宋体" w:hAnsi="宋体" w:cs="宋体"/>
          <w:color w:val="auto"/>
          <w:highlight w:val="none"/>
          <w:lang w:eastAsia="zh-CN"/>
        </w:rPr>
        <w:t>单位</w:t>
      </w:r>
      <w:r>
        <w:rPr>
          <w:rFonts w:hint="eastAsia" w:ascii="宋体" w:hAnsi="宋体" w:eastAsia="宋体" w:cs="宋体"/>
          <w:color w:val="auto"/>
          <w:highlight w:val="none"/>
        </w:rPr>
        <w:t>提供与本次招标有关的全部证明材料，并保证所提交的证明材料真实、合法、有效。</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4．我方理解最低价不是</w:t>
      </w:r>
      <w:r>
        <w:rPr>
          <w:rFonts w:hint="eastAsia" w:ascii="宋体" w:hAnsi="宋体" w:cs="宋体"/>
          <w:color w:val="auto"/>
          <w:highlight w:val="none"/>
          <w:lang w:eastAsia="zh-CN"/>
        </w:rPr>
        <w:t>中标</w:t>
      </w:r>
      <w:r>
        <w:rPr>
          <w:rFonts w:hint="eastAsia" w:ascii="宋体" w:hAnsi="宋体" w:eastAsia="宋体" w:cs="宋体"/>
          <w:color w:val="auto"/>
          <w:highlight w:val="none"/>
        </w:rPr>
        <w:t>的唯一条件，并尊重评标委员会的评审结果。</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5．我方投标文件在开启之日起___个日历日（应不少于90个日历日）内有效。</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6．若我方</w:t>
      </w:r>
      <w:r>
        <w:rPr>
          <w:rFonts w:hint="eastAsia" w:ascii="宋体" w:hAnsi="宋体" w:cs="宋体"/>
          <w:color w:val="auto"/>
          <w:highlight w:val="none"/>
          <w:lang w:eastAsia="zh-CN"/>
        </w:rPr>
        <w:t>中标</w:t>
      </w:r>
      <w:r>
        <w:rPr>
          <w:rFonts w:hint="eastAsia" w:ascii="宋体" w:hAnsi="宋体" w:eastAsia="宋体" w:cs="宋体"/>
          <w:color w:val="auto"/>
          <w:highlight w:val="none"/>
        </w:rPr>
        <w:t>，我方承诺：（1）将投标文件有效期延长至合同执行完毕；（2）收到</w:t>
      </w:r>
      <w:r>
        <w:rPr>
          <w:rFonts w:hint="eastAsia" w:ascii="宋体" w:hAnsi="宋体" w:cs="宋体"/>
          <w:color w:val="auto"/>
          <w:highlight w:val="none"/>
          <w:lang w:eastAsia="zh-CN"/>
        </w:rPr>
        <w:t>中标</w:t>
      </w:r>
      <w:r>
        <w:rPr>
          <w:rFonts w:hint="eastAsia" w:ascii="宋体" w:hAnsi="宋体" w:eastAsia="宋体" w:cs="宋体"/>
          <w:color w:val="auto"/>
          <w:highlight w:val="none"/>
        </w:rPr>
        <w:t>通知书后提交纸质投标文件一正两副；（3）遵照招标文件中的要求，完成本项目的合同责任和义务。</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7．所有关于此次招标活动的函电，请按下列方式联系：</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spacing w:val="60"/>
          <w:kern w:val="0"/>
          <w:highlight w:val="none"/>
          <w:fitText w:val="960" w:id="-1290556672"/>
        </w:rPr>
        <w:t>供应</w:t>
      </w:r>
      <w:r>
        <w:rPr>
          <w:rFonts w:hint="eastAsia" w:ascii="宋体" w:hAnsi="宋体" w:eastAsia="宋体" w:cs="宋体"/>
          <w:color w:val="auto"/>
          <w:spacing w:val="0"/>
          <w:kern w:val="0"/>
          <w:highlight w:val="none"/>
          <w:fitText w:val="960" w:id="-1290556672"/>
        </w:rPr>
        <w:t>商</w:t>
      </w:r>
      <w:r>
        <w:rPr>
          <w:rFonts w:hint="eastAsia" w:ascii="宋体" w:hAnsi="宋体" w:eastAsia="宋体" w:cs="宋体"/>
          <w:color w:val="auto"/>
          <w:highlight w:val="none"/>
        </w:rPr>
        <w:t>：（供应商全称并加盖公章）</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法定代表人（主要负责人）或委托代理人：（签字或盖章）</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通讯地址：</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邮　　编：</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电子邮箱：</w:t>
      </w:r>
    </w:p>
    <w:p>
      <w:pPr>
        <w:keepNext w:val="0"/>
        <w:keepLines w:val="0"/>
        <w:pageBreakBefore w:val="0"/>
        <w:kinsoku/>
        <w:wordWrap/>
        <w:overflowPunct/>
        <w:topLinePunct w:val="0"/>
        <w:autoSpaceDE/>
        <w:autoSpaceDN/>
        <w:bidi w:val="0"/>
        <w:adjustRightInd/>
        <w:snapToGrid/>
        <w:spacing w:line="336" w:lineRule="auto"/>
        <w:ind w:firstLine="567"/>
        <w:jc w:val="both"/>
        <w:textAlignment w:val="auto"/>
        <w:rPr>
          <w:rFonts w:hint="eastAsia" w:ascii="宋体" w:hAnsi="宋体" w:eastAsia="宋体" w:cs="宋体"/>
          <w:color w:val="auto"/>
          <w:sz w:val="32"/>
          <w:szCs w:val="32"/>
          <w:highlight w:val="none"/>
        </w:rPr>
      </w:pPr>
      <w:r>
        <w:rPr>
          <w:rFonts w:hint="eastAsia" w:ascii="宋体" w:hAnsi="宋体" w:eastAsia="宋体" w:cs="宋体"/>
          <w:color w:val="auto"/>
          <w:highlight w:val="none"/>
        </w:rPr>
        <w:t>日　　期：　　年　月　日</w:t>
      </w:r>
    </w:p>
    <w:p>
      <w:pPr>
        <w:keepNext w:val="0"/>
        <w:keepLines w:val="0"/>
        <w:pageBreakBefore w:val="0"/>
        <w:widowControl/>
        <w:kinsoku/>
        <w:wordWrap/>
        <w:overflowPunct/>
        <w:topLinePunct w:val="0"/>
        <w:autoSpaceDE/>
        <w:autoSpaceDN/>
        <w:bidi w:val="0"/>
        <w:adjustRightInd/>
        <w:snapToGrid/>
        <w:spacing w:after="422" w:afterLines="100"/>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30"/>
          <w:szCs w:val="30"/>
          <w:highlight w:val="none"/>
        </w:rPr>
        <w:t>第二部分  开标一览表</w:t>
      </w:r>
    </w:p>
    <w:tbl>
      <w:tblPr>
        <w:tblStyle w:val="33"/>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5"/>
        <w:gridCol w:w="6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3055" w:type="dxa"/>
            <w:vAlign w:val="center"/>
          </w:tcPr>
          <w:p>
            <w:pPr>
              <w:jc w:val="center"/>
              <w:rPr>
                <w:rFonts w:hint="eastAsia" w:ascii="宋体" w:hAnsi="宋体" w:eastAsia="宋体" w:cs="宋体"/>
                <w:caps/>
                <w:color w:val="auto"/>
                <w:sz w:val="24"/>
                <w:szCs w:val="24"/>
                <w:highlight w:val="none"/>
              </w:rPr>
            </w:pPr>
            <w:r>
              <w:rPr>
                <w:rFonts w:hint="eastAsia" w:ascii="宋体" w:hAnsi="宋体" w:eastAsia="宋体" w:cs="宋体"/>
                <w:color w:val="auto"/>
                <w:sz w:val="24"/>
                <w:szCs w:val="24"/>
                <w:highlight w:val="none"/>
              </w:rPr>
              <w:t>项目名称</w:t>
            </w:r>
          </w:p>
        </w:tc>
        <w:tc>
          <w:tcPr>
            <w:tcW w:w="6505" w:type="dxa"/>
            <w:vAlign w:val="center"/>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西安市文物保护考古研究院综合业务处理系统开发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3055"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6505" w:type="dxa"/>
            <w:vAlign w:val="center"/>
          </w:tcPr>
          <w:p>
            <w:pPr>
              <w:rPr>
                <w:rFonts w:hint="eastAsia" w:ascii="宋体" w:hAnsi="宋体" w:eastAsia="宋体" w:cs="宋体"/>
                <w:caps/>
                <w:color w:val="auto"/>
                <w:sz w:val="24"/>
                <w:szCs w:val="24"/>
                <w:highlight w:val="none"/>
                <w:lang w:eastAsia="zh-CN"/>
              </w:rPr>
            </w:pPr>
            <w:r>
              <w:rPr>
                <w:rFonts w:hint="eastAsia" w:ascii="宋体" w:hAnsi="宋体" w:eastAsia="宋体" w:cs="宋体"/>
                <w:caps/>
                <w:color w:val="auto"/>
                <w:sz w:val="24"/>
                <w:szCs w:val="24"/>
                <w:highlight w:val="none"/>
                <w:lang w:eastAsia="zh-CN"/>
              </w:rPr>
              <w:t>HSGJ2023-171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3055"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投标报价（元）</w:t>
            </w:r>
          </w:p>
        </w:tc>
        <w:tc>
          <w:tcPr>
            <w:tcW w:w="6505" w:type="dxa"/>
            <w:vAlign w:val="center"/>
          </w:tcPr>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小写金额：</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lang w:eastAsia="zh-CN"/>
              </w:rPr>
              <w:t>元</w:t>
            </w:r>
          </w:p>
          <w:p>
            <w:pPr>
              <w:tabs>
                <w:tab w:val="left" w:pos="860"/>
              </w:tabs>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eastAsia="zh-CN"/>
              </w:rPr>
              <w:t>大写金额：</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3055"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交付</w:t>
            </w:r>
            <w:r>
              <w:rPr>
                <w:rFonts w:hint="eastAsia" w:ascii="宋体" w:hAnsi="宋体" w:eastAsia="宋体" w:cs="宋体"/>
                <w:color w:val="auto"/>
                <w:sz w:val="24"/>
                <w:szCs w:val="24"/>
                <w:highlight w:val="none"/>
              </w:rPr>
              <w:t>期</w:t>
            </w:r>
          </w:p>
        </w:tc>
        <w:tc>
          <w:tcPr>
            <w:tcW w:w="6505" w:type="dxa"/>
            <w:vAlign w:val="center"/>
          </w:tcPr>
          <w:p>
            <w:pPr>
              <w:spacing w:line="400" w:lineRule="atLeast"/>
              <w:rPr>
                <w:rFonts w:hint="eastAsia" w:ascii="宋体" w:hAnsi="宋体" w:eastAsia="宋体" w:cs="宋体"/>
                <w:color w:val="auto"/>
                <w:sz w:val="24"/>
                <w:szCs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3055"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交货地点</w:t>
            </w:r>
          </w:p>
        </w:tc>
        <w:tc>
          <w:tcPr>
            <w:tcW w:w="6505" w:type="dxa"/>
            <w:vAlign w:val="center"/>
          </w:tcPr>
          <w:p>
            <w:pPr>
              <w:spacing w:line="400" w:lineRule="atLeast"/>
              <w:rPr>
                <w:rFonts w:hint="eastAsia" w:ascii="宋体" w:hAnsi="宋体" w:eastAsia="宋体" w:cs="宋体"/>
                <w:color w:val="auto"/>
                <w:sz w:val="24"/>
                <w:szCs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3055"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6505" w:type="dxa"/>
            <w:vAlign w:val="center"/>
          </w:tcPr>
          <w:p>
            <w:pPr>
              <w:spacing w:line="400" w:lineRule="atLeast"/>
              <w:rPr>
                <w:rFonts w:hint="eastAsia" w:ascii="宋体" w:hAnsi="宋体" w:eastAsia="宋体" w:cs="宋体"/>
                <w:color w:val="auto"/>
                <w:sz w:val="24"/>
                <w:szCs w:val="24"/>
                <w:highlight w:val="none"/>
                <w:u w:val="single"/>
              </w:rPr>
            </w:pPr>
          </w:p>
        </w:tc>
      </w:tr>
    </w:tbl>
    <w:p>
      <w:pPr>
        <w:spacing w:line="48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供应商名称（盖章）：</w:t>
      </w:r>
      <w:r>
        <w:rPr>
          <w:rFonts w:hint="eastAsia" w:ascii="宋体" w:hAnsi="宋体" w:eastAsia="宋体" w:cs="宋体"/>
          <w:color w:val="auto"/>
          <w:sz w:val="24"/>
          <w:szCs w:val="24"/>
          <w:highlight w:val="none"/>
          <w:u w:val="single"/>
        </w:rPr>
        <w:t xml:space="preserve">                         </w:t>
      </w:r>
    </w:p>
    <w:p>
      <w:pPr>
        <w:spacing w:line="48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法定代表人</w:t>
      </w:r>
      <w:r>
        <w:rPr>
          <w:rFonts w:hint="eastAsia" w:ascii="宋体" w:hAnsi="宋体" w:eastAsia="宋体" w:cs="宋体"/>
          <w:color w:val="auto"/>
          <w:sz w:val="24"/>
          <w:szCs w:val="24"/>
          <w:highlight w:val="none"/>
          <w:u w:val="none"/>
        </w:rPr>
        <w:t>或委托代理人：</w:t>
      </w:r>
      <w:r>
        <w:rPr>
          <w:rFonts w:hint="eastAsia" w:ascii="宋体" w:hAnsi="宋体" w:eastAsia="宋体" w:cs="宋体"/>
          <w:color w:val="auto"/>
          <w:sz w:val="24"/>
          <w:szCs w:val="24"/>
          <w:highlight w:val="none"/>
          <w:u w:val="single"/>
        </w:rPr>
        <w:t xml:space="preserve">          (签字或盖章)</w:t>
      </w:r>
    </w:p>
    <w:p>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p>
    <w:p>
      <w:pPr>
        <w:spacing w:line="560" w:lineRule="exact"/>
        <w:ind w:firstLine="3683" w:firstLineChars="1151"/>
        <w:jc w:val="both"/>
        <w:rPr>
          <w:rFonts w:hint="eastAsia" w:ascii="宋体" w:hAnsi="宋体" w:eastAsia="宋体" w:cs="宋体"/>
          <w:color w:val="auto"/>
          <w:sz w:val="32"/>
          <w:szCs w:val="32"/>
          <w:highlight w:val="none"/>
        </w:rPr>
      </w:pPr>
    </w:p>
    <w:p>
      <w:pPr>
        <w:spacing w:line="560" w:lineRule="exact"/>
        <w:ind w:firstLine="640" w:firstLineChars="200"/>
        <w:jc w:val="both"/>
        <w:rPr>
          <w:rFonts w:hint="eastAsia" w:ascii="宋体" w:hAnsi="宋体" w:eastAsia="宋体" w:cs="宋体"/>
          <w:color w:val="auto"/>
          <w:sz w:val="32"/>
          <w:szCs w:val="32"/>
          <w:highlight w:val="none"/>
        </w:rPr>
      </w:pPr>
    </w:p>
    <w:p>
      <w:pPr>
        <w:spacing w:line="560" w:lineRule="exact"/>
        <w:ind w:firstLine="640" w:firstLineChars="20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r>
        <w:rPr>
          <w:rFonts w:hint="eastAsia" w:ascii="宋体" w:hAnsi="宋体" w:eastAsia="宋体" w:cs="宋体"/>
          <w:b/>
          <w:bCs/>
          <w:color w:val="auto"/>
          <w:sz w:val="30"/>
          <w:szCs w:val="30"/>
          <w:highlight w:val="none"/>
        </w:rPr>
        <w:t>分项报价表</w:t>
      </w:r>
    </w:p>
    <w:p>
      <w:pPr>
        <w:spacing w:line="560" w:lineRule="exact"/>
        <w:ind w:firstLine="600" w:firstLineChars="200"/>
        <w:jc w:val="righ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单位：元</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92"/>
        <w:gridCol w:w="1263"/>
        <w:gridCol w:w="1312"/>
        <w:gridCol w:w="965"/>
        <w:gridCol w:w="1094"/>
        <w:gridCol w:w="1063"/>
        <w:gridCol w:w="880"/>
        <w:gridCol w:w="1079"/>
        <w:gridCol w:w="10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53" w:hRule="atLeast"/>
          <w:jc w:val="center"/>
        </w:trPr>
        <w:tc>
          <w:tcPr>
            <w:tcW w:w="5000" w:type="pct"/>
            <w:gridSpan w:val="9"/>
            <w:tcBorders>
              <w:top w:val="single" w:color="auto" w:sz="12" w:space="0"/>
            </w:tcBorders>
            <w:shd w:val="clear" w:color="auto" w:fill="F2F2F2"/>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费用明细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86" w:hRule="atLeast"/>
          <w:jc w:val="center"/>
        </w:trPr>
        <w:tc>
          <w:tcPr>
            <w:tcW w:w="317"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76" w:type="pct"/>
            <w:noWrap/>
            <w:tcMar>
              <w:top w:w="20" w:type="dxa"/>
              <w:left w:w="20" w:type="dxa"/>
              <w:bottom w:w="0" w:type="dxa"/>
              <w:right w:w="20" w:type="dxa"/>
            </w:tcMar>
            <w:vAlign w:val="center"/>
          </w:tcPr>
          <w:p>
            <w:pPr>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产品</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702"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费用描述</w:t>
            </w:r>
          </w:p>
        </w:tc>
        <w:tc>
          <w:tcPr>
            <w:tcW w:w="516" w:type="pct"/>
            <w:noWrap/>
            <w:tcMar>
              <w:top w:w="20" w:type="dxa"/>
              <w:left w:w="20" w:type="dxa"/>
              <w:bottom w:w="0" w:type="dxa"/>
              <w:right w:w="20" w:type="dxa"/>
            </w:tcMar>
            <w:vAlign w:val="center"/>
          </w:tcPr>
          <w:p>
            <w:pPr>
              <w:pStyle w:val="21"/>
              <w:jc w:val="center"/>
              <w:rPr>
                <w:rFonts w:hint="eastAsia" w:ascii="宋体" w:hAnsi="宋体" w:eastAsia="宋体" w:cs="宋体"/>
                <w:color w:val="auto"/>
                <w:sz w:val="24"/>
                <w:szCs w:val="24"/>
                <w:highlight w:val="none"/>
              </w:rPr>
            </w:pPr>
            <w:r>
              <w:rPr>
                <w:rFonts w:hint="eastAsia" w:hAnsi="宋体" w:cs="宋体"/>
                <w:color w:val="auto"/>
                <w:sz w:val="24"/>
                <w:szCs w:val="24"/>
                <w:highlight w:val="none"/>
              </w:rPr>
              <w:t>品牌</w:t>
            </w:r>
          </w:p>
        </w:tc>
        <w:tc>
          <w:tcPr>
            <w:tcW w:w="585" w:type="pct"/>
            <w:noWrap/>
            <w:tcMar>
              <w:top w:w="20" w:type="dxa"/>
              <w:left w:w="20" w:type="dxa"/>
              <w:bottom w:w="0" w:type="dxa"/>
              <w:right w:w="20" w:type="dxa"/>
            </w:tcMar>
            <w:vAlign w:val="center"/>
          </w:tcPr>
          <w:p>
            <w:pPr>
              <w:pStyle w:val="21"/>
              <w:jc w:val="center"/>
              <w:rPr>
                <w:rFonts w:hAnsi="宋体" w:cs="宋体"/>
                <w:color w:val="auto"/>
                <w:sz w:val="24"/>
                <w:szCs w:val="24"/>
                <w:highlight w:val="none"/>
              </w:rPr>
            </w:pPr>
            <w:r>
              <w:rPr>
                <w:rFonts w:hint="eastAsia" w:hAnsi="宋体" w:cs="宋体"/>
                <w:color w:val="auto"/>
                <w:sz w:val="24"/>
                <w:szCs w:val="24"/>
                <w:highlight w:val="none"/>
              </w:rPr>
              <w:t>生产</w:t>
            </w:r>
          </w:p>
          <w:p>
            <w:pPr>
              <w:pStyle w:val="21"/>
              <w:jc w:val="center"/>
              <w:rPr>
                <w:rFonts w:hint="eastAsia" w:ascii="宋体" w:hAnsi="宋体" w:eastAsia="宋体" w:cs="宋体"/>
                <w:color w:val="auto"/>
                <w:sz w:val="24"/>
                <w:szCs w:val="24"/>
                <w:highlight w:val="none"/>
              </w:rPr>
            </w:pPr>
            <w:r>
              <w:rPr>
                <w:rFonts w:hint="eastAsia" w:hAnsi="宋体" w:cs="宋体"/>
                <w:color w:val="auto"/>
                <w:sz w:val="24"/>
                <w:szCs w:val="24"/>
                <w:highlight w:val="none"/>
              </w:rPr>
              <w:t>厂家</w:t>
            </w:r>
          </w:p>
        </w:tc>
        <w:tc>
          <w:tcPr>
            <w:tcW w:w="569" w:type="pct"/>
            <w:vAlign w:val="center"/>
          </w:tcPr>
          <w:p>
            <w:pPr>
              <w:pStyle w:val="21"/>
              <w:jc w:val="center"/>
              <w:rPr>
                <w:rFonts w:hAnsi="宋体" w:cs="宋体"/>
                <w:color w:val="auto"/>
                <w:sz w:val="24"/>
                <w:szCs w:val="24"/>
                <w:highlight w:val="none"/>
              </w:rPr>
            </w:pPr>
            <w:r>
              <w:rPr>
                <w:rFonts w:hint="eastAsia" w:hAnsi="宋体" w:cs="宋体"/>
                <w:color w:val="auto"/>
                <w:sz w:val="24"/>
                <w:szCs w:val="24"/>
                <w:highlight w:val="none"/>
              </w:rPr>
              <w:t>规格</w:t>
            </w:r>
          </w:p>
          <w:p>
            <w:pPr>
              <w:pStyle w:val="21"/>
              <w:jc w:val="center"/>
              <w:rPr>
                <w:rFonts w:hint="eastAsia" w:ascii="宋体" w:hAnsi="宋体" w:eastAsia="宋体" w:cs="宋体"/>
                <w:color w:val="auto"/>
                <w:sz w:val="24"/>
                <w:szCs w:val="24"/>
                <w:highlight w:val="none"/>
              </w:rPr>
            </w:pPr>
            <w:r>
              <w:rPr>
                <w:rFonts w:hint="eastAsia" w:hAnsi="宋体" w:cs="宋体"/>
                <w:color w:val="auto"/>
                <w:sz w:val="24"/>
                <w:szCs w:val="24"/>
                <w:highlight w:val="none"/>
              </w:rPr>
              <w:t>型号</w:t>
            </w:r>
          </w:p>
        </w:tc>
        <w:tc>
          <w:tcPr>
            <w:tcW w:w="471" w:type="pct"/>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577" w:type="pct"/>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583" w:type="pct"/>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317"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67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档案管理子系统</w:t>
            </w:r>
          </w:p>
        </w:tc>
        <w:tc>
          <w:tcPr>
            <w:tcW w:w="702"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1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85"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69" w:type="pct"/>
            <w:vAlign w:val="center"/>
          </w:tcPr>
          <w:p>
            <w:pPr>
              <w:jc w:val="center"/>
              <w:rPr>
                <w:rFonts w:hint="eastAsia" w:ascii="宋体" w:hAnsi="宋体" w:eastAsia="宋体" w:cs="宋体"/>
                <w:color w:val="auto"/>
                <w:sz w:val="24"/>
                <w:szCs w:val="24"/>
                <w:highlight w:val="none"/>
              </w:rPr>
            </w:pPr>
          </w:p>
        </w:tc>
        <w:tc>
          <w:tcPr>
            <w:tcW w:w="471" w:type="pct"/>
            <w:vAlign w:val="center"/>
          </w:tcPr>
          <w:p>
            <w:pPr>
              <w:jc w:val="center"/>
              <w:rPr>
                <w:rFonts w:hint="eastAsia" w:ascii="宋体" w:hAnsi="宋体" w:eastAsia="宋体" w:cs="宋体"/>
                <w:color w:val="auto"/>
                <w:sz w:val="24"/>
                <w:szCs w:val="24"/>
                <w:highlight w:val="none"/>
              </w:rPr>
            </w:pPr>
          </w:p>
        </w:tc>
        <w:tc>
          <w:tcPr>
            <w:tcW w:w="577" w:type="pct"/>
            <w:vAlign w:val="center"/>
          </w:tcPr>
          <w:p>
            <w:pPr>
              <w:jc w:val="center"/>
              <w:rPr>
                <w:rFonts w:hint="eastAsia" w:ascii="宋体" w:hAnsi="宋体" w:eastAsia="宋体" w:cs="宋体"/>
                <w:color w:val="auto"/>
                <w:sz w:val="24"/>
                <w:szCs w:val="24"/>
                <w:highlight w:val="none"/>
              </w:rPr>
            </w:pPr>
          </w:p>
        </w:tc>
        <w:tc>
          <w:tcPr>
            <w:tcW w:w="58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317"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67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考古业务管理子系统</w:t>
            </w:r>
          </w:p>
        </w:tc>
        <w:tc>
          <w:tcPr>
            <w:tcW w:w="702"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1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85"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69" w:type="pct"/>
            <w:vAlign w:val="center"/>
          </w:tcPr>
          <w:p>
            <w:pPr>
              <w:jc w:val="center"/>
              <w:rPr>
                <w:rFonts w:hint="eastAsia" w:ascii="宋体" w:hAnsi="宋体" w:eastAsia="宋体" w:cs="宋体"/>
                <w:color w:val="auto"/>
                <w:sz w:val="24"/>
                <w:szCs w:val="24"/>
                <w:highlight w:val="none"/>
              </w:rPr>
            </w:pPr>
          </w:p>
        </w:tc>
        <w:tc>
          <w:tcPr>
            <w:tcW w:w="471" w:type="pct"/>
            <w:vAlign w:val="center"/>
          </w:tcPr>
          <w:p>
            <w:pPr>
              <w:jc w:val="center"/>
              <w:rPr>
                <w:rFonts w:hint="eastAsia" w:ascii="宋体" w:hAnsi="宋体" w:eastAsia="宋体" w:cs="宋体"/>
                <w:color w:val="auto"/>
                <w:sz w:val="24"/>
                <w:szCs w:val="24"/>
                <w:highlight w:val="none"/>
              </w:rPr>
            </w:pPr>
          </w:p>
        </w:tc>
        <w:tc>
          <w:tcPr>
            <w:tcW w:w="577" w:type="pct"/>
            <w:vAlign w:val="center"/>
          </w:tcPr>
          <w:p>
            <w:pPr>
              <w:jc w:val="center"/>
              <w:rPr>
                <w:rFonts w:hint="eastAsia" w:ascii="宋体" w:hAnsi="宋体" w:eastAsia="宋体" w:cs="宋体"/>
                <w:color w:val="auto"/>
                <w:sz w:val="24"/>
                <w:szCs w:val="24"/>
                <w:highlight w:val="none"/>
              </w:rPr>
            </w:pPr>
          </w:p>
        </w:tc>
        <w:tc>
          <w:tcPr>
            <w:tcW w:w="58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317"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67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人事考勤子系统</w:t>
            </w:r>
          </w:p>
        </w:tc>
        <w:tc>
          <w:tcPr>
            <w:tcW w:w="702"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1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85"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69" w:type="pct"/>
            <w:vAlign w:val="center"/>
          </w:tcPr>
          <w:p>
            <w:pPr>
              <w:jc w:val="center"/>
              <w:rPr>
                <w:rFonts w:hint="eastAsia" w:ascii="宋体" w:hAnsi="宋体" w:eastAsia="宋体" w:cs="宋体"/>
                <w:color w:val="auto"/>
                <w:sz w:val="24"/>
                <w:szCs w:val="24"/>
                <w:highlight w:val="none"/>
              </w:rPr>
            </w:pPr>
          </w:p>
        </w:tc>
        <w:tc>
          <w:tcPr>
            <w:tcW w:w="471" w:type="pct"/>
            <w:vAlign w:val="center"/>
          </w:tcPr>
          <w:p>
            <w:pPr>
              <w:jc w:val="center"/>
              <w:rPr>
                <w:rFonts w:hint="eastAsia" w:ascii="宋体" w:hAnsi="宋体" w:eastAsia="宋体" w:cs="宋体"/>
                <w:color w:val="auto"/>
                <w:sz w:val="24"/>
                <w:szCs w:val="24"/>
                <w:highlight w:val="none"/>
              </w:rPr>
            </w:pPr>
          </w:p>
        </w:tc>
        <w:tc>
          <w:tcPr>
            <w:tcW w:w="577" w:type="pct"/>
            <w:vAlign w:val="center"/>
          </w:tcPr>
          <w:p>
            <w:pPr>
              <w:jc w:val="center"/>
              <w:rPr>
                <w:rFonts w:hint="eastAsia" w:ascii="宋体" w:hAnsi="宋体" w:eastAsia="宋体" w:cs="宋体"/>
                <w:color w:val="auto"/>
                <w:sz w:val="24"/>
                <w:szCs w:val="24"/>
                <w:highlight w:val="none"/>
              </w:rPr>
            </w:pPr>
          </w:p>
        </w:tc>
        <w:tc>
          <w:tcPr>
            <w:tcW w:w="58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317"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67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考勤打卡机</w:t>
            </w:r>
          </w:p>
        </w:tc>
        <w:tc>
          <w:tcPr>
            <w:tcW w:w="702"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1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85"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69" w:type="pct"/>
            <w:vAlign w:val="center"/>
          </w:tcPr>
          <w:p>
            <w:pPr>
              <w:jc w:val="center"/>
              <w:rPr>
                <w:rFonts w:hint="eastAsia" w:ascii="宋体" w:hAnsi="宋体" w:eastAsia="宋体" w:cs="宋体"/>
                <w:color w:val="auto"/>
                <w:sz w:val="24"/>
                <w:szCs w:val="24"/>
                <w:highlight w:val="none"/>
              </w:rPr>
            </w:pPr>
          </w:p>
        </w:tc>
        <w:tc>
          <w:tcPr>
            <w:tcW w:w="471" w:type="pct"/>
            <w:vAlign w:val="center"/>
          </w:tcPr>
          <w:p>
            <w:pPr>
              <w:jc w:val="center"/>
              <w:rPr>
                <w:rFonts w:hint="eastAsia" w:ascii="宋体" w:hAnsi="宋体" w:eastAsia="宋体" w:cs="宋体"/>
                <w:color w:val="auto"/>
                <w:sz w:val="24"/>
                <w:szCs w:val="24"/>
                <w:highlight w:val="none"/>
              </w:rPr>
            </w:pPr>
          </w:p>
        </w:tc>
        <w:tc>
          <w:tcPr>
            <w:tcW w:w="577" w:type="pct"/>
            <w:vAlign w:val="center"/>
          </w:tcPr>
          <w:p>
            <w:pPr>
              <w:jc w:val="center"/>
              <w:rPr>
                <w:rFonts w:hint="eastAsia" w:ascii="宋体" w:hAnsi="宋体" w:eastAsia="宋体" w:cs="宋体"/>
                <w:color w:val="auto"/>
                <w:sz w:val="24"/>
                <w:szCs w:val="24"/>
                <w:highlight w:val="none"/>
              </w:rPr>
            </w:pPr>
          </w:p>
        </w:tc>
        <w:tc>
          <w:tcPr>
            <w:tcW w:w="58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317" w:type="pct"/>
            <w:noWrap/>
            <w:tcMar>
              <w:top w:w="20" w:type="dxa"/>
              <w:left w:w="20" w:type="dxa"/>
              <w:bottom w:w="0" w:type="dxa"/>
              <w:right w:w="20" w:type="dxa"/>
            </w:tcMar>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676" w:type="pct"/>
            <w:noWrap/>
            <w:tcMar>
              <w:top w:w="20" w:type="dxa"/>
              <w:left w:w="20" w:type="dxa"/>
              <w:bottom w:w="0" w:type="dxa"/>
              <w:right w:w="20" w:type="dxa"/>
            </w:tcMar>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702"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1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85"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69" w:type="pct"/>
            <w:vAlign w:val="center"/>
          </w:tcPr>
          <w:p>
            <w:pPr>
              <w:jc w:val="center"/>
              <w:rPr>
                <w:rFonts w:hint="eastAsia" w:ascii="宋体" w:hAnsi="宋体" w:eastAsia="宋体" w:cs="宋体"/>
                <w:color w:val="auto"/>
                <w:sz w:val="24"/>
                <w:szCs w:val="24"/>
                <w:highlight w:val="none"/>
              </w:rPr>
            </w:pPr>
          </w:p>
        </w:tc>
        <w:tc>
          <w:tcPr>
            <w:tcW w:w="471" w:type="pct"/>
            <w:vAlign w:val="center"/>
          </w:tcPr>
          <w:p>
            <w:pPr>
              <w:jc w:val="center"/>
              <w:rPr>
                <w:rFonts w:hint="eastAsia" w:ascii="宋体" w:hAnsi="宋体" w:eastAsia="宋体" w:cs="宋体"/>
                <w:color w:val="auto"/>
                <w:sz w:val="24"/>
                <w:szCs w:val="24"/>
                <w:highlight w:val="none"/>
              </w:rPr>
            </w:pPr>
          </w:p>
        </w:tc>
        <w:tc>
          <w:tcPr>
            <w:tcW w:w="577" w:type="pct"/>
            <w:vAlign w:val="center"/>
          </w:tcPr>
          <w:p>
            <w:pPr>
              <w:jc w:val="center"/>
              <w:rPr>
                <w:rFonts w:hint="eastAsia" w:ascii="宋体" w:hAnsi="宋体" w:eastAsia="宋体" w:cs="宋体"/>
                <w:color w:val="auto"/>
                <w:sz w:val="24"/>
                <w:szCs w:val="24"/>
                <w:highlight w:val="none"/>
              </w:rPr>
            </w:pPr>
          </w:p>
        </w:tc>
        <w:tc>
          <w:tcPr>
            <w:tcW w:w="58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317"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67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702"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1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85"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69" w:type="pct"/>
            <w:vAlign w:val="center"/>
          </w:tcPr>
          <w:p>
            <w:pPr>
              <w:jc w:val="center"/>
              <w:rPr>
                <w:rFonts w:hint="eastAsia" w:ascii="宋体" w:hAnsi="宋体" w:eastAsia="宋体" w:cs="宋体"/>
                <w:color w:val="auto"/>
                <w:sz w:val="24"/>
                <w:szCs w:val="24"/>
                <w:highlight w:val="none"/>
              </w:rPr>
            </w:pPr>
          </w:p>
        </w:tc>
        <w:tc>
          <w:tcPr>
            <w:tcW w:w="471" w:type="pct"/>
            <w:vAlign w:val="center"/>
          </w:tcPr>
          <w:p>
            <w:pPr>
              <w:jc w:val="center"/>
              <w:rPr>
                <w:rFonts w:hint="eastAsia" w:ascii="宋体" w:hAnsi="宋体" w:eastAsia="宋体" w:cs="宋体"/>
                <w:color w:val="auto"/>
                <w:sz w:val="24"/>
                <w:szCs w:val="24"/>
                <w:highlight w:val="none"/>
              </w:rPr>
            </w:pPr>
          </w:p>
        </w:tc>
        <w:tc>
          <w:tcPr>
            <w:tcW w:w="577" w:type="pct"/>
            <w:vAlign w:val="center"/>
          </w:tcPr>
          <w:p>
            <w:pPr>
              <w:jc w:val="center"/>
              <w:rPr>
                <w:rFonts w:hint="eastAsia" w:ascii="宋体" w:hAnsi="宋体" w:eastAsia="宋体" w:cs="宋体"/>
                <w:color w:val="auto"/>
                <w:sz w:val="24"/>
                <w:szCs w:val="24"/>
                <w:highlight w:val="none"/>
              </w:rPr>
            </w:pPr>
          </w:p>
        </w:tc>
        <w:tc>
          <w:tcPr>
            <w:tcW w:w="58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317"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67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702"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16"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85" w:type="pct"/>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rPr>
            </w:pPr>
          </w:p>
        </w:tc>
        <w:tc>
          <w:tcPr>
            <w:tcW w:w="569" w:type="pct"/>
            <w:vAlign w:val="center"/>
          </w:tcPr>
          <w:p>
            <w:pPr>
              <w:jc w:val="center"/>
              <w:rPr>
                <w:rFonts w:hint="eastAsia" w:ascii="宋体" w:hAnsi="宋体" w:eastAsia="宋体" w:cs="宋体"/>
                <w:color w:val="auto"/>
                <w:sz w:val="24"/>
                <w:szCs w:val="24"/>
                <w:highlight w:val="none"/>
              </w:rPr>
            </w:pPr>
          </w:p>
        </w:tc>
        <w:tc>
          <w:tcPr>
            <w:tcW w:w="471" w:type="pct"/>
            <w:vAlign w:val="center"/>
          </w:tcPr>
          <w:p>
            <w:pPr>
              <w:jc w:val="center"/>
              <w:rPr>
                <w:rFonts w:hint="eastAsia" w:ascii="宋体" w:hAnsi="宋体" w:eastAsia="宋体" w:cs="宋体"/>
                <w:color w:val="auto"/>
                <w:sz w:val="24"/>
                <w:szCs w:val="24"/>
                <w:highlight w:val="none"/>
              </w:rPr>
            </w:pPr>
          </w:p>
        </w:tc>
        <w:tc>
          <w:tcPr>
            <w:tcW w:w="577" w:type="pct"/>
            <w:vAlign w:val="center"/>
          </w:tcPr>
          <w:p>
            <w:pPr>
              <w:jc w:val="center"/>
              <w:rPr>
                <w:rFonts w:hint="eastAsia" w:ascii="宋体" w:hAnsi="宋体" w:eastAsia="宋体" w:cs="宋体"/>
                <w:color w:val="auto"/>
                <w:sz w:val="24"/>
                <w:szCs w:val="24"/>
                <w:highlight w:val="none"/>
              </w:rPr>
            </w:pPr>
          </w:p>
        </w:tc>
        <w:tc>
          <w:tcPr>
            <w:tcW w:w="58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35" w:hRule="atLeast"/>
          <w:jc w:val="center"/>
        </w:trPr>
        <w:tc>
          <w:tcPr>
            <w:tcW w:w="5000" w:type="pct"/>
            <w:gridSpan w:val="9"/>
            <w:tcBorders>
              <w:bottom w:val="single" w:color="auto" w:sz="12" w:space="0"/>
            </w:tcBorders>
            <w:noWrap/>
            <w:tcMar>
              <w:top w:w="20" w:type="dxa"/>
              <w:left w:w="20" w:type="dxa"/>
              <w:bottom w:w="0" w:type="dxa"/>
              <w:right w:w="20" w:type="dxa"/>
            </w:tcMar>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总计</w:t>
            </w:r>
            <w:r>
              <w:rPr>
                <w:rFonts w:hint="eastAsia" w:ascii="宋体" w:hAnsi="宋体" w:cs="宋体"/>
                <w:color w:val="auto"/>
                <w:sz w:val="24"/>
                <w:szCs w:val="24"/>
                <w:highlight w:val="none"/>
                <w:lang w:val="en-US" w:eastAsia="zh-CN"/>
              </w:rPr>
              <w:t>:</w:t>
            </w:r>
          </w:p>
        </w:tc>
      </w:tr>
    </w:tbl>
    <w:p>
      <w:pPr>
        <w:spacing w:line="560" w:lineRule="exact"/>
        <w:ind w:firstLine="5162" w:firstLineChars="21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480" w:firstLineChars="200"/>
        <w:jc w:val="both"/>
        <w:rPr>
          <w:rFonts w:hint="eastAsia" w:ascii="宋体" w:hAnsi="宋体" w:eastAsia="宋体" w:cs="宋体"/>
          <w:color w:val="auto"/>
          <w:sz w:val="24"/>
          <w:szCs w:val="24"/>
          <w:highlight w:val="none"/>
        </w:rPr>
      </w:pP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此表由供应商按项目情况自行列支，仅作参考。</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．表格空间不足时，可自行扩展。</w:t>
      </w:r>
    </w:p>
    <w:p>
      <w:pPr>
        <w:pStyle w:val="4"/>
        <w:keepNext w:val="0"/>
        <w:keepLines w:val="0"/>
        <w:pageBreakBefore w:val="0"/>
        <w:widowControl/>
        <w:kinsoku/>
        <w:wordWrap/>
        <w:overflowPunct/>
        <w:topLinePunct w:val="0"/>
        <w:autoSpaceDE/>
        <w:autoSpaceDN/>
        <w:bidi w:val="0"/>
        <w:adjustRightInd/>
        <w:snapToGrid/>
        <w:spacing w:after="422" w:afterLines="100"/>
        <w:ind w:firstLine="31680"/>
        <w:jc w:val="center"/>
        <w:textAlignment w:val="auto"/>
        <w:rPr>
          <w:rFonts w:hint="default" w:ascii="宋体" w:hAnsi="宋体" w:eastAsia="宋体" w:cs="宋体"/>
          <w:b/>
          <w:bCs/>
          <w:color w:val="auto"/>
          <w:sz w:val="30"/>
          <w:szCs w:val="30"/>
          <w:highlight w:val="none"/>
          <w:lang w:val="en-US" w:eastAsia="zh-CN"/>
        </w:rPr>
      </w:pPr>
    </w:p>
    <w:p>
      <w:pPr>
        <w:pStyle w:val="4"/>
        <w:keepNext w:val="0"/>
        <w:keepLines w:val="0"/>
        <w:pageBreakBefore w:val="0"/>
        <w:widowControl/>
        <w:kinsoku/>
        <w:wordWrap/>
        <w:overflowPunct/>
        <w:topLinePunct w:val="0"/>
        <w:autoSpaceDE/>
        <w:autoSpaceDN/>
        <w:bidi w:val="0"/>
        <w:adjustRightInd/>
        <w:snapToGrid/>
        <w:spacing w:after="422" w:afterLines="100"/>
        <w:ind w:firstLine="31680"/>
        <w:jc w:val="center"/>
        <w:textAlignment w:val="auto"/>
        <w:rPr>
          <w:rFonts w:hint="eastAsia" w:ascii="宋体" w:hAnsi="宋体" w:eastAsia="宋体" w:cs="宋体"/>
          <w:b/>
          <w:bCs/>
          <w:color w:val="auto"/>
          <w:sz w:val="30"/>
          <w:szCs w:val="30"/>
          <w:highlight w:val="none"/>
        </w:rPr>
      </w:pPr>
    </w:p>
    <w:p>
      <w:pPr>
        <w:pStyle w:val="4"/>
        <w:keepNext w:val="0"/>
        <w:keepLines w:val="0"/>
        <w:pageBreakBefore w:val="0"/>
        <w:widowControl/>
        <w:kinsoku/>
        <w:wordWrap/>
        <w:overflowPunct/>
        <w:topLinePunct w:val="0"/>
        <w:autoSpaceDE/>
        <w:autoSpaceDN/>
        <w:bidi w:val="0"/>
        <w:adjustRightInd/>
        <w:snapToGrid/>
        <w:spacing w:after="422" w:afterLines="100"/>
        <w:ind w:firstLine="31680"/>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第三部分  资格证明文件</w:t>
      </w:r>
    </w:p>
    <w:p>
      <w:pPr>
        <w:pStyle w:val="1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1.提供合格有效的法人或者其他组织的营业执照等证明文件或自然人的身份证明</w:t>
      </w:r>
    </w:p>
    <w:p>
      <w:pPr>
        <w:rPr>
          <w:rFonts w:hint="eastAsia" w:ascii="宋体" w:hAnsi="宋体" w:eastAsia="宋体" w:cs="宋体"/>
          <w:b/>
          <w:bCs/>
          <w:color w:val="auto"/>
          <w:highlight w:val="none"/>
        </w:rPr>
      </w:pPr>
      <w:r>
        <w:rPr>
          <w:rFonts w:hint="eastAsia" w:ascii="宋体" w:hAnsi="宋体" w:eastAsia="宋体" w:cs="宋体"/>
          <w:b/>
          <w:bCs/>
          <w:color w:val="auto"/>
          <w:highlight w:val="none"/>
        </w:rPr>
        <w:br w:type="page"/>
      </w:r>
    </w:p>
    <w:p>
      <w:pPr>
        <w:pStyle w:val="1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2.财务状况报告：提供2021年度或2022年度的财务审计报告或开标前六个月内其基本存款账户开户银行出具的资信证明（附开户许可证或开户备案证明或基本账户信息）；</w:t>
      </w:r>
    </w:p>
    <w:p>
      <w:pPr>
        <w:rPr>
          <w:rFonts w:hint="eastAsia" w:ascii="宋体" w:hAnsi="宋体" w:eastAsia="宋体" w:cs="宋体"/>
          <w:b w:val="0"/>
          <w:bCs w:val="0"/>
          <w:color w:val="auto"/>
          <w:highlight w:val="none"/>
        </w:rPr>
      </w:pPr>
      <w:r>
        <w:rPr>
          <w:rFonts w:hint="eastAsia" w:ascii="宋体" w:hAnsi="宋体" w:eastAsia="宋体" w:cs="宋体"/>
          <w:color w:val="auto"/>
          <w:highlight w:val="none"/>
        </w:rPr>
        <w:br w:type="page"/>
      </w:r>
    </w:p>
    <w:p>
      <w:pPr>
        <w:pStyle w:val="16"/>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3.社会保障资金缴纳证明：提供2022年7月1日至今已缴存的至少一个月的社会保障资金缴存单据或社保机构开具的社会保险参保缴费情况证明，依法不需要缴纳社会保障资金的单位应提供相关证明材料；</w:t>
      </w:r>
    </w:p>
    <w:p>
      <w:pP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br w:type="page"/>
      </w:r>
    </w:p>
    <w:p>
      <w:pPr>
        <w:spacing w:line="430" w:lineRule="atLeast"/>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lang w:val="en-US" w:eastAsia="zh-CN"/>
        </w:rPr>
        <w:t>4.</w:t>
      </w:r>
      <w:r>
        <w:rPr>
          <w:rFonts w:hint="eastAsia" w:ascii="宋体" w:hAnsi="宋体" w:eastAsia="宋体" w:cs="宋体"/>
          <w:b w:val="0"/>
          <w:bCs w:val="0"/>
          <w:color w:val="auto"/>
          <w:sz w:val="28"/>
          <w:szCs w:val="28"/>
          <w:highlight w:val="none"/>
        </w:rPr>
        <w:t>税收缴纳证明：提供2022年7月1日至今已缴存的至少一个月的纳税证明或完税证明，依法免税的单位应提供相关证明材料；</w:t>
      </w:r>
    </w:p>
    <w:p>
      <w:pPr>
        <w:numPr>
          <w:ilvl w:val="0"/>
          <w:numId w:val="0"/>
        </w:numPr>
        <w:rPr>
          <w:rFonts w:hint="eastAsia" w:ascii="宋体" w:hAnsi="宋体" w:eastAsia="宋体" w:cs="宋体"/>
          <w:b w:val="0"/>
          <w:bCs w:val="0"/>
          <w:color w:val="auto"/>
          <w:highlight w:val="none"/>
        </w:rPr>
      </w:pPr>
    </w:p>
    <w:p>
      <w:pPr>
        <w:spacing w:line="430" w:lineRule="atLeast"/>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br w:type="page"/>
      </w:r>
      <w:r>
        <w:rPr>
          <w:rFonts w:hint="eastAsia" w:ascii="宋体" w:hAnsi="宋体" w:eastAsia="宋体" w:cs="宋体"/>
          <w:b w:val="0"/>
          <w:bCs w:val="0"/>
          <w:color w:val="auto"/>
          <w:sz w:val="28"/>
          <w:szCs w:val="28"/>
          <w:highlight w:val="none"/>
        </w:rPr>
        <w:t>5.</w:t>
      </w:r>
      <w:r>
        <w:rPr>
          <w:rFonts w:hint="eastAsia" w:ascii="宋体" w:hAnsi="宋体" w:eastAsia="宋体" w:cs="宋体"/>
          <w:b w:val="0"/>
          <w:bCs w:val="0"/>
          <w:color w:val="auto"/>
          <w:sz w:val="28"/>
          <w:szCs w:val="28"/>
          <w:highlight w:val="none"/>
          <w:shd w:val="clear" w:color="auto" w:fill="FFFFFF"/>
        </w:rPr>
        <w:t>参加政府采购活动前3年内，在经营活动中没有重大违法记录的书面声明；</w:t>
      </w:r>
    </w:p>
    <w:p>
      <w:pPr>
        <w:spacing w:line="430" w:lineRule="atLeast"/>
        <w:jc w:val="center"/>
        <w:rPr>
          <w:rFonts w:hint="eastAsia" w:ascii="宋体" w:hAnsi="宋体" w:eastAsia="宋体" w:cs="宋体"/>
          <w:b/>
          <w:color w:val="auto"/>
          <w:sz w:val="32"/>
          <w:szCs w:val="32"/>
          <w:highlight w:val="none"/>
        </w:rPr>
      </w:pPr>
    </w:p>
    <w:p>
      <w:pPr>
        <w:spacing w:line="430" w:lineRule="atLeast"/>
        <w:jc w:val="center"/>
        <w:rPr>
          <w:rFonts w:hint="eastAsia" w:ascii="宋体" w:hAnsi="宋体" w:eastAsia="宋体" w:cs="宋体"/>
          <w:b/>
          <w:color w:val="auto"/>
          <w:highlight w:val="none"/>
        </w:rPr>
      </w:pPr>
      <w:r>
        <w:rPr>
          <w:rFonts w:hint="eastAsia" w:ascii="宋体" w:hAnsi="宋体" w:eastAsia="宋体" w:cs="宋体"/>
          <w:b/>
          <w:color w:val="auto"/>
          <w:highlight w:val="none"/>
        </w:rPr>
        <w:t>参加政府采购活动前三年内在经营活动中没有重大违法记录的</w:t>
      </w:r>
    </w:p>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书面声明</w:t>
      </w:r>
    </w:p>
    <w:p>
      <w:pPr>
        <w:spacing w:line="480" w:lineRule="auto"/>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(采购代理机构)</w:t>
      </w:r>
    </w:p>
    <w:p>
      <w:pPr>
        <w:spacing w:line="48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我单位在参加采购活动前三年内在经营活动中没有政府采购法第二十二条第一款第(五)项所称重大违法记录，包括：</w:t>
      </w:r>
    </w:p>
    <w:p>
      <w:pPr>
        <w:spacing w:line="480" w:lineRule="auto"/>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（一）我单位或者其法定代表人、董事、监事、高级管理人员因经营活动中的违法行为受到</w:t>
      </w:r>
      <w:r>
        <w:rPr>
          <w:rFonts w:hint="eastAsia" w:ascii="宋体" w:hAnsi="宋体" w:eastAsia="宋体" w:cs="宋体"/>
          <w:color w:val="auto"/>
          <w:highlight w:val="none"/>
          <w:lang w:eastAsia="zh-CN"/>
        </w:rPr>
        <w:t>较大数额的</w:t>
      </w:r>
      <w:r>
        <w:rPr>
          <w:rFonts w:hint="eastAsia" w:ascii="宋体" w:hAnsi="宋体" w:eastAsia="宋体" w:cs="宋体"/>
          <w:color w:val="auto"/>
          <w:highlight w:val="none"/>
        </w:rPr>
        <w:t>行政处罚；</w:t>
      </w:r>
    </w:p>
    <w:p>
      <w:pPr>
        <w:spacing w:line="480" w:lineRule="auto"/>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（二）我单位或者其法定代表人、董事、监事、高级管理人员因经营活动中的违法行为受到刑事处罚。</w:t>
      </w:r>
    </w:p>
    <w:p>
      <w:pPr>
        <w:spacing w:line="48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特此声明!</w:t>
      </w:r>
    </w:p>
    <w:p>
      <w:pPr>
        <w:spacing w:line="480" w:lineRule="auto"/>
        <w:rPr>
          <w:rFonts w:hint="eastAsia" w:ascii="宋体" w:hAnsi="宋体" w:eastAsia="宋体" w:cs="宋体"/>
          <w:color w:val="auto"/>
          <w:highlight w:val="none"/>
        </w:rPr>
      </w:pPr>
    </w:p>
    <w:p>
      <w:pPr>
        <w:spacing w:line="48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pPr>
        <w:spacing w:line="48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法定代表人</w:t>
      </w:r>
      <w:r>
        <w:rPr>
          <w:rFonts w:hint="eastAsia" w:ascii="宋体" w:hAnsi="宋体" w:eastAsia="宋体" w:cs="宋体"/>
          <w:color w:val="auto"/>
          <w:highlight w:val="none"/>
        </w:rPr>
        <w:t>或委托代理人：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(签字或盖章)</w:t>
      </w:r>
    </w:p>
    <w:p>
      <w:pPr>
        <w:spacing w:line="480" w:lineRule="auto"/>
        <w:ind w:firstLine="3360" w:firstLineChars="1400"/>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spacing w:line="360" w:lineRule="auto"/>
        <w:rPr>
          <w:rFonts w:hint="eastAsia" w:ascii="宋体" w:hAnsi="宋体" w:eastAsia="宋体" w:cs="宋体"/>
          <w:b/>
          <w:color w:val="auto"/>
          <w:highlight w:val="none"/>
        </w:rPr>
      </w:pPr>
    </w:p>
    <w:p>
      <w:pPr>
        <w:rPr>
          <w:rFonts w:hint="eastAsia" w:ascii="宋体" w:hAnsi="宋体" w:eastAsia="宋体" w:cs="宋体"/>
          <w:color w:val="auto"/>
          <w:highlight w:val="none"/>
        </w:rPr>
      </w:pPr>
      <w:r>
        <w:rPr>
          <w:rFonts w:hint="eastAsia" w:ascii="宋体" w:hAnsi="宋体" w:eastAsia="宋体" w:cs="宋体"/>
          <w:b/>
          <w:bCs/>
          <w:color w:val="auto"/>
          <w:highlight w:val="none"/>
        </w:rPr>
        <w:t>注：成立不足三年的供应商提供自成立之日起至开标之日止的无重大违法记录声明。</w:t>
      </w:r>
    </w:p>
    <w:p>
      <w:pPr>
        <w:pStyle w:val="21"/>
        <w:spacing w:line="288" w:lineRule="auto"/>
        <w:rPr>
          <w:rFonts w:hint="eastAsia" w:ascii="宋体" w:hAnsi="宋体" w:eastAsia="宋体" w:cs="宋体"/>
          <w:b w:val="0"/>
          <w:bCs w:val="0"/>
          <w:color w:val="auto"/>
          <w:sz w:val="28"/>
          <w:szCs w:val="28"/>
          <w:highlight w:val="none"/>
          <w:shd w:val="clear" w:color="auto" w:fill="FFFFFF"/>
          <w:lang w:eastAsia="zh-CN"/>
        </w:rPr>
      </w:pPr>
      <w:r>
        <w:rPr>
          <w:rFonts w:hint="eastAsia" w:ascii="宋体" w:hAnsi="宋体" w:eastAsia="宋体" w:cs="宋体"/>
          <w:b w:val="0"/>
          <w:bCs w:val="0"/>
          <w:color w:val="auto"/>
          <w:sz w:val="28"/>
          <w:szCs w:val="28"/>
          <w:highlight w:val="none"/>
          <w:shd w:val="clear" w:color="auto" w:fill="FFFFFF"/>
          <w:lang w:val="en-US" w:eastAsia="zh-CN"/>
        </w:rPr>
        <w:t>6</w:t>
      </w:r>
      <w:r>
        <w:rPr>
          <w:rFonts w:hint="eastAsia" w:ascii="宋体" w:hAnsi="宋体" w:eastAsia="宋体" w:cs="宋体"/>
          <w:b w:val="0"/>
          <w:bCs w:val="0"/>
          <w:color w:val="auto"/>
          <w:sz w:val="28"/>
          <w:szCs w:val="28"/>
          <w:highlight w:val="none"/>
          <w:shd w:val="clear" w:color="auto" w:fill="FFFFFF"/>
        </w:rPr>
        <w:t>.</w:t>
      </w:r>
      <w:r>
        <w:rPr>
          <w:rFonts w:hint="eastAsia" w:hAnsi="宋体" w:cs="宋体"/>
          <w:b w:val="0"/>
          <w:bCs w:val="0"/>
          <w:color w:val="auto"/>
          <w:sz w:val="28"/>
          <w:szCs w:val="28"/>
          <w:highlight w:val="none"/>
          <w:shd w:val="clear" w:color="auto" w:fill="FFFFFF"/>
          <w:lang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w:t>
      </w:r>
    </w:p>
    <w:p>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highlight w:val="none"/>
        </w:rPr>
        <w:t>表一  法定代表人身份证明书</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vAlign w:val="center"/>
          </w:tcPr>
          <w:p>
            <w:pPr>
              <w:tabs>
                <w:tab w:val="left" w:pos="210"/>
              </w:tabs>
              <w:spacing w:line="320" w:lineRule="exact"/>
              <w:rPr>
                <w:rFonts w:hint="eastAsia" w:ascii="宋体" w:hAnsi="宋体" w:eastAsia="宋体" w:cs="宋体"/>
                <w:color w:val="auto"/>
                <w:highlight w:val="none"/>
              </w:rPr>
            </w:pPr>
            <w:r>
              <w:rPr>
                <w:rFonts w:hint="eastAsia" w:ascii="宋体" w:hAnsi="宋体" w:eastAsia="宋体" w:cs="宋体"/>
                <w:color w:val="auto"/>
                <w:highlight w:val="none"/>
              </w:rPr>
              <w:t>致：华晟国际项目管理有限公司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企</w:t>
            </w:r>
          </w:p>
          <w:p>
            <w:pPr>
              <w:tabs>
                <w:tab w:val="left" w:pos="210"/>
              </w:tabs>
              <w:spacing w:line="320" w:lineRule="exact"/>
              <w:jc w:val="center"/>
              <w:rPr>
                <w:rFonts w:hint="eastAsia" w:ascii="宋体" w:hAnsi="宋体" w:eastAsia="宋体" w:cs="宋体"/>
                <w:color w:val="auto"/>
                <w:highlight w:val="none"/>
              </w:rPr>
            </w:pPr>
          </w:p>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业</w:t>
            </w:r>
          </w:p>
          <w:p>
            <w:pPr>
              <w:tabs>
                <w:tab w:val="left" w:pos="210"/>
              </w:tabs>
              <w:spacing w:line="320" w:lineRule="exact"/>
              <w:jc w:val="center"/>
              <w:rPr>
                <w:rFonts w:hint="eastAsia" w:ascii="宋体" w:hAnsi="宋体" w:eastAsia="宋体" w:cs="宋体"/>
                <w:color w:val="auto"/>
                <w:highlight w:val="none"/>
              </w:rPr>
            </w:pPr>
          </w:p>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法</w:t>
            </w:r>
          </w:p>
          <w:p>
            <w:pPr>
              <w:tabs>
                <w:tab w:val="left" w:pos="210"/>
              </w:tabs>
              <w:spacing w:line="320" w:lineRule="exact"/>
              <w:jc w:val="center"/>
              <w:rPr>
                <w:rFonts w:hint="eastAsia" w:ascii="宋体" w:hAnsi="宋体" w:eastAsia="宋体" w:cs="宋体"/>
                <w:color w:val="auto"/>
                <w:highlight w:val="none"/>
              </w:rPr>
            </w:pPr>
          </w:p>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人</w:t>
            </w: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企业名称</w:t>
            </w:r>
          </w:p>
        </w:tc>
        <w:tc>
          <w:tcPr>
            <w:tcW w:w="6122" w:type="dxa"/>
            <w:gridSpan w:val="4"/>
            <w:vAlign w:val="center"/>
          </w:tcPr>
          <w:p>
            <w:pPr>
              <w:tabs>
                <w:tab w:val="left" w:pos="210"/>
              </w:tabs>
              <w:spacing w:line="3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法定地址</w:t>
            </w:r>
          </w:p>
        </w:tc>
        <w:tc>
          <w:tcPr>
            <w:tcW w:w="6122" w:type="dxa"/>
            <w:gridSpan w:val="4"/>
            <w:vAlign w:val="center"/>
          </w:tcPr>
          <w:p>
            <w:pPr>
              <w:tabs>
                <w:tab w:val="left" w:pos="210"/>
              </w:tabs>
              <w:spacing w:line="3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邮政编码</w:t>
            </w:r>
          </w:p>
        </w:tc>
        <w:tc>
          <w:tcPr>
            <w:tcW w:w="6122" w:type="dxa"/>
            <w:gridSpan w:val="4"/>
            <w:vAlign w:val="center"/>
          </w:tcPr>
          <w:p>
            <w:pPr>
              <w:tabs>
                <w:tab w:val="left" w:pos="210"/>
              </w:tabs>
              <w:spacing w:line="3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工商登记机关</w:t>
            </w:r>
          </w:p>
        </w:tc>
        <w:tc>
          <w:tcPr>
            <w:tcW w:w="6122" w:type="dxa"/>
            <w:gridSpan w:val="4"/>
            <w:vAlign w:val="center"/>
          </w:tcPr>
          <w:p>
            <w:pPr>
              <w:tabs>
                <w:tab w:val="left" w:pos="210"/>
              </w:tabs>
              <w:spacing w:line="3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税务登记机关</w:t>
            </w:r>
          </w:p>
        </w:tc>
        <w:tc>
          <w:tcPr>
            <w:tcW w:w="6122" w:type="dxa"/>
            <w:gridSpan w:val="4"/>
            <w:vAlign w:val="center"/>
          </w:tcPr>
          <w:p>
            <w:pPr>
              <w:tabs>
                <w:tab w:val="left" w:pos="210"/>
              </w:tabs>
              <w:spacing w:line="320" w:lineRule="exact"/>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机构代码证号</w:t>
            </w:r>
          </w:p>
        </w:tc>
        <w:tc>
          <w:tcPr>
            <w:tcW w:w="6122" w:type="dxa"/>
            <w:gridSpan w:val="4"/>
            <w:vAlign w:val="center"/>
          </w:tcPr>
          <w:p>
            <w:pPr>
              <w:tabs>
                <w:tab w:val="left" w:pos="210"/>
              </w:tabs>
              <w:spacing w:line="3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w:t>
            </w: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2113" w:type="dxa"/>
            <w:gridSpan w:val="2"/>
            <w:vAlign w:val="center"/>
          </w:tcPr>
          <w:p>
            <w:pPr>
              <w:tabs>
                <w:tab w:val="left" w:pos="210"/>
              </w:tabs>
              <w:spacing w:line="320" w:lineRule="exact"/>
              <w:jc w:val="center"/>
              <w:rPr>
                <w:rFonts w:hint="eastAsia" w:ascii="宋体" w:hAnsi="宋体" w:eastAsia="宋体" w:cs="宋体"/>
                <w:color w:val="auto"/>
                <w:highlight w:val="none"/>
              </w:rPr>
            </w:pPr>
          </w:p>
        </w:tc>
        <w:tc>
          <w:tcPr>
            <w:tcW w:w="1948"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性别</w:t>
            </w:r>
          </w:p>
        </w:tc>
        <w:tc>
          <w:tcPr>
            <w:tcW w:w="2061" w:type="dxa"/>
            <w:vAlign w:val="center"/>
          </w:tcPr>
          <w:p>
            <w:pPr>
              <w:tabs>
                <w:tab w:val="left" w:pos="210"/>
              </w:tabs>
              <w:spacing w:line="3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职务</w:t>
            </w:r>
          </w:p>
        </w:tc>
        <w:tc>
          <w:tcPr>
            <w:tcW w:w="2113" w:type="dxa"/>
            <w:gridSpan w:val="2"/>
            <w:vAlign w:val="center"/>
          </w:tcPr>
          <w:p>
            <w:pPr>
              <w:tabs>
                <w:tab w:val="left" w:pos="210"/>
              </w:tabs>
              <w:spacing w:line="320" w:lineRule="exact"/>
              <w:jc w:val="center"/>
              <w:rPr>
                <w:rFonts w:hint="eastAsia" w:ascii="宋体" w:hAnsi="宋体" w:eastAsia="宋体" w:cs="宋体"/>
                <w:color w:val="auto"/>
                <w:highlight w:val="none"/>
              </w:rPr>
            </w:pPr>
          </w:p>
        </w:tc>
        <w:tc>
          <w:tcPr>
            <w:tcW w:w="1948"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联系电话</w:t>
            </w:r>
          </w:p>
        </w:tc>
        <w:tc>
          <w:tcPr>
            <w:tcW w:w="2061" w:type="dxa"/>
            <w:vAlign w:val="center"/>
          </w:tcPr>
          <w:p>
            <w:pPr>
              <w:tabs>
                <w:tab w:val="left" w:pos="210"/>
              </w:tabs>
              <w:spacing w:line="3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1952" w:type="dxa"/>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传真</w:t>
            </w:r>
          </w:p>
        </w:tc>
        <w:tc>
          <w:tcPr>
            <w:tcW w:w="6122" w:type="dxa"/>
            <w:gridSpan w:val="4"/>
            <w:vAlign w:val="center"/>
          </w:tcPr>
          <w:p>
            <w:pPr>
              <w:tabs>
                <w:tab w:val="left" w:pos="210"/>
              </w:tabs>
              <w:spacing w:line="3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法定代表人身份证复印件</w:t>
            </w:r>
          </w:p>
        </w:tc>
        <w:tc>
          <w:tcPr>
            <w:tcW w:w="3899" w:type="dxa"/>
            <w:gridSpan w:val="2"/>
            <w:vMerge w:val="restart"/>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（粘贴处）</w:t>
            </w:r>
          </w:p>
        </w:tc>
        <w:tc>
          <w:tcPr>
            <w:tcW w:w="4175" w:type="dxa"/>
            <w:gridSpan w:val="3"/>
            <w:vAlign w:val="center"/>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3899" w:type="dxa"/>
            <w:gridSpan w:val="2"/>
            <w:vMerge w:val="continue"/>
            <w:vAlign w:val="center"/>
          </w:tcPr>
          <w:p>
            <w:pPr>
              <w:tabs>
                <w:tab w:val="left" w:pos="210"/>
              </w:tabs>
              <w:spacing w:line="320" w:lineRule="exact"/>
              <w:jc w:val="center"/>
              <w:rPr>
                <w:rFonts w:hint="eastAsia" w:ascii="宋体" w:hAnsi="宋体" w:eastAsia="宋体" w:cs="宋体"/>
                <w:color w:val="auto"/>
                <w:highlight w:val="none"/>
              </w:rPr>
            </w:pPr>
          </w:p>
        </w:tc>
        <w:tc>
          <w:tcPr>
            <w:tcW w:w="4175" w:type="dxa"/>
            <w:gridSpan w:val="3"/>
            <w:vAlign w:val="bottom"/>
          </w:tcPr>
          <w:p>
            <w:pPr>
              <w:tabs>
                <w:tab w:val="left" w:pos="210"/>
              </w:tabs>
              <w:spacing w:line="3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（公章）</w:t>
            </w:r>
          </w:p>
          <w:p>
            <w:pPr>
              <w:tabs>
                <w:tab w:val="left" w:pos="210"/>
              </w:tabs>
              <w:spacing w:line="320" w:lineRule="exact"/>
              <w:jc w:val="center"/>
              <w:rPr>
                <w:rFonts w:hint="eastAsia" w:ascii="宋体" w:hAnsi="宋体" w:eastAsia="宋体" w:cs="宋体"/>
                <w:color w:val="auto"/>
                <w:highlight w:val="none"/>
              </w:rPr>
            </w:pPr>
          </w:p>
          <w:p>
            <w:pPr>
              <w:tabs>
                <w:tab w:val="left" w:pos="210"/>
              </w:tabs>
              <w:spacing w:line="320" w:lineRule="exact"/>
              <w:jc w:val="center"/>
              <w:rPr>
                <w:rFonts w:hint="eastAsia" w:ascii="宋体" w:hAnsi="宋体" w:eastAsia="宋体" w:cs="宋体"/>
                <w:color w:val="auto"/>
                <w:highlight w:val="none"/>
              </w:rPr>
            </w:pPr>
          </w:p>
          <w:p>
            <w:pPr>
              <w:tabs>
                <w:tab w:val="left" w:pos="210"/>
              </w:tabs>
              <w:spacing w:line="320" w:lineRule="exact"/>
              <w:jc w:val="center"/>
              <w:rPr>
                <w:rFonts w:hint="eastAsia" w:ascii="宋体" w:hAnsi="宋体" w:eastAsia="宋体" w:cs="宋体"/>
                <w:color w:val="auto"/>
                <w:highlight w:val="none"/>
              </w:rPr>
            </w:pPr>
          </w:p>
          <w:p>
            <w:pPr>
              <w:tabs>
                <w:tab w:val="left" w:pos="210"/>
              </w:tabs>
              <w:spacing w:line="320" w:lineRule="exact"/>
              <w:jc w:val="right"/>
              <w:rPr>
                <w:rFonts w:hint="eastAsia" w:ascii="宋体" w:hAnsi="宋体" w:eastAsia="宋体" w:cs="宋体"/>
                <w:color w:val="auto"/>
                <w:highlight w:val="none"/>
              </w:rPr>
            </w:pPr>
            <w:r>
              <w:rPr>
                <w:rFonts w:hint="eastAsia" w:ascii="宋体" w:hAnsi="宋体" w:eastAsia="宋体" w:cs="宋体"/>
                <w:color w:val="auto"/>
                <w:highlight w:val="none"/>
              </w:rPr>
              <w:t xml:space="preserve">年  月  日 </w:t>
            </w:r>
          </w:p>
        </w:tc>
      </w:tr>
    </w:tbl>
    <w:p>
      <w:pPr>
        <w:pStyle w:val="21"/>
        <w:spacing w:line="360" w:lineRule="auto"/>
        <w:jc w:val="center"/>
        <w:rPr>
          <w:rFonts w:hint="eastAsia" w:ascii="宋体" w:hAnsi="宋体" w:eastAsia="宋体" w:cs="宋体"/>
          <w:b/>
          <w:bCs/>
          <w:color w:val="auto"/>
          <w:szCs w:val="24"/>
          <w:highlight w:val="none"/>
        </w:rPr>
      </w:pPr>
      <w:r>
        <w:rPr>
          <w:rFonts w:hint="eastAsia" w:ascii="宋体" w:hAnsi="宋体" w:eastAsia="宋体" w:cs="宋体"/>
          <w:b/>
          <w:color w:val="auto"/>
          <w:highlight w:val="none"/>
        </w:rPr>
        <w:br w:type="page"/>
      </w:r>
      <w:r>
        <w:rPr>
          <w:rFonts w:hint="eastAsia" w:ascii="宋体" w:hAnsi="宋体" w:eastAsia="宋体" w:cs="宋体"/>
          <w:b/>
          <w:color w:val="auto"/>
          <w:szCs w:val="24"/>
          <w:highlight w:val="none"/>
        </w:rPr>
        <w:t>表二  法定代表人授权书</w:t>
      </w:r>
    </w:p>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致：华晟国际项目管理有限公司：</w:t>
      </w:r>
    </w:p>
    <w:p>
      <w:pPr>
        <w:pStyle w:val="21"/>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本授权书声明：注册于（</w:t>
      </w:r>
      <w:r>
        <w:rPr>
          <w:rFonts w:hint="eastAsia" w:ascii="宋体" w:hAnsi="宋体" w:eastAsia="宋体" w:cs="宋体"/>
          <w:color w:val="auto"/>
          <w:szCs w:val="24"/>
          <w:highlight w:val="none"/>
          <w:u w:val="single"/>
        </w:rPr>
        <w:t>工商行政管理局名称）之（委托单位全称）</w:t>
      </w:r>
      <w:r>
        <w:rPr>
          <w:rFonts w:hint="eastAsia" w:ascii="宋体" w:hAnsi="宋体" w:eastAsia="宋体" w:cs="宋体"/>
          <w:color w:val="auto"/>
          <w:szCs w:val="24"/>
          <w:highlight w:val="none"/>
        </w:rPr>
        <w:t>的法定代表人</w:t>
      </w:r>
      <w:r>
        <w:rPr>
          <w:rFonts w:hint="eastAsia" w:ascii="宋体" w:hAnsi="宋体" w:eastAsia="宋体" w:cs="宋体"/>
          <w:color w:val="auto"/>
          <w:szCs w:val="24"/>
          <w:highlight w:val="none"/>
          <w:u w:val="single"/>
        </w:rPr>
        <w:t>（姓名、性别）</w:t>
      </w:r>
      <w:r>
        <w:rPr>
          <w:rFonts w:hint="eastAsia" w:ascii="宋体" w:hAnsi="宋体" w:eastAsia="宋体" w:cs="宋体"/>
          <w:color w:val="auto"/>
          <w:szCs w:val="24"/>
          <w:highlight w:val="none"/>
        </w:rPr>
        <w:t>授权</w:t>
      </w:r>
      <w:r>
        <w:rPr>
          <w:rFonts w:hint="eastAsia" w:ascii="宋体" w:hAnsi="宋体" w:eastAsia="宋体" w:cs="宋体"/>
          <w:color w:val="auto"/>
          <w:szCs w:val="24"/>
          <w:highlight w:val="none"/>
          <w:u w:val="single"/>
        </w:rPr>
        <w:t>（被授权人姓名、性别、职务）</w:t>
      </w:r>
      <w:r>
        <w:rPr>
          <w:rFonts w:hint="eastAsia" w:ascii="宋体" w:hAnsi="宋体" w:eastAsia="宋体" w:cs="宋体"/>
          <w:color w:val="auto"/>
          <w:szCs w:val="24"/>
          <w:highlight w:val="none"/>
        </w:rPr>
        <w:t xml:space="preserve">为本公司合法代理人，就贵方组织的有关 </w:t>
      </w:r>
      <w:r>
        <w:rPr>
          <w:rFonts w:hint="eastAsia" w:ascii="宋体" w:hAnsi="宋体" w:eastAsia="宋体" w:cs="宋体"/>
          <w:color w:val="auto"/>
          <w:szCs w:val="24"/>
          <w:highlight w:val="none"/>
          <w:u w:val="single"/>
        </w:rPr>
        <w:t xml:space="preserve">（项目名称） </w:t>
      </w:r>
      <w:r>
        <w:rPr>
          <w:rFonts w:hint="eastAsia" w:ascii="宋体" w:hAnsi="宋体" w:eastAsia="宋体" w:cs="宋体"/>
          <w:color w:val="auto"/>
          <w:szCs w:val="24"/>
          <w:highlight w:val="none"/>
        </w:rPr>
        <w:t>（项目编号：</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）的开标、洽谈、执行等具体事务，签署全部有关文件、文书、协议、合同，本公司对被授权人在本项目中的签名承担全部法律责任。本授权书自投标文件递交截止之日起计算有效期为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日历日。</w:t>
      </w:r>
    </w:p>
    <w:p>
      <w:pPr>
        <w:pStyle w:val="21"/>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供应商名称：</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（公章）</w:t>
      </w:r>
    </w:p>
    <w:p>
      <w:pPr>
        <w:pStyle w:val="21"/>
        <w:spacing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法定代表人：</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w:t>
      </w:r>
      <w:r>
        <w:rPr>
          <w:rFonts w:hint="eastAsia" w:ascii="宋体" w:hAnsi="宋体" w:eastAsia="宋体" w:cs="宋体"/>
          <w:b/>
          <w:bCs/>
          <w:color w:val="auto"/>
          <w:szCs w:val="24"/>
          <w:highlight w:val="none"/>
        </w:rPr>
        <w:t>签字或盖章</w:t>
      </w:r>
      <w:r>
        <w:rPr>
          <w:rFonts w:hint="eastAsia" w:ascii="宋体" w:hAnsi="宋体" w:eastAsia="宋体" w:cs="宋体"/>
          <w:color w:val="auto"/>
          <w:szCs w:val="24"/>
          <w:highlight w:val="none"/>
        </w:rPr>
        <w:t>）</w:t>
      </w:r>
    </w:p>
    <w:p>
      <w:pPr>
        <w:pStyle w:val="21"/>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授权日期：</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年</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月</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日</w:t>
      </w:r>
    </w:p>
    <w:p>
      <w:pPr>
        <w:pStyle w:val="21"/>
        <w:spacing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附：被授权人姓名：</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性别：</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职务：</w:t>
      </w:r>
      <w:r>
        <w:rPr>
          <w:rFonts w:hint="eastAsia" w:ascii="宋体" w:hAnsi="宋体" w:eastAsia="宋体" w:cs="宋体"/>
          <w:color w:val="auto"/>
          <w:szCs w:val="24"/>
          <w:highlight w:val="none"/>
          <w:u w:val="single"/>
        </w:rPr>
        <w:t xml:space="preserve">           </w:t>
      </w:r>
    </w:p>
    <w:p>
      <w:pPr>
        <w:pStyle w:val="21"/>
        <w:spacing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联系地址：</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  </w:t>
      </w:r>
    </w:p>
    <w:p>
      <w:pPr>
        <w:pStyle w:val="21"/>
        <w:spacing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联系电话：</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 传真：</w:t>
      </w:r>
      <w:r>
        <w:rPr>
          <w:rFonts w:hint="eastAsia" w:ascii="宋体" w:hAnsi="宋体" w:eastAsia="宋体" w:cs="宋体"/>
          <w:color w:val="auto"/>
          <w:szCs w:val="24"/>
          <w:highlight w:val="none"/>
          <w:u w:val="single"/>
        </w:rPr>
        <w:t xml:space="preserve">                      </w:t>
      </w:r>
    </w:p>
    <w:p>
      <w:pPr>
        <w:pStyle w:val="21"/>
        <w:spacing w:line="500" w:lineRule="exact"/>
        <w:rPr>
          <w:rFonts w:hint="eastAsia" w:ascii="宋体" w:hAnsi="宋体" w:eastAsia="宋体" w:cs="宋体"/>
          <w:color w:val="auto"/>
          <w:szCs w:val="24"/>
          <w:highlight w:val="none"/>
        </w:rPr>
      </w:pPr>
      <w:r>
        <w:rPr>
          <w:rFonts w:hint="eastAsia" w:ascii="宋体" w:hAnsi="宋体" w:eastAsia="宋体" w:cs="宋体"/>
          <w:color w:val="auto"/>
          <w:szCs w:val="24"/>
          <w:highlight w:val="none"/>
        </w:rPr>
        <w:t>附法定代表人、被授权人身份证复印件，若位置不够自行调整。</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shd w:val="clear" w:color="auto" w:fill="D9D9D9"/>
            <w:vAlign w:val="center"/>
          </w:tcPr>
          <w:p>
            <w:pPr>
              <w:pStyle w:val="21"/>
              <w:spacing w:line="500" w:lineRule="exact"/>
              <w:jc w:val="center"/>
              <w:rPr>
                <w:rFonts w:hint="eastAsia" w:ascii="宋体" w:hAnsi="宋体" w:eastAsia="宋体" w:cs="宋体"/>
                <w:color w:val="auto"/>
                <w:szCs w:val="24"/>
                <w:highlight w:val="none"/>
                <w:shd w:val="clear" w:color="FFFFFF" w:fill="D9D9D9"/>
              </w:rPr>
            </w:pPr>
            <w:r>
              <w:rPr>
                <w:rFonts w:hint="eastAsia" w:ascii="宋体" w:hAnsi="宋体" w:eastAsia="宋体" w:cs="宋体"/>
                <w:color w:val="auto"/>
                <w:szCs w:val="24"/>
                <w:highlight w:val="none"/>
                <w:shd w:val="clear" w:color="FFFFFF" w:fill="D9D9D9"/>
              </w:rPr>
              <w:t>法定代表人身份证复印件（正、反面）</w:t>
            </w:r>
          </w:p>
        </w:tc>
        <w:tc>
          <w:tcPr>
            <w:tcW w:w="4190" w:type="dxa"/>
            <w:shd w:val="clear" w:color="auto" w:fill="D9D9D9"/>
            <w:vAlign w:val="center"/>
          </w:tcPr>
          <w:p>
            <w:pPr>
              <w:pStyle w:val="21"/>
              <w:spacing w:line="500" w:lineRule="exact"/>
              <w:jc w:val="center"/>
              <w:rPr>
                <w:rFonts w:hint="eastAsia" w:ascii="宋体" w:hAnsi="宋体" w:eastAsia="宋体" w:cs="宋体"/>
                <w:color w:val="auto"/>
                <w:szCs w:val="24"/>
                <w:highlight w:val="none"/>
                <w:shd w:val="clear" w:color="FFFFFF" w:fill="D9D9D9"/>
              </w:rPr>
            </w:pPr>
            <w:r>
              <w:rPr>
                <w:rFonts w:hint="eastAsia" w:ascii="宋体" w:hAnsi="宋体" w:eastAsia="宋体" w:cs="宋体"/>
                <w:color w:val="auto"/>
                <w:szCs w:val="24"/>
                <w:highlight w:val="none"/>
                <w:shd w:val="clear" w:color="FFFFFF" w:fill="D9D9D9"/>
              </w:rPr>
              <w:t>被授权人身份证复印件（正、反面）</w:t>
            </w:r>
          </w:p>
        </w:tc>
      </w:tr>
    </w:tbl>
    <w:p>
      <w:pPr>
        <w:pStyle w:val="21"/>
        <w:spacing w:line="500" w:lineRule="exact"/>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备注</w:t>
      </w:r>
      <w:r>
        <w:rPr>
          <w:rFonts w:hint="eastAsia" w:ascii="宋体" w:hAnsi="宋体" w:eastAsia="宋体" w:cs="宋体"/>
          <w:color w:val="auto"/>
          <w:szCs w:val="24"/>
          <w:highlight w:val="none"/>
        </w:rPr>
        <w:t>：</w:t>
      </w:r>
      <w:r>
        <w:rPr>
          <w:rFonts w:hint="eastAsia" w:ascii="宋体" w:hAnsi="宋体" w:eastAsia="宋体" w:cs="宋体"/>
          <w:b/>
          <w:bCs/>
          <w:color w:val="auto"/>
          <w:szCs w:val="24"/>
          <w:highlight w:val="none"/>
        </w:rPr>
        <w:t>1、本授权书有效期自投标文件递交截止之日起计算不得少于90日历日。</w:t>
      </w:r>
    </w:p>
    <w:p>
      <w:pPr>
        <w:pStyle w:val="21"/>
        <w:spacing w:line="500" w:lineRule="exact"/>
        <w:ind w:firstLine="720" w:firstLineChars="3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2、授权书内容填写要明确，文字要工整清楚，涂改无效。</w:t>
      </w:r>
    </w:p>
    <w:p>
      <w:pPr>
        <w:pStyle w:val="21"/>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highlight w:val="none"/>
        </w:rPr>
        <w:br w:type="page"/>
      </w:r>
      <w:r>
        <w:rPr>
          <w:rFonts w:hint="eastAsia" w:ascii="宋体" w:hAnsi="宋体" w:eastAsia="宋体" w:cs="宋体"/>
          <w:b w:val="0"/>
          <w:bCs w:val="0"/>
          <w:color w:val="auto"/>
          <w:sz w:val="28"/>
          <w:szCs w:val="28"/>
          <w:highlight w:val="none"/>
          <w:shd w:val="clear" w:color="auto" w:fill="FFFFFF"/>
          <w:lang w:val="en-US" w:eastAsia="zh-CN"/>
        </w:rPr>
        <w:t>7</w:t>
      </w:r>
      <w:r>
        <w:rPr>
          <w:rFonts w:hint="eastAsia" w:ascii="宋体" w:hAnsi="宋体" w:eastAsia="宋体" w:cs="宋体"/>
          <w:b w:val="0"/>
          <w:bCs w:val="0"/>
          <w:color w:val="auto"/>
          <w:sz w:val="28"/>
          <w:szCs w:val="28"/>
          <w:highlight w:val="none"/>
          <w:shd w:val="clear" w:color="auto" w:fill="FFFFFF"/>
        </w:rPr>
        <w:t>.具备履行合同所必需的设备和专业技术能力的证明材料(由供应商根据项目需求提供说明材料或者承诺)；</w:t>
      </w:r>
    </w:p>
    <w:p>
      <w:pPr>
        <w:pStyle w:val="21"/>
        <w:spacing w:line="360" w:lineRule="auto"/>
        <w:jc w:val="cente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具备履行合同所必需的设备和专业技术能力的证明材料</w:t>
      </w:r>
    </w:p>
    <w:p>
      <w:pPr>
        <w:pStyle w:val="21"/>
        <w:spacing w:line="360" w:lineRule="auto"/>
        <w:jc w:val="center"/>
        <w:rPr>
          <w:rFonts w:hint="eastAsia" w:ascii="宋体" w:hAnsi="宋体" w:eastAsia="宋体" w:cs="宋体"/>
          <w:b/>
          <w:bCs/>
          <w:color w:val="auto"/>
          <w:szCs w:val="24"/>
          <w:highlight w:val="none"/>
        </w:rPr>
      </w:pPr>
    </w:p>
    <w:p>
      <w:pPr>
        <w:spacing w:line="360" w:lineRule="auto"/>
        <w:rPr>
          <w:rFonts w:hint="eastAsia" w:ascii="宋体" w:hAnsi="宋体" w:eastAsia="宋体" w:cs="宋体"/>
          <w:color w:val="auto"/>
          <w:spacing w:val="4"/>
          <w:highlight w:val="none"/>
        </w:rPr>
      </w:pPr>
      <w:r>
        <w:rPr>
          <w:rFonts w:hint="eastAsia" w:ascii="宋体" w:hAnsi="宋体" w:eastAsia="宋体" w:cs="宋体"/>
          <w:color w:val="auto"/>
          <w:spacing w:val="4"/>
          <w:highlight w:val="none"/>
          <w:u w:val="single"/>
        </w:rPr>
        <w:t xml:space="preserve">               （采购人名称）</w:t>
      </w:r>
      <w:r>
        <w:rPr>
          <w:rFonts w:hint="eastAsia" w:ascii="宋体" w:hAnsi="宋体" w:eastAsia="宋体" w:cs="宋体"/>
          <w:color w:val="auto"/>
          <w:spacing w:val="4"/>
          <w:highlight w:val="none"/>
        </w:rPr>
        <w:t>：</w:t>
      </w:r>
    </w:p>
    <w:p>
      <w:pPr>
        <w:spacing w:line="480" w:lineRule="auto"/>
        <w:ind w:firstLine="496" w:firstLineChars="200"/>
        <w:rPr>
          <w:rFonts w:hint="eastAsia" w:ascii="宋体" w:hAnsi="宋体" w:eastAsia="宋体" w:cs="宋体"/>
          <w:color w:val="auto"/>
          <w:highlight w:val="none"/>
        </w:rPr>
      </w:pPr>
      <w:r>
        <w:rPr>
          <w:rFonts w:hint="eastAsia" w:ascii="宋体" w:hAnsi="宋体" w:eastAsia="宋体" w:cs="宋体"/>
          <w:color w:val="auto"/>
          <w:spacing w:val="4"/>
          <w:highlight w:val="none"/>
          <w:u w:val="single"/>
        </w:rPr>
        <w:t xml:space="preserve">         （供应商名称）</w:t>
      </w:r>
      <w:r>
        <w:rPr>
          <w:rFonts w:hint="eastAsia" w:ascii="宋体" w:hAnsi="宋体" w:eastAsia="宋体" w:cs="宋体"/>
          <w:color w:val="auto"/>
          <w:spacing w:val="4"/>
          <w:highlight w:val="none"/>
        </w:rPr>
        <w:t>于</w:t>
      </w:r>
      <w:r>
        <w:rPr>
          <w:rFonts w:hint="eastAsia" w:ascii="宋体" w:hAnsi="宋体" w:eastAsia="宋体" w:cs="宋体"/>
          <w:color w:val="auto"/>
          <w:spacing w:val="4"/>
          <w:highlight w:val="none"/>
          <w:u w:val="single"/>
        </w:rPr>
        <w:t xml:space="preserve">    </w:t>
      </w:r>
      <w:r>
        <w:rPr>
          <w:rFonts w:hint="eastAsia" w:ascii="宋体" w:hAnsi="宋体" w:eastAsia="宋体" w:cs="宋体"/>
          <w:color w:val="auto"/>
          <w:spacing w:val="4"/>
          <w:highlight w:val="none"/>
        </w:rPr>
        <w:t>年</w:t>
      </w:r>
      <w:r>
        <w:rPr>
          <w:rFonts w:hint="eastAsia" w:ascii="宋体" w:hAnsi="宋体" w:eastAsia="宋体" w:cs="宋体"/>
          <w:color w:val="auto"/>
          <w:spacing w:val="4"/>
          <w:highlight w:val="none"/>
          <w:u w:val="single"/>
        </w:rPr>
        <w:t xml:space="preserve">   </w:t>
      </w:r>
      <w:r>
        <w:rPr>
          <w:rFonts w:hint="eastAsia" w:ascii="宋体" w:hAnsi="宋体" w:eastAsia="宋体" w:cs="宋体"/>
          <w:color w:val="auto"/>
          <w:spacing w:val="4"/>
          <w:highlight w:val="none"/>
        </w:rPr>
        <w:t>月</w:t>
      </w:r>
      <w:r>
        <w:rPr>
          <w:rFonts w:hint="eastAsia" w:ascii="宋体" w:hAnsi="宋体" w:eastAsia="宋体" w:cs="宋体"/>
          <w:color w:val="auto"/>
          <w:spacing w:val="4"/>
          <w:highlight w:val="none"/>
          <w:u w:val="single"/>
        </w:rPr>
        <w:t xml:space="preserve">   </w:t>
      </w:r>
      <w:r>
        <w:rPr>
          <w:rFonts w:hint="eastAsia" w:ascii="宋体" w:hAnsi="宋体" w:eastAsia="宋体" w:cs="宋体"/>
          <w:color w:val="auto"/>
          <w:spacing w:val="4"/>
          <w:highlight w:val="none"/>
        </w:rPr>
        <w:t>日在中华人民共和国境内</w:t>
      </w:r>
      <w:r>
        <w:rPr>
          <w:rFonts w:hint="eastAsia" w:ascii="宋体" w:hAnsi="宋体" w:eastAsia="宋体" w:cs="宋体"/>
          <w:color w:val="auto"/>
          <w:spacing w:val="4"/>
          <w:highlight w:val="none"/>
          <w:u w:val="single"/>
        </w:rPr>
        <w:t xml:space="preserve">    （详细注册地址）</w:t>
      </w:r>
      <w:r>
        <w:rPr>
          <w:rFonts w:hint="eastAsia" w:ascii="宋体" w:hAnsi="宋体" w:eastAsia="宋体" w:cs="宋体"/>
          <w:color w:val="auto"/>
          <w:spacing w:val="4"/>
          <w:highlight w:val="none"/>
        </w:rPr>
        <w:t>合法注册并经营，公司主营业务为</w:t>
      </w:r>
      <w:r>
        <w:rPr>
          <w:rFonts w:hint="eastAsia" w:ascii="宋体" w:hAnsi="宋体" w:eastAsia="宋体" w:cs="宋体"/>
          <w:color w:val="auto"/>
          <w:spacing w:val="4"/>
          <w:highlight w:val="none"/>
          <w:u w:val="single"/>
        </w:rPr>
        <w:t xml:space="preserve">         </w:t>
      </w:r>
      <w:r>
        <w:rPr>
          <w:rFonts w:hint="eastAsia" w:ascii="宋体" w:hAnsi="宋体" w:eastAsia="宋体" w:cs="宋体"/>
          <w:color w:val="auto"/>
          <w:spacing w:val="4"/>
          <w:highlight w:val="none"/>
        </w:rPr>
        <w:t>，营业（生产经营）面积为</w:t>
      </w:r>
      <w:r>
        <w:rPr>
          <w:rFonts w:hint="eastAsia" w:ascii="宋体" w:hAnsi="宋体" w:eastAsia="宋体" w:cs="宋体"/>
          <w:color w:val="auto"/>
          <w:spacing w:val="4"/>
          <w:highlight w:val="none"/>
          <w:u w:val="single"/>
        </w:rPr>
        <w:t xml:space="preserve">        </w:t>
      </w:r>
      <w:r>
        <w:rPr>
          <w:rFonts w:hint="eastAsia" w:ascii="宋体" w:hAnsi="宋体" w:eastAsia="宋体" w:cs="宋体"/>
          <w:color w:val="auto"/>
          <w:spacing w:val="4"/>
          <w:highlight w:val="none"/>
        </w:rPr>
        <w:t>，现有员工数量为</w:t>
      </w:r>
      <w:r>
        <w:rPr>
          <w:rFonts w:hint="eastAsia" w:ascii="宋体" w:hAnsi="宋体" w:eastAsia="宋体" w:cs="宋体"/>
          <w:color w:val="auto"/>
          <w:spacing w:val="4"/>
          <w:highlight w:val="none"/>
          <w:u w:val="single"/>
        </w:rPr>
        <w:t xml:space="preserve">         </w:t>
      </w:r>
      <w:r>
        <w:rPr>
          <w:rFonts w:hint="eastAsia" w:ascii="宋体" w:hAnsi="宋体" w:eastAsia="宋体" w:cs="宋体"/>
          <w:color w:val="auto"/>
          <w:spacing w:val="4"/>
          <w:highlight w:val="none"/>
        </w:rPr>
        <w:t>，</w:t>
      </w:r>
      <w:r>
        <w:rPr>
          <w:rFonts w:hint="eastAsia" w:ascii="宋体" w:hAnsi="宋体" w:eastAsia="宋体" w:cs="宋体"/>
          <w:color w:val="auto"/>
          <w:highlight w:val="none"/>
        </w:rPr>
        <w:t>其中与履行本合同相关的专业技术人员有（</w:t>
      </w:r>
      <w:r>
        <w:rPr>
          <w:rFonts w:hint="eastAsia" w:ascii="宋体" w:hAnsi="宋体" w:eastAsia="宋体" w:cs="宋体"/>
          <w:color w:val="auto"/>
          <w:highlight w:val="none"/>
          <w:u w:val="single"/>
        </w:rPr>
        <w:t xml:space="preserve">    专业能力、数量     </w:t>
      </w:r>
      <w:r>
        <w:rPr>
          <w:rFonts w:hint="eastAsia" w:ascii="宋体" w:hAnsi="宋体" w:eastAsia="宋体" w:cs="宋体"/>
          <w:color w:val="auto"/>
          <w:highlight w:val="none"/>
        </w:rPr>
        <w:t>），本公司郑重承诺，具有履行本合同所必需的设备和专业技术能力。</w:t>
      </w:r>
    </w:p>
    <w:p>
      <w:pPr>
        <w:spacing w:line="480" w:lineRule="auto"/>
        <w:ind w:firstLine="496" w:firstLineChars="200"/>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本公司郑重承诺，具有履行本合同所必需的设备和专业技术能力。</w:t>
      </w:r>
    </w:p>
    <w:p>
      <w:pPr>
        <w:spacing w:line="360" w:lineRule="auto"/>
        <w:rPr>
          <w:rFonts w:hint="eastAsia" w:ascii="宋体" w:hAnsi="宋体" w:eastAsia="宋体" w:cs="宋体"/>
          <w:color w:val="auto"/>
          <w:spacing w:val="4"/>
          <w:highlight w:val="none"/>
        </w:rPr>
      </w:pPr>
    </w:p>
    <w:p>
      <w:pPr>
        <w:spacing w:line="360" w:lineRule="auto"/>
        <w:ind w:firstLine="3600" w:firstLineChars="1500"/>
        <w:jc w:val="both"/>
        <w:rPr>
          <w:rFonts w:hint="eastAsia" w:ascii="宋体" w:hAnsi="宋体" w:eastAsia="宋体" w:cs="宋体"/>
          <w:color w:val="auto"/>
          <w:highlight w:val="none"/>
        </w:rPr>
      </w:pPr>
      <w:r>
        <w:rPr>
          <w:rFonts w:hint="eastAsia" w:ascii="宋体" w:hAnsi="宋体" w:eastAsia="宋体" w:cs="宋体"/>
          <w:color w:val="auto"/>
          <w:highlight w:val="none"/>
        </w:rPr>
        <w:t>供应商名称：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pPr>
        <w:spacing w:line="360" w:lineRule="auto"/>
        <w:jc w:val="right"/>
        <w:rPr>
          <w:rFonts w:hint="eastAsia" w:ascii="宋体" w:hAnsi="宋体" w:eastAsia="宋体" w:cs="宋体"/>
          <w:color w:val="auto"/>
          <w:highlight w:val="none"/>
        </w:rPr>
      </w:pPr>
      <w:r>
        <w:rPr>
          <w:rFonts w:hint="eastAsia" w:ascii="宋体" w:hAnsi="宋体" w:eastAsia="宋体" w:cs="宋体"/>
          <w:color w:val="auto"/>
          <w:highlight w:val="none"/>
        </w:rPr>
        <w:t>法定代表人或委托代理人：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(签字或盖章)</w:t>
      </w:r>
    </w:p>
    <w:p>
      <w:pPr>
        <w:spacing w:line="360" w:lineRule="auto"/>
        <w:ind w:firstLine="3600" w:firstLineChars="1500"/>
        <w:jc w:val="both"/>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Style w:val="21"/>
        <w:spacing w:line="288" w:lineRule="auto"/>
        <w:rPr>
          <w:rFonts w:hint="eastAsia" w:ascii="宋体" w:hAnsi="宋体" w:eastAsia="宋体" w:cs="宋体"/>
          <w:color w:val="auto"/>
          <w:szCs w:val="24"/>
          <w:highlight w:val="none"/>
        </w:rPr>
      </w:pPr>
    </w:p>
    <w:p>
      <w:pPr>
        <w:pStyle w:val="21"/>
        <w:spacing w:line="288"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如有其它证明材料，可后附</w:t>
      </w:r>
    </w:p>
    <w:p>
      <w:pPr>
        <w:rPr>
          <w:rFonts w:hint="eastAsia" w:ascii="宋体" w:hAnsi="宋体" w:eastAsia="宋体" w:cs="宋体"/>
          <w:b w:val="0"/>
          <w:bCs w:val="0"/>
          <w:color w:val="auto"/>
          <w:sz w:val="28"/>
          <w:szCs w:val="28"/>
          <w:highlight w:val="none"/>
          <w:shd w:val="clear" w:color="auto" w:fill="FFFFFF"/>
        </w:rPr>
      </w:pPr>
      <w:r>
        <w:rPr>
          <w:rFonts w:hint="eastAsia" w:ascii="宋体" w:hAnsi="宋体" w:eastAsia="宋体" w:cs="宋体"/>
          <w:b/>
          <w:bCs/>
          <w:color w:val="auto"/>
          <w:highlight w:val="none"/>
        </w:rPr>
        <w:br w:type="page"/>
      </w:r>
      <w:r>
        <w:rPr>
          <w:rFonts w:hint="eastAsia" w:ascii="宋体" w:hAnsi="宋体" w:eastAsia="宋体" w:cs="宋体"/>
          <w:b w:val="0"/>
          <w:bCs w:val="0"/>
          <w:color w:val="auto"/>
          <w:sz w:val="28"/>
          <w:szCs w:val="28"/>
          <w:highlight w:val="none"/>
          <w:shd w:val="clear" w:color="auto" w:fill="FFFFFF"/>
        </w:rPr>
        <w:t>8.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p>
      <w:pPr>
        <w:pStyle w:val="21"/>
        <w:spacing w:line="288" w:lineRule="auto"/>
        <w:rPr>
          <w:rFonts w:hint="eastAsia" w:ascii="宋体" w:hAnsi="宋体" w:eastAsia="宋体" w:cs="宋体"/>
          <w:b w:val="0"/>
          <w:bCs w:val="0"/>
          <w:color w:val="auto"/>
          <w:sz w:val="28"/>
          <w:szCs w:val="28"/>
          <w:highlight w:val="none"/>
          <w:shd w:val="clear" w:color="auto" w:fill="FFFFFF"/>
        </w:rPr>
      </w:pPr>
      <w:r>
        <w:rPr>
          <w:rFonts w:hint="eastAsia" w:ascii="宋体" w:hAnsi="宋体" w:eastAsia="宋体" w:cs="宋体"/>
          <w:b w:val="0"/>
          <w:bCs w:val="0"/>
          <w:color w:val="auto"/>
          <w:sz w:val="28"/>
          <w:szCs w:val="28"/>
          <w:highlight w:val="none"/>
          <w:shd w:val="clear" w:color="auto" w:fill="FFFFFF"/>
        </w:rPr>
        <w:t>（以投标当</w:t>
      </w:r>
      <w:r>
        <w:rPr>
          <w:rFonts w:hint="eastAsia" w:ascii="宋体" w:hAnsi="宋体" w:eastAsia="宋体" w:cs="宋体"/>
          <w:b w:val="0"/>
          <w:bCs w:val="0"/>
          <w:color w:val="auto"/>
          <w:sz w:val="28"/>
          <w:szCs w:val="28"/>
          <w:highlight w:val="none"/>
          <w:shd w:val="clear" w:color="auto" w:fill="FFFFFF"/>
          <w:lang w:eastAsia="zh-CN"/>
        </w:rPr>
        <w:t>天采购人或</w:t>
      </w:r>
      <w:r>
        <w:rPr>
          <w:rFonts w:hint="eastAsia" w:ascii="宋体" w:hAnsi="宋体" w:eastAsia="宋体" w:cs="宋体"/>
          <w:b w:val="0"/>
          <w:bCs w:val="0"/>
          <w:color w:val="auto"/>
          <w:sz w:val="28"/>
          <w:szCs w:val="28"/>
          <w:highlight w:val="none"/>
          <w:shd w:val="clear" w:color="auto" w:fill="FFFFFF"/>
        </w:rPr>
        <w:t>代理公司核查为准，供应商无需提供）</w:t>
      </w:r>
    </w:p>
    <w:p>
      <w:pPr>
        <w:pStyle w:val="21"/>
        <w:spacing w:line="288"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shd w:val="clear" w:color="auto" w:fill="FFFFFF"/>
        </w:rPr>
        <w:br w:type="page"/>
      </w:r>
      <w:r>
        <w:rPr>
          <w:rFonts w:hint="eastAsia" w:ascii="宋体" w:hAnsi="宋体" w:eastAsia="宋体" w:cs="宋体"/>
          <w:b w:val="0"/>
          <w:bCs w:val="0"/>
          <w:color w:val="auto"/>
          <w:sz w:val="28"/>
          <w:szCs w:val="28"/>
          <w:highlight w:val="none"/>
          <w:shd w:val="clear" w:color="auto" w:fill="FFFFFF"/>
          <w:lang w:val="en-US" w:eastAsia="zh-CN"/>
        </w:rPr>
        <w:t>9.</w:t>
      </w:r>
      <w:r>
        <w:rPr>
          <w:rFonts w:hint="eastAsia" w:ascii="宋体" w:hAnsi="宋体" w:eastAsia="宋体" w:cs="宋体"/>
          <w:b w:val="0"/>
          <w:bCs w:val="0"/>
          <w:color w:val="auto"/>
          <w:sz w:val="28"/>
          <w:szCs w:val="28"/>
          <w:highlight w:val="none"/>
          <w:shd w:val="clear" w:color="auto" w:fill="FFFFFF"/>
        </w:rPr>
        <w:t>单位负责人为同一人或者存在直接控股、管理关系的不同投标人，不得参加同一合同项下的投标活动。</w:t>
      </w:r>
    </w:p>
    <w:p>
      <w:pPr>
        <w:rPr>
          <w:rFonts w:hint="eastAsia" w:ascii="宋体" w:hAnsi="宋体" w:eastAsia="宋体" w:cs="宋体"/>
          <w:color w:val="auto"/>
          <w:highlight w:val="none"/>
        </w:rPr>
      </w:pPr>
    </w:p>
    <w:p>
      <w:pPr>
        <w:jc w:val="center"/>
        <w:rPr>
          <w:rFonts w:hint="eastAsia" w:ascii="宋体" w:hAnsi="宋体" w:eastAsia="宋体" w:cs="宋体"/>
          <w:b/>
          <w:bCs/>
          <w:color w:val="auto"/>
          <w:szCs w:val="32"/>
          <w:highlight w:val="none"/>
        </w:rPr>
      </w:pPr>
      <w:r>
        <w:rPr>
          <w:rFonts w:hint="eastAsia" w:ascii="宋体" w:hAnsi="宋体" w:eastAsia="宋体" w:cs="宋体"/>
          <w:b/>
          <w:bCs/>
          <w:color w:val="auto"/>
          <w:szCs w:val="32"/>
          <w:highlight w:val="none"/>
        </w:rPr>
        <w:t>供应商关联关系</w:t>
      </w:r>
    </w:p>
    <w:p>
      <w:pPr>
        <w:spacing w:line="500" w:lineRule="exact"/>
        <w:ind w:firstLine="4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w:t>
      </w:r>
      <w:r>
        <w:rPr>
          <w:rFonts w:hint="eastAsia" w:ascii="宋体" w:hAnsi="宋体" w:eastAsia="宋体" w:cs="宋体"/>
          <w:bCs/>
          <w:color w:val="auto"/>
          <w:highlight w:val="none"/>
        </w:rPr>
        <w:t>供应商</w:t>
      </w:r>
      <w:r>
        <w:rPr>
          <w:rFonts w:hint="eastAsia" w:ascii="宋体" w:hAnsi="宋体" w:eastAsia="宋体" w:cs="宋体"/>
          <w:color w:val="auto"/>
          <w:highlight w:val="none"/>
        </w:rPr>
        <w:t>单位负责人在其他单位任职情况：</w:t>
      </w:r>
      <w:r>
        <w:rPr>
          <w:rFonts w:hint="eastAsia" w:ascii="宋体" w:hAnsi="宋体" w:eastAsia="宋体" w:cs="宋体"/>
          <w:color w:val="auto"/>
          <w:highlight w:val="none"/>
          <w:u w:val="single"/>
        </w:rPr>
        <w:t xml:space="preserve">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2、供应商控股关系说明</w:t>
      </w:r>
    </w:p>
    <w:p>
      <w:pPr>
        <w:spacing w:line="500" w:lineRule="exact"/>
        <w:ind w:firstLine="4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（1）供应商下属控股单位：</w:t>
      </w:r>
      <w:r>
        <w:rPr>
          <w:rFonts w:hint="eastAsia" w:ascii="宋体" w:hAnsi="宋体" w:eastAsia="宋体" w:cs="宋体"/>
          <w:color w:val="auto"/>
          <w:highlight w:val="none"/>
          <w:u w:val="single"/>
        </w:rPr>
        <w:t xml:space="preserve">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（2）供应商上属被控股单位：</w:t>
      </w:r>
      <w:r>
        <w:rPr>
          <w:rFonts w:hint="eastAsia" w:ascii="宋体" w:hAnsi="宋体" w:eastAsia="宋体" w:cs="宋体"/>
          <w:color w:val="auto"/>
          <w:highlight w:val="none"/>
          <w:u w:val="single"/>
        </w:rPr>
        <w:t xml:space="preserve">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bCs/>
          <w:color w:val="auto"/>
          <w:highlight w:val="none"/>
        </w:rPr>
        <w:t>供应商</w:t>
      </w:r>
      <w:r>
        <w:rPr>
          <w:rFonts w:hint="eastAsia" w:ascii="宋体" w:hAnsi="宋体" w:eastAsia="宋体" w:cs="宋体"/>
          <w:color w:val="auto"/>
          <w:highlight w:val="none"/>
        </w:rPr>
        <w:t>管理关系说明</w:t>
      </w:r>
    </w:p>
    <w:p>
      <w:pPr>
        <w:spacing w:line="500" w:lineRule="exact"/>
        <w:ind w:firstLine="4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w:t>
      </w:r>
      <w:r>
        <w:rPr>
          <w:rFonts w:hint="eastAsia" w:ascii="宋体" w:hAnsi="宋体" w:eastAsia="宋体" w:cs="宋体"/>
          <w:bCs/>
          <w:color w:val="auto"/>
          <w:highlight w:val="none"/>
        </w:rPr>
        <w:t>供应商</w:t>
      </w:r>
      <w:r>
        <w:rPr>
          <w:rFonts w:hint="eastAsia" w:ascii="宋体" w:hAnsi="宋体" w:eastAsia="宋体" w:cs="宋体"/>
          <w:color w:val="auto"/>
          <w:highlight w:val="none"/>
        </w:rPr>
        <w:t>下属管理单位：</w:t>
      </w:r>
      <w:r>
        <w:rPr>
          <w:rFonts w:hint="eastAsia" w:ascii="宋体" w:hAnsi="宋体" w:eastAsia="宋体" w:cs="宋体"/>
          <w:color w:val="auto"/>
          <w:highlight w:val="none"/>
          <w:u w:val="single"/>
        </w:rPr>
        <w:t xml:space="preserve">                    </w:t>
      </w:r>
    </w:p>
    <w:p>
      <w:pPr>
        <w:spacing w:line="500" w:lineRule="exact"/>
        <w:ind w:firstLine="1080" w:firstLineChars="450"/>
        <w:rPr>
          <w:rFonts w:hint="eastAsia" w:ascii="宋体" w:hAnsi="宋体" w:eastAsia="宋体" w:cs="宋体"/>
          <w:color w:val="auto"/>
          <w:highlight w:val="none"/>
          <w:u w:val="single"/>
        </w:rPr>
      </w:pPr>
      <w:r>
        <w:rPr>
          <w:rFonts w:hint="eastAsia" w:ascii="宋体" w:hAnsi="宋体" w:eastAsia="宋体" w:cs="宋体"/>
          <w:color w:val="auto"/>
          <w:highlight w:val="none"/>
        </w:rPr>
        <w:t>管理职责（行政、人事等）：</w:t>
      </w:r>
      <w:r>
        <w:rPr>
          <w:rFonts w:hint="eastAsia" w:ascii="宋体" w:hAnsi="宋体" w:eastAsia="宋体" w:cs="宋体"/>
          <w:color w:val="auto"/>
          <w:highlight w:val="none"/>
          <w:u w:val="single"/>
        </w:rPr>
        <w:t xml:space="preserve">              </w:t>
      </w:r>
    </w:p>
    <w:p>
      <w:pPr>
        <w:spacing w:line="500" w:lineRule="exact"/>
        <w:ind w:firstLine="4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（2）</w:t>
      </w:r>
      <w:r>
        <w:rPr>
          <w:rFonts w:hint="eastAsia" w:ascii="宋体" w:hAnsi="宋体" w:eastAsia="宋体" w:cs="宋体"/>
          <w:bCs/>
          <w:color w:val="auto"/>
          <w:highlight w:val="none"/>
        </w:rPr>
        <w:t>供应商</w:t>
      </w:r>
      <w:r>
        <w:rPr>
          <w:rFonts w:hint="eastAsia" w:ascii="宋体" w:hAnsi="宋体" w:eastAsia="宋体" w:cs="宋体"/>
          <w:color w:val="auto"/>
          <w:highlight w:val="none"/>
        </w:rPr>
        <w:t>上属被管理单位：</w:t>
      </w:r>
      <w:r>
        <w:rPr>
          <w:rFonts w:hint="eastAsia" w:ascii="宋体" w:hAnsi="宋体" w:eastAsia="宋体" w:cs="宋体"/>
          <w:color w:val="auto"/>
          <w:highlight w:val="none"/>
          <w:u w:val="single"/>
        </w:rPr>
        <w:t xml:space="preserve">                  </w:t>
      </w:r>
    </w:p>
    <w:p>
      <w:pPr>
        <w:spacing w:line="500" w:lineRule="exact"/>
        <w:ind w:firstLine="1080" w:firstLineChars="450"/>
        <w:rPr>
          <w:rFonts w:hint="eastAsia" w:ascii="宋体" w:hAnsi="宋体" w:eastAsia="宋体" w:cs="宋体"/>
          <w:color w:val="auto"/>
          <w:highlight w:val="none"/>
          <w:u w:val="single"/>
        </w:rPr>
      </w:pPr>
      <w:r>
        <w:rPr>
          <w:rFonts w:hint="eastAsia" w:ascii="宋体" w:hAnsi="宋体" w:eastAsia="宋体" w:cs="宋体"/>
          <w:color w:val="auto"/>
          <w:highlight w:val="none"/>
        </w:rPr>
        <w:t>管理职责（行政、人事等）：</w:t>
      </w:r>
      <w:r>
        <w:rPr>
          <w:rFonts w:hint="eastAsia" w:ascii="宋体" w:hAnsi="宋体" w:eastAsia="宋体" w:cs="宋体"/>
          <w:color w:val="auto"/>
          <w:highlight w:val="none"/>
          <w:u w:val="single"/>
        </w:rPr>
        <w:t xml:space="preserve">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4、供应商在本项目投标中，不存在与其它供应商负责人为同一人，有控股、管理等关联关系情况。</w:t>
      </w:r>
    </w:p>
    <w:p>
      <w:pPr>
        <w:pStyle w:val="24"/>
        <w:widowControl w:val="0"/>
        <w:ind w:firstLine="480" w:firstLineChars="200"/>
        <w:rPr>
          <w:rFonts w:hint="eastAsia" w:ascii="宋体" w:hAnsi="宋体" w:eastAsia="宋体" w:cs="宋体"/>
          <w:color w:val="auto"/>
          <w:sz w:val="24"/>
          <w:szCs w:val="24"/>
          <w:highlight w:val="none"/>
        </w:rPr>
      </w:pPr>
    </w:p>
    <w:p>
      <w:pPr>
        <w:pStyle w:val="24"/>
        <w:widowControl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pPr>
        <w:pStyle w:val="24"/>
        <w:rPr>
          <w:rFonts w:hint="eastAsia" w:ascii="宋体" w:hAnsi="宋体" w:eastAsia="宋体" w:cs="宋体"/>
          <w:color w:val="auto"/>
          <w:highlight w:val="none"/>
        </w:rPr>
      </w:pPr>
    </w:p>
    <w:p>
      <w:pPr>
        <w:pStyle w:val="24"/>
        <w:rPr>
          <w:rFonts w:hint="eastAsia" w:ascii="宋体" w:hAnsi="宋体" w:eastAsia="宋体" w:cs="宋体"/>
          <w:color w:val="auto"/>
          <w:highlight w:val="none"/>
        </w:rPr>
      </w:pPr>
    </w:p>
    <w:p>
      <w:pPr>
        <w:spacing w:line="360" w:lineRule="auto"/>
        <w:jc w:val="center"/>
        <w:rPr>
          <w:rFonts w:hint="eastAsia" w:ascii="宋体" w:hAnsi="宋体" w:eastAsia="宋体" w:cs="宋体"/>
          <w:color w:val="auto"/>
          <w:highlight w:val="none"/>
        </w:rPr>
      </w:pP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供应商名称：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pPr>
        <w:spacing w:line="360" w:lineRule="auto"/>
        <w:jc w:val="right"/>
        <w:rPr>
          <w:rFonts w:hint="eastAsia" w:ascii="宋体" w:hAnsi="宋体" w:eastAsia="宋体" w:cs="宋体"/>
          <w:color w:val="auto"/>
          <w:highlight w:val="none"/>
        </w:rPr>
      </w:pPr>
      <w:r>
        <w:rPr>
          <w:rFonts w:hint="eastAsia" w:ascii="宋体" w:hAnsi="宋体" w:eastAsia="宋体" w:cs="宋体"/>
          <w:color w:val="auto"/>
          <w:highlight w:val="none"/>
        </w:rPr>
        <w:t>法定代表人或委托代理人：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(签字或盖章)</w:t>
      </w:r>
    </w:p>
    <w:p>
      <w:pPr>
        <w:spacing w:line="360" w:lineRule="auto"/>
        <w:ind w:firstLine="4080" w:firstLineChars="1700"/>
        <w:jc w:val="both"/>
        <w:rPr>
          <w:rFonts w:hint="eastAsia" w:ascii="宋体" w:hAnsi="宋体" w:eastAsia="宋体" w:cs="宋体"/>
          <w:color w:val="auto"/>
          <w:highlight w:val="non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pStyle w:val="16"/>
        <w:rPr>
          <w:rFonts w:hint="eastAsia" w:ascii="宋体" w:hAnsi="宋体" w:eastAsia="宋体" w:cs="宋体"/>
          <w:b/>
          <w:bCs/>
          <w:color w:val="auto"/>
          <w:highlight w:val="none"/>
        </w:rPr>
      </w:pPr>
      <w:r>
        <w:rPr>
          <w:rFonts w:hint="eastAsia" w:ascii="宋体" w:hAnsi="宋体" w:eastAsia="宋体" w:cs="宋体"/>
          <w:b/>
          <w:bCs/>
          <w:color w:val="auto"/>
          <w:highlight w:val="none"/>
        </w:rPr>
        <w:t>注：请如实填写，若未如实填写则视为虚假材料应标，造成的后果由供应商自行承担。</w:t>
      </w:r>
    </w:p>
    <w:p>
      <w:pPr>
        <w:rPr>
          <w:rFonts w:hint="eastAsia"/>
          <w:color w:val="auto"/>
          <w:highlight w:val="none"/>
        </w:rPr>
        <w:sectPr>
          <w:pgSz w:w="11906" w:h="16838"/>
          <w:pgMar w:top="1440" w:right="1083" w:bottom="1440" w:left="1519" w:header="851" w:footer="992" w:gutter="0"/>
          <w:pgNumType w:fmt="decimal"/>
          <w:cols w:space="425" w:num="1"/>
          <w:docGrid w:type="linesAndChars" w:linePitch="420" w:charSpace="0"/>
        </w:sectPr>
      </w:pPr>
    </w:p>
    <w:p>
      <w:pPr>
        <w:pStyle w:val="29"/>
        <w:spacing w:before="0" w:beforeAutospacing="0" w:after="0" w:afterAutospacing="0" w:line="360" w:lineRule="auto"/>
        <w:rPr>
          <w:rFonts w:hint="eastAsia" w:cs="宋体"/>
          <w:b w:val="0"/>
          <w:bCs w:val="0"/>
          <w:color w:val="auto"/>
          <w:sz w:val="28"/>
          <w:szCs w:val="28"/>
          <w:highlight w:val="none"/>
          <w:shd w:val="clear" w:color="auto" w:fill="FFFFFF"/>
          <w:lang w:val="en-US" w:eastAsia="zh-CN"/>
        </w:rPr>
      </w:pPr>
      <w:r>
        <w:rPr>
          <w:rFonts w:hint="eastAsia" w:ascii="宋体" w:hAnsi="宋体" w:eastAsia="宋体" w:cs="宋体"/>
          <w:b w:val="0"/>
          <w:bCs w:val="0"/>
          <w:color w:val="auto"/>
          <w:sz w:val="28"/>
          <w:szCs w:val="28"/>
          <w:highlight w:val="none"/>
          <w:shd w:val="clear" w:color="auto" w:fill="FFFFFF"/>
        </w:rPr>
        <w:t>10.</w:t>
      </w:r>
      <w:r>
        <w:rPr>
          <w:rFonts w:hint="eastAsia" w:cs="宋体"/>
          <w:b w:val="0"/>
          <w:bCs w:val="0"/>
          <w:color w:val="auto"/>
          <w:sz w:val="28"/>
          <w:szCs w:val="28"/>
          <w:highlight w:val="none"/>
          <w:shd w:val="clear" w:color="auto" w:fill="FFFFFF"/>
          <w:lang w:val="en-US" w:eastAsia="zh-CN"/>
        </w:rPr>
        <w:t>本项目专门面向中小企业</w:t>
      </w:r>
    </w:p>
    <w:p>
      <w:pPr>
        <w:pStyle w:val="29"/>
        <w:spacing w:before="0" w:beforeAutospacing="0" w:after="0" w:afterAutospacing="0" w:line="360" w:lineRule="auto"/>
        <w:rPr>
          <w:rFonts w:hint="eastAsia" w:ascii="宋体" w:hAnsi="宋体" w:eastAsia="宋体" w:cs="宋体"/>
          <w:b w:val="0"/>
          <w:bCs w:val="0"/>
          <w:color w:val="auto"/>
          <w:sz w:val="28"/>
          <w:szCs w:val="28"/>
          <w:highlight w:val="none"/>
          <w:shd w:val="clear" w:color="auto" w:fill="FFFFFF"/>
          <w:lang w:eastAsia="zh-CN"/>
        </w:rPr>
      </w:pPr>
      <w:r>
        <w:rPr>
          <w:rFonts w:hint="eastAsia" w:cs="宋体"/>
          <w:b/>
          <w:bCs/>
          <w:color w:val="auto"/>
          <w:sz w:val="28"/>
          <w:szCs w:val="28"/>
          <w:highlight w:val="none"/>
          <w:shd w:val="clear" w:color="auto" w:fill="FFFFFF"/>
          <w:lang w:val="en-US" w:eastAsia="zh-CN"/>
        </w:rPr>
        <w:t>（货物：所投产品的制造商或生产厂家须为中型或小型或微型；监狱企业及残疾人福利性单位视为小微型企业）</w:t>
      </w:r>
      <w:r>
        <w:rPr>
          <w:rFonts w:hint="eastAsia" w:ascii="宋体" w:hAnsi="宋体" w:eastAsia="宋体" w:cs="宋体"/>
          <w:b w:val="0"/>
          <w:bCs w:val="0"/>
          <w:color w:val="auto"/>
          <w:sz w:val="28"/>
          <w:szCs w:val="28"/>
          <w:highlight w:val="none"/>
          <w:shd w:val="clear" w:color="auto" w:fill="FFFFFF"/>
          <w:lang w:val="en-US" w:eastAsia="zh-CN"/>
        </w:rPr>
        <w:t>。</w:t>
      </w:r>
    </w:p>
    <w:p>
      <w:pPr>
        <w:snapToGrid w:val="0"/>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附件1</w:t>
      </w:r>
    </w:p>
    <w:p>
      <w:pPr>
        <w:snapToGrid w:val="0"/>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中小企业声明函（格式）</w:t>
      </w:r>
    </w:p>
    <w:p>
      <w:pPr>
        <w:widowControl w:val="0"/>
        <w:snapToGrid w:val="0"/>
        <w:spacing w:line="480" w:lineRule="auto"/>
        <w:ind w:firstLine="480" w:firstLineChars="20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中小企业声明函（货物）</w:t>
      </w:r>
    </w:p>
    <w:p>
      <w:pPr>
        <w:widowControl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本公司郑重声明，根据《政府采购促进中小企业发展管理办法》（财库﹝2020﹞46 号）的规定，本公司参加（单位名称）的（项目名称）采购活动，提供的货物全部由符合政策要求的中小企业制造。相关企业的具体情况如下：</w:t>
      </w:r>
    </w:p>
    <w:p>
      <w:pPr>
        <w:widowControl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u w:val="single"/>
          <w:lang w:val="en-US" w:eastAsia="zh-CN"/>
        </w:rPr>
        <w:t>档案管理子系统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，属 于</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软件和信息技术服务业</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行业；制造商为</w:t>
      </w:r>
      <w:r>
        <w:rPr>
          <w:rFonts w:hint="eastAsia" w:ascii="宋体" w:hAnsi="宋体" w:eastAsia="宋体" w:cs="宋体"/>
          <w:color w:val="auto"/>
          <w:highlight w:val="none"/>
          <w:u w:val="single"/>
        </w:rPr>
        <w:t>（企业名称）</w:t>
      </w:r>
      <w:r>
        <w:rPr>
          <w:rFonts w:hint="eastAsia" w:ascii="宋体" w:hAnsi="宋体" w:eastAsia="宋体" w:cs="宋体"/>
          <w:color w:val="auto"/>
          <w:highlight w:val="none"/>
        </w:rPr>
        <w:t>，从业人员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人，营业收入为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万元，资产总额为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万元，属于</w:t>
      </w:r>
      <w:r>
        <w:rPr>
          <w:rFonts w:hint="eastAsia" w:ascii="宋体" w:hAnsi="宋体" w:eastAsia="宋体" w:cs="宋体"/>
          <w:color w:val="auto"/>
          <w:highlight w:val="none"/>
          <w:u w:val="single"/>
        </w:rPr>
        <w:t>（中型企业、小型企业、微型企业）</w:t>
      </w:r>
      <w:r>
        <w:rPr>
          <w:rFonts w:hint="eastAsia" w:ascii="宋体" w:hAnsi="宋体" w:eastAsia="宋体" w:cs="宋体"/>
          <w:color w:val="auto"/>
          <w:highlight w:val="none"/>
        </w:rPr>
        <w:t>；</w:t>
      </w:r>
    </w:p>
    <w:p>
      <w:pPr>
        <w:widowControl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u w:val="single"/>
          <w:lang w:val="en-US" w:eastAsia="zh-CN"/>
        </w:rPr>
        <w:t>考古业务管理子系统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，属 于</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软件和信息技术服务业</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行业；制造商为</w:t>
      </w:r>
      <w:r>
        <w:rPr>
          <w:rFonts w:hint="eastAsia" w:ascii="宋体" w:hAnsi="宋体" w:eastAsia="宋体" w:cs="宋体"/>
          <w:color w:val="auto"/>
          <w:highlight w:val="none"/>
          <w:u w:val="single"/>
        </w:rPr>
        <w:t>（企业名称）</w:t>
      </w:r>
      <w:r>
        <w:rPr>
          <w:rFonts w:hint="eastAsia" w:ascii="宋体" w:hAnsi="宋体" w:eastAsia="宋体" w:cs="宋体"/>
          <w:color w:val="auto"/>
          <w:highlight w:val="none"/>
        </w:rPr>
        <w:t>，从业人员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人，营业收入为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万元，资产总额为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万元，属于</w:t>
      </w:r>
      <w:r>
        <w:rPr>
          <w:rFonts w:hint="eastAsia" w:ascii="宋体" w:hAnsi="宋体" w:eastAsia="宋体" w:cs="宋体"/>
          <w:color w:val="auto"/>
          <w:highlight w:val="none"/>
          <w:u w:val="single"/>
        </w:rPr>
        <w:t>（中型企业、小型企业、微型企业）</w:t>
      </w:r>
      <w:r>
        <w:rPr>
          <w:rFonts w:hint="eastAsia" w:ascii="宋体" w:hAnsi="宋体" w:eastAsia="宋体" w:cs="宋体"/>
          <w:color w:val="auto"/>
          <w:highlight w:val="none"/>
        </w:rPr>
        <w:t>；</w:t>
      </w:r>
    </w:p>
    <w:p>
      <w:pPr>
        <w:widowControl w:val="0"/>
        <w:snapToGrid w:val="0"/>
        <w:spacing w:line="360" w:lineRule="auto"/>
        <w:ind w:firstLine="48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人事考勤子系统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，属 于</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软件和信息技术服务业</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行业；制造商为</w:t>
      </w:r>
      <w:r>
        <w:rPr>
          <w:rFonts w:hint="eastAsia" w:ascii="宋体" w:hAnsi="宋体" w:eastAsia="宋体" w:cs="宋体"/>
          <w:color w:val="auto"/>
          <w:highlight w:val="none"/>
          <w:u w:val="single"/>
        </w:rPr>
        <w:t>（企业名称）</w:t>
      </w:r>
      <w:r>
        <w:rPr>
          <w:rFonts w:hint="eastAsia" w:ascii="宋体" w:hAnsi="宋体" w:eastAsia="宋体" w:cs="宋体"/>
          <w:color w:val="auto"/>
          <w:highlight w:val="none"/>
        </w:rPr>
        <w:t>，从业人员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人，营业收入为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万元，资产总额为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万元，属于</w:t>
      </w:r>
      <w:r>
        <w:rPr>
          <w:rFonts w:hint="eastAsia" w:ascii="宋体" w:hAnsi="宋体" w:eastAsia="宋体" w:cs="宋体"/>
          <w:color w:val="auto"/>
          <w:highlight w:val="none"/>
          <w:u w:val="single"/>
        </w:rPr>
        <w:t>（中型企业、小型企业、微型企业）</w:t>
      </w:r>
      <w:r>
        <w:rPr>
          <w:rFonts w:hint="eastAsia" w:ascii="宋体" w:hAnsi="宋体" w:eastAsia="宋体" w:cs="宋体"/>
          <w:color w:val="auto"/>
          <w:highlight w:val="none"/>
        </w:rPr>
        <w:t>；</w:t>
      </w:r>
    </w:p>
    <w:p>
      <w:pPr>
        <w:widowControl w:val="0"/>
        <w:snapToGrid w:val="0"/>
        <w:spacing w:line="360" w:lineRule="auto"/>
        <w:ind w:firstLine="48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考勤打卡机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，属 于</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软件和信息技术服务业</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行业；制造商为</w:t>
      </w:r>
      <w:r>
        <w:rPr>
          <w:rFonts w:hint="eastAsia" w:ascii="宋体" w:hAnsi="宋体" w:eastAsia="宋体" w:cs="宋体"/>
          <w:color w:val="auto"/>
          <w:highlight w:val="none"/>
          <w:u w:val="single"/>
        </w:rPr>
        <w:t>（企业名称）</w:t>
      </w:r>
      <w:r>
        <w:rPr>
          <w:rFonts w:hint="eastAsia" w:ascii="宋体" w:hAnsi="宋体" w:eastAsia="宋体" w:cs="宋体"/>
          <w:color w:val="auto"/>
          <w:highlight w:val="none"/>
        </w:rPr>
        <w:t>，从业人员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人，营业收入为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万元，资产总额为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万元，属于</w:t>
      </w:r>
      <w:r>
        <w:rPr>
          <w:rFonts w:hint="eastAsia" w:ascii="宋体" w:hAnsi="宋体" w:eastAsia="宋体" w:cs="宋体"/>
          <w:color w:val="auto"/>
          <w:highlight w:val="none"/>
          <w:u w:val="single"/>
        </w:rPr>
        <w:t>（中型企业、小型企业、微型企业）</w:t>
      </w:r>
      <w:r>
        <w:rPr>
          <w:rFonts w:hint="eastAsia" w:ascii="宋体" w:hAnsi="宋体" w:eastAsia="宋体" w:cs="宋体"/>
          <w:color w:val="auto"/>
          <w:highlight w:val="none"/>
        </w:rPr>
        <w:t>；</w:t>
      </w:r>
    </w:p>
    <w:p>
      <w:pPr>
        <w:pStyle w:val="2"/>
        <w:rPr>
          <w:rFonts w:hint="eastAsia"/>
          <w:color w:val="auto"/>
          <w:highlight w:val="none"/>
        </w:rPr>
      </w:pPr>
    </w:p>
    <w:p>
      <w:pPr>
        <w:spacing w:line="288"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w:t>
      </w:r>
    </w:p>
    <w:p>
      <w:pPr>
        <w:spacing w:line="288"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以上企业，不属于大企业的分支机构，不存在控股股东为大企业的情形，也不存在与大企业的负责人为同一人的情形。本企业对上述声明内容的真实性负责。如有虚假，将依法承担相应责任。</w:t>
      </w:r>
    </w:p>
    <w:p>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2.从业人员、营业收入、资产总额填报上一年度数据；无上一年度数据的新成立企业可不填报相关数据，参照国务院批准的中小企业划分标准，根据企业自身情况如实判断。   </w:t>
      </w:r>
    </w:p>
    <w:p>
      <w:pPr>
        <w:spacing w:line="312" w:lineRule="auto"/>
        <w:jc w:val="both"/>
        <w:rPr>
          <w:rFonts w:hint="eastAsia" w:ascii="宋体" w:hAnsi="宋体" w:eastAsia="宋体" w:cs="宋体"/>
          <w:color w:val="auto"/>
          <w:highlight w:val="none"/>
        </w:rPr>
      </w:pPr>
      <w:r>
        <w:rPr>
          <w:rFonts w:hint="eastAsia" w:ascii="宋体" w:hAnsi="宋体" w:eastAsia="宋体" w:cs="宋体"/>
          <w:color w:val="auto"/>
          <w:highlight w:val="none"/>
        </w:rPr>
        <w:t>3.《 中小企业声明函》 随成交结果同时公开。</w:t>
      </w:r>
    </w:p>
    <w:p>
      <w:pPr>
        <w:spacing w:line="312" w:lineRule="auto"/>
        <w:jc w:val="both"/>
        <w:rPr>
          <w:rFonts w:hint="eastAsia" w:ascii="宋体" w:hAnsi="宋体" w:eastAsia="宋体" w:cs="宋体"/>
          <w:color w:val="auto"/>
          <w:highlight w:val="none"/>
        </w:rPr>
      </w:pPr>
      <w:r>
        <w:rPr>
          <w:rFonts w:hint="eastAsia" w:ascii="宋体" w:hAnsi="宋体" w:eastAsia="宋体" w:cs="宋体"/>
          <w:color w:val="auto"/>
          <w:highlight w:val="none"/>
        </w:rPr>
        <w:t>企业名称（盖章）：</w:t>
      </w:r>
    </w:p>
    <w:p>
      <w:pPr>
        <w:spacing w:line="312" w:lineRule="auto"/>
        <w:rPr>
          <w:rFonts w:hint="eastAsia" w:ascii="宋体" w:hAnsi="宋体" w:eastAsia="宋体" w:cs="宋体"/>
          <w:color w:val="auto"/>
          <w:highlight w:val="none"/>
        </w:rPr>
      </w:pPr>
      <w:r>
        <w:rPr>
          <w:rFonts w:hint="eastAsia" w:ascii="宋体" w:hAnsi="宋体" w:eastAsia="宋体" w:cs="宋体"/>
          <w:color w:val="auto"/>
          <w:highlight w:val="none"/>
        </w:rPr>
        <w:t>日期：</w:t>
      </w:r>
    </w:p>
    <w:p>
      <w:pPr>
        <w:snapToGrid w:val="0"/>
        <w:spacing w:line="360" w:lineRule="auto"/>
        <w:rPr>
          <w:rFonts w:hint="eastAsia" w:ascii="宋体" w:hAnsi="宋体" w:eastAsia="宋体" w:cs="宋体"/>
          <w:b/>
          <w:bCs/>
          <w:color w:val="auto"/>
          <w:highlight w:val="none"/>
        </w:rPr>
      </w:pPr>
      <w:bookmarkStart w:id="38" w:name="_Toc5155"/>
      <w:bookmarkStart w:id="39" w:name="_Toc18592"/>
      <w:bookmarkStart w:id="40" w:name="_Toc499739990"/>
      <w:bookmarkStart w:id="41" w:name="_Toc1541"/>
      <w:bookmarkStart w:id="42" w:name="_Toc607"/>
      <w:bookmarkStart w:id="43" w:name="_Toc24443"/>
      <w:bookmarkStart w:id="44" w:name="_Toc255"/>
      <w:bookmarkStart w:id="45" w:name="_Toc10913"/>
      <w:bookmarkStart w:id="46" w:name="_Toc21356"/>
      <w:r>
        <w:rPr>
          <w:rFonts w:hint="eastAsia" w:ascii="宋体" w:hAnsi="宋体" w:eastAsia="宋体" w:cs="宋体"/>
          <w:b/>
          <w:bCs/>
          <w:color w:val="auto"/>
          <w:highlight w:val="none"/>
        </w:rPr>
        <w:br w:type="page"/>
      </w:r>
      <w:r>
        <w:rPr>
          <w:rFonts w:hint="eastAsia" w:ascii="宋体" w:hAnsi="宋体" w:eastAsia="宋体" w:cs="宋体"/>
          <w:b/>
          <w:bCs/>
          <w:color w:val="auto"/>
          <w:highlight w:val="none"/>
        </w:rPr>
        <w:t>附件</w:t>
      </w:r>
      <w:bookmarkEnd w:id="38"/>
      <w:bookmarkEnd w:id="39"/>
      <w:bookmarkEnd w:id="40"/>
      <w:bookmarkEnd w:id="41"/>
      <w:bookmarkEnd w:id="42"/>
      <w:bookmarkEnd w:id="43"/>
      <w:bookmarkEnd w:id="44"/>
      <w:bookmarkEnd w:id="45"/>
      <w:bookmarkEnd w:id="46"/>
      <w:r>
        <w:rPr>
          <w:rFonts w:hint="eastAsia" w:ascii="宋体" w:hAnsi="宋体" w:eastAsia="宋体" w:cs="宋体"/>
          <w:b/>
          <w:bCs/>
          <w:color w:val="auto"/>
          <w:highlight w:val="none"/>
        </w:rPr>
        <w:t>2</w:t>
      </w:r>
    </w:p>
    <w:p>
      <w:pPr>
        <w:spacing w:after="240"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监狱企业证明文件</w:t>
      </w:r>
    </w:p>
    <w:p>
      <w:pPr>
        <w:spacing w:before="100" w:beforeAutospacing="1" w:after="100" w:afterAutospacing="1"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pPr>
        <w:rPr>
          <w:rFonts w:hint="eastAsia" w:ascii="宋体" w:hAnsi="宋体" w:eastAsia="宋体" w:cs="宋体"/>
          <w:color w:val="auto"/>
          <w:highlight w:val="none"/>
        </w:rPr>
      </w:pPr>
      <w:bookmarkStart w:id="47" w:name="_Toc499739991"/>
    </w:p>
    <w:p>
      <w:pPr>
        <w:rPr>
          <w:rFonts w:hint="eastAsia" w:ascii="宋体" w:hAnsi="宋体" w:eastAsia="宋体" w:cs="宋体"/>
          <w:color w:val="auto"/>
          <w:highlight w:val="none"/>
        </w:rPr>
      </w:pPr>
      <w:bookmarkStart w:id="48" w:name="_Toc16824"/>
      <w:bookmarkStart w:id="49" w:name="_Toc2290"/>
      <w:bookmarkStart w:id="50" w:name="_Toc30838"/>
      <w:bookmarkStart w:id="51" w:name="_Toc11296"/>
      <w:bookmarkStart w:id="52" w:name="_Toc16753"/>
      <w:bookmarkStart w:id="53" w:name="_Toc30090"/>
    </w:p>
    <w:p>
      <w:pPr>
        <w:rPr>
          <w:rFonts w:hint="eastAsia" w:ascii="宋体" w:hAnsi="宋体" w:eastAsia="宋体" w:cs="宋体"/>
          <w:color w:val="auto"/>
          <w:highlight w:val="none"/>
        </w:rPr>
      </w:pPr>
    </w:p>
    <w:p>
      <w:pPr>
        <w:rPr>
          <w:rFonts w:hint="eastAsia" w:ascii="宋体" w:hAnsi="宋体" w:eastAsia="宋体" w:cs="宋体"/>
          <w:b/>
          <w:bCs/>
          <w:color w:val="auto"/>
          <w:highlight w:val="none"/>
        </w:rPr>
      </w:pPr>
      <w:bookmarkStart w:id="54" w:name="_Toc3073"/>
      <w:bookmarkStart w:id="55" w:name="_Toc28279"/>
      <w:r>
        <w:rPr>
          <w:rFonts w:hint="eastAsia" w:ascii="宋体" w:hAnsi="宋体" w:eastAsia="宋体" w:cs="宋体"/>
          <w:b/>
          <w:bCs/>
          <w:color w:val="auto"/>
          <w:highlight w:val="none"/>
        </w:rPr>
        <w:t>附件</w:t>
      </w:r>
      <w:bookmarkEnd w:id="47"/>
      <w:bookmarkEnd w:id="48"/>
      <w:bookmarkEnd w:id="49"/>
      <w:bookmarkEnd w:id="50"/>
      <w:bookmarkEnd w:id="51"/>
      <w:bookmarkEnd w:id="52"/>
      <w:bookmarkEnd w:id="53"/>
      <w:bookmarkEnd w:id="54"/>
      <w:bookmarkEnd w:id="55"/>
      <w:r>
        <w:rPr>
          <w:rFonts w:hint="eastAsia" w:ascii="宋体" w:hAnsi="宋体" w:eastAsia="宋体" w:cs="宋体"/>
          <w:b/>
          <w:bCs/>
          <w:color w:val="auto"/>
          <w:highlight w:val="none"/>
        </w:rPr>
        <w:t>3</w:t>
      </w:r>
    </w:p>
    <w:p>
      <w:pPr>
        <w:spacing w:after="240"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残疾人福利性单位声明函</w:t>
      </w:r>
    </w:p>
    <w:p>
      <w:pPr>
        <w:spacing w:before="100" w:beforeAutospacing="1" w:after="100" w:afterAutospacing="1"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p>
    <w:p>
      <w:pPr>
        <w:jc w:val="center"/>
        <w:rPr>
          <w:rFonts w:hint="eastAsia" w:ascii="宋体" w:hAnsi="宋体" w:eastAsia="宋体" w:cs="宋体"/>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30"/>
          <w:szCs w:val="30"/>
          <w:highlight w:val="none"/>
        </w:rPr>
        <w:t>第四部分  供应商概况</w:t>
      </w:r>
    </w:p>
    <w:p>
      <w:pPr>
        <w:pStyle w:val="113"/>
        <w:spacing w:before="210" w:after="210"/>
        <w:ind w:firstLine="0" w:firstLineChars="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（一）供应商基本信息</w:t>
      </w:r>
    </w:p>
    <w:tbl>
      <w:tblPr>
        <w:tblStyle w:val="33"/>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992"/>
        <w:gridCol w:w="1424"/>
        <w:gridCol w:w="1411"/>
        <w:gridCol w:w="1464"/>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供应商全称</w:t>
            </w:r>
          </w:p>
        </w:tc>
        <w:tc>
          <w:tcPr>
            <w:tcW w:w="6756" w:type="dxa"/>
            <w:gridSpan w:val="5"/>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注册地址</w:t>
            </w:r>
          </w:p>
        </w:tc>
        <w:tc>
          <w:tcPr>
            <w:tcW w:w="2416" w:type="dxa"/>
            <w:gridSpan w:val="2"/>
          </w:tcPr>
          <w:p>
            <w:pPr>
              <w:jc w:val="both"/>
              <w:rPr>
                <w:rFonts w:hint="eastAsia" w:ascii="宋体" w:hAnsi="宋体" w:eastAsia="宋体" w:cs="宋体"/>
                <w:color w:val="auto"/>
                <w:kern w:val="2"/>
                <w:highlight w:val="none"/>
              </w:rPr>
            </w:pPr>
          </w:p>
        </w:tc>
        <w:tc>
          <w:tcPr>
            <w:tcW w:w="1411"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成立时间</w:t>
            </w:r>
          </w:p>
        </w:tc>
        <w:tc>
          <w:tcPr>
            <w:tcW w:w="2929" w:type="dxa"/>
            <w:gridSpan w:val="2"/>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统一社会信用代码</w:t>
            </w:r>
          </w:p>
        </w:tc>
        <w:tc>
          <w:tcPr>
            <w:tcW w:w="2416" w:type="dxa"/>
            <w:gridSpan w:val="2"/>
          </w:tcPr>
          <w:p>
            <w:pPr>
              <w:jc w:val="both"/>
              <w:rPr>
                <w:rFonts w:hint="eastAsia" w:ascii="宋体" w:hAnsi="宋体" w:eastAsia="宋体" w:cs="宋体"/>
                <w:color w:val="auto"/>
                <w:kern w:val="2"/>
                <w:highlight w:val="none"/>
              </w:rPr>
            </w:pPr>
          </w:p>
        </w:tc>
        <w:tc>
          <w:tcPr>
            <w:tcW w:w="1411"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单位性质</w:t>
            </w:r>
          </w:p>
        </w:tc>
        <w:tc>
          <w:tcPr>
            <w:tcW w:w="2929" w:type="dxa"/>
            <w:gridSpan w:val="2"/>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法定代表人</w:t>
            </w:r>
            <w:r>
              <w:rPr>
                <w:rFonts w:hint="eastAsia" w:ascii="宋体" w:hAnsi="宋体" w:eastAsia="宋体" w:cs="宋体"/>
                <w:color w:val="auto"/>
                <w:kern w:val="2"/>
                <w:highlight w:val="none"/>
              </w:rPr>
              <w:br w:type="textWrapping"/>
            </w:r>
            <w:r>
              <w:rPr>
                <w:rFonts w:hint="eastAsia" w:ascii="宋体" w:hAnsi="宋体" w:eastAsia="宋体" w:cs="宋体"/>
                <w:color w:val="auto"/>
                <w:kern w:val="2"/>
                <w:highlight w:val="none"/>
              </w:rPr>
              <w:t>（主要负责人）</w:t>
            </w:r>
          </w:p>
        </w:tc>
        <w:tc>
          <w:tcPr>
            <w:tcW w:w="2416" w:type="dxa"/>
            <w:gridSpan w:val="2"/>
          </w:tcPr>
          <w:p>
            <w:pPr>
              <w:jc w:val="both"/>
              <w:rPr>
                <w:rFonts w:hint="eastAsia" w:ascii="宋体" w:hAnsi="宋体" w:eastAsia="宋体" w:cs="宋体"/>
                <w:color w:val="auto"/>
                <w:kern w:val="2"/>
                <w:highlight w:val="none"/>
              </w:rPr>
            </w:pPr>
          </w:p>
        </w:tc>
        <w:tc>
          <w:tcPr>
            <w:tcW w:w="1411"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所属行业</w:t>
            </w:r>
          </w:p>
        </w:tc>
        <w:tc>
          <w:tcPr>
            <w:tcW w:w="2929" w:type="dxa"/>
            <w:gridSpan w:val="2"/>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基本存款账户</w:t>
            </w:r>
            <w:r>
              <w:rPr>
                <w:rFonts w:hint="eastAsia" w:ascii="宋体" w:hAnsi="宋体" w:eastAsia="宋体" w:cs="宋体"/>
                <w:color w:val="auto"/>
                <w:kern w:val="2"/>
                <w:highlight w:val="none"/>
              </w:rPr>
              <w:br w:type="textWrapping"/>
            </w:r>
            <w:r>
              <w:rPr>
                <w:rFonts w:hint="eastAsia" w:ascii="宋体" w:hAnsi="宋体" w:eastAsia="宋体" w:cs="宋体"/>
                <w:color w:val="auto"/>
                <w:kern w:val="2"/>
                <w:highlight w:val="none"/>
              </w:rPr>
              <w:t>开户银行</w:t>
            </w:r>
          </w:p>
        </w:tc>
        <w:tc>
          <w:tcPr>
            <w:tcW w:w="2416" w:type="dxa"/>
            <w:gridSpan w:val="2"/>
          </w:tcPr>
          <w:p>
            <w:pPr>
              <w:jc w:val="both"/>
              <w:rPr>
                <w:rFonts w:hint="eastAsia" w:ascii="宋体" w:hAnsi="宋体" w:eastAsia="宋体" w:cs="宋体"/>
                <w:color w:val="auto"/>
                <w:kern w:val="2"/>
                <w:highlight w:val="none"/>
              </w:rPr>
            </w:pPr>
          </w:p>
        </w:tc>
        <w:tc>
          <w:tcPr>
            <w:tcW w:w="1411"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基本存款</w:t>
            </w:r>
            <w:r>
              <w:rPr>
                <w:rFonts w:hint="eastAsia" w:ascii="宋体" w:hAnsi="宋体" w:eastAsia="宋体" w:cs="宋体"/>
                <w:color w:val="auto"/>
                <w:kern w:val="2"/>
                <w:highlight w:val="none"/>
              </w:rPr>
              <w:br w:type="textWrapping"/>
            </w:r>
            <w:r>
              <w:rPr>
                <w:rFonts w:hint="eastAsia" w:ascii="宋体" w:hAnsi="宋体" w:eastAsia="宋体" w:cs="宋体"/>
                <w:color w:val="auto"/>
                <w:kern w:val="2"/>
                <w:highlight w:val="none"/>
              </w:rPr>
              <w:t>账户账号</w:t>
            </w:r>
          </w:p>
        </w:tc>
        <w:tc>
          <w:tcPr>
            <w:tcW w:w="2929" w:type="dxa"/>
            <w:gridSpan w:val="2"/>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上年度</w:t>
            </w:r>
            <w:r>
              <w:rPr>
                <w:rFonts w:hint="eastAsia" w:ascii="宋体" w:hAnsi="宋体" w:eastAsia="宋体" w:cs="宋体"/>
                <w:color w:val="auto"/>
                <w:kern w:val="2"/>
                <w:highlight w:val="none"/>
              </w:rPr>
              <w:br w:type="textWrapping"/>
            </w:r>
            <w:r>
              <w:rPr>
                <w:rFonts w:hint="eastAsia" w:ascii="宋体" w:hAnsi="宋体" w:eastAsia="宋体" w:cs="宋体"/>
                <w:color w:val="auto"/>
                <w:kern w:val="2"/>
                <w:highlight w:val="none"/>
              </w:rPr>
              <w:t>营业收入*</w:t>
            </w:r>
          </w:p>
        </w:tc>
        <w:tc>
          <w:tcPr>
            <w:tcW w:w="2416" w:type="dxa"/>
            <w:gridSpan w:val="2"/>
          </w:tcPr>
          <w:p>
            <w:pPr>
              <w:jc w:val="both"/>
              <w:rPr>
                <w:rFonts w:hint="eastAsia" w:ascii="宋体" w:hAnsi="宋体" w:eastAsia="宋体" w:cs="宋体"/>
                <w:color w:val="auto"/>
                <w:kern w:val="2"/>
                <w:highlight w:val="none"/>
              </w:rPr>
            </w:pPr>
          </w:p>
        </w:tc>
        <w:tc>
          <w:tcPr>
            <w:tcW w:w="1411"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资产总额</w:t>
            </w:r>
          </w:p>
        </w:tc>
        <w:tc>
          <w:tcPr>
            <w:tcW w:w="2929" w:type="dxa"/>
            <w:gridSpan w:val="2"/>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经营范围</w:t>
            </w:r>
          </w:p>
        </w:tc>
        <w:tc>
          <w:tcPr>
            <w:tcW w:w="6756" w:type="dxa"/>
            <w:gridSpan w:val="5"/>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资质证书名称</w:t>
            </w:r>
          </w:p>
        </w:tc>
        <w:tc>
          <w:tcPr>
            <w:tcW w:w="2416" w:type="dxa"/>
            <w:gridSpan w:val="2"/>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证书号</w:t>
            </w:r>
          </w:p>
        </w:tc>
        <w:tc>
          <w:tcPr>
            <w:tcW w:w="1411"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等级</w:t>
            </w:r>
          </w:p>
        </w:tc>
        <w:tc>
          <w:tcPr>
            <w:tcW w:w="2929" w:type="dxa"/>
            <w:gridSpan w:val="2"/>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p>
        </w:tc>
        <w:tc>
          <w:tcPr>
            <w:tcW w:w="2416" w:type="dxa"/>
            <w:gridSpan w:val="2"/>
          </w:tcPr>
          <w:p>
            <w:pPr>
              <w:jc w:val="both"/>
              <w:rPr>
                <w:rFonts w:hint="eastAsia" w:ascii="宋体" w:hAnsi="宋体" w:eastAsia="宋体" w:cs="宋体"/>
                <w:color w:val="auto"/>
                <w:kern w:val="2"/>
                <w:highlight w:val="none"/>
              </w:rPr>
            </w:pPr>
          </w:p>
        </w:tc>
        <w:tc>
          <w:tcPr>
            <w:tcW w:w="1411" w:type="dxa"/>
          </w:tcPr>
          <w:p>
            <w:pPr>
              <w:jc w:val="both"/>
              <w:rPr>
                <w:rFonts w:hint="eastAsia" w:ascii="宋体" w:hAnsi="宋体" w:eastAsia="宋体" w:cs="宋体"/>
                <w:color w:val="auto"/>
                <w:kern w:val="2"/>
                <w:highlight w:val="none"/>
              </w:rPr>
            </w:pPr>
          </w:p>
        </w:tc>
        <w:tc>
          <w:tcPr>
            <w:tcW w:w="2929" w:type="dxa"/>
            <w:gridSpan w:val="2"/>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p>
        </w:tc>
        <w:tc>
          <w:tcPr>
            <w:tcW w:w="2416" w:type="dxa"/>
            <w:gridSpan w:val="2"/>
          </w:tcPr>
          <w:p>
            <w:pPr>
              <w:jc w:val="both"/>
              <w:rPr>
                <w:rFonts w:hint="eastAsia" w:ascii="宋体" w:hAnsi="宋体" w:eastAsia="宋体" w:cs="宋体"/>
                <w:color w:val="auto"/>
                <w:kern w:val="2"/>
                <w:highlight w:val="none"/>
              </w:rPr>
            </w:pPr>
          </w:p>
        </w:tc>
        <w:tc>
          <w:tcPr>
            <w:tcW w:w="1411" w:type="dxa"/>
          </w:tcPr>
          <w:p>
            <w:pPr>
              <w:jc w:val="both"/>
              <w:rPr>
                <w:rFonts w:hint="eastAsia" w:ascii="宋体" w:hAnsi="宋体" w:eastAsia="宋体" w:cs="宋体"/>
                <w:color w:val="auto"/>
                <w:kern w:val="2"/>
                <w:highlight w:val="none"/>
              </w:rPr>
            </w:pPr>
          </w:p>
        </w:tc>
        <w:tc>
          <w:tcPr>
            <w:tcW w:w="2929" w:type="dxa"/>
            <w:gridSpan w:val="2"/>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从业人员情况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restart"/>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从业人员总数</w:t>
            </w:r>
          </w:p>
        </w:tc>
        <w:tc>
          <w:tcPr>
            <w:tcW w:w="992" w:type="dxa"/>
            <w:vMerge w:val="restart"/>
          </w:tcPr>
          <w:p>
            <w:pPr>
              <w:jc w:val="both"/>
              <w:rPr>
                <w:rFonts w:hint="eastAsia" w:ascii="宋体" w:hAnsi="宋体" w:eastAsia="宋体" w:cs="宋体"/>
                <w:color w:val="auto"/>
                <w:kern w:val="2"/>
                <w:highlight w:val="none"/>
              </w:rPr>
            </w:pPr>
          </w:p>
        </w:tc>
        <w:tc>
          <w:tcPr>
            <w:tcW w:w="1424"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管理人员</w:t>
            </w:r>
            <w:r>
              <w:rPr>
                <w:rFonts w:hint="eastAsia" w:ascii="宋体" w:hAnsi="宋体" w:eastAsia="宋体" w:cs="宋体"/>
                <w:color w:val="auto"/>
                <w:kern w:val="2"/>
                <w:highlight w:val="none"/>
              </w:rPr>
              <w:br w:type="textWrapping"/>
            </w:r>
            <w:r>
              <w:rPr>
                <w:rFonts w:hint="eastAsia" w:ascii="宋体" w:hAnsi="宋体" w:eastAsia="宋体" w:cs="宋体"/>
                <w:color w:val="auto"/>
                <w:kern w:val="2"/>
                <w:highlight w:val="none"/>
              </w:rPr>
              <w:t>数量</w:t>
            </w:r>
          </w:p>
        </w:tc>
        <w:tc>
          <w:tcPr>
            <w:tcW w:w="1411" w:type="dxa"/>
          </w:tcPr>
          <w:p>
            <w:pPr>
              <w:jc w:val="both"/>
              <w:rPr>
                <w:rFonts w:hint="eastAsia" w:ascii="宋体" w:hAnsi="宋体" w:eastAsia="宋体" w:cs="宋体"/>
                <w:color w:val="auto"/>
                <w:kern w:val="2"/>
                <w:highlight w:val="none"/>
              </w:rPr>
            </w:pPr>
          </w:p>
        </w:tc>
        <w:tc>
          <w:tcPr>
            <w:tcW w:w="1464"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专业技术</w:t>
            </w:r>
            <w:r>
              <w:rPr>
                <w:rFonts w:hint="eastAsia" w:ascii="宋体" w:hAnsi="宋体" w:eastAsia="宋体" w:cs="宋体"/>
                <w:color w:val="auto"/>
                <w:kern w:val="2"/>
                <w:highlight w:val="none"/>
              </w:rPr>
              <w:br w:type="textWrapping"/>
            </w:r>
            <w:r>
              <w:rPr>
                <w:rFonts w:hint="eastAsia" w:ascii="宋体" w:hAnsi="宋体" w:eastAsia="宋体" w:cs="宋体"/>
                <w:color w:val="auto"/>
                <w:kern w:val="2"/>
                <w:highlight w:val="none"/>
              </w:rPr>
              <w:t>人员数量</w:t>
            </w:r>
          </w:p>
        </w:tc>
        <w:tc>
          <w:tcPr>
            <w:tcW w:w="1465" w:type="dxa"/>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continue"/>
          </w:tcPr>
          <w:p>
            <w:pPr>
              <w:jc w:val="both"/>
              <w:rPr>
                <w:rFonts w:hint="eastAsia" w:ascii="宋体" w:hAnsi="宋体" w:eastAsia="宋体" w:cs="宋体"/>
                <w:color w:val="auto"/>
                <w:kern w:val="2"/>
                <w:highlight w:val="none"/>
              </w:rPr>
            </w:pPr>
          </w:p>
        </w:tc>
        <w:tc>
          <w:tcPr>
            <w:tcW w:w="992" w:type="dxa"/>
            <w:vMerge w:val="continue"/>
          </w:tcPr>
          <w:p>
            <w:pPr>
              <w:jc w:val="both"/>
              <w:rPr>
                <w:rFonts w:hint="eastAsia" w:ascii="宋体" w:hAnsi="宋体" w:eastAsia="宋体" w:cs="宋体"/>
                <w:color w:val="auto"/>
                <w:kern w:val="2"/>
                <w:highlight w:val="none"/>
              </w:rPr>
            </w:pPr>
          </w:p>
        </w:tc>
        <w:tc>
          <w:tcPr>
            <w:tcW w:w="1424"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残疾人</w:t>
            </w:r>
            <w:r>
              <w:rPr>
                <w:rFonts w:hint="eastAsia" w:ascii="宋体" w:hAnsi="宋体" w:eastAsia="宋体" w:cs="宋体"/>
                <w:color w:val="auto"/>
                <w:kern w:val="2"/>
                <w:highlight w:val="none"/>
              </w:rPr>
              <w:br w:type="textWrapping"/>
            </w:r>
            <w:r>
              <w:rPr>
                <w:rFonts w:hint="eastAsia" w:ascii="宋体" w:hAnsi="宋体" w:eastAsia="宋体" w:cs="宋体"/>
                <w:color w:val="auto"/>
                <w:kern w:val="2"/>
                <w:highlight w:val="none"/>
              </w:rPr>
              <w:t>数量</w:t>
            </w:r>
          </w:p>
        </w:tc>
        <w:tc>
          <w:tcPr>
            <w:tcW w:w="1411" w:type="dxa"/>
          </w:tcPr>
          <w:p>
            <w:pPr>
              <w:jc w:val="both"/>
              <w:rPr>
                <w:rFonts w:hint="eastAsia" w:ascii="宋体" w:hAnsi="宋体" w:eastAsia="宋体" w:cs="宋体"/>
                <w:color w:val="auto"/>
                <w:kern w:val="2"/>
                <w:highlight w:val="none"/>
              </w:rPr>
            </w:pPr>
          </w:p>
        </w:tc>
        <w:tc>
          <w:tcPr>
            <w:tcW w:w="1464"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少数民族</w:t>
            </w:r>
            <w:r>
              <w:rPr>
                <w:rFonts w:hint="eastAsia" w:ascii="宋体" w:hAnsi="宋体" w:eastAsia="宋体" w:cs="宋体"/>
                <w:color w:val="auto"/>
                <w:kern w:val="2"/>
                <w:highlight w:val="none"/>
              </w:rPr>
              <w:br w:type="textWrapping"/>
            </w:r>
            <w:r>
              <w:rPr>
                <w:rFonts w:hint="eastAsia" w:ascii="宋体" w:hAnsi="宋体" w:eastAsia="宋体" w:cs="宋体"/>
                <w:color w:val="auto"/>
                <w:kern w:val="2"/>
                <w:highlight w:val="none"/>
              </w:rPr>
              <w:t>数量</w:t>
            </w:r>
          </w:p>
        </w:tc>
        <w:tc>
          <w:tcPr>
            <w:tcW w:w="1465" w:type="dxa"/>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存在直接控股、管理关系的相关供应商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关系</w:t>
            </w:r>
          </w:p>
        </w:tc>
        <w:tc>
          <w:tcPr>
            <w:tcW w:w="6756" w:type="dxa"/>
            <w:gridSpan w:val="5"/>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供应商名称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p>
        </w:tc>
        <w:tc>
          <w:tcPr>
            <w:tcW w:w="6756" w:type="dxa"/>
            <w:gridSpan w:val="5"/>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p>
        </w:tc>
        <w:tc>
          <w:tcPr>
            <w:tcW w:w="6756" w:type="dxa"/>
            <w:gridSpan w:val="5"/>
          </w:tcPr>
          <w:p>
            <w:pPr>
              <w:jc w:val="both"/>
              <w:rPr>
                <w:rFonts w:hint="eastAsia" w:ascii="宋体" w:hAnsi="宋体" w:eastAsia="宋体" w:cs="宋体"/>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说明</w:t>
            </w:r>
          </w:p>
        </w:tc>
        <w:tc>
          <w:tcPr>
            <w:tcW w:w="6756" w:type="dxa"/>
            <w:gridSpan w:val="5"/>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1.成立时间至提交投标文件截止时间不足一年的可不填写“上年度营业收入”；</w:t>
            </w:r>
          </w:p>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2.招标文件接受联合体的，联合体各方均应提供；</w:t>
            </w:r>
          </w:p>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3.表格空间不足时，请自行扩展。</w:t>
            </w:r>
          </w:p>
        </w:tc>
      </w:tr>
    </w:tbl>
    <w:p>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pPr>
        <w:pStyle w:val="4"/>
        <w:ind w:firstLine="0" w:firstLineChars="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第五部分  供应商参加政府采购活动承诺书</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未签署下列承诺书的，将被视为无效投标，其责任由供应商自行承担。</w:t>
      </w:r>
    </w:p>
    <w:p>
      <w:pPr>
        <w:pStyle w:val="5"/>
        <w:jc w:val="center"/>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（一）质量安全责任承诺书</w:t>
      </w:r>
    </w:p>
    <w:p>
      <w:pPr>
        <w:spacing w:line="560" w:lineRule="exact"/>
        <w:jc w:val="both"/>
        <w:rPr>
          <w:rFonts w:hint="eastAsia" w:ascii="宋体" w:hAnsi="宋体" w:eastAsia="宋体" w:cs="宋体"/>
          <w:color w:val="auto"/>
          <w:highlight w:val="none"/>
        </w:rPr>
      </w:pPr>
      <w:r>
        <w:rPr>
          <w:rFonts w:hint="eastAsia" w:ascii="宋体" w:hAnsi="宋体" w:eastAsia="宋体" w:cs="宋体"/>
          <w:color w:val="auto"/>
          <w:highlight w:val="none"/>
        </w:rPr>
        <w:t>为保证本采购项目顺利进行，作为投标供应商，现郑重承诺：</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1．我方所投产品的生产（包括设计、制造、安装、改造、维修等）、投入使用的材料等均完全符合国家现行质量、安全、环保标准和要求。</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2．我方将严格按照国家现行相关储存、运输、安装调试技术标准及规范、服务标准及规范、施工标准及规范，在规定的时限内，保质、保量完成项目全部内容，并向采购人交付合格产品。</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3．对于因产品生产质量以及储存、运输、安装调试、服务、施工等过程中产生的任何安全事故，我方承担全部责任。</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4．我方提供的货物、工程、服务等符合现行的国家、行业、地区、企业标准及要求，标准不一致的，以更为严格的为准，我方对提供的货物、工程、服务等的质量、安全、环保等承担全部责任。</w:t>
      </w: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329" w:firstLineChars="1804"/>
        <w:rPr>
          <w:rFonts w:hint="eastAsia" w:ascii="宋体" w:hAnsi="宋体" w:eastAsia="宋体" w:cs="宋体"/>
          <w:color w:val="auto"/>
          <w:highlight w:val="none"/>
        </w:rPr>
      </w:pPr>
      <w:r>
        <w:rPr>
          <w:rFonts w:hint="eastAsia" w:ascii="宋体" w:hAnsi="宋体" w:eastAsia="宋体" w:cs="宋体"/>
          <w:color w:val="auto"/>
          <w:highlight w:val="none"/>
        </w:rPr>
        <w:t>供应商：（供应商全称并加盖公章）</w:t>
      </w:r>
    </w:p>
    <w:p>
      <w:pPr>
        <w:spacing w:line="560" w:lineRule="exact"/>
        <w:ind w:firstLine="4329" w:firstLineChars="1804"/>
        <w:rPr>
          <w:rFonts w:hint="eastAsia" w:ascii="宋体" w:hAnsi="宋体" w:eastAsia="宋体" w:cs="宋体"/>
          <w:color w:val="auto"/>
          <w:highlight w:val="none"/>
        </w:rPr>
      </w:pPr>
      <w:r>
        <w:rPr>
          <w:rFonts w:hint="eastAsia" w:ascii="宋体" w:hAnsi="宋体" w:eastAsia="宋体" w:cs="宋体"/>
          <w:color w:val="auto"/>
          <w:highlight w:val="none"/>
        </w:rPr>
        <w:t>日  期：    年  月  日</w:t>
      </w:r>
    </w:p>
    <w:p>
      <w:pPr>
        <w:spacing w:line="560" w:lineRule="exact"/>
        <w:ind w:firstLine="480" w:firstLineChars="200"/>
        <w:jc w:val="both"/>
        <w:rPr>
          <w:rFonts w:hint="eastAsia" w:ascii="宋体" w:hAnsi="宋体" w:eastAsia="宋体" w:cs="宋体"/>
          <w:color w:val="auto"/>
          <w:highlight w:val="none"/>
        </w:rPr>
      </w:pPr>
    </w:p>
    <w:p>
      <w:pPr>
        <w:jc w:val="center"/>
        <w:rPr>
          <w:rFonts w:hint="eastAsia" w:ascii="宋体" w:hAnsi="宋体" w:eastAsia="宋体" w:cs="宋体"/>
          <w:color w:val="auto"/>
          <w:sz w:val="28"/>
          <w:szCs w:val="28"/>
          <w:highlight w:val="none"/>
        </w:rPr>
      </w:pPr>
      <w:r>
        <w:rPr>
          <w:rFonts w:hint="eastAsia" w:ascii="宋体" w:hAnsi="宋体" w:eastAsia="宋体" w:cs="宋体"/>
          <w:color w:val="auto"/>
          <w:highlight w:val="none"/>
        </w:rPr>
        <w:br w:type="page"/>
      </w:r>
      <w:r>
        <w:rPr>
          <w:rFonts w:hint="eastAsia" w:ascii="宋体" w:hAnsi="宋体" w:eastAsia="宋体" w:cs="宋体"/>
          <w:color w:val="auto"/>
          <w:sz w:val="28"/>
          <w:szCs w:val="28"/>
          <w:highlight w:val="none"/>
        </w:rPr>
        <w:t>（二）参加政府采购活动行为自律承诺书</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作为参加本次政府采购项目的供应商，我方郑重承诺在参与政府采购活动中遵纪守法、公平竞争、诚实守信，如有违反愿承担一切责任及后果：</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1．不与采购人、采购代理机构、政府采购评审专家恶意串通，不向其行贿或提供其他不正当利益；</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2．不与其他供应商恶意串通，采取“围标、串标、陪标”等商业欺诈手段谋取中标、成交；</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3．不提供虚假或无效证明文件（包括但不限于资格证明文件、合同及验收文件、检验检测报告、从业人员资格证书、机构或所投产品的各类认证证书等）或虚假材料谋取中标、成交；</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4．不采取不正当手段诋毁、排挤其他供应商；</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5．不以不正当理由拒不与采购人签订政府采购合同，或逾期签订政府采购合同，或不按照采购文件确定的事项签订政府采购合同；</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6．不以不正当理由拒绝履行合同义务，不会擅自变更、中止或者终止政府采购合同或将政府采购合同转包；</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7．不在提供商品、服务或工程施工过程中提供假冒伪劣产品，损害采购人的合法权益或公共利益；</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8．不采取捏造事实、提供虚假材料或者以非法手段取得证明材料进行质疑和投诉；</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9．不发生其他有悖于政府采购公开、公平、公正和诚信原则的行为。</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10．尊重和接受政府采购监督管理部门的监督和采购人、采购代理机构的政府采购工作要求，愿意承担因违约行为给采购人造成的损失。</w:t>
      </w: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329" w:firstLineChars="1804"/>
        <w:jc w:val="both"/>
        <w:rPr>
          <w:rFonts w:hint="eastAsia" w:ascii="宋体" w:hAnsi="宋体" w:eastAsia="宋体" w:cs="宋体"/>
          <w:color w:val="auto"/>
          <w:highlight w:val="none"/>
        </w:rPr>
      </w:pPr>
      <w:r>
        <w:rPr>
          <w:rFonts w:hint="eastAsia" w:ascii="宋体" w:hAnsi="宋体" w:eastAsia="宋体" w:cs="宋体"/>
          <w:color w:val="auto"/>
          <w:highlight w:val="none"/>
        </w:rPr>
        <w:t>供应商：（供应商全称并加盖公章）</w:t>
      </w:r>
    </w:p>
    <w:p>
      <w:pPr>
        <w:spacing w:line="560" w:lineRule="exact"/>
        <w:ind w:firstLine="4320" w:firstLineChars="1800"/>
        <w:jc w:val="both"/>
        <w:rPr>
          <w:rFonts w:hint="eastAsia" w:ascii="宋体" w:hAnsi="宋体" w:eastAsia="宋体" w:cs="宋体"/>
          <w:color w:val="auto"/>
          <w:highlight w:val="none"/>
        </w:rPr>
      </w:pPr>
      <w:r>
        <w:rPr>
          <w:rFonts w:hint="eastAsia" w:ascii="宋体" w:hAnsi="宋体" w:eastAsia="宋体" w:cs="宋体"/>
          <w:color w:val="auto"/>
          <w:highlight w:val="none"/>
        </w:rPr>
        <w:t>日  期：    年  月  日</w:t>
      </w:r>
    </w:p>
    <w:p>
      <w:pPr>
        <w:jc w:val="center"/>
        <w:rPr>
          <w:rFonts w:hint="eastAsia" w:ascii="宋体" w:hAnsi="宋体" w:eastAsia="宋体" w:cs="宋体"/>
          <w:b/>
          <w:bCs/>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30"/>
          <w:szCs w:val="30"/>
          <w:highlight w:val="none"/>
        </w:rPr>
        <w:t>第六部分  投标方案</w:t>
      </w:r>
    </w:p>
    <w:p>
      <w:pPr>
        <w:pStyle w:val="113"/>
        <w:spacing w:before="210" w:after="210"/>
        <w:ind w:firstLine="31680"/>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（一）技术要求偏离表</w:t>
      </w:r>
    </w:p>
    <w:tbl>
      <w:tblPr>
        <w:tblStyle w:val="33"/>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43"/>
        <w:gridCol w:w="3215"/>
        <w:gridCol w:w="3134"/>
        <w:gridCol w:w="167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3" w:type="dxa"/>
            <w:tcBorders>
              <w:top w:val="single" w:color="auto" w:sz="12" w:space="0"/>
            </w:tcBorders>
            <w:shd w:val="clear" w:color="auto" w:fill="F2F2F2"/>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3215" w:type="dxa"/>
            <w:tcBorders>
              <w:top w:val="single" w:color="auto" w:sz="12" w:space="0"/>
            </w:tcBorders>
            <w:shd w:val="clear" w:color="auto" w:fill="F2F2F2"/>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招标文件条款明细</w:t>
            </w:r>
          </w:p>
        </w:tc>
        <w:tc>
          <w:tcPr>
            <w:tcW w:w="3134" w:type="dxa"/>
            <w:tcBorders>
              <w:top w:val="single" w:color="auto" w:sz="12" w:space="0"/>
            </w:tcBorders>
            <w:shd w:val="clear" w:color="auto" w:fill="F2F2F2"/>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响应索引</w:t>
            </w:r>
          </w:p>
          <w:p>
            <w:pPr>
              <w:jc w:val="center"/>
              <w:rPr>
                <w:rFonts w:hint="eastAsia" w:ascii="宋体" w:hAnsi="宋体" w:eastAsia="宋体" w:cs="宋体"/>
                <w:b/>
                <w:bCs/>
                <w:color w:val="auto"/>
                <w:highlight w:val="none"/>
                <w:lang w:eastAsia="zh-CN"/>
              </w:rPr>
            </w:pPr>
            <w:r>
              <w:rPr>
                <w:rFonts w:hint="eastAsia" w:ascii="宋体" w:hAnsi="宋体" w:cs="宋体"/>
                <w:b/>
                <w:bCs/>
                <w:color w:val="auto"/>
                <w:highlight w:val="none"/>
                <w:lang w:eastAsia="zh-CN"/>
              </w:rPr>
              <w:t>（投标文件条款明细）</w:t>
            </w:r>
          </w:p>
        </w:tc>
        <w:tc>
          <w:tcPr>
            <w:tcW w:w="1676" w:type="dxa"/>
            <w:tcBorders>
              <w:top w:val="single" w:color="auto" w:sz="12" w:space="0"/>
            </w:tcBorders>
            <w:shd w:val="clear" w:color="auto" w:fill="F2F2F2"/>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响应说明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3" w:type="dxa"/>
            <w:vAlign w:val="center"/>
          </w:tcPr>
          <w:p>
            <w:pPr>
              <w:jc w:val="center"/>
              <w:rPr>
                <w:rFonts w:hint="eastAsia" w:ascii="宋体" w:hAnsi="宋体" w:eastAsia="宋体" w:cs="宋体"/>
                <w:color w:val="auto"/>
                <w:highlight w:val="none"/>
              </w:rPr>
            </w:pPr>
          </w:p>
        </w:tc>
        <w:tc>
          <w:tcPr>
            <w:tcW w:w="3215" w:type="dxa"/>
            <w:vAlign w:val="center"/>
          </w:tcPr>
          <w:p>
            <w:pPr>
              <w:jc w:val="center"/>
              <w:rPr>
                <w:rFonts w:hint="eastAsia" w:ascii="宋体" w:hAnsi="宋体" w:eastAsia="宋体" w:cs="宋体"/>
                <w:color w:val="auto"/>
                <w:highlight w:val="none"/>
              </w:rPr>
            </w:pPr>
          </w:p>
        </w:tc>
        <w:tc>
          <w:tcPr>
            <w:tcW w:w="3134" w:type="dxa"/>
            <w:vAlign w:val="center"/>
          </w:tcPr>
          <w:p>
            <w:pPr>
              <w:jc w:val="center"/>
              <w:rPr>
                <w:rFonts w:hint="eastAsia" w:ascii="宋体" w:hAnsi="宋体" w:eastAsia="宋体" w:cs="宋体"/>
                <w:color w:val="auto"/>
                <w:highlight w:val="none"/>
              </w:rPr>
            </w:pPr>
          </w:p>
        </w:tc>
        <w:tc>
          <w:tcPr>
            <w:tcW w:w="1676" w:type="dxa"/>
            <w:vAlign w:val="center"/>
          </w:tcPr>
          <w:p>
            <w:pPr>
              <w:jc w:val="center"/>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3" w:type="dxa"/>
            <w:vAlign w:val="center"/>
          </w:tcPr>
          <w:p>
            <w:pPr>
              <w:jc w:val="center"/>
              <w:rPr>
                <w:rFonts w:hint="eastAsia" w:ascii="宋体" w:hAnsi="宋体" w:eastAsia="宋体" w:cs="宋体"/>
                <w:color w:val="auto"/>
                <w:highlight w:val="none"/>
              </w:rPr>
            </w:pPr>
          </w:p>
        </w:tc>
        <w:tc>
          <w:tcPr>
            <w:tcW w:w="3215" w:type="dxa"/>
            <w:vAlign w:val="center"/>
          </w:tcPr>
          <w:p>
            <w:pPr>
              <w:jc w:val="center"/>
              <w:rPr>
                <w:rFonts w:hint="eastAsia" w:ascii="宋体" w:hAnsi="宋体" w:eastAsia="宋体" w:cs="宋体"/>
                <w:color w:val="auto"/>
                <w:highlight w:val="none"/>
              </w:rPr>
            </w:pPr>
          </w:p>
        </w:tc>
        <w:tc>
          <w:tcPr>
            <w:tcW w:w="3134" w:type="dxa"/>
            <w:vAlign w:val="center"/>
          </w:tcPr>
          <w:p>
            <w:pPr>
              <w:jc w:val="center"/>
              <w:rPr>
                <w:rFonts w:hint="eastAsia" w:ascii="宋体" w:hAnsi="宋体" w:eastAsia="宋体" w:cs="宋体"/>
                <w:color w:val="auto"/>
                <w:highlight w:val="none"/>
              </w:rPr>
            </w:pPr>
          </w:p>
        </w:tc>
        <w:tc>
          <w:tcPr>
            <w:tcW w:w="1676" w:type="dxa"/>
            <w:vAlign w:val="center"/>
          </w:tcPr>
          <w:p>
            <w:pPr>
              <w:jc w:val="center"/>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3" w:type="dxa"/>
            <w:vAlign w:val="center"/>
          </w:tcPr>
          <w:p>
            <w:pPr>
              <w:jc w:val="center"/>
              <w:rPr>
                <w:rFonts w:hint="eastAsia" w:ascii="宋体" w:hAnsi="宋体" w:eastAsia="宋体" w:cs="宋体"/>
                <w:color w:val="auto"/>
                <w:highlight w:val="none"/>
              </w:rPr>
            </w:pPr>
          </w:p>
        </w:tc>
        <w:tc>
          <w:tcPr>
            <w:tcW w:w="3215" w:type="dxa"/>
            <w:vAlign w:val="center"/>
          </w:tcPr>
          <w:p>
            <w:pPr>
              <w:jc w:val="center"/>
              <w:rPr>
                <w:rFonts w:hint="eastAsia" w:ascii="宋体" w:hAnsi="宋体" w:eastAsia="宋体" w:cs="宋体"/>
                <w:color w:val="auto"/>
                <w:highlight w:val="none"/>
              </w:rPr>
            </w:pPr>
          </w:p>
        </w:tc>
        <w:tc>
          <w:tcPr>
            <w:tcW w:w="3134" w:type="dxa"/>
            <w:vAlign w:val="center"/>
          </w:tcPr>
          <w:p>
            <w:pPr>
              <w:jc w:val="center"/>
              <w:rPr>
                <w:rFonts w:hint="eastAsia" w:ascii="宋体" w:hAnsi="宋体" w:eastAsia="宋体" w:cs="宋体"/>
                <w:color w:val="auto"/>
                <w:highlight w:val="none"/>
              </w:rPr>
            </w:pPr>
          </w:p>
        </w:tc>
        <w:tc>
          <w:tcPr>
            <w:tcW w:w="1676" w:type="dxa"/>
            <w:vAlign w:val="center"/>
          </w:tcPr>
          <w:p>
            <w:pPr>
              <w:jc w:val="center"/>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3" w:type="dxa"/>
            <w:vAlign w:val="center"/>
          </w:tcPr>
          <w:p>
            <w:pPr>
              <w:jc w:val="center"/>
              <w:rPr>
                <w:rFonts w:hint="eastAsia" w:ascii="宋体" w:hAnsi="宋体" w:eastAsia="宋体" w:cs="宋体"/>
                <w:color w:val="auto"/>
                <w:highlight w:val="none"/>
              </w:rPr>
            </w:pPr>
          </w:p>
        </w:tc>
        <w:tc>
          <w:tcPr>
            <w:tcW w:w="3215" w:type="dxa"/>
            <w:vAlign w:val="center"/>
          </w:tcPr>
          <w:p>
            <w:pPr>
              <w:jc w:val="center"/>
              <w:rPr>
                <w:rFonts w:hint="eastAsia" w:ascii="宋体" w:hAnsi="宋体" w:eastAsia="宋体" w:cs="宋体"/>
                <w:color w:val="auto"/>
                <w:highlight w:val="none"/>
              </w:rPr>
            </w:pPr>
          </w:p>
        </w:tc>
        <w:tc>
          <w:tcPr>
            <w:tcW w:w="3134" w:type="dxa"/>
            <w:vAlign w:val="center"/>
          </w:tcPr>
          <w:p>
            <w:pPr>
              <w:jc w:val="center"/>
              <w:rPr>
                <w:rFonts w:hint="eastAsia" w:ascii="宋体" w:hAnsi="宋体" w:eastAsia="宋体" w:cs="宋体"/>
                <w:color w:val="auto"/>
                <w:highlight w:val="none"/>
              </w:rPr>
            </w:pPr>
          </w:p>
        </w:tc>
        <w:tc>
          <w:tcPr>
            <w:tcW w:w="1676" w:type="dxa"/>
            <w:vAlign w:val="center"/>
          </w:tcPr>
          <w:p>
            <w:pPr>
              <w:jc w:val="center"/>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3" w:type="dxa"/>
            <w:vAlign w:val="center"/>
          </w:tcPr>
          <w:p>
            <w:pPr>
              <w:jc w:val="center"/>
              <w:rPr>
                <w:rFonts w:hint="eastAsia" w:ascii="宋体" w:hAnsi="宋体" w:eastAsia="宋体" w:cs="宋体"/>
                <w:color w:val="auto"/>
                <w:highlight w:val="none"/>
              </w:rPr>
            </w:pPr>
          </w:p>
        </w:tc>
        <w:tc>
          <w:tcPr>
            <w:tcW w:w="3215" w:type="dxa"/>
            <w:vAlign w:val="center"/>
          </w:tcPr>
          <w:p>
            <w:pPr>
              <w:jc w:val="center"/>
              <w:rPr>
                <w:rFonts w:hint="eastAsia" w:ascii="宋体" w:hAnsi="宋体" w:eastAsia="宋体" w:cs="宋体"/>
                <w:color w:val="auto"/>
                <w:highlight w:val="none"/>
              </w:rPr>
            </w:pPr>
          </w:p>
        </w:tc>
        <w:tc>
          <w:tcPr>
            <w:tcW w:w="3134" w:type="dxa"/>
            <w:vAlign w:val="center"/>
          </w:tcPr>
          <w:p>
            <w:pPr>
              <w:jc w:val="center"/>
              <w:rPr>
                <w:rFonts w:hint="eastAsia" w:ascii="宋体" w:hAnsi="宋体" w:eastAsia="宋体" w:cs="宋体"/>
                <w:color w:val="auto"/>
                <w:highlight w:val="none"/>
              </w:rPr>
            </w:pPr>
          </w:p>
        </w:tc>
        <w:tc>
          <w:tcPr>
            <w:tcW w:w="1676" w:type="dxa"/>
            <w:vAlign w:val="center"/>
          </w:tcPr>
          <w:p>
            <w:pPr>
              <w:jc w:val="center"/>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3" w:type="dxa"/>
            <w:vAlign w:val="center"/>
          </w:tcPr>
          <w:p>
            <w:pPr>
              <w:jc w:val="center"/>
              <w:rPr>
                <w:rFonts w:hint="eastAsia" w:ascii="宋体" w:hAnsi="宋体" w:eastAsia="宋体" w:cs="宋体"/>
                <w:color w:val="auto"/>
                <w:highlight w:val="none"/>
              </w:rPr>
            </w:pPr>
          </w:p>
        </w:tc>
        <w:tc>
          <w:tcPr>
            <w:tcW w:w="3215" w:type="dxa"/>
            <w:vAlign w:val="center"/>
          </w:tcPr>
          <w:p>
            <w:pPr>
              <w:jc w:val="center"/>
              <w:rPr>
                <w:rFonts w:hint="eastAsia" w:ascii="宋体" w:hAnsi="宋体" w:eastAsia="宋体" w:cs="宋体"/>
                <w:color w:val="auto"/>
                <w:highlight w:val="none"/>
              </w:rPr>
            </w:pPr>
          </w:p>
        </w:tc>
        <w:tc>
          <w:tcPr>
            <w:tcW w:w="3134" w:type="dxa"/>
            <w:vAlign w:val="center"/>
          </w:tcPr>
          <w:p>
            <w:pPr>
              <w:jc w:val="center"/>
              <w:rPr>
                <w:rFonts w:hint="eastAsia" w:ascii="宋体" w:hAnsi="宋体" w:eastAsia="宋体" w:cs="宋体"/>
                <w:color w:val="auto"/>
                <w:highlight w:val="none"/>
              </w:rPr>
            </w:pPr>
          </w:p>
        </w:tc>
        <w:tc>
          <w:tcPr>
            <w:tcW w:w="1676" w:type="dxa"/>
            <w:vAlign w:val="center"/>
          </w:tcPr>
          <w:p>
            <w:pPr>
              <w:jc w:val="center"/>
              <w:rPr>
                <w:rFonts w:hint="eastAsia" w:ascii="宋体" w:hAnsi="宋体" w:eastAsia="宋体" w:cs="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843" w:type="dxa"/>
            <w:tcBorders>
              <w:bottom w:val="single" w:color="auto" w:sz="12"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c>
          <w:tcPr>
            <w:tcW w:w="8025" w:type="dxa"/>
            <w:gridSpan w:val="3"/>
            <w:tcBorders>
              <w:bottom w:val="single" w:color="auto" w:sz="12" w:space="0"/>
            </w:tcBorders>
            <w:vAlign w:val="center"/>
          </w:tcPr>
          <w:p>
            <w:pPr>
              <w:jc w:val="both"/>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1．</w:t>
            </w:r>
            <w:r>
              <w:rPr>
                <w:rFonts w:hint="eastAsia" w:ascii="宋体" w:hAnsi="宋体" w:cs="宋体"/>
                <w:b/>
                <w:bCs/>
                <w:color w:val="auto"/>
                <w:highlight w:val="none"/>
                <w:lang w:eastAsia="zh-CN"/>
              </w:rPr>
              <w:t>根据</w:t>
            </w:r>
            <w:r>
              <w:rPr>
                <w:rFonts w:hint="eastAsia" w:ascii="宋体" w:hAnsi="宋体" w:cs="宋体"/>
                <w:b/>
                <w:bCs/>
                <w:color w:val="auto"/>
                <w:highlight w:val="none"/>
                <w:lang w:val="en-US" w:eastAsia="zh-CN"/>
              </w:rPr>
              <w:t>“第三章招标内容及要求”</w:t>
            </w:r>
            <w:r>
              <w:rPr>
                <w:rFonts w:hint="eastAsia" w:ascii="宋体" w:hAnsi="宋体" w:eastAsia="宋体" w:cs="宋体"/>
                <w:b/>
                <w:bCs/>
                <w:color w:val="auto"/>
                <w:highlight w:val="none"/>
                <w:lang w:val="en-US" w:eastAsia="zh-CN"/>
              </w:rPr>
              <w:t>项目技术要求中的系统功能要求及建设要求</w:t>
            </w:r>
            <w:r>
              <w:rPr>
                <w:rFonts w:hint="eastAsia" w:ascii="宋体" w:hAnsi="宋体" w:cs="宋体"/>
                <w:b/>
                <w:bCs/>
                <w:color w:val="auto"/>
                <w:highlight w:val="none"/>
                <w:lang w:val="en-US" w:eastAsia="zh-CN"/>
              </w:rPr>
              <w:t>填写</w:t>
            </w:r>
            <w:r>
              <w:rPr>
                <w:rFonts w:hint="eastAsia" w:ascii="宋体" w:hAnsi="宋体" w:eastAsia="宋体" w:cs="宋体"/>
                <w:b/>
                <w:bCs/>
                <w:color w:val="auto"/>
                <w:highlight w:val="none"/>
                <w:lang w:val="en-US" w:eastAsia="zh-CN"/>
              </w:rPr>
              <w:t>。</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2．响应说明按实际响应情况填写“</w:t>
            </w:r>
            <w:r>
              <w:rPr>
                <w:rFonts w:hint="eastAsia" w:ascii="宋体" w:hAnsi="宋体" w:cs="宋体"/>
                <w:color w:val="auto"/>
                <w:highlight w:val="none"/>
                <w:lang w:eastAsia="zh-CN"/>
              </w:rPr>
              <w:t>正偏离</w:t>
            </w:r>
            <w:r>
              <w:rPr>
                <w:rFonts w:hint="eastAsia" w:ascii="宋体" w:hAnsi="宋体" w:eastAsia="宋体" w:cs="宋体"/>
                <w:color w:val="auto"/>
                <w:highlight w:val="none"/>
              </w:rPr>
              <w:t>”、“响应”、“</w:t>
            </w:r>
            <w:r>
              <w:rPr>
                <w:rFonts w:hint="eastAsia" w:ascii="宋体" w:hAnsi="宋体" w:eastAsia="宋体" w:cs="宋体"/>
                <w:color w:val="auto"/>
                <w:highlight w:val="none"/>
                <w:lang w:val="en-US" w:eastAsia="zh-CN"/>
              </w:rPr>
              <w:t>负偏离</w:t>
            </w:r>
            <w:r>
              <w:rPr>
                <w:rFonts w:hint="eastAsia" w:ascii="宋体" w:hAnsi="宋体" w:eastAsia="宋体" w:cs="宋体"/>
                <w:color w:val="auto"/>
                <w:highlight w:val="none"/>
              </w:rPr>
              <w:t>”。</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3．“响应索引”单元格中注明引用位置，如“见技术（服务）响应方案4.1.1”。</w:t>
            </w:r>
          </w:p>
        </w:tc>
      </w:tr>
    </w:tbl>
    <w:p>
      <w:pPr>
        <w:pStyle w:val="28"/>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文件所有条款的要求，无偏离。</w:t>
      </w:r>
      <w:r>
        <w:rPr>
          <w:rFonts w:hint="eastAsia" w:ascii="宋体" w:hAnsi="宋体" w:eastAsia="宋体" w:cs="宋体"/>
          <w:color w:val="auto"/>
          <w:sz w:val="24"/>
          <w:szCs w:val="24"/>
          <w:highlight w:val="none"/>
        </w:rPr>
        <w:t>”</w:t>
      </w:r>
    </w:p>
    <w:p>
      <w:pPr>
        <w:pStyle w:val="28"/>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color w:val="auto"/>
          <w:sz w:val="24"/>
          <w:szCs w:val="24"/>
          <w:highlight w:val="none"/>
        </w:rPr>
      </w:pP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供应商：（供应商全称并加盖公章）</w:t>
      </w: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附：技术（服务）响应方案</w:t>
      </w:r>
    </w:p>
    <w:p>
      <w:pPr>
        <w:spacing w:line="560" w:lineRule="exact"/>
        <w:ind w:firstLine="480" w:firstLineChars="200"/>
        <w:jc w:val="both"/>
        <w:rPr>
          <w:rFonts w:hint="eastAsia" w:ascii="宋体" w:hAnsi="宋体" w:cs="宋体"/>
          <w:color w:val="auto"/>
          <w:highlight w:val="none"/>
          <w:lang w:val="en-US" w:eastAsia="zh-CN"/>
        </w:rPr>
      </w:pPr>
      <w:r>
        <w:rPr>
          <w:rFonts w:hint="eastAsia" w:ascii="宋体" w:hAnsi="宋体" w:cs="宋体"/>
          <w:color w:val="auto"/>
          <w:highlight w:val="none"/>
          <w:lang w:eastAsia="zh-CN"/>
        </w:rPr>
        <w:t>根据本项目“第二章</w:t>
      </w:r>
      <w:r>
        <w:rPr>
          <w:rFonts w:hint="eastAsia" w:ascii="宋体" w:hAnsi="宋体" w:cs="宋体"/>
          <w:color w:val="auto"/>
          <w:highlight w:val="none"/>
          <w:lang w:val="en-US" w:eastAsia="zh-CN"/>
        </w:rPr>
        <w:t xml:space="preserve"> 供应商须知”中的〖评审要素及分值一览表〗提供。</w:t>
      </w:r>
    </w:p>
    <w:p>
      <w:pPr>
        <w:numPr>
          <w:ilvl w:val="0"/>
          <w:numId w:val="5"/>
        </w:numPr>
        <w:spacing w:line="560" w:lineRule="exact"/>
        <w:ind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业绩证明</w:t>
      </w:r>
    </w:p>
    <w:p>
      <w:pPr>
        <w:numPr>
          <w:ilvl w:val="0"/>
          <w:numId w:val="5"/>
        </w:numPr>
        <w:spacing w:line="560" w:lineRule="exact"/>
        <w:ind w:left="0" w:leftChars="0"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服务体系</w:t>
      </w:r>
    </w:p>
    <w:p>
      <w:pPr>
        <w:numPr>
          <w:ilvl w:val="0"/>
          <w:numId w:val="5"/>
        </w:numPr>
        <w:spacing w:line="560" w:lineRule="exact"/>
        <w:ind w:left="0" w:leftChars="0"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技术方案</w:t>
      </w:r>
    </w:p>
    <w:p>
      <w:pPr>
        <w:numPr>
          <w:ilvl w:val="0"/>
          <w:numId w:val="5"/>
        </w:numPr>
        <w:spacing w:line="560" w:lineRule="exact"/>
        <w:ind w:left="0" w:leftChars="0"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项目团队</w:t>
      </w:r>
    </w:p>
    <w:p>
      <w:pPr>
        <w:numPr>
          <w:ilvl w:val="0"/>
          <w:numId w:val="5"/>
        </w:numPr>
        <w:spacing w:line="560" w:lineRule="exact"/>
        <w:ind w:left="0" w:leftChars="0"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技术培训方案</w:t>
      </w:r>
    </w:p>
    <w:p>
      <w:pPr>
        <w:numPr>
          <w:ilvl w:val="0"/>
          <w:numId w:val="0"/>
        </w:numPr>
        <w:spacing w:line="560" w:lineRule="exact"/>
        <w:ind w:leftChars="200"/>
        <w:jc w:val="both"/>
        <w:rPr>
          <w:rFonts w:hint="eastAsia" w:ascii="宋体" w:hAnsi="宋体" w:eastAsia="宋体" w:cs="宋体"/>
          <w:color w:val="auto"/>
          <w:sz w:val="28"/>
          <w:szCs w:val="28"/>
          <w:highlight w:val="none"/>
          <w:lang w:eastAsia="zh-CN"/>
        </w:rPr>
      </w:pPr>
      <w:r>
        <w:rPr>
          <w:rFonts w:hint="eastAsia" w:ascii="宋体" w:hAnsi="宋体" w:eastAsia="宋体" w:cs="宋体"/>
          <w:color w:val="auto"/>
          <w:highlight w:val="none"/>
          <w:lang w:val="en-US" w:eastAsia="zh-CN"/>
        </w:rPr>
        <w:t>（6）售后服务</w:t>
      </w:r>
    </w:p>
    <w:p>
      <w:pPr>
        <w:spacing w:line="560" w:lineRule="exact"/>
        <w:ind w:firstLine="480" w:firstLineChars="200"/>
        <w:jc w:val="both"/>
        <w:rPr>
          <w:rFonts w:hint="eastAsia" w:ascii="宋体" w:hAnsi="宋体" w:eastAsia="宋体" w:cs="宋体"/>
          <w:color w:val="auto"/>
          <w:highlight w:val="none"/>
          <w:lang w:val="en-US" w:eastAsia="zh-CN"/>
        </w:rPr>
      </w:pPr>
    </w:p>
    <w:p>
      <w:pPr>
        <w:spacing w:line="560" w:lineRule="exact"/>
        <w:ind w:firstLine="480" w:firstLineChars="200"/>
        <w:jc w:val="both"/>
        <w:rPr>
          <w:rFonts w:hint="eastAsia" w:ascii="宋体" w:hAnsi="宋体" w:eastAsia="宋体" w:cs="宋体"/>
          <w:color w:val="auto"/>
          <w:highlight w:val="none"/>
          <w:lang w:val="en-US" w:eastAsia="zh-CN"/>
        </w:rPr>
      </w:pPr>
    </w:p>
    <w:p>
      <w:pPr>
        <w:spacing w:line="560" w:lineRule="exact"/>
        <w:ind w:firstLine="480" w:firstLineChars="200"/>
        <w:jc w:val="both"/>
        <w:rPr>
          <w:rFonts w:hint="eastAsia" w:ascii="宋体" w:hAnsi="宋体" w:eastAsia="宋体" w:cs="宋体"/>
          <w:color w:val="auto"/>
          <w:highlight w:val="none"/>
          <w:lang w:val="en-US" w:eastAsia="zh-CN"/>
        </w:rPr>
      </w:pPr>
    </w:p>
    <w:p>
      <w:pPr>
        <w:spacing w:line="560" w:lineRule="exact"/>
        <w:ind w:firstLine="480" w:firstLineChars="200"/>
        <w:jc w:val="both"/>
        <w:rPr>
          <w:rFonts w:hint="eastAsia" w:ascii="宋体" w:hAnsi="宋体" w:eastAsia="宋体" w:cs="宋体"/>
          <w:color w:val="auto"/>
          <w:highlight w:val="none"/>
          <w:lang w:val="en-US" w:eastAsia="zh-CN"/>
        </w:rPr>
        <w:sectPr>
          <w:pgSz w:w="11906" w:h="16838"/>
          <w:pgMar w:top="1440" w:right="1083" w:bottom="1440" w:left="1519" w:header="851" w:footer="992" w:gutter="0"/>
          <w:pgNumType w:fmt="decimal"/>
          <w:cols w:space="425" w:num="1"/>
          <w:docGrid w:type="linesAndChars" w:linePitch="420" w:charSpace="0"/>
        </w:sectPr>
      </w:pPr>
    </w:p>
    <w:p>
      <w:pPr>
        <w:pStyle w:val="113"/>
        <w:spacing w:before="210" w:after="210"/>
        <w:ind w:left="0" w:leftChars="0" w:firstLine="0" w:firstLineChars="0"/>
        <w:jc w:val="center"/>
        <w:outlineLvl w:val="2"/>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eastAsia="zh-CN"/>
        </w:rPr>
        <w:t>（二）商务要求偏离表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1719"/>
        <w:gridCol w:w="2522"/>
        <w:gridCol w:w="2397"/>
        <w:gridCol w:w="1018"/>
        <w:gridCol w:w="118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535"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c>
          <w:tcPr>
            <w:tcW w:w="620" w:type="pct"/>
            <w:tcBorders>
              <w:top w:val="single" w:color="auto" w:sz="2" w:space="0"/>
            </w:tcBorders>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535" w:type="pct"/>
            <w:vAlign w:val="center"/>
          </w:tcPr>
          <w:p>
            <w:pPr>
              <w:spacing w:line="560" w:lineRule="exact"/>
              <w:jc w:val="center"/>
              <w:rPr>
                <w:rFonts w:hint="eastAsia" w:ascii="宋体" w:hAnsi="宋体" w:eastAsia="宋体" w:cs="宋体"/>
                <w:color w:val="auto"/>
                <w:sz w:val="24"/>
                <w:szCs w:val="24"/>
                <w:highlight w:val="none"/>
              </w:rPr>
            </w:pPr>
          </w:p>
        </w:tc>
        <w:tc>
          <w:tcPr>
            <w:tcW w:w="620"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535" w:type="pct"/>
            <w:vAlign w:val="center"/>
          </w:tcPr>
          <w:p>
            <w:pPr>
              <w:spacing w:line="560" w:lineRule="exact"/>
              <w:jc w:val="center"/>
              <w:rPr>
                <w:rFonts w:hint="eastAsia" w:ascii="宋体" w:hAnsi="宋体" w:eastAsia="宋体" w:cs="宋体"/>
                <w:color w:val="auto"/>
                <w:sz w:val="24"/>
                <w:szCs w:val="24"/>
                <w:highlight w:val="none"/>
              </w:rPr>
            </w:pPr>
          </w:p>
        </w:tc>
        <w:tc>
          <w:tcPr>
            <w:tcW w:w="620"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535" w:type="pct"/>
            <w:vAlign w:val="center"/>
          </w:tcPr>
          <w:p>
            <w:pPr>
              <w:spacing w:line="560" w:lineRule="exact"/>
              <w:jc w:val="center"/>
              <w:rPr>
                <w:rFonts w:hint="eastAsia" w:ascii="宋体" w:hAnsi="宋体" w:eastAsia="宋体" w:cs="宋体"/>
                <w:color w:val="auto"/>
                <w:sz w:val="24"/>
                <w:szCs w:val="24"/>
                <w:highlight w:val="none"/>
              </w:rPr>
            </w:pPr>
          </w:p>
        </w:tc>
        <w:tc>
          <w:tcPr>
            <w:tcW w:w="620"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535" w:type="pct"/>
            <w:vAlign w:val="center"/>
          </w:tcPr>
          <w:p>
            <w:pPr>
              <w:spacing w:line="560" w:lineRule="exact"/>
              <w:jc w:val="center"/>
              <w:rPr>
                <w:rFonts w:hint="eastAsia" w:ascii="宋体" w:hAnsi="宋体" w:eastAsia="宋体" w:cs="宋体"/>
                <w:color w:val="auto"/>
                <w:sz w:val="24"/>
                <w:szCs w:val="24"/>
                <w:highlight w:val="none"/>
              </w:rPr>
            </w:pPr>
          </w:p>
        </w:tc>
        <w:tc>
          <w:tcPr>
            <w:tcW w:w="620"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p>
        </w:tc>
        <w:tc>
          <w:tcPr>
            <w:tcW w:w="903" w:type="pct"/>
            <w:vAlign w:val="center"/>
          </w:tcPr>
          <w:p>
            <w:pPr>
              <w:spacing w:line="560" w:lineRule="exact"/>
              <w:jc w:val="center"/>
              <w:rPr>
                <w:rFonts w:hint="eastAsia" w:ascii="宋体" w:hAnsi="宋体" w:eastAsia="宋体" w:cs="宋体"/>
                <w:color w:val="auto"/>
                <w:sz w:val="24"/>
                <w:szCs w:val="24"/>
                <w:highlight w:val="none"/>
              </w:rPr>
            </w:pPr>
          </w:p>
        </w:tc>
        <w:tc>
          <w:tcPr>
            <w:tcW w:w="1325" w:type="pct"/>
            <w:vAlign w:val="center"/>
          </w:tcPr>
          <w:p>
            <w:pPr>
              <w:spacing w:line="560" w:lineRule="exact"/>
              <w:jc w:val="center"/>
              <w:rPr>
                <w:rFonts w:hint="eastAsia" w:ascii="宋体" w:hAnsi="宋体" w:eastAsia="宋体" w:cs="宋体"/>
                <w:color w:val="auto"/>
                <w:sz w:val="24"/>
                <w:szCs w:val="24"/>
                <w:highlight w:val="none"/>
              </w:rPr>
            </w:pPr>
          </w:p>
        </w:tc>
        <w:tc>
          <w:tcPr>
            <w:tcW w:w="1259" w:type="pct"/>
            <w:vAlign w:val="center"/>
          </w:tcPr>
          <w:p>
            <w:pPr>
              <w:spacing w:line="560" w:lineRule="exact"/>
              <w:jc w:val="center"/>
              <w:rPr>
                <w:rFonts w:hint="eastAsia" w:ascii="宋体" w:hAnsi="宋体" w:eastAsia="宋体" w:cs="宋体"/>
                <w:color w:val="auto"/>
                <w:sz w:val="24"/>
                <w:szCs w:val="24"/>
                <w:highlight w:val="none"/>
              </w:rPr>
            </w:pPr>
          </w:p>
        </w:tc>
        <w:tc>
          <w:tcPr>
            <w:tcW w:w="535" w:type="pct"/>
            <w:vAlign w:val="center"/>
          </w:tcPr>
          <w:p>
            <w:pPr>
              <w:spacing w:line="560" w:lineRule="exact"/>
              <w:jc w:val="center"/>
              <w:rPr>
                <w:rFonts w:hint="eastAsia" w:ascii="宋体" w:hAnsi="宋体" w:eastAsia="宋体" w:cs="宋体"/>
                <w:color w:val="auto"/>
                <w:sz w:val="24"/>
                <w:szCs w:val="24"/>
                <w:highlight w:val="none"/>
              </w:rPr>
            </w:pPr>
          </w:p>
        </w:tc>
        <w:tc>
          <w:tcPr>
            <w:tcW w:w="620" w:type="pct"/>
            <w:vAlign w:val="center"/>
          </w:tcPr>
          <w:p>
            <w:pPr>
              <w:spacing w:line="560" w:lineRule="exact"/>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3" w:type="pct"/>
            <w:gridSpan w:val="5"/>
            <w:vAlign w:val="center"/>
          </w:tcPr>
          <w:p>
            <w:pPr>
              <w:spacing w:line="560" w:lineRule="exact"/>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1．对</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eastAsia="zh-CN"/>
              </w:rPr>
              <w:t>四</w:t>
            </w:r>
            <w:r>
              <w:rPr>
                <w:rFonts w:hint="eastAsia" w:ascii="宋体" w:hAnsi="宋体" w:eastAsia="宋体" w:cs="宋体"/>
                <w:b/>
                <w:bCs/>
                <w:color w:val="auto"/>
                <w:sz w:val="24"/>
                <w:szCs w:val="24"/>
                <w:highlight w:val="none"/>
              </w:rPr>
              <w:t>章</w:t>
            </w:r>
            <w:r>
              <w:rPr>
                <w:rFonts w:hint="eastAsia" w:ascii="宋体" w:hAnsi="宋体" w:cs="宋体"/>
                <w:b/>
                <w:bCs/>
                <w:color w:val="auto"/>
                <w:sz w:val="24"/>
                <w:szCs w:val="24"/>
                <w:highlight w:val="none"/>
                <w:lang w:eastAsia="zh-CN"/>
              </w:rPr>
              <w:t>商务及合同文本”</w:t>
            </w:r>
            <w:r>
              <w:rPr>
                <w:rFonts w:hint="eastAsia" w:ascii="宋体" w:hAnsi="宋体" w:eastAsia="宋体" w:cs="宋体"/>
                <w:b/>
                <w:bCs/>
                <w:color w:val="auto"/>
                <w:sz w:val="24"/>
                <w:szCs w:val="24"/>
                <w:highlight w:val="none"/>
              </w:rPr>
              <w:t>中的商务要求做出响应。</w:t>
            </w:r>
          </w:p>
          <w:p>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2．响应说明按实际响应情况填写“</w:t>
            </w:r>
            <w:r>
              <w:rPr>
                <w:rFonts w:hint="eastAsia" w:ascii="宋体" w:hAnsi="宋体" w:eastAsia="宋体" w:cs="宋体"/>
                <w:b/>
                <w:bCs/>
                <w:color w:val="auto"/>
                <w:sz w:val="24"/>
                <w:szCs w:val="24"/>
                <w:highlight w:val="none"/>
                <w:lang w:eastAsia="zh-CN"/>
              </w:rPr>
              <w:t>正偏离</w:t>
            </w:r>
            <w:r>
              <w:rPr>
                <w:rFonts w:hint="eastAsia" w:ascii="宋体" w:hAnsi="宋体" w:eastAsia="宋体" w:cs="宋体"/>
                <w:b/>
                <w:bCs/>
                <w:color w:val="auto"/>
                <w:sz w:val="24"/>
                <w:szCs w:val="24"/>
                <w:highlight w:val="none"/>
              </w:rPr>
              <w:t>”、“响应”、“</w:t>
            </w:r>
            <w:r>
              <w:rPr>
                <w:rFonts w:hint="eastAsia" w:ascii="宋体" w:hAnsi="宋体" w:cs="宋体"/>
                <w:b/>
                <w:bCs/>
                <w:color w:val="auto"/>
                <w:sz w:val="24"/>
                <w:szCs w:val="24"/>
                <w:highlight w:val="none"/>
                <w:lang w:eastAsia="zh-CN"/>
              </w:rPr>
              <w:t>负</w:t>
            </w:r>
            <w:r>
              <w:rPr>
                <w:rFonts w:hint="eastAsia" w:ascii="宋体" w:hAnsi="宋体" w:eastAsia="宋体" w:cs="宋体"/>
                <w:b/>
                <w:bCs/>
                <w:color w:val="auto"/>
                <w:sz w:val="24"/>
                <w:szCs w:val="24"/>
                <w:highlight w:val="none"/>
                <w:lang w:eastAsia="zh-CN"/>
              </w:rPr>
              <w:t>偏离</w:t>
            </w:r>
            <w:r>
              <w:rPr>
                <w:rFonts w:hint="eastAsia" w:ascii="宋体" w:hAnsi="宋体" w:eastAsia="宋体" w:cs="宋体"/>
                <w:b/>
                <w:bCs/>
                <w:color w:val="auto"/>
                <w:sz w:val="24"/>
                <w:szCs w:val="24"/>
                <w:highlight w:val="none"/>
              </w:rPr>
              <w:t>”。</w:t>
            </w:r>
          </w:p>
        </w:tc>
      </w:tr>
    </w:tbl>
    <w:p>
      <w:pPr>
        <w:pStyle w:val="28"/>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文件所有条款的要求，无偏离。</w:t>
      </w:r>
      <w:r>
        <w:rPr>
          <w:rFonts w:hint="eastAsia" w:ascii="宋体" w:hAnsi="宋体" w:eastAsia="宋体" w:cs="宋体"/>
          <w:color w:val="auto"/>
          <w:sz w:val="24"/>
          <w:szCs w:val="24"/>
          <w:highlight w:val="none"/>
        </w:rPr>
        <w:t>”</w:t>
      </w:r>
    </w:p>
    <w:p>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480" w:firstLineChars="200"/>
        <w:jc w:val="right"/>
        <w:rPr>
          <w:rFonts w:hint="eastAsia" w:ascii="宋体" w:hAnsi="宋体" w:eastAsia="宋体" w:cs="宋体"/>
          <w:color w:val="auto"/>
          <w:sz w:val="32"/>
          <w:szCs w:val="32"/>
          <w:highlight w:val="none"/>
        </w:rPr>
      </w:pPr>
      <w:r>
        <w:rPr>
          <w:rFonts w:hint="eastAsia" w:ascii="宋体" w:hAnsi="宋体" w:eastAsia="宋体" w:cs="宋体"/>
          <w:color w:val="auto"/>
          <w:sz w:val="24"/>
          <w:szCs w:val="24"/>
          <w:highlight w:val="none"/>
        </w:rPr>
        <w:t>日  期：    年  月  日</w:t>
      </w:r>
    </w:p>
    <w:p>
      <w:pPr>
        <w:spacing w:line="560" w:lineRule="exact"/>
        <w:ind w:firstLine="640" w:firstLineChars="200"/>
        <w:jc w:val="center"/>
        <w:outlineLvl w:val="2"/>
        <w:rPr>
          <w:rFonts w:hint="eastAsia" w:ascii="宋体" w:hAnsi="宋体" w:eastAsia="宋体" w:cs="宋体"/>
          <w:color w:val="auto"/>
          <w:sz w:val="28"/>
          <w:szCs w:val="28"/>
          <w:highlight w:val="none"/>
        </w:rPr>
      </w:pPr>
      <w:r>
        <w:rPr>
          <w:rFonts w:hint="eastAsia" w:ascii="宋体" w:hAnsi="宋体" w:eastAsia="宋体" w:cs="宋体"/>
          <w:color w:val="auto"/>
          <w:sz w:val="32"/>
          <w:szCs w:val="32"/>
          <w:highlight w:val="none"/>
        </w:rPr>
        <w:br w:type="page"/>
      </w:r>
      <w:r>
        <w:rPr>
          <w:rFonts w:hint="eastAsia" w:ascii="宋体" w:hAnsi="宋体" w:eastAsia="宋体" w:cs="宋体"/>
          <w:b/>
          <w:bCs/>
          <w:color w:val="auto"/>
          <w:kern w:val="32"/>
          <w:sz w:val="28"/>
          <w:szCs w:val="28"/>
          <w:highlight w:val="none"/>
          <w:lang w:val="en-US" w:eastAsia="zh-CN" w:bidi="ar-SA"/>
        </w:rPr>
        <w:t>（三）合同条款响应</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21"/>
        <w:gridCol w:w="1450"/>
        <w:gridCol w:w="2360"/>
        <w:gridCol w:w="2373"/>
        <w:gridCol w:w="1201"/>
        <w:gridCol w:w="120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4"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62"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1240"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招标文件合同条款明细</w:t>
            </w:r>
          </w:p>
        </w:tc>
        <w:tc>
          <w:tcPr>
            <w:tcW w:w="1247"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投标文件合同条款响应</w:t>
            </w:r>
          </w:p>
        </w:tc>
        <w:tc>
          <w:tcPr>
            <w:tcW w:w="631"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响应说明</w:t>
            </w:r>
          </w:p>
        </w:tc>
        <w:tc>
          <w:tcPr>
            <w:tcW w:w="633"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4"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762"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1240"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1247"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631" w:type="pct"/>
            <w:tcBorders>
              <w:top w:val="single" w:color="auto" w:sz="2" w:space="0"/>
            </w:tcBorders>
            <w:vAlign w:val="center"/>
          </w:tcPr>
          <w:p>
            <w:pPr>
              <w:jc w:val="center"/>
              <w:rPr>
                <w:rFonts w:hint="eastAsia" w:ascii="宋体" w:hAnsi="宋体" w:eastAsia="宋体" w:cs="宋体"/>
                <w:color w:val="auto"/>
                <w:sz w:val="24"/>
                <w:szCs w:val="24"/>
                <w:highlight w:val="none"/>
              </w:rPr>
            </w:pPr>
          </w:p>
        </w:tc>
        <w:tc>
          <w:tcPr>
            <w:tcW w:w="633" w:type="pct"/>
            <w:tcBorders>
              <w:top w:val="single" w:color="auto" w:sz="2" w:space="0"/>
            </w:tcBorders>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4" w:type="pct"/>
            <w:vAlign w:val="center"/>
          </w:tcPr>
          <w:p>
            <w:pPr>
              <w:jc w:val="center"/>
              <w:rPr>
                <w:rFonts w:hint="eastAsia" w:ascii="宋体" w:hAnsi="宋体" w:eastAsia="宋体" w:cs="宋体"/>
                <w:color w:val="auto"/>
                <w:sz w:val="24"/>
                <w:szCs w:val="24"/>
                <w:highlight w:val="none"/>
              </w:rPr>
            </w:pPr>
          </w:p>
        </w:tc>
        <w:tc>
          <w:tcPr>
            <w:tcW w:w="762"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4" w:type="pct"/>
            <w:vAlign w:val="center"/>
          </w:tcPr>
          <w:p>
            <w:pPr>
              <w:jc w:val="center"/>
              <w:rPr>
                <w:rFonts w:hint="eastAsia" w:ascii="宋体" w:hAnsi="宋体" w:eastAsia="宋体" w:cs="宋体"/>
                <w:color w:val="auto"/>
                <w:sz w:val="24"/>
                <w:szCs w:val="24"/>
                <w:highlight w:val="none"/>
              </w:rPr>
            </w:pPr>
          </w:p>
        </w:tc>
        <w:tc>
          <w:tcPr>
            <w:tcW w:w="762"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4" w:type="pct"/>
            <w:vAlign w:val="center"/>
          </w:tcPr>
          <w:p>
            <w:pPr>
              <w:jc w:val="center"/>
              <w:rPr>
                <w:rFonts w:hint="eastAsia" w:ascii="宋体" w:hAnsi="宋体" w:eastAsia="宋体" w:cs="宋体"/>
                <w:color w:val="auto"/>
                <w:sz w:val="24"/>
                <w:szCs w:val="24"/>
                <w:highlight w:val="none"/>
              </w:rPr>
            </w:pPr>
          </w:p>
        </w:tc>
        <w:tc>
          <w:tcPr>
            <w:tcW w:w="762"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4" w:type="pct"/>
            <w:vAlign w:val="center"/>
          </w:tcPr>
          <w:p>
            <w:pPr>
              <w:jc w:val="center"/>
              <w:rPr>
                <w:rFonts w:hint="eastAsia" w:ascii="宋体" w:hAnsi="宋体" w:eastAsia="宋体" w:cs="宋体"/>
                <w:color w:val="auto"/>
                <w:sz w:val="24"/>
                <w:szCs w:val="24"/>
                <w:highlight w:val="none"/>
              </w:rPr>
            </w:pPr>
          </w:p>
        </w:tc>
        <w:tc>
          <w:tcPr>
            <w:tcW w:w="762"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4" w:type="pct"/>
            <w:vAlign w:val="center"/>
          </w:tcPr>
          <w:p>
            <w:pPr>
              <w:jc w:val="center"/>
              <w:rPr>
                <w:rFonts w:hint="eastAsia" w:ascii="宋体" w:hAnsi="宋体" w:eastAsia="宋体" w:cs="宋体"/>
                <w:color w:val="auto"/>
                <w:sz w:val="24"/>
                <w:szCs w:val="24"/>
                <w:highlight w:val="none"/>
              </w:rPr>
            </w:pPr>
          </w:p>
        </w:tc>
        <w:tc>
          <w:tcPr>
            <w:tcW w:w="762" w:type="pct"/>
            <w:vAlign w:val="center"/>
          </w:tcPr>
          <w:p>
            <w:pPr>
              <w:jc w:val="center"/>
              <w:rPr>
                <w:rFonts w:hint="eastAsia" w:ascii="宋体" w:hAnsi="宋体" w:eastAsia="宋体" w:cs="宋体"/>
                <w:color w:val="auto"/>
                <w:sz w:val="24"/>
                <w:szCs w:val="24"/>
                <w:highlight w:val="none"/>
              </w:rPr>
            </w:pPr>
          </w:p>
        </w:tc>
        <w:tc>
          <w:tcPr>
            <w:tcW w:w="1240" w:type="pct"/>
            <w:vAlign w:val="center"/>
          </w:tcPr>
          <w:p>
            <w:pPr>
              <w:jc w:val="center"/>
              <w:rPr>
                <w:rFonts w:hint="eastAsia" w:ascii="宋体" w:hAnsi="宋体" w:eastAsia="宋体" w:cs="宋体"/>
                <w:color w:val="auto"/>
                <w:sz w:val="24"/>
                <w:szCs w:val="24"/>
                <w:highlight w:val="none"/>
              </w:rPr>
            </w:pPr>
          </w:p>
        </w:tc>
        <w:tc>
          <w:tcPr>
            <w:tcW w:w="1247" w:type="pct"/>
            <w:vAlign w:val="center"/>
          </w:tcPr>
          <w:p>
            <w:pPr>
              <w:jc w:val="center"/>
              <w:rPr>
                <w:rFonts w:hint="eastAsia" w:ascii="宋体" w:hAnsi="宋体" w:eastAsia="宋体" w:cs="宋体"/>
                <w:color w:val="auto"/>
                <w:sz w:val="24"/>
                <w:szCs w:val="24"/>
                <w:highlight w:val="none"/>
              </w:rPr>
            </w:pPr>
          </w:p>
        </w:tc>
        <w:tc>
          <w:tcPr>
            <w:tcW w:w="631" w:type="pct"/>
            <w:vAlign w:val="center"/>
          </w:tcPr>
          <w:p>
            <w:pPr>
              <w:jc w:val="center"/>
              <w:rPr>
                <w:rFonts w:hint="eastAsia" w:ascii="宋体" w:hAnsi="宋体" w:eastAsia="宋体" w:cs="宋体"/>
                <w:color w:val="auto"/>
                <w:sz w:val="24"/>
                <w:szCs w:val="24"/>
                <w:highlight w:val="none"/>
              </w:rPr>
            </w:pPr>
          </w:p>
        </w:tc>
        <w:tc>
          <w:tcPr>
            <w:tcW w:w="633" w:type="pct"/>
            <w:vAlign w:val="center"/>
          </w:tcPr>
          <w:p>
            <w:pPr>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4" w:type="pct"/>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515" w:type="pct"/>
            <w:gridSpan w:val="5"/>
            <w:vAlign w:val="center"/>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1．“完全接受”的条款无需在本表中列出；对于需要供应商填报的内容，以及“不能接受”或“有条件接受”的条款，则应写明该条款名称及条款明细、以及供应商所能接受的条件。</w:t>
            </w:r>
          </w:p>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3．因表格空间因有限，不足以容纳响应内容时，允许在表后进行响应，但须在表中注明引用位置，如“见本表下方3.1.1”。</w:t>
            </w:r>
          </w:p>
        </w:tc>
      </w:tr>
    </w:tbl>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文件所有条款的要求，无偏离。</w:t>
      </w:r>
      <w:r>
        <w:rPr>
          <w:rFonts w:hint="eastAsia" w:ascii="宋体" w:hAnsi="宋体" w:eastAsia="宋体" w:cs="宋体"/>
          <w:color w:val="auto"/>
          <w:sz w:val="24"/>
          <w:szCs w:val="24"/>
          <w:highlight w:val="none"/>
        </w:rPr>
        <w:t>”</w:t>
      </w:r>
    </w:p>
    <w:p>
      <w:pPr>
        <w:pStyle w:val="12"/>
        <w:rPr>
          <w:rFonts w:hint="eastAsia" w:ascii="宋体" w:hAnsi="宋体" w:eastAsia="宋体" w:cs="宋体"/>
          <w:color w:val="auto"/>
          <w:highlight w:val="none"/>
        </w:rPr>
      </w:pPr>
    </w:p>
    <w:p>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pPr>
        <w:spacing w:line="560" w:lineRule="exact"/>
        <w:ind w:firstLine="480" w:firstLineChars="2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pPr>
        <w:spacing w:line="560" w:lineRule="exact"/>
        <w:ind w:firstLine="480" w:firstLineChars="200"/>
        <w:jc w:val="center"/>
        <w:outlineLvl w:val="2"/>
        <w:rPr>
          <w:rFonts w:hint="eastAsia" w:ascii="宋体" w:hAnsi="宋体" w:eastAsia="宋体" w:cs="宋体"/>
          <w:color w:val="auto"/>
          <w:sz w:val="28"/>
          <w:szCs w:val="28"/>
          <w:highlight w:val="none"/>
        </w:rPr>
      </w:pPr>
      <w:r>
        <w:rPr>
          <w:rFonts w:hint="eastAsia" w:ascii="宋体" w:hAnsi="宋体" w:eastAsia="宋体" w:cs="宋体"/>
          <w:color w:val="auto"/>
          <w:highlight w:val="none"/>
        </w:rPr>
        <w:br w:type="page"/>
      </w:r>
      <w:r>
        <w:rPr>
          <w:rFonts w:hint="eastAsia" w:ascii="宋体" w:hAnsi="宋体" w:eastAsia="宋体" w:cs="宋体"/>
          <w:b/>
          <w:bCs/>
          <w:color w:val="auto"/>
          <w:kern w:val="32"/>
          <w:sz w:val="28"/>
          <w:szCs w:val="28"/>
          <w:highlight w:val="none"/>
          <w:lang w:val="en-US" w:eastAsia="zh-CN" w:bidi="ar-SA"/>
        </w:rPr>
        <w:t>（四）其他需要供应商提供的材料</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1．项目实施人员情况表</w:t>
      </w:r>
    </w:p>
    <w:tbl>
      <w:tblPr>
        <w:tblStyle w:val="33"/>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938"/>
        <w:gridCol w:w="1217"/>
        <w:gridCol w:w="23"/>
        <w:gridCol w:w="1315"/>
        <w:gridCol w:w="16"/>
        <w:gridCol w:w="6"/>
        <w:gridCol w:w="1524"/>
        <w:gridCol w:w="1677"/>
        <w:gridCol w:w="40"/>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12" w:space="0"/>
              <w:left w:val="single" w:color="auto" w:sz="12" w:space="0"/>
              <w:bottom w:val="single" w:color="auto" w:sz="6" w:space="0"/>
              <w:right w:val="single" w:color="auto" w:sz="12" w:space="0"/>
            </w:tcBorders>
            <w:shd w:val="clear" w:color="auto" w:fill="F2F2F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938" w:type="dxa"/>
            <w:tcBorders>
              <w:lef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年龄</w:t>
            </w:r>
          </w:p>
        </w:tc>
        <w:tc>
          <w:tcPr>
            <w:tcW w:w="1217" w:type="dxa"/>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资格</w:t>
            </w:r>
          </w:p>
        </w:tc>
        <w:tc>
          <w:tcPr>
            <w:tcW w:w="1338" w:type="dxa"/>
            <w:gridSpan w:val="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职称</w:t>
            </w:r>
          </w:p>
        </w:tc>
        <w:tc>
          <w:tcPr>
            <w:tcW w:w="1546" w:type="dxa"/>
            <w:gridSpan w:val="3"/>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在本行业从业工作年限</w:t>
            </w:r>
          </w:p>
        </w:tc>
        <w:tc>
          <w:tcPr>
            <w:tcW w:w="1677" w:type="dxa"/>
            <w:tcBorders>
              <w:right w:val="single" w:color="auto" w:sz="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主要工作</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业绩和经历</w:t>
            </w:r>
          </w:p>
        </w:tc>
        <w:tc>
          <w:tcPr>
            <w:tcW w:w="1055" w:type="dxa"/>
            <w:gridSpan w:val="2"/>
            <w:tcBorders>
              <w:left w:val="single" w:color="auto" w:sz="2" w:space="0"/>
              <w:right w:val="single" w:color="auto" w:sz="1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拟派</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p>
        </w:tc>
        <w:tc>
          <w:tcPr>
            <w:tcW w:w="938" w:type="dxa"/>
            <w:tcBorders>
              <w:left w:val="single" w:color="auto" w:sz="6" w:space="0"/>
            </w:tcBorders>
            <w:vAlign w:val="center"/>
          </w:tcPr>
          <w:p>
            <w:pPr>
              <w:jc w:val="both"/>
              <w:rPr>
                <w:rFonts w:hint="eastAsia" w:ascii="宋体" w:hAnsi="宋体" w:eastAsia="宋体" w:cs="宋体"/>
                <w:color w:val="auto"/>
                <w:highlight w:val="none"/>
              </w:rPr>
            </w:pPr>
          </w:p>
        </w:tc>
        <w:tc>
          <w:tcPr>
            <w:tcW w:w="1217" w:type="dxa"/>
            <w:vAlign w:val="center"/>
          </w:tcPr>
          <w:p>
            <w:pPr>
              <w:jc w:val="both"/>
              <w:rPr>
                <w:rFonts w:hint="eastAsia" w:ascii="宋体" w:hAnsi="宋体" w:eastAsia="宋体" w:cs="宋体"/>
                <w:color w:val="auto"/>
                <w:highlight w:val="none"/>
              </w:rPr>
            </w:pPr>
          </w:p>
        </w:tc>
        <w:tc>
          <w:tcPr>
            <w:tcW w:w="1338" w:type="dxa"/>
            <w:gridSpan w:val="2"/>
            <w:vAlign w:val="center"/>
          </w:tcPr>
          <w:p>
            <w:pPr>
              <w:jc w:val="both"/>
              <w:rPr>
                <w:rFonts w:hint="eastAsia" w:ascii="宋体" w:hAnsi="宋体" w:eastAsia="宋体" w:cs="宋体"/>
                <w:color w:val="auto"/>
                <w:highlight w:val="none"/>
              </w:rPr>
            </w:pPr>
          </w:p>
        </w:tc>
        <w:tc>
          <w:tcPr>
            <w:tcW w:w="1546" w:type="dxa"/>
            <w:gridSpan w:val="3"/>
            <w:vAlign w:val="center"/>
          </w:tcPr>
          <w:p>
            <w:pPr>
              <w:jc w:val="both"/>
              <w:rPr>
                <w:rFonts w:hint="eastAsia" w:ascii="宋体" w:hAnsi="宋体" w:eastAsia="宋体" w:cs="宋体"/>
                <w:color w:val="auto"/>
                <w:highlight w:val="none"/>
              </w:rPr>
            </w:pPr>
          </w:p>
        </w:tc>
        <w:tc>
          <w:tcPr>
            <w:tcW w:w="1677" w:type="dxa"/>
            <w:tcBorders>
              <w:right w:val="single" w:color="auto" w:sz="2" w:space="0"/>
            </w:tcBorders>
            <w:vAlign w:val="center"/>
          </w:tcPr>
          <w:p>
            <w:pPr>
              <w:jc w:val="both"/>
              <w:rPr>
                <w:rFonts w:hint="eastAsia" w:ascii="宋体" w:hAnsi="宋体" w:eastAsia="宋体" w:cs="宋体"/>
                <w:color w:val="auto"/>
                <w:highlight w:val="none"/>
              </w:rPr>
            </w:pPr>
          </w:p>
        </w:tc>
        <w:tc>
          <w:tcPr>
            <w:tcW w:w="1055" w:type="dxa"/>
            <w:gridSpan w:val="2"/>
            <w:tcBorders>
              <w:left w:val="single" w:color="auto" w:sz="2" w:space="0"/>
              <w:right w:val="single" w:color="auto" w:sz="12" w:space="0"/>
            </w:tcBorders>
            <w:vAlign w:val="center"/>
          </w:tcPr>
          <w:p>
            <w:pPr>
              <w:jc w:val="both"/>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p>
        </w:tc>
        <w:tc>
          <w:tcPr>
            <w:tcW w:w="938" w:type="dxa"/>
            <w:tcBorders>
              <w:left w:val="single" w:color="auto" w:sz="6" w:space="0"/>
            </w:tcBorders>
            <w:vAlign w:val="center"/>
          </w:tcPr>
          <w:p>
            <w:pPr>
              <w:jc w:val="both"/>
              <w:rPr>
                <w:rFonts w:hint="eastAsia" w:ascii="宋体" w:hAnsi="宋体" w:eastAsia="宋体" w:cs="宋体"/>
                <w:color w:val="auto"/>
                <w:highlight w:val="none"/>
              </w:rPr>
            </w:pPr>
          </w:p>
        </w:tc>
        <w:tc>
          <w:tcPr>
            <w:tcW w:w="1217" w:type="dxa"/>
            <w:vAlign w:val="center"/>
          </w:tcPr>
          <w:p>
            <w:pPr>
              <w:jc w:val="both"/>
              <w:rPr>
                <w:rFonts w:hint="eastAsia" w:ascii="宋体" w:hAnsi="宋体" w:eastAsia="宋体" w:cs="宋体"/>
                <w:color w:val="auto"/>
                <w:highlight w:val="none"/>
              </w:rPr>
            </w:pPr>
          </w:p>
        </w:tc>
        <w:tc>
          <w:tcPr>
            <w:tcW w:w="1338" w:type="dxa"/>
            <w:gridSpan w:val="2"/>
            <w:vAlign w:val="center"/>
          </w:tcPr>
          <w:p>
            <w:pPr>
              <w:jc w:val="both"/>
              <w:rPr>
                <w:rFonts w:hint="eastAsia" w:ascii="宋体" w:hAnsi="宋体" w:eastAsia="宋体" w:cs="宋体"/>
                <w:color w:val="auto"/>
                <w:highlight w:val="none"/>
              </w:rPr>
            </w:pPr>
          </w:p>
        </w:tc>
        <w:tc>
          <w:tcPr>
            <w:tcW w:w="1546" w:type="dxa"/>
            <w:gridSpan w:val="3"/>
            <w:vAlign w:val="center"/>
          </w:tcPr>
          <w:p>
            <w:pPr>
              <w:jc w:val="both"/>
              <w:rPr>
                <w:rFonts w:hint="eastAsia" w:ascii="宋体" w:hAnsi="宋体" w:eastAsia="宋体" w:cs="宋体"/>
                <w:color w:val="auto"/>
                <w:highlight w:val="none"/>
              </w:rPr>
            </w:pPr>
          </w:p>
        </w:tc>
        <w:tc>
          <w:tcPr>
            <w:tcW w:w="1677" w:type="dxa"/>
            <w:tcBorders>
              <w:right w:val="single" w:color="auto" w:sz="2" w:space="0"/>
            </w:tcBorders>
            <w:vAlign w:val="center"/>
          </w:tcPr>
          <w:p>
            <w:pPr>
              <w:jc w:val="both"/>
              <w:rPr>
                <w:rFonts w:hint="eastAsia" w:ascii="宋体" w:hAnsi="宋体" w:eastAsia="宋体" w:cs="宋体"/>
                <w:color w:val="auto"/>
                <w:highlight w:val="none"/>
              </w:rPr>
            </w:pPr>
          </w:p>
        </w:tc>
        <w:tc>
          <w:tcPr>
            <w:tcW w:w="1055" w:type="dxa"/>
            <w:gridSpan w:val="2"/>
            <w:tcBorders>
              <w:left w:val="single" w:color="auto" w:sz="2" w:space="0"/>
              <w:right w:val="single" w:color="auto" w:sz="12" w:space="0"/>
            </w:tcBorders>
            <w:vAlign w:val="center"/>
          </w:tcPr>
          <w:p>
            <w:pPr>
              <w:jc w:val="both"/>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2F2F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938" w:type="dxa"/>
            <w:tcBorders>
              <w:lef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年龄</w:t>
            </w:r>
          </w:p>
        </w:tc>
        <w:tc>
          <w:tcPr>
            <w:tcW w:w="1217" w:type="dxa"/>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资格</w:t>
            </w:r>
          </w:p>
        </w:tc>
        <w:tc>
          <w:tcPr>
            <w:tcW w:w="1354" w:type="dxa"/>
            <w:gridSpan w:val="3"/>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职称</w:t>
            </w:r>
          </w:p>
        </w:tc>
        <w:tc>
          <w:tcPr>
            <w:tcW w:w="1530" w:type="dxa"/>
            <w:gridSpan w:val="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在本行业从业工作年限</w:t>
            </w:r>
          </w:p>
        </w:tc>
        <w:tc>
          <w:tcPr>
            <w:tcW w:w="1717" w:type="dxa"/>
            <w:gridSpan w:val="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主要工作</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业绩和经历</w:t>
            </w:r>
          </w:p>
        </w:tc>
        <w:tc>
          <w:tcPr>
            <w:tcW w:w="1015" w:type="dxa"/>
            <w:tcBorders>
              <w:right w:val="single" w:color="auto" w:sz="1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拟派</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p>
        </w:tc>
        <w:tc>
          <w:tcPr>
            <w:tcW w:w="938" w:type="dxa"/>
            <w:tcBorders>
              <w:left w:val="single" w:color="auto" w:sz="6" w:space="0"/>
            </w:tcBorders>
            <w:vAlign w:val="center"/>
          </w:tcPr>
          <w:p>
            <w:pPr>
              <w:jc w:val="both"/>
              <w:rPr>
                <w:rFonts w:hint="eastAsia" w:ascii="宋体" w:hAnsi="宋体" w:eastAsia="宋体" w:cs="宋体"/>
                <w:color w:val="auto"/>
                <w:highlight w:val="none"/>
              </w:rPr>
            </w:pPr>
          </w:p>
        </w:tc>
        <w:tc>
          <w:tcPr>
            <w:tcW w:w="1217" w:type="dxa"/>
            <w:vAlign w:val="center"/>
          </w:tcPr>
          <w:p>
            <w:pPr>
              <w:jc w:val="both"/>
              <w:rPr>
                <w:rFonts w:hint="eastAsia" w:ascii="宋体" w:hAnsi="宋体" w:eastAsia="宋体" w:cs="宋体"/>
                <w:color w:val="auto"/>
                <w:highlight w:val="none"/>
              </w:rPr>
            </w:pPr>
          </w:p>
        </w:tc>
        <w:tc>
          <w:tcPr>
            <w:tcW w:w="1354" w:type="dxa"/>
            <w:gridSpan w:val="3"/>
            <w:vAlign w:val="center"/>
          </w:tcPr>
          <w:p>
            <w:pPr>
              <w:jc w:val="both"/>
              <w:rPr>
                <w:rFonts w:hint="eastAsia" w:ascii="宋体" w:hAnsi="宋体" w:eastAsia="宋体" w:cs="宋体"/>
                <w:color w:val="auto"/>
                <w:highlight w:val="none"/>
              </w:rPr>
            </w:pPr>
          </w:p>
        </w:tc>
        <w:tc>
          <w:tcPr>
            <w:tcW w:w="1530" w:type="dxa"/>
            <w:gridSpan w:val="2"/>
            <w:vAlign w:val="center"/>
          </w:tcPr>
          <w:p>
            <w:pPr>
              <w:jc w:val="both"/>
              <w:rPr>
                <w:rFonts w:hint="eastAsia" w:ascii="宋体" w:hAnsi="宋体" w:eastAsia="宋体" w:cs="宋体"/>
                <w:color w:val="auto"/>
                <w:highlight w:val="none"/>
              </w:rPr>
            </w:pPr>
          </w:p>
        </w:tc>
        <w:tc>
          <w:tcPr>
            <w:tcW w:w="1717" w:type="dxa"/>
            <w:gridSpan w:val="2"/>
            <w:vAlign w:val="center"/>
          </w:tcPr>
          <w:p>
            <w:pPr>
              <w:jc w:val="both"/>
              <w:rPr>
                <w:rFonts w:hint="eastAsia" w:ascii="宋体" w:hAnsi="宋体" w:eastAsia="宋体" w:cs="宋体"/>
                <w:color w:val="auto"/>
                <w:highlight w:val="none"/>
              </w:rPr>
            </w:pPr>
          </w:p>
        </w:tc>
        <w:tc>
          <w:tcPr>
            <w:tcW w:w="1015" w:type="dxa"/>
            <w:tcBorders>
              <w:right w:val="single" w:color="auto" w:sz="12" w:space="0"/>
            </w:tcBorders>
            <w:vAlign w:val="center"/>
          </w:tcPr>
          <w:p>
            <w:pPr>
              <w:jc w:val="both"/>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p>
        </w:tc>
        <w:tc>
          <w:tcPr>
            <w:tcW w:w="938" w:type="dxa"/>
            <w:tcBorders>
              <w:left w:val="single" w:color="auto" w:sz="6" w:space="0"/>
            </w:tcBorders>
            <w:vAlign w:val="center"/>
          </w:tcPr>
          <w:p>
            <w:pPr>
              <w:jc w:val="both"/>
              <w:rPr>
                <w:rFonts w:hint="eastAsia" w:ascii="宋体" w:hAnsi="宋体" w:eastAsia="宋体" w:cs="宋体"/>
                <w:color w:val="auto"/>
                <w:highlight w:val="none"/>
              </w:rPr>
            </w:pPr>
          </w:p>
        </w:tc>
        <w:tc>
          <w:tcPr>
            <w:tcW w:w="1217" w:type="dxa"/>
            <w:vAlign w:val="center"/>
          </w:tcPr>
          <w:p>
            <w:pPr>
              <w:jc w:val="both"/>
              <w:rPr>
                <w:rFonts w:hint="eastAsia" w:ascii="宋体" w:hAnsi="宋体" w:eastAsia="宋体" w:cs="宋体"/>
                <w:color w:val="auto"/>
                <w:highlight w:val="none"/>
              </w:rPr>
            </w:pPr>
          </w:p>
        </w:tc>
        <w:tc>
          <w:tcPr>
            <w:tcW w:w="1354" w:type="dxa"/>
            <w:gridSpan w:val="3"/>
            <w:vAlign w:val="center"/>
          </w:tcPr>
          <w:p>
            <w:pPr>
              <w:jc w:val="both"/>
              <w:rPr>
                <w:rFonts w:hint="eastAsia" w:ascii="宋体" w:hAnsi="宋体" w:eastAsia="宋体" w:cs="宋体"/>
                <w:color w:val="auto"/>
                <w:highlight w:val="none"/>
              </w:rPr>
            </w:pPr>
          </w:p>
        </w:tc>
        <w:tc>
          <w:tcPr>
            <w:tcW w:w="1530" w:type="dxa"/>
            <w:gridSpan w:val="2"/>
            <w:vAlign w:val="center"/>
          </w:tcPr>
          <w:p>
            <w:pPr>
              <w:jc w:val="both"/>
              <w:rPr>
                <w:rFonts w:hint="eastAsia" w:ascii="宋体" w:hAnsi="宋体" w:eastAsia="宋体" w:cs="宋体"/>
                <w:color w:val="auto"/>
                <w:highlight w:val="none"/>
              </w:rPr>
            </w:pPr>
          </w:p>
        </w:tc>
        <w:tc>
          <w:tcPr>
            <w:tcW w:w="1717" w:type="dxa"/>
            <w:gridSpan w:val="2"/>
            <w:vAlign w:val="center"/>
          </w:tcPr>
          <w:p>
            <w:pPr>
              <w:jc w:val="both"/>
              <w:rPr>
                <w:rFonts w:hint="eastAsia" w:ascii="宋体" w:hAnsi="宋体" w:eastAsia="宋体" w:cs="宋体"/>
                <w:color w:val="auto"/>
                <w:highlight w:val="none"/>
              </w:rPr>
            </w:pPr>
          </w:p>
        </w:tc>
        <w:tc>
          <w:tcPr>
            <w:tcW w:w="1015" w:type="dxa"/>
            <w:tcBorders>
              <w:right w:val="single" w:color="auto" w:sz="12" w:space="0"/>
            </w:tcBorders>
            <w:vAlign w:val="center"/>
          </w:tcPr>
          <w:p>
            <w:pPr>
              <w:jc w:val="both"/>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2F2F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技术人员/服务人员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938" w:type="dxa"/>
            <w:tcBorders>
              <w:lef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年龄</w:t>
            </w:r>
          </w:p>
        </w:tc>
        <w:tc>
          <w:tcPr>
            <w:tcW w:w="1240" w:type="dxa"/>
            <w:gridSpan w:val="2"/>
            <w:tcBorders>
              <w:right w:val="single" w:color="auto" w:sz="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学历</w:t>
            </w:r>
          </w:p>
        </w:tc>
        <w:tc>
          <w:tcPr>
            <w:tcW w:w="1337" w:type="dxa"/>
            <w:gridSpan w:val="3"/>
            <w:tcBorders>
              <w:left w:val="single" w:color="auto" w:sz="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职称</w:t>
            </w:r>
          </w:p>
        </w:tc>
        <w:tc>
          <w:tcPr>
            <w:tcW w:w="1524" w:type="dxa"/>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从事类似项目工作年限</w:t>
            </w:r>
          </w:p>
        </w:tc>
        <w:tc>
          <w:tcPr>
            <w:tcW w:w="1717" w:type="dxa"/>
            <w:gridSpan w:val="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主要工作</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业绩和经历</w:t>
            </w:r>
          </w:p>
        </w:tc>
        <w:tc>
          <w:tcPr>
            <w:tcW w:w="1015" w:type="dxa"/>
            <w:tcBorders>
              <w:right w:val="single" w:color="auto" w:sz="1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拟派</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p>
        </w:tc>
        <w:tc>
          <w:tcPr>
            <w:tcW w:w="938" w:type="dxa"/>
            <w:tcBorders>
              <w:left w:val="single" w:color="auto" w:sz="6" w:space="0"/>
            </w:tcBorders>
            <w:vAlign w:val="center"/>
          </w:tcPr>
          <w:p>
            <w:pPr>
              <w:jc w:val="both"/>
              <w:rPr>
                <w:rFonts w:hint="eastAsia" w:ascii="宋体" w:hAnsi="宋体" w:eastAsia="宋体" w:cs="宋体"/>
                <w:color w:val="auto"/>
                <w:highlight w:val="none"/>
              </w:rPr>
            </w:pPr>
          </w:p>
        </w:tc>
        <w:tc>
          <w:tcPr>
            <w:tcW w:w="1240" w:type="dxa"/>
            <w:gridSpan w:val="2"/>
            <w:tcBorders>
              <w:right w:val="single" w:color="auto" w:sz="2" w:space="0"/>
            </w:tcBorders>
            <w:vAlign w:val="center"/>
          </w:tcPr>
          <w:p>
            <w:pPr>
              <w:jc w:val="both"/>
              <w:rPr>
                <w:rFonts w:hint="eastAsia" w:ascii="宋体" w:hAnsi="宋体" w:eastAsia="宋体" w:cs="宋体"/>
                <w:color w:val="auto"/>
                <w:highlight w:val="none"/>
              </w:rPr>
            </w:pPr>
          </w:p>
        </w:tc>
        <w:tc>
          <w:tcPr>
            <w:tcW w:w="1337" w:type="dxa"/>
            <w:gridSpan w:val="3"/>
            <w:tcBorders>
              <w:left w:val="single" w:color="auto" w:sz="2" w:space="0"/>
            </w:tcBorders>
            <w:vAlign w:val="center"/>
          </w:tcPr>
          <w:p>
            <w:pPr>
              <w:jc w:val="both"/>
              <w:rPr>
                <w:rFonts w:hint="eastAsia" w:ascii="宋体" w:hAnsi="宋体" w:eastAsia="宋体" w:cs="宋体"/>
                <w:color w:val="auto"/>
                <w:highlight w:val="none"/>
              </w:rPr>
            </w:pPr>
          </w:p>
        </w:tc>
        <w:tc>
          <w:tcPr>
            <w:tcW w:w="1524" w:type="dxa"/>
            <w:vAlign w:val="center"/>
          </w:tcPr>
          <w:p>
            <w:pPr>
              <w:jc w:val="both"/>
              <w:rPr>
                <w:rFonts w:hint="eastAsia" w:ascii="宋体" w:hAnsi="宋体" w:eastAsia="宋体" w:cs="宋体"/>
                <w:color w:val="auto"/>
                <w:highlight w:val="none"/>
              </w:rPr>
            </w:pPr>
          </w:p>
        </w:tc>
        <w:tc>
          <w:tcPr>
            <w:tcW w:w="1717" w:type="dxa"/>
            <w:gridSpan w:val="2"/>
            <w:vAlign w:val="center"/>
          </w:tcPr>
          <w:p>
            <w:pPr>
              <w:jc w:val="both"/>
              <w:rPr>
                <w:rFonts w:hint="eastAsia" w:ascii="宋体" w:hAnsi="宋体" w:eastAsia="宋体" w:cs="宋体"/>
                <w:color w:val="auto"/>
                <w:highlight w:val="none"/>
              </w:rPr>
            </w:pPr>
          </w:p>
        </w:tc>
        <w:tc>
          <w:tcPr>
            <w:tcW w:w="1015" w:type="dxa"/>
            <w:tcBorders>
              <w:right w:val="single" w:color="auto" w:sz="12" w:space="0"/>
            </w:tcBorders>
            <w:vAlign w:val="center"/>
          </w:tcPr>
          <w:p>
            <w:pPr>
              <w:jc w:val="both"/>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p>
        </w:tc>
        <w:tc>
          <w:tcPr>
            <w:tcW w:w="938" w:type="dxa"/>
            <w:tcBorders>
              <w:left w:val="single" w:color="auto" w:sz="6" w:space="0"/>
            </w:tcBorders>
            <w:vAlign w:val="center"/>
          </w:tcPr>
          <w:p>
            <w:pPr>
              <w:jc w:val="both"/>
              <w:rPr>
                <w:rFonts w:hint="eastAsia" w:ascii="宋体" w:hAnsi="宋体" w:eastAsia="宋体" w:cs="宋体"/>
                <w:color w:val="auto"/>
                <w:highlight w:val="none"/>
              </w:rPr>
            </w:pPr>
          </w:p>
        </w:tc>
        <w:tc>
          <w:tcPr>
            <w:tcW w:w="1240" w:type="dxa"/>
            <w:gridSpan w:val="2"/>
            <w:tcBorders>
              <w:right w:val="single" w:color="auto" w:sz="2" w:space="0"/>
            </w:tcBorders>
            <w:vAlign w:val="center"/>
          </w:tcPr>
          <w:p>
            <w:pPr>
              <w:jc w:val="both"/>
              <w:rPr>
                <w:rFonts w:hint="eastAsia" w:ascii="宋体" w:hAnsi="宋体" w:eastAsia="宋体" w:cs="宋体"/>
                <w:color w:val="auto"/>
                <w:highlight w:val="none"/>
              </w:rPr>
            </w:pPr>
          </w:p>
        </w:tc>
        <w:tc>
          <w:tcPr>
            <w:tcW w:w="1337" w:type="dxa"/>
            <w:gridSpan w:val="3"/>
            <w:tcBorders>
              <w:left w:val="single" w:color="auto" w:sz="2" w:space="0"/>
            </w:tcBorders>
            <w:vAlign w:val="center"/>
          </w:tcPr>
          <w:p>
            <w:pPr>
              <w:jc w:val="both"/>
              <w:rPr>
                <w:rFonts w:hint="eastAsia" w:ascii="宋体" w:hAnsi="宋体" w:eastAsia="宋体" w:cs="宋体"/>
                <w:color w:val="auto"/>
                <w:highlight w:val="none"/>
              </w:rPr>
            </w:pPr>
          </w:p>
        </w:tc>
        <w:tc>
          <w:tcPr>
            <w:tcW w:w="1524" w:type="dxa"/>
            <w:vAlign w:val="center"/>
          </w:tcPr>
          <w:p>
            <w:pPr>
              <w:jc w:val="both"/>
              <w:rPr>
                <w:rFonts w:hint="eastAsia" w:ascii="宋体" w:hAnsi="宋体" w:eastAsia="宋体" w:cs="宋体"/>
                <w:color w:val="auto"/>
                <w:highlight w:val="none"/>
              </w:rPr>
            </w:pPr>
          </w:p>
        </w:tc>
        <w:tc>
          <w:tcPr>
            <w:tcW w:w="1717" w:type="dxa"/>
            <w:gridSpan w:val="2"/>
            <w:vAlign w:val="center"/>
          </w:tcPr>
          <w:p>
            <w:pPr>
              <w:jc w:val="both"/>
              <w:rPr>
                <w:rFonts w:hint="eastAsia" w:ascii="宋体" w:hAnsi="宋体" w:eastAsia="宋体" w:cs="宋体"/>
                <w:color w:val="auto"/>
                <w:highlight w:val="none"/>
              </w:rPr>
            </w:pPr>
          </w:p>
        </w:tc>
        <w:tc>
          <w:tcPr>
            <w:tcW w:w="1015" w:type="dxa"/>
            <w:tcBorders>
              <w:right w:val="single" w:color="auto" w:sz="12" w:space="0"/>
            </w:tcBorders>
            <w:vAlign w:val="center"/>
          </w:tcPr>
          <w:p>
            <w:pPr>
              <w:jc w:val="both"/>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2F2F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938" w:type="dxa"/>
            <w:tcBorders>
              <w:lef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年龄</w:t>
            </w:r>
          </w:p>
        </w:tc>
        <w:tc>
          <w:tcPr>
            <w:tcW w:w="1240" w:type="dxa"/>
            <w:gridSpan w:val="2"/>
            <w:tcBorders>
              <w:right w:val="single" w:color="auto" w:sz="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学历</w:t>
            </w:r>
          </w:p>
        </w:tc>
        <w:tc>
          <w:tcPr>
            <w:tcW w:w="1337" w:type="dxa"/>
            <w:gridSpan w:val="3"/>
            <w:tcBorders>
              <w:left w:val="single" w:color="auto" w:sz="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职称</w:t>
            </w:r>
          </w:p>
        </w:tc>
        <w:tc>
          <w:tcPr>
            <w:tcW w:w="1524" w:type="dxa"/>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从事类似项目工作年限</w:t>
            </w:r>
          </w:p>
        </w:tc>
        <w:tc>
          <w:tcPr>
            <w:tcW w:w="1717" w:type="dxa"/>
            <w:gridSpan w:val="2"/>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主要工作</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业绩和经历</w:t>
            </w:r>
          </w:p>
        </w:tc>
        <w:tc>
          <w:tcPr>
            <w:tcW w:w="1015" w:type="dxa"/>
            <w:tcBorders>
              <w:right w:val="single" w:color="auto" w:sz="1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拟派</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p>
        </w:tc>
        <w:tc>
          <w:tcPr>
            <w:tcW w:w="938" w:type="dxa"/>
            <w:tcBorders>
              <w:left w:val="single" w:color="auto" w:sz="6" w:space="0"/>
            </w:tcBorders>
            <w:vAlign w:val="center"/>
          </w:tcPr>
          <w:p>
            <w:pPr>
              <w:jc w:val="both"/>
              <w:rPr>
                <w:rFonts w:hint="eastAsia" w:ascii="宋体" w:hAnsi="宋体" w:eastAsia="宋体" w:cs="宋体"/>
                <w:color w:val="auto"/>
                <w:highlight w:val="none"/>
              </w:rPr>
            </w:pPr>
          </w:p>
        </w:tc>
        <w:tc>
          <w:tcPr>
            <w:tcW w:w="1240" w:type="dxa"/>
            <w:gridSpan w:val="2"/>
            <w:tcBorders>
              <w:right w:val="single" w:color="auto" w:sz="2" w:space="0"/>
            </w:tcBorders>
            <w:vAlign w:val="center"/>
          </w:tcPr>
          <w:p>
            <w:pPr>
              <w:jc w:val="both"/>
              <w:rPr>
                <w:rFonts w:hint="eastAsia" w:ascii="宋体" w:hAnsi="宋体" w:eastAsia="宋体" w:cs="宋体"/>
                <w:color w:val="auto"/>
                <w:highlight w:val="none"/>
              </w:rPr>
            </w:pPr>
          </w:p>
        </w:tc>
        <w:tc>
          <w:tcPr>
            <w:tcW w:w="1337" w:type="dxa"/>
            <w:gridSpan w:val="3"/>
            <w:tcBorders>
              <w:left w:val="single" w:color="auto" w:sz="2" w:space="0"/>
            </w:tcBorders>
            <w:vAlign w:val="center"/>
          </w:tcPr>
          <w:p>
            <w:pPr>
              <w:jc w:val="both"/>
              <w:rPr>
                <w:rFonts w:hint="eastAsia" w:ascii="宋体" w:hAnsi="宋体" w:eastAsia="宋体" w:cs="宋体"/>
                <w:color w:val="auto"/>
                <w:highlight w:val="none"/>
              </w:rPr>
            </w:pPr>
          </w:p>
        </w:tc>
        <w:tc>
          <w:tcPr>
            <w:tcW w:w="1524" w:type="dxa"/>
            <w:vAlign w:val="center"/>
          </w:tcPr>
          <w:p>
            <w:pPr>
              <w:jc w:val="both"/>
              <w:rPr>
                <w:rFonts w:hint="eastAsia" w:ascii="宋体" w:hAnsi="宋体" w:eastAsia="宋体" w:cs="宋体"/>
                <w:color w:val="auto"/>
                <w:highlight w:val="none"/>
              </w:rPr>
            </w:pPr>
          </w:p>
        </w:tc>
        <w:tc>
          <w:tcPr>
            <w:tcW w:w="1717" w:type="dxa"/>
            <w:gridSpan w:val="2"/>
            <w:vAlign w:val="center"/>
          </w:tcPr>
          <w:p>
            <w:pPr>
              <w:jc w:val="both"/>
              <w:rPr>
                <w:rFonts w:hint="eastAsia" w:ascii="宋体" w:hAnsi="宋体" w:eastAsia="宋体" w:cs="宋体"/>
                <w:color w:val="auto"/>
                <w:highlight w:val="none"/>
              </w:rPr>
            </w:pPr>
          </w:p>
        </w:tc>
        <w:tc>
          <w:tcPr>
            <w:tcW w:w="1015" w:type="dxa"/>
            <w:tcBorders>
              <w:right w:val="single" w:color="auto" w:sz="12" w:space="0"/>
            </w:tcBorders>
            <w:vAlign w:val="center"/>
          </w:tcPr>
          <w:p>
            <w:pPr>
              <w:jc w:val="both"/>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highlight w:val="none"/>
              </w:rPr>
            </w:pPr>
          </w:p>
        </w:tc>
        <w:tc>
          <w:tcPr>
            <w:tcW w:w="938" w:type="dxa"/>
            <w:tcBorders>
              <w:left w:val="single" w:color="auto" w:sz="6" w:space="0"/>
            </w:tcBorders>
            <w:vAlign w:val="center"/>
          </w:tcPr>
          <w:p>
            <w:pPr>
              <w:jc w:val="both"/>
              <w:rPr>
                <w:rFonts w:hint="eastAsia" w:ascii="宋体" w:hAnsi="宋体" w:eastAsia="宋体" w:cs="宋体"/>
                <w:color w:val="auto"/>
                <w:highlight w:val="none"/>
              </w:rPr>
            </w:pPr>
          </w:p>
        </w:tc>
        <w:tc>
          <w:tcPr>
            <w:tcW w:w="1240" w:type="dxa"/>
            <w:gridSpan w:val="2"/>
            <w:tcBorders>
              <w:right w:val="single" w:color="auto" w:sz="2" w:space="0"/>
            </w:tcBorders>
            <w:vAlign w:val="center"/>
          </w:tcPr>
          <w:p>
            <w:pPr>
              <w:jc w:val="both"/>
              <w:rPr>
                <w:rFonts w:hint="eastAsia" w:ascii="宋体" w:hAnsi="宋体" w:eastAsia="宋体" w:cs="宋体"/>
                <w:color w:val="auto"/>
                <w:highlight w:val="none"/>
              </w:rPr>
            </w:pPr>
          </w:p>
        </w:tc>
        <w:tc>
          <w:tcPr>
            <w:tcW w:w="1337" w:type="dxa"/>
            <w:gridSpan w:val="3"/>
            <w:tcBorders>
              <w:left w:val="single" w:color="auto" w:sz="2" w:space="0"/>
            </w:tcBorders>
            <w:vAlign w:val="center"/>
          </w:tcPr>
          <w:p>
            <w:pPr>
              <w:jc w:val="both"/>
              <w:rPr>
                <w:rFonts w:hint="eastAsia" w:ascii="宋体" w:hAnsi="宋体" w:eastAsia="宋体" w:cs="宋体"/>
                <w:color w:val="auto"/>
                <w:highlight w:val="none"/>
              </w:rPr>
            </w:pPr>
          </w:p>
        </w:tc>
        <w:tc>
          <w:tcPr>
            <w:tcW w:w="1524" w:type="dxa"/>
            <w:vAlign w:val="center"/>
          </w:tcPr>
          <w:p>
            <w:pPr>
              <w:jc w:val="both"/>
              <w:rPr>
                <w:rFonts w:hint="eastAsia" w:ascii="宋体" w:hAnsi="宋体" w:eastAsia="宋体" w:cs="宋体"/>
                <w:color w:val="auto"/>
                <w:highlight w:val="none"/>
              </w:rPr>
            </w:pPr>
          </w:p>
        </w:tc>
        <w:tc>
          <w:tcPr>
            <w:tcW w:w="1717" w:type="dxa"/>
            <w:gridSpan w:val="2"/>
            <w:vAlign w:val="center"/>
          </w:tcPr>
          <w:p>
            <w:pPr>
              <w:jc w:val="both"/>
              <w:rPr>
                <w:rFonts w:hint="eastAsia" w:ascii="宋体" w:hAnsi="宋体" w:eastAsia="宋体" w:cs="宋体"/>
                <w:color w:val="auto"/>
                <w:highlight w:val="none"/>
              </w:rPr>
            </w:pPr>
          </w:p>
        </w:tc>
        <w:tc>
          <w:tcPr>
            <w:tcW w:w="1015" w:type="dxa"/>
            <w:tcBorders>
              <w:right w:val="single" w:color="auto" w:sz="12" w:space="0"/>
            </w:tcBorders>
            <w:vAlign w:val="center"/>
          </w:tcPr>
          <w:p>
            <w:pPr>
              <w:jc w:val="both"/>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dxa"/>
            <w:tcBorders>
              <w:top w:val="single" w:color="auto" w:sz="6" w:space="0"/>
              <w:left w:val="single" w:color="auto" w:sz="12" w:space="0"/>
              <w:bottom w:val="single" w:color="auto" w:sz="12" w:space="0"/>
              <w:right w:val="single" w:color="auto" w:sz="6"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备注</w:t>
            </w:r>
          </w:p>
        </w:tc>
        <w:tc>
          <w:tcPr>
            <w:tcW w:w="7771" w:type="dxa"/>
            <w:gridSpan w:val="10"/>
            <w:tcBorders>
              <w:left w:val="single" w:color="auto" w:sz="6" w:space="0"/>
              <w:bottom w:val="single" w:color="auto" w:sz="12" w:space="0"/>
              <w:right w:val="single" w:color="auto" w:sz="12" w:space="0"/>
            </w:tcBorders>
            <w:vAlign w:val="center"/>
          </w:tcPr>
          <w:p>
            <w:pPr>
              <w:jc w:val="both"/>
              <w:rPr>
                <w:rFonts w:hint="eastAsia" w:ascii="宋体" w:hAnsi="宋体" w:eastAsia="宋体" w:cs="宋体"/>
                <w:color w:val="auto"/>
                <w:highlight w:val="none"/>
              </w:rPr>
            </w:pPr>
            <w:r>
              <w:rPr>
                <w:rFonts w:hint="eastAsia" w:ascii="宋体" w:hAnsi="宋体" w:eastAsia="宋体" w:cs="宋体"/>
                <w:color w:val="auto"/>
                <w:highlight w:val="none"/>
              </w:rPr>
              <w:t>1．表格行数不足时请自行扩展。</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2．表中所列“项目负责人、管理人员、技术人员/服务人员、辅助人员”仅为示例，供应商可根据招标文件要求自行安排人员类别。</w:t>
            </w:r>
          </w:p>
          <w:p>
            <w:pPr>
              <w:jc w:val="both"/>
              <w:rPr>
                <w:rFonts w:hint="eastAsia" w:ascii="宋体" w:hAnsi="宋体" w:eastAsia="宋体" w:cs="宋体"/>
                <w:color w:val="auto"/>
                <w:highlight w:val="none"/>
              </w:rPr>
            </w:pPr>
            <w:r>
              <w:rPr>
                <w:rFonts w:hint="eastAsia" w:ascii="宋体" w:hAnsi="宋体" w:eastAsia="宋体" w:cs="宋体"/>
                <w:color w:val="auto"/>
                <w:highlight w:val="none"/>
              </w:rPr>
              <w:t>3．招标文件对人员“资格\学历\职称”提出要求的，应在本表下方附相应的“资格证\学历证\职称证”等证明文件。</w:t>
            </w:r>
          </w:p>
        </w:tc>
      </w:tr>
    </w:tbl>
    <w:p>
      <w:pPr>
        <w:spacing w:line="560" w:lineRule="exact"/>
        <w:ind w:firstLine="5402" w:firstLineChars="2251"/>
        <w:jc w:val="both"/>
        <w:rPr>
          <w:rFonts w:hint="eastAsia" w:ascii="宋体" w:hAnsi="宋体" w:eastAsia="宋体" w:cs="宋体"/>
          <w:color w:val="auto"/>
          <w:highlight w:val="none"/>
        </w:rPr>
      </w:pPr>
      <w:r>
        <w:rPr>
          <w:rFonts w:hint="eastAsia" w:ascii="宋体" w:hAnsi="宋体" w:eastAsia="宋体" w:cs="宋体"/>
          <w:color w:val="auto"/>
          <w:highlight w:val="none"/>
        </w:rPr>
        <w:t>供应商：（供应商全称并加盖公章）</w:t>
      </w:r>
    </w:p>
    <w:p>
      <w:pPr>
        <w:spacing w:line="560" w:lineRule="exact"/>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2．拟投入项目的专业设备情况表</w:t>
      </w:r>
    </w:p>
    <w:tbl>
      <w:tblPr>
        <w:tblStyle w:val="33"/>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52"/>
        <w:gridCol w:w="1361"/>
        <w:gridCol w:w="1474"/>
        <w:gridCol w:w="851"/>
        <w:gridCol w:w="1559"/>
        <w:gridCol w:w="1418"/>
        <w:gridCol w:w="165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12" w:space="0"/>
            </w:tcBorders>
            <w:shd w:val="clear" w:color="auto" w:fill="F2F2F2"/>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序号</w:t>
            </w:r>
          </w:p>
        </w:tc>
        <w:tc>
          <w:tcPr>
            <w:tcW w:w="1361" w:type="dxa"/>
            <w:tcBorders>
              <w:top w:val="single" w:color="auto" w:sz="12" w:space="0"/>
            </w:tcBorders>
            <w:shd w:val="clear" w:color="auto" w:fill="F2F2F2"/>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设备名称</w:t>
            </w:r>
          </w:p>
        </w:tc>
        <w:tc>
          <w:tcPr>
            <w:tcW w:w="1474" w:type="dxa"/>
            <w:tcBorders>
              <w:top w:val="single" w:color="auto" w:sz="12" w:space="0"/>
            </w:tcBorders>
            <w:shd w:val="clear" w:color="auto" w:fill="F2F2F2"/>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计量单位</w:t>
            </w:r>
          </w:p>
        </w:tc>
        <w:tc>
          <w:tcPr>
            <w:tcW w:w="851" w:type="dxa"/>
            <w:tcBorders>
              <w:top w:val="single" w:color="auto" w:sz="12" w:space="0"/>
            </w:tcBorders>
            <w:shd w:val="clear" w:color="auto" w:fill="F2F2F2"/>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数量</w:t>
            </w:r>
          </w:p>
        </w:tc>
        <w:tc>
          <w:tcPr>
            <w:tcW w:w="1559" w:type="dxa"/>
            <w:tcBorders>
              <w:top w:val="single" w:color="auto" w:sz="12" w:space="0"/>
            </w:tcBorders>
            <w:shd w:val="clear" w:color="auto" w:fill="F2F2F2"/>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生产企业</w:t>
            </w:r>
          </w:p>
        </w:tc>
        <w:tc>
          <w:tcPr>
            <w:tcW w:w="1418" w:type="dxa"/>
            <w:tcBorders>
              <w:top w:val="single" w:color="auto" w:sz="12" w:space="0"/>
            </w:tcBorders>
            <w:shd w:val="clear" w:color="auto" w:fill="F2F2F2"/>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使用年限</w:t>
            </w:r>
          </w:p>
        </w:tc>
        <w:tc>
          <w:tcPr>
            <w:tcW w:w="1653" w:type="dxa"/>
            <w:tcBorders>
              <w:top w:val="single" w:color="auto" w:sz="12" w:space="0"/>
            </w:tcBorders>
            <w:shd w:val="clear" w:color="auto" w:fill="F2F2F2"/>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自购/外协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vAlign w:val="center"/>
          </w:tcPr>
          <w:p>
            <w:pPr>
              <w:jc w:val="both"/>
              <w:rPr>
                <w:rFonts w:hint="eastAsia" w:ascii="宋体" w:hAnsi="宋体" w:eastAsia="宋体" w:cs="宋体"/>
                <w:color w:val="auto"/>
                <w:kern w:val="2"/>
                <w:highlight w:val="none"/>
              </w:rPr>
            </w:pPr>
          </w:p>
        </w:tc>
        <w:tc>
          <w:tcPr>
            <w:tcW w:w="1361" w:type="dxa"/>
            <w:vAlign w:val="center"/>
          </w:tcPr>
          <w:p>
            <w:pPr>
              <w:jc w:val="both"/>
              <w:rPr>
                <w:rFonts w:hint="eastAsia" w:ascii="宋体" w:hAnsi="宋体" w:eastAsia="宋体" w:cs="宋体"/>
                <w:color w:val="auto"/>
                <w:kern w:val="2"/>
                <w:highlight w:val="none"/>
              </w:rPr>
            </w:pPr>
          </w:p>
        </w:tc>
        <w:tc>
          <w:tcPr>
            <w:tcW w:w="1474" w:type="dxa"/>
            <w:vAlign w:val="center"/>
          </w:tcPr>
          <w:p>
            <w:pPr>
              <w:jc w:val="both"/>
              <w:rPr>
                <w:rFonts w:hint="eastAsia" w:ascii="宋体" w:hAnsi="宋体" w:eastAsia="宋体" w:cs="宋体"/>
                <w:color w:val="auto"/>
                <w:kern w:val="2"/>
                <w:highlight w:val="none"/>
              </w:rPr>
            </w:pPr>
          </w:p>
        </w:tc>
        <w:tc>
          <w:tcPr>
            <w:tcW w:w="851" w:type="dxa"/>
            <w:vAlign w:val="center"/>
          </w:tcPr>
          <w:p>
            <w:pPr>
              <w:jc w:val="both"/>
              <w:rPr>
                <w:rFonts w:hint="eastAsia" w:ascii="宋体" w:hAnsi="宋体" w:eastAsia="宋体" w:cs="宋体"/>
                <w:color w:val="auto"/>
                <w:kern w:val="2"/>
                <w:highlight w:val="none"/>
              </w:rPr>
            </w:pPr>
          </w:p>
        </w:tc>
        <w:tc>
          <w:tcPr>
            <w:tcW w:w="1559" w:type="dxa"/>
            <w:vAlign w:val="center"/>
          </w:tcPr>
          <w:p>
            <w:pPr>
              <w:jc w:val="both"/>
              <w:rPr>
                <w:rFonts w:hint="eastAsia" w:ascii="宋体" w:hAnsi="宋体" w:eastAsia="宋体" w:cs="宋体"/>
                <w:color w:val="auto"/>
                <w:kern w:val="2"/>
                <w:highlight w:val="none"/>
              </w:rPr>
            </w:pPr>
          </w:p>
        </w:tc>
        <w:tc>
          <w:tcPr>
            <w:tcW w:w="1418" w:type="dxa"/>
            <w:vAlign w:val="center"/>
          </w:tcPr>
          <w:p>
            <w:pPr>
              <w:jc w:val="both"/>
              <w:rPr>
                <w:rFonts w:hint="eastAsia" w:ascii="宋体" w:hAnsi="宋体" w:eastAsia="宋体" w:cs="宋体"/>
                <w:color w:val="auto"/>
                <w:kern w:val="2"/>
                <w:highlight w:val="none"/>
              </w:rPr>
            </w:pPr>
          </w:p>
        </w:tc>
        <w:tc>
          <w:tcPr>
            <w:tcW w:w="1653" w:type="dxa"/>
            <w:vAlign w:val="center"/>
          </w:tcPr>
          <w:p>
            <w:pPr>
              <w:jc w:val="both"/>
              <w:rPr>
                <w:rFonts w:hint="eastAsia" w:ascii="宋体" w:hAnsi="宋体" w:eastAsia="宋体" w:cs="宋体"/>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vAlign w:val="center"/>
          </w:tcPr>
          <w:p>
            <w:pPr>
              <w:jc w:val="both"/>
              <w:rPr>
                <w:rFonts w:hint="eastAsia" w:ascii="宋体" w:hAnsi="宋体" w:eastAsia="宋体" w:cs="宋体"/>
                <w:color w:val="auto"/>
                <w:kern w:val="2"/>
                <w:highlight w:val="none"/>
              </w:rPr>
            </w:pPr>
          </w:p>
        </w:tc>
        <w:tc>
          <w:tcPr>
            <w:tcW w:w="1361" w:type="dxa"/>
            <w:vAlign w:val="center"/>
          </w:tcPr>
          <w:p>
            <w:pPr>
              <w:jc w:val="both"/>
              <w:rPr>
                <w:rFonts w:hint="eastAsia" w:ascii="宋体" w:hAnsi="宋体" w:eastAsia="宋体" w:cs="宋体"/>
                <w:color w:val="auto"/>
                <w:kern w:val="2"/>
                <w:highlight w:val="none"/>
              </w:rPr>
            </w:pPr>
          </w:p>
        </w:tc>
        <w:tc>
          <w:tcPr>
            <w:tcW w:w="1474" w:type="dxa"/>
            <w:vAlign w:val="center"/>
          </w:tcPr>
          <w:p>
            <w:pPr>
              <w:jc w:val="both"/>
              <w:rPr>
                <w:rFonts w:hint="eastAsia" w:ascii="宋体" w:hAnsi="宋体" w:eastAsia="宋体" w:cs="宋体"/>
                <w:color w:val="auto"/>
                <w:kern w:val="2"/>
                <w:highlight w:val="none"/>
              </w:rPr>
            </w:pPr>
          </w:p>
        </w:tc>
        <w:tc>
          <w:tcPr>
            <w:tcW w:w="851" w:type="dxa"/>
            <w:vAlign w:val="center"/>
          </w:tcPr>
          <w:p>
            <w:pPr>
              <w:jc w:val="both"/>
              <w:rPr>
                <w:rFonts w:hint="eastAsia" w:ascii="宋体" w:hAnsi="宋体" w:eastAsia="宋体" w:cs="宋体"/>
                <w:color w:val="auto"/>
                <w:kern w:val="2"/>
                <w:highlight w:val="none"/>
              </w:rPr>
            </w:pPr>
          </w:p>
        </w:tc>
        <w:tc>
          <w:tcPr>
            <w:tcW w:w="1559" w:type="dxa"/>
            <w:vAlign w:val="center"/>
          </w:tcPr>
          <w:p>
            <w:pPr>
              <w:jc w:val="both"/>
              <w:rPr>
                <w:rFonts w:hint="eastAsia" w:ascii="宋体" w:hAnsi="宋体" w:eastAsia="宋体" w:cs="宋体"/>
                <w:color w:val="auto"/>
                <w:kern w:val="2"/>
                <w:highlight w:val="none"/>
              </w:rPr>
            </w:pPr>
          </w:p>
        </w:tc>
        <w:tc>
          <w:tcPr>
            <w:tcW w:w="1418" w:type="dxa"/>
            <w:vAlign w:val="center"/>
          </w:tcPr>
          <w:p>
            <w:pPr>
              <w:jc w:val="both"/>
              <w:rPr>
                <w:rFonts w:hint="eastAsia" w:ascii="宋体" w:hAnsi="宋体" w:eastAsia="宋体" w:cs="宋体"/>
                <w:color w:val="auto"/>
                <w:kern w:val="2"/>
                <w:highlight w:val="none"/>
              </w:rPr>
            </w:pPr>
          </w:p>
        </w:tc>
        <w:tc>
          <w:tcPr>
            <w:tcW w:w="1653" w:type="dxa"/>
            <w:vAlign w:val="center"/>
          </w:tcPr>
          <w:p>
            <w:pPr>
              <w:jc w:val="both"/>
              <w:rPr>
                <w:rFonts w:hint="eastAsia" w:ascii="宋体" w:hAnsi="宋体" w:eastAsia="宋体" w:cs="宋体"/>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vAlign w:val="center"/>
          </w:tcPr>
          <w:p>
            <w:pPr>
              <w:jc w:val="both"/>
              <w:rPr>
                <w:rFonts w:hint="eastAsia" w:ascii="宋体" w:hAnsi="宋体" w:eastAsia="宋体" w:cs="宋体"/>
                <w:color w:val="auto"/>
                <w:kern w:val="2"/>
                <w:highlight w:val="none"/>
              </w:rPr>
            </w:pPr>
          </w:p>
        </w:tc>
        <w:tc>
          <w:tcPr>
            <w:tcW w:w="1361" w:type="dxa"/>
            <w:vAlign w:val="center"/>
          </w:tcPr>
          <w:p>
            <w:pPr>
              <w:jc w:val="both"/>
              <w:rPr>
                <w:rFonts w:hint="eastAsia" w:ascii="宋体" w:hAnsi="宋体" w:eastAsia="宋体" w:cs="宋体"/>
                <w:color w:val="auto"/>
                <w:kern w:val="2"/>
                <w:highlight w:val="none"/>
              </w:rPr>
            </w:pPr>
          </w:p>
        </w:tc>
        <w:tc>
          <w:tcPr>
            <w:tcW w:w="1474" w:type="dxa"/>
            <w:vAlign w:val="center"/>
          </w:tcPr>
          <w:p>
            <w:pPr>
              <w:jc w:val="both"/>
              <w:rPr>
                <w:rFonts w:hint="eastAsia" w:ascii="宋体" w:hAnsi="宋体" w:eastAsia="宋体" w:cs="宋体"/>
                <w:color w:val="auto"/>
                <w:kern w:val="2"/>
                <w:highlight w:val="none"/>
              </w:rPr>
            </w:pPr>
          </w:p>
        </w:tc>
        <w:tc>
          <w:tcPr>
            <w:tcW w:w="851" w:type="dxa"/>
            <w:vAlign w:val="center"/>
          </w:tcPr>
          <w:p>
            <w:pPr>
              <w:jc w:val="both"/>
              <w:rPr>
                <w:rFonts w:hint="eastAsia" w:ascii="宋体" w:hAnsi="宋体" w:eastAsia="宋体" w:cs="宋体"/>
                <w:color w:val="auto"/>
                <w:kern w:val="2"/>
                <w:highlight w:val="none"/>
              </w:rPr>
            </w:pPr>
          </w:p>
        </w:tc>
        <w:tc>
          <w:tcPr>
            <w:tcW w:w="1559" w:type="dxa"/>
            <w:vAlign w:val="center"/>
          </w:tcPr>
          <w:p>
            <w:pPr>
              <w:jc w:val="both"/>
              <w:rPr>
                <w:rFonts w:hint="eastAsia" w:ascii="宋体" w:hAnsi="宋体" w:eastAsia="宋体" w:cs="宋体"/>
                <w:color w:val="auto"/>
                <w:kern w:val="2"/>
                <w:highlight w:val="none"/>
              </w:rPr>
            </w:pPr>
          </w:p>
        </w:tc>
        <w:tc>
          <w:tcPr>
            <w:tcW w:w="1418" w:type="dxa"/>
            <w:vAlign w:val="center"/>
          </w:tcPr>
          <w:p>
            <w:pPr>
              <w:jc w:val="both"/>
              <w:rPr>
                <w:rFonts w:hint="eastAsia" w:ascii="宋体" w:hAnsi="宋体" w:eastAsia="宋体" w:cs="宋体"/>
                <w:color w:val="auto"/>
                <w:kern w:val="2"/>
                <w:highlight w:val="none"/>
              </w:rPr>
            </w:pPr>
          </w:p>
        </w:tc>
        <w:tc>
          <w:tcPr>
            <w:tcW w:w="1653" w:type="dxa"/>
            <w:vAlign w:val="center"/>
          </w:tcPr>
          <w:p>
            <w:pPr>
              <w:jc w:val="both"/>
              <w:rPr>
                <w:rFonts w:hint="eastAsia" w:ascii="宋体" w:hAnsi="宋体" w:eastAsia="宋体" w:cs="宋体"/>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vAlign w:val="center"/>
          </w:tcPr>
          <w:p>
            <w:pPr>
              <w:jc w:val="both"/>
              <w:rPr>
                <w:rFonts w:hint="eastAsia" w:ascii="宋体" w:hAnsi="宋体" w:eastAsia="宋体" w:cs="宋体"/>
                <w:color w:val="auto"/>
                <w:kern w:val="2"/>
                <w:highlight w:val="none"/>
              </w:rPr>
            </w:pPr>
          </w:p>
        </w:tc>
        <w:tc>
          <w:tcPr>
            <w:tcW w:w="1361" w:type="dxa"/>
            <w:vAlign w:val="center"/>
          </w:tcPr>
          <w:p>
            <w:pPr>
              <w:jc w:val="both"/>
              <w:rPr>
                <w:rFonts w:hint="eastAsia" w:ascii="宋体" w:hAnsi="宋体" w:eastAsia="宋体" w:cs="宋体"/>
                <w:color w:val="auto"/>
                <w:kern w:val="2"/>
                <w:highlight w:val="none"/>
              </w:rPr>
            </w:pPr>
          </w:p>
        </w:tc>
        <w:tc>
          <w:tcPr>
            <w:tcW w:w="1474" w:type="dxa"/>
            <w:vAlign w:val="center"/>
          </w:tcPr>
          <w:p>
            <w:pPr>
              <w:jc w:val="both"/>
              <w:rPr>
                <w:rFonts w:hint="eastAsia" w:ascii="宋体" w:hAnsi="宋体" w:eastAsia="宋体" w:cs="宋体"/>
                <w:color w:val="auto"/>
                <w:kern w:val="2"/>
                <w:highlight w:val="none"/>
              </w:rPr>
            </w:pPr>
          </w:p>
        </w:tc>
        <w:tc>
          <w:tcPr>
            <w:tcW w:w="851" w:type="dxa"/>
            <w:vAlign w:val="center"/>
          </w:tcPr>
          <w:p>
            <w:pPr>
              <w:jc w:val="both"/>
              <w:rPr>
                <w:rFonts w:hint="eastAsia" w:ascii="宋体" w:hAnsi="宋体" w:eastAsia="宋体" w:cs="宋体"/>
                <w:color w:val="auto"/>
                <w:kern w:val="2"/>
                <w:highlight w:val="none"/>
              </w:rPr>
            </w:pPr>
          </w:p>
        </w:tc>
        <w:tc>
          <w:tcPr>
            <w:tcW w:w="1559" w:type="dxa"/>
            <w:vAlign w:val="center"/>
          </w:tcPr>
          <w:p>
            <w:pPr>
              <w:jc w:val="both"/>
              <w:rPr>
                <w:rFonts w:hint="eastAsia" w:ascii="宋体" w:hAnsi="宋体" w:eastAsia="宋体" w:cs="宋体"/>
                <w:color w:val="auto"/>
                <w:kern w:val="2"/>
                <w:highlight w:val="none"/>
              </w:rPr>
            </w:pPr>
          </w:p>
        </w:tc>
        <w:tc>
          <w:tcPr>
            <w:tcW w:w="1418" w:type="dxa"/>
            <w:vAlign w:val="center"/>
          </w:tcPr>
          <w:p>
            <w:pPr>
              <w:jc w:val="both"/>
              <w:rPr>
                <w:rFonts w:hint="eastAsia" w:ascii="宋体" w:hAnsi="宋体" w:eastAsia="宋体" w:cs="宋体"/>
                <w:color w:val="auto"/>
                <w:kern w:val="2"/>
                <w:highlight w:val="none"/>
              </w:rPr>
            </w:pPr>
          </w:p>
        </w:tc>
        <w:tc>
          <w:tcPr>
            <w:tcW w:w="1653" w:type="dxa"/>
            <w:vAlign w:val="center"/>
          </w:tcPr>
          <w:p>
            <w:pPr>
              <w:jc w:val="both"/>
              <w:rPr>
                <w:rFonts w:hint="eastAsia" w:ascii="宋体" w:hAnsi="宋体" w:eastAsia="宋体" w:cs="宋体"/>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vAlign w:val="center"/>
          </w:tcPr>
          <w:p>
            <w:pPr>
              <w:jc w:val="both"/>
              <w:rPr>
                <w:rFonts w:hint="eastAsia" w:ascii="宋体" w:hAnsi="宋体" w:eastAsia="宋体" w:cs="宋体"/>
                <w:color w:val="auto"/>
                <w:kern w:val="2"/>
                <w:highlight w:val="none"/>
              </w:rPr>
            </w:pPr>
          </w:p>
        </w:tc>
        <w:tc>
          <w:tcPr>
            <w:tcW w:w="1361" w:type="dxa"/>
            <w:vAlign w:val="center"/>
          </w:tcPr>
          <w:p>
            <w:pPr>
              <w:jc w:val="both"/>
              <w:rPr>
                <w:rFonts w:hint="eastAsia" w:ascii="宋体" w:hAnsi="宋体" w:eastAsia="宋体" w:cs="宋体"/>
                <w:color w:val="auto"/>
                <w:kern w:val="2"/>
                <w:highlight w:val="none"/>
              </w:rPr>
            </w:pPr>
          </w:p>
        </w:tc>
        <w:tc>
          <w:tcPr>
            <w:tcW w:w="1474" w:type="dxa"/>
            <w:vAlign w:val="center"/>
          </w:tcPr>
          <w:p>
            <w:pPr>
              <w:jc w:val="both"/>
              <w:rPr>
                <w:rFonts w:hint="eastAsia" w:ascii="宋体" w:hAnsi="宋体" w:eastAsia="宋体" w:cs="宋体"/>
                <w:color w:val="auto"/>
                <w:kern w:val="2"/>
                <w:highlight w:val="none"/>
              </w:rPr>
            </w:pPr>
          </w:p>
        </w:tc>
        <w:tc>
          <w:tcPr>
            <w:tcW w:w="851" w:type="dxa"/>
            <w:vAlign w:val="center"/>
          </w:tcPr>
          <w:p>
            <w:pPr>
              <w:jc w:val="both"/>
              <w:rPr>
                <w:rFonts w:hint="eastAsia" w:ascii="宋体" w:hAnsi="宋体" w:eastAsia="宋体" w:cs="宋体"/>
                <w:color w:val="auto"/>
                <w:kern w:val="2"/>
                <w:highlight w:val="none"/>
              </w:rPr>
            </w:pPr>
          </w:p>
        </w:tc>
        <w:tc>
          <w:tcPr>
            <w:tcW w:w="1559" w:type="dxa"/>
            <w:vAlign w:val="center"/>
          </w:tcPr>
          <w:p>
            <w:pPr>
              <w:jc w:val="both"/>
              <w:rPr>
                <w:rFonts w:hint="eastAsia" w:ascii="宋体" w:hAnsi="宋体" w:eastAsia="宋体" w:cs="宋体"/>
                <w:color w:val="auto"/>
                <w:kern w:val="2"/>
                <w:highlight w:val="none"/>
              </w:rPr>
            </w:pPr>
          </w:p>
        </w:tc>
        <w:tc>
          <w:tcPr>
            <w:tcW w:w="1418" w:type="dxa"/>
            <w:vAlign w:val="center"/>
          </w:tcPr>
          <w:p>
            <w:pPr>
              <w:jc w:val="both"/>
              <w:rPr>
                <w:rFonts w:hint="eastAsia" w:ascii="宋体" w:hAnsi="宋体" w:eastAsia="宋体" w:cs="宋体"/>
                <w:color w:val="auto"/>
                <w:kern w:val="2"/>
                <w:highlight w:val="none"/>
              </w:rPr>
            </w:pPr>
          </w:p>
        </w:tc>
        <w:tc>
          <w:tcPr>
            <w:tcW w:w="1653" w:type="dxa"/>
            <w:vAlign w:val="center"/>
          </w:tcPr>
          <w:p>
            <w:pPr>
              <w:jc w:val="both"/>
              <w:rPr>
                <w:rFonts w:hint="eastAsia" w:ascii="宋体" w:hAnsi="宋体" w:eastAsia="宋体" w:cs="宋体"/>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vAlign w:val="center"/>
          </w:tcPr>
          <w:p>
            <w:pPr>
              <w:jc w:val="both"/>
              <w:rPr>
                <w:rFonts w:hint="eastAsia" w:ascii="宋体" w:hAnsi="宋体" w:eastAsia="宋体" w:cs="宋体"/>
                <w:color w:val="auto"/>
                <w:kern w:val="2"/>
                <w:highlight w:val="none"/>
              </w:rPr>
            </w:pPr>
          </w:p>
        </w:tc>
        <w:tc>
          <w:tcPr>
            <w:tcW w:w="1361" w:type="dxa"/>
            <w:vAlign w:val="center"/>
          </w:tcPr>
          <w:p>
            <w:pPr>
              <w:jc w:val="both"/>
              <w:rPr>
                <w:rFonts w:hint="eastAsia" w:ascii="宋体" w:hAnsi="宋体" w:eastAsia="宋体" w:cs="宋体"/>
                <w:color w:val="auto"/>
                <w:kern w:val="2"/>
                <w:highlight w:val="none"/>
              </w:rPr>
            </w:pPr>
          </w:p>
        </w:tc>
        <w:tc>
          <w:tcPr>
            <w:tcW w:w="1474" w:type="dxa"/>
            <w:vAlign w:val="center"/>
          </w:tcPr>
          <w:p>
            <w:pPr>
              <w:jc w:val="both"/>
              <w:rPr>
                <w:rFonts w:hint="eastAsia" w:ascii="宋体" w:hAnsi="宋体" w:eastAsia="宋体" w:cs="宋体"/>
                <w:color w:val="auto"/>
                <w:kern w:val="2"/>
                <w:highlight w:val="none"/>
              </w:rPr>
            </w:pPr>
          </w:p>
        </w:tc>
        <w:tc>
          <w:tcPr>
            <w:tcW w:w="851" w:type="dxa"/>
            <w:vAlign w:val="center"/>
          </w:tcPr>
          <w:p>
            <w:pPr>
              <w:jc w:val="both"/>
              <w:rPr>
                <w:rFonts w:hint="eastAsia" w:ascii="宋体" w:hAnsi="宋体" w:eastAsia="宋体" w:cs="宋体"/>
                <w:color w:val="auto"/>
                <w:kern w:val="2"/>
                <w:highlight w:val="none"/>
              </w:rPr>
            </w:pPr>
          </w:p>
        </w:tc>
        <w:tc>
          <w:tcPr>
            <w:tcW w:w="1559" w:type="dxa"/>
            <w:vAlign w:val="center"/>
          </w:tcPr>
          <w:p>
            <w:pPr>
              <w:jc w:val="both"/>
              <w:rPr>
                <w:rFonts w:hint="eastAsia" w:ascii="宋体" w:hAnsi="宋体" w:eastAsia="宋体" w:cs="宋体"/>
                <w:color w:val="auto"/>
                <w:kern w:val="2"/>
                <w:highlight w:val="none"/>
              </w:rPr>
            </w:pPr>
          </w:p>
        </w:tc>
        <w:tc>
          <w:tcPr>
            <w:tcW w:w="1418" w:type="dxa"/>
            <w:vAlign w:val="center"/>
          </w:tcPr>
          <w:p>
            <w:pPr>
              <w:jc w:val="both"/>
              <w:rPr>
                <w:rFonts w:hint="eastAsia" w:ascii="宋体" w:hAnsi="宋体" w:eastAsia="宋体" w:cs="宋体"/>
                <w:color w:val="auto"/>
                <w:kern w:val="2"/>
                <w:highlight w:val="none"/>
              </w:rPr>
            </w:pPr>
          </w:p>
        </w:tc>
        <w:tc>
          <w:tcPr>
            <w:tcW w:w="1653" w:type="dxa"/>
            <w:vAlign w:val="center"/>
          </w:tcPr>
          <w:p>
            <w:pPr>
              <w:jc w:val="both"/>
              <w:rPr>
                <w:rFonts w:hint="eastAsia" w:ascii="宋体" w:hAnsi="宋体" w:eastAsia="宋体" w:cs="宋体"/>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vAlign w:val="center"/>
          </w:tcPr>
          <w:p>
            <w:pPr>
              <w:jc w:val="both"/>
              <w:rPr>
                <w:rFonts w:hint="eastAsia" w:ascii="宋体" w:hAnsi="宋体" w:eastAsia="宋体" w:cs="宋体"/>
                <w:color w:val="auto"/>
                <w:kern w:val="2"/>
                <w:highlight w:val="none"/>
              </w:rPr>
            </w:pPr>
          </w:p>
        </w:tc>
        <w:tc>
          <w:tcPr>
            <w:tcW w:w="1361" w:type="dxa"/>
            <w:vAlign w:val="center"/>
          </w:tcPr>
          <w:p>
            <w:pPr>
              <w:jc w:val="both"/>
              <w:rPr>
                <w:rFonts w:hint="eastAsia" w:ascii="宋体" w:hAnsi="宋体" w:eastAsia="宋体" w:cs="宋体"/>
                <w:color w:val="auto"/>
                <w:kern w:val="2"/>
                <w:highlight w:val="none"/>
              </w:rPr>
            </w:pPr>
          </w:p>
        </w:tc>
        <w:tc>
          <w:tcPr>
            <w:tcW w:w="1474" w:type="dxa"/>
            <w:vAlign w:val="center"/>
          </w:tcPr>
          <w:p>
            <w:pPr>
              <w:jc w:val="both"/>
              <w:rPr>
                <w:rFonts w:hint="eastAsia" w:ascii="宋体" w:hAnsi="宋体" w:eastAsia="宋体" w:cs="宋体"/>
                <w:color w:val="auto"/>
                <w:kern w:val="2"/>
                <w:highlight w:val="none"/>
              </w:rPr>
            </w:pPr>
          </w:p>
        </w:tc>
        <w:tc>
          <w:tcPr>
            <w:tcW w:w="851" w:type="dxa"/>
            <w:vAlign w:val="center"/>
          </w:tcPr>
          <w:p>
            <w:pPr>
              <w:jc w:val="both"/>
              <w:rPr>
                <w:rFonts w:hint="eastAsia" w:ascii="宋体" w:hAnsi="宋体" w:eastAsia="宋体" w:cs="宋体"/>
                <w:color w:val="auto"/>
                <w:kern w:val="2"/>
                <w:highlight w:val="none"/>
              </w:rPr>
            </w:pPr>
          </w:p>
        </w:tc>
        <w:tc>
          <w:tcPr>
            <w:tcW w:w="1559" w:type="dxa"/>
            <w:vAlign w:val="center"/>
          </w:tcPr>
          <w:p>
            <w:pPr>
              <w:jc w:val="both"/>
              <w:rPr>
                <w:rFonts w:hint="eastAsia" w:ascii="宋体" w:hAnsi="宋体" w:eastAsia="宋体" w:cs="宋体"/>
                <w:color w:val="auto"/>
                <w:kern w:val="2"/>
                <w:highlight w:val="none"/>
              </w:rPr>
            </w:pPr>
          </w:p>
        </w:tc>
        <w:tc>
          <w:tcPr>
            <w:tcW w:w="1418" w:type="dxa"/>
            <w:vAlign w:val="center"/>
          </w:tcPr>
          <w:p>
            <w:pPr>
              <w:jc w:val="both"/>
              <w:rPr>
                <w:rFonts w:hint="eastAsia" w:ascii="宋体" w:hAnsi="宋体" w:eastAsia="宋体" w:cs="宋体"/>
                <w:color w:val="auto"/>
                <w:kern w:val="2"/>
                <w:highlight w:val="none"/>
              </w:rPr>
            </w:pPr>
          </w:p>
        </w:tc>
        <w:tc>
          <w:tcPr>
            <w:tcW w:w="1653" w:type="dxa"/>
            <w:vAlign w:val="center"/>
          </w:tcPr>
          <w:p>
            <w:pPr>
              <w:jc w:val="both"/>
              <w:rPr>
                <w:rFonts w:hint="eastAsia" w:ascii="宋体" w:hAnsi="宋体" w:eastAsia="宋体" w:cs="宋体"/>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vAlign w:val="center"/>
          </w:tcPr>
          <w:p>
            <w:pPr>
              <w:jc w:val="both"/>
              <w:rPr>
                <w:rFonts w:hint="eastAsia" w:ascii="宋体" w:hAnsi="宋体" w:eastAsia="宋体" w:cs="宋体"/>
                <w:color w:val="auto"/>
                <w:kern w:val="2"/>
                <w:highlight w:val="none"/>
              </w:rPr>
            </w:pPr>
          </w:p>
        </w:tc>
        <w:tc>
          <w:tcPr>
            <w:tcW w:w="1361" w:type="dxa"/>
            <w:vAlign w:val="center"/>
          </w:tcPr>
          <w:p>
            <w:pPr>
              <w:jc w:val="both"/>
              <w:rPr>
                <w:rFonts w:hint="eastAsia" w:ascii="宋体" w:hAnsi="宋体" w:eastAsia="宋体" w:cs="宋体"/>
                <w:color w:val="auto"/>
                <w:kern w:val="2"/>
                <w:highlight w:val="none"/>
              </w:rPr>
            </w:pPr>
          </w:p>
        </w:tc>
        <w:tc>
          <w:tcPr>
            <w:tcW w:w="1474" w:type="dxa"/>
            <w:vAlign w:val="center"/>
          </w:tcPr>
          <w:p>
            <w:pPr>
              <w:jc w:val="both"/>
              <w:rPr>
                <w:rFonts w:hint="eastAsia" w:ascii="宋体" w:hAnsi="宋体" w:eastAsia="宋体" w:cs="宋体"/>
                <w:color w:val="auto"/>
                <w:kern w:val="2"/>
                <w:highlight w:val="none"/>
              </w:rPr>
            </w:pPr>
          </w:p>
        </w:tc>
        <w:tc>
          <w:tcPr>
            <w:tcW w:w="851" w:type="dxa"/>
            <w:vAlign w:val="center"/>
          </w:tcPr>
          <w:p>
            <w:pPr>
              <w:jc w:val="both"/>
              <w:rPr>
                <w:rFonts w:hint="eastAsia" w:ascii="宋体" w:hAnsi="宋体" w:eastAsia="宋体" w:cs="宋体"/>
                <w:color w:val="auto"/>
                <w:kern w:val="2"/>
                <w:highlight w:val="none"/>
              </w:rPr>
            </w:pPr>
          </w:p>
        </w:tc>
        <w:tc>
          <w:tcPr>
            <w:tcW w:w="1559" w:type="dxa"/>
            <w:vAlign w:val="center"/>
          </w:tcPr>
          <w:p>
            <w:pPr>
              <w:jc w:val="both"/>
              <w:rPr>
                <w:rFonts w:hint="eastAsia" w:ascii="宋体" w:hAnsi="宋体" w:eastAsia="宋体" w:cs="宋体"/>
                <w:color w:val="auto"/>
                <w:kern w:val="2"/>
                <w:highlight w:val="none"/>
              </w:rPr>
            </w:pPr>
          </w:p>
        </w:tc>
        <w:tc>
          <w:tcPr>
            <w:tcW w:w="1418" w:type="dxa"/>
            <w:vAlign w:val="center"/>
          </w:tcPr>
          <w:p>
            <w:pPr>
              <w:jc w:val="both"/>
              <w:rPr>
                <w:rFonts w:hint="eastAsia" w:ascii="宋体" w:hAnsi="宋体" w:eastAsia="宋体" w:cs="宋体"/>
                <w:color w:val="auto"/>
                <w:kern w:val="2"/>
                <w:highlight w:val="none"/>
              </w:rPr>
            </w:pPr>
          </w:p>
        </w:tc>
        <w:tc>
          <w:tcPr>
            <w:tcW w:w="1653" w:type="dxa"/>
            <w:vAlign w:val="center"/>
          </w:tcPr>
          <w:p>
            <w:pPr>
              <w:jc w:val="both"/>
              <w:rPr>
                <w:rFonts w:hint="eastAsia" w:ascii="宋体" w:hAnsi="宋体" w:eastAsia="宋体" w:cs="宋体"/>
                <w:color w:val="auto"/>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bottom w:val="single" w:color="auto" w:sz="12" w:space="0"/>
            </w:tcBorders>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备注</w:t>
            </w:r>
          </w:p>
        </w:tc>
        <w:tc>
          <w:tcPr>
            <w:tcW w:w="8316" w:type="dxa"/>
            <w:gridSpan w:val="6"/>
            <w:tcBorders>
              <w:bottom w:val="single" w:color="auto" w:sz="12" w:space="0"/>
            </w:tcBorders>
            <w:vAlign w:val="center"/>
          </w:tcPr>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1．表格行数不足时请自行扩展。</w:t>
            </w:r>
          </w:p>
          <w:p>
            <w:pPr>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2．设备可以填写单台设备，也可以填写成套设备。</w:t>
            </w:r>
          </w:p>
        </w:tc>
      </w:tr>
    </w:tbl>
    <w:p>
      <w:pPr>
        <w:spacing w:line="560" w:lineRule="exact"/>
        <w:ind w:firstLine="2762" w:firstLineChars="1151"/>
        <w:jc w:val="both"/>
        <w:rPr>
          <w:rFonts w:hint="eastAsia" w:ascii="宋体" w:hAnsi="宋体" w:eastAsia="宋体" w:cs="宋体"/>
          <w:color w:val="auto"/>
          <w:highlight w:val="none"/>
        </w:rPr>
      </w:pPr>
      <w:r>
        <w:rPr>
          <w:rFonts w:hint="eastAsia" w:ascii="宋体" w:hAnsi="宋体" w:eastAsia="宋体" w:cs="宋体"/>
          <w:color w:val="auto"/>
          <w:highlight w:val="none"/>
        </w:rPr>
        <w:t>供应商：（供应商全称并加盖公章）</w:t>
      </w:r>
    </w:p>
    <w:p>
      <w:pPr>
        <w:spacing w:line="560" w:lineRule="exact"/>
        <w:ind w:firstLine="480" w:firstLineChars="200"/>
        <w:jc w:val="both"/>
        <w:rPr>
          <w:rFonts w:hint="eastAsia" w:ascii="宋体" w:hAnsi="宋体" w:eastAsia="宋体" w:cs="宋体"/>
          <w:color w:val="auto"/>
          <w:highlight w:val="none"/>
        </w:rPr>
      </w:pPr>
    </w:p>
    <w:p>
      <w:pPr>
        <w:spacing w:line="560" w:lineRule="exact"/>
        <w:ind w:firstLine="480" w:firstLineChars="200"/>
        <w:jc w:val="both"/>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.其他（根据招标文件要求自行补充）</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sectPr>
      <w:pgSz w:w="11906" w:h="16838"/>
      <w:pgMar w:top="1440" w:right="1083" w:bottom="1440" w:left="1519" w:header="851" w:footer="992" w:gutter="0"/>
      <w:pgNumType w:fmt="decimal"/>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u8OI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7w4jgCAABvBAAADgAAAAAAAAABACAAAAAfAQAAZHJzL2Uyb0RvYy54&#10;bWxQSwUGAAAAAAYABgBZAQAAyQUAAAAA&#10;">
              <v:fill on="f" focussize="0,0"/>
              <v:stroke on="f" weight="0.5pt"/>
              <v:imagedata o:title=""/>
              <o:lock v:ext="edit" aspectratio="f"/>
              <v:textbox inset="0mm,0mm,0mm,0mm" style="mso-fit-shape-to-text:t;">
                <w:txbxContent>
                  <w:p>
                    <w:pPr>
                      <w:pStyle w:val="2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wrap="none" lIns="0" tIns="0" rIns="0" bIns="0" upright="0">
                      <a:spAutoFit/>
                    </wps:bodyPr>
                  </wps:wsp>
                </a:graphicData>
              </a:graphic>
            </wp:anchor>
          </w:drawing>
        </mc:Choice>
        <mc:Fallback>
          <w:pict>
            <v:shape id="文本框 1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KpAGMoBAACc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ryhx3OLAL9+/XX78uvz8SpbV&#10;i+dZoT5AjYl3AVPT8MYPuDezH9CZiQ8q2vxFSgTjqO/5qq8cEhH50Xq1XlcYEhibL4jP7p+HCOmt&#10;9JZko6ERB1h05af3kMbUOSVXc/5WG1OGaNxfDsTMHpZ7H3vMVhr2w0Ro79sz8ulx9g11uOqUmHcO&#10;pc1rMhtxNvazcQxRH7qyR7kehNfHhE2U3nKFEXYqjEMr7KYFy1vx571k3f9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KpAGMoBAACcAwAADgAAAAAAAAABACAAAAAeAQAAZHJzL2Uyb0Rv&#10;Yy54bWxQSwUGAAAAAAYABgBZAQAAWgUAAAAA&#10;">
              <v:fill on="f" focussize="0,0"/>
              <v:stroke on="f"/>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phHk4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D2mEeTgCAABwBAAADgAAAAAAAAABACAAAAAfAQAAZHJzL2Uyb0RvYy54&#10;bWxQSwUGAAAAAAYABgBZAQAAyQUAAAAA&#10;">
              <v:fill on="f" focussize="0,0"/>
              <v:stroke on="f" weight="0.5pt"/>
              <v:imagedata o:title=""/>
              <o:lock v:ext="edit" aspectratio="f"/>
              <v:textbox inset="0mm,0mm,0mm,0mm" style="mso-fit-shape-to-text:t;">
                <w:txbxContent>
                  <w:p>
                    <w:pPr>
                      <w:pStyle w:val="2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4"/>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98</w:t>
                    </w:r>
                    <w:r>
                      <w:t xml:space="preserve"> 页</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byvw4AgAAcA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5vK/DgCAABwBAAADgAAAAAAAAABACAAAAAfAQAAZHJzL2Uyb0RvYy54&#10;bWxQSwUGAAAAAAYABgBZAQAAyQUAAAAA&#10;">
              <v:fill on="f" focussize="0,0"/>
              <v:stroke on="f" weight="0.5pt"/>
              <v:imagedata o:title=""/>
              <o:lock v:ext="edit" aspectratio="f"/>
              <v:textbox inset="0mm,0mm,0mm,0mm" style="mso-fit-shape-to-text:t;">
                <w:txbxContent>
                  <w:p>
                    <w:pPr>
                      <w:pStyle w:val="2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F28DF"/>
    <w:multiLevelType w:val="singleLevel"/>
    <w:tmpl w:val="9F8F28DF"/>
    <w:lvl w:ilvl="0" w:tentative="0">
      <w:start w:val="1"/>
      <w:numFmt w:val="decimalEnclosedCircleChinese"/>
      <w:suff w:val="nothing"/>
      <w:lvlText w:val="%1　"/>
      <w:lvlJc w:val="left"/>
      <w:pPr>
        <w:ind w:left="0" w:firstLine="400"/>
      </w:pPr>
      <w:rPr>
        <w:rFonts w:hint="eastAsia"/>
      </w:rPr>
    </w:lvl>
  </w:abstractNum>
  <w:abstractNum w:abstractNumId="1">
    <w:nsid w:val="1585B7D8"/>
    <w:multiLevelType w:val="singleLevel"/>
    <w:tmpl w:val="1585B7D8"/>
    <w:lvl w:ilvl="0" w:tentative="0">
      <w:start w:val="3"/>
      <w:numFmt w:val="chineseCounting"/>
      <w:suff w:val="nothing"/>
      <w:lvlText w:val="（%1）"/>
      <w:lvlJc w:val="left"/>
      <w:rPr>
        <w:rFonts w:hint="eastAsia"/>
      </w:rPr>
    </w:lvl>
  </w:abstractNum>
  <w:abstractNum w:abstractNumId="2">
    <w:nsid w:val="63745859"/>
    <w:multiLevelType w:val="singleLevel"/>
    <w:tmpl w:val="63745859"/>
    <w:lvl w:ilvl="0" w:tentative="0">
      <w:start w:val="1"/>
      <w:numFmt w:val="decimal"/>
      <w:suff w:val="nothing"/>
      <w:lvlText w:val="%1、"/>
      <w:lvlJc w:val="left"/>
    </w:lvl>
  </w:abstractNum>
  <w:abstractNum w:abstractNumId="3">
    <w:nsid w:val="6D4132C2"/>
    <w:multiLevelType w:val="multilevel"/>
    <w:tmpl w:val="6D4132C2"/>
    <w:lvl w:ilvl="0" w:tentative="0">
      <w:start w:val="1"/>
      <w:numFmt w:val="none"/>
      <w:suff w:val="nothing"/>
      <w:lvlText w:val=""/>
      <w:lvlJc w:val="center"/>
      <w:rPr>
        <w:rFonts w:hint="default" w:ascii="Calibri" w:hAnsi="Calibri" w:eastAsia="黑体" w:cs="Times New Roman"/>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rPr>
        <w:rFonts w:hint="default" w:ascii="Calibri" w:hAnsi="Calibri" w:eastAsia="黑体" w:cs="Times New Roman"/>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firstLine="289"/>
      </w:pPr>
      <w:rPr>
        <w:rFonts w:hint="default" w:ascii="Calibri Light" w:hAnsi="Calibri Light" w:eastAsia="宋体" w:cs="Times New Roman"/>
        <w:b/>
        <w:i w:val="0"/>
        <w:caps w:val="0"/>
        <w:strike w:val="0"/>
        <w:dstrike w:val="0"/>
        <w:snapToGrid/>
        <w:vanish w:val="0"/>
        <w:spacing w:val="0"/>
        <w:w w:val="100"/>
        <w:kern w:val="30"/>
        <w:position w:val="0"/>
        <w:sz w:val="30"/>
        <w:vertAlign w:val="baseline"/>
      </w:rPr>
    </w:lvl>
    <w:lvl w:ilvl="3" w:tentative="0">
      <w:start w:val="1"/>
      <w:numFmt w:val="decimal"/>
      <w:pStyle w:val="6"/>
      <w:lvlText w:val="%1.%2.%3.%4"/>
      <w:lvlJc w:val="left"/>
      <w:pPr>
        <w:ind w:left="864" w:hanging="864"/>
      </w:pPr>
      <w:rPr>
        <w:rFonts w:hint="eastAsia" w:cs="Times New Roman"/>
      </w:rPr>
    </w:lvl>
    <w:lvl w:ilvl="4" w:tentative="0">
      <w:start w:val="1"/>
      <w:numFmt w:val="decimal"/>
      <w:pStyle w:val="7"/>
      <w:lvlText w:val="%1.%2.%3.%4.%5"/>
      <w:lvlJc w:val="left"/>
      <w:pPr>
        <w:ind w:left="1008" w:hanging="1008"/>
      </w:pPr>
      <w:rPr>
        <w:rFonts w:hint="eastAsia" w:cs="Times New Roman"/>
      </w:rPr>
    </w:lvl>
    <w:lvl w:ilvl="5" w:tentative="0">
      <w:start w:val="1"/>
      <w:numFmt w:val="decimal"/>
      <w:pStyle w:val="8"/>
      <w:lvlText w:val="%1.%2.%3.%4.%5.%6"/>
      <w:lvlJc w:val="left"/>
      <w:pPr>
        <w:ind w:left="1152" w:hanging="1152"/>
      </w:pPr>
      <w:rPr>
        <w:rFonts w:hint="eastAsia" w:cs="Times New Roman"/>
      </w:rPr>
    </w:lvl>
    <w:lvl w:ilvl="6" w:tentative="0">
      <w:start w:val="1"/>
      <w:numFmt w:val="decimal"/>
      <w:pStyle w:val="9"/>
      <w:lvlText w:val="%1.%2.%3.%4.%5.%6.%7"/>
      <w:lvlJc w:val="left"/>
      <w:pPr>
        <w:ind w:left="1296" w:hanging="1296"/>
      </w:pPr>
      <w:rPr>
        <w:rFonts w:hint="eastAsia" w:cs="Times New Roman"/>
      </w:rPr>
    </w:lvl>
    <w:lvl w:ilvl="7" w:tentative="0">
      <w:start w:val="1"/>
      <w:numFmt w:val="decimal"/>
      <w:pStyle w:val="10"/>
      <w:lvlText w:val="%1.%2.%3.%4.%5.%6.%7.%8"/>
      <w:lvlJc w:val="left"/>
      <w:pPr>
        <w:ind w:left="1440" w:hanging="1440"/>
      </w:pPr>
      <w:rPr>
        <w:rFonts w:hint="eastAsia" w:cs="Times New Roman"/>
      </w:rPr>
    </w:lvl>
    <w:lvl w:ilvl="8" w:tentative="0">
      <w:start w:val="1"/>
      <w:numFmt w:val="decimal"/>
      <w:pStyle w:val="11"/>
      <w:lvlText w:val="%1.%2.%3.%4.%5.%6.%7.%8.%9"/>
      <w:lvlJc w:val="left"/>
      <w:pPr>
        <w:ind w:left="1584" w:hanging="1584"/>
      </w:pPr>
      <w:rPr>
        <w:rFonts w:hint="eastAsia" w:cs="Times New Roman"/>
      </w:rPr>
    </w:lvl>
  </w:abstractNum>
  <w:abstractNum w:abstractNumId="4">
    <w:nsid w:val="7D623711"/>
    <w:multiLevelType w:val="singleLevel"/>
    <w:tmpl w:val="7D623711"/>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revisionView w:markup="0"/>
  <w:documentProtection w:enforcement="0"/>
  <w:defaultTabStop w:val="420"/>
  <w:drawingGridHorizontalSpacing w:val="120"/>
  <w:drawingGridVerticalSpacing w:val="210"/>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D5C"/>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6EC"/>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837"/>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1992"/>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2D48"/>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0F6D"/>
    <w:rsid w:val="003644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AA8"/>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08FF"/>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8558C"/>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982"/>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4658"/>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02DB"/>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22B"/>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077E"/>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A1A"/>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3EAA"/>
    <w:rsid w:val="00DA7EC9"/>
    <w:rsid w:val="00DB18FC"/>
    <w:rsid w:val="00DB2769"/>
    <w:rsid w:val="00DB4762"/>
    <w:rsid w:val="00DB4A59"/>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530D"/>
    <w:rsid w:val="00E77471"/>
    <w:rsid w:val="00E777FC"/>
    <w:rsid w:val="00E82BED"/>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4B41"/>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5D0D5E"/>
    <w:rsid w:val="019021DF"/>
    <w:rsid w:val="01A06D45"/>
    <w:rsid w:val="01A22C15"/>
    <w:rsid w:val="01A808A2"/>
    <w:rsid w:val="01BC0965"/>
    <w:rsid w:val="01DB1C83"/>
    <w:rsid w:val="01F42D45"/>
    <w:rsid w:val="01FD3B42"/>
    <w:rsid w:val="024912E2"/>
    <w:rsid w:val="025E66C8"/>
    <w:rsid w:val="03C056C3"/>
    <w:rsid w:val="04025BED"/>
    <w:rsid w:val="04161DF0"/>
    <w:rsid w:val="046917C8"/>
    <w:rsid w:val="049F37E8"/>
    <w:rsid w:val="04E9099E"/>
    <w:rsid w:val="05104339"/>
    <w:rsid w:val="053368C3"/>
    <w:rsid w:val="05441904"/>
    <w:rsid w:val="05481BC6"/>
    <w:rsid w:val="055661F0"/>
    <w:rsid w:val="05706D4F"/>
    <w:rsid w:val="058B34FA"/>
    <w:rsid w:val="05F4071B"/>
    <w:rsid w:val="062F73CE"/>
    <w:rsid w:val="065B15E4"/>
    <w:rsid w:val="06E54213"/>
    <w:rsid w:val="070833A2"/>
    <w:rsid w:val="075C3866"/>
    <w:rsid w:val="076A3DAC"/>
    <w:rsid w:val="07BB67DE"/>
    <w:rsid w:val="07C46CC8"/>
    <w:rsid w:val="07FB238A"/>
    <w:rsid w:val="080D2999"/>
    <w:rsid w:val="08290A63"/>
    <w:rsid w:val="08B90902"/>
    <w:rsid w:val="08EB7B38"/>
    <w:rsid w:val="090B10A0"/>
    <w:rsid w:val="093556FE"/>
    <w:rsid w:val="097E3F67"/>
    <w:rsid w:val="09C63218"/>
    <w:rsid w:val="0A053D41"/>
    <w:rsid w:val="0A342878"/>
    <w:rsid w:val="0A860291"/>
    <w:rsid w:val="0AB26497"/>
    <w:rsid w:val="0AC11888"/>
    <w:rsid w:val="0AFB5144"/>
    <w:rsid w:val="0AFB7D68"/>
    <w:rsid w:val="0B3C19E4"/>
    <w:rsid w:val="0B732F2C"/>
    <w:rsid w:val="0BA63302"/>
    <w:rsid w:val="0C77413A"/>
    <w:rsid w:val="0D3A1F53"/>
    <w:rsid w:val="0E6770B2"/>
    <w:rsid w:val="0E7262FB"/>
    <w:rsid w:val="0ED65403"/>
    <w:rsid w:val="0F6239E3"/>
    <w:rsid w:val="0F8751F8"/>
    <w:rsid w:val="0FA839EE"/>
    <w:rsid w:val="104F3F68"/>
    <w:rsid w:val="10741C20"/>
    <w:rsid w:val="11047F88"/>
    <w:rsid w:val="122B037F"/>
    <w:rsid w:val="12BC1C89"/>
    <w:rsid w:val="12FB3F33"/>
    <w:rsid w:val="13135720"/>
    <w:rsid w:val="13257202"/>
    <w:rsid w:val="134C5065"/>
    <w:rsid w:val="144638D4"/>
    <w:rsid w:val="14AC1938"/>
    <w:rsid w:val="14E00FED"/>
    <w:rsid w:val="14FB646C"/>
    <w:rsid w:val="15E52C78"/>
    <w:rsid w:val="1650385B"/>
    <w:rsid w:val="16705666"/>
    <w:rsid w:val="16B60684"/>
    <w:rsid w:val="16D276A1"/>
    <w:rsid w:val="16F2389F"/>
    <w:rsid w:val="17207642"/>
    <w:rsid w:val="180E2A6C"/>
    <w:rsid w:val="18694035"/>
    <w:rsid w:val="18694C95"/>
    <w:rsid w:val="188350F6"/>
    <w:rsid w:val="18891FE1"/>
    <w:rsid w:val="18F338FE"/>
    <w:rsid w:val="190B6E9A"/>
    <w:rsid w:val="19C939D1"/>
    <w:rsid w:val="19E971DB"/>
    <w:rsid w:val="1A795ABB"/>
    <w:rsid w:val="1A9E5B80"/>
    <w:rsid w:val="1BA86C22"/>
    <w:rsid w:val="1C212950"/>
    <w:rsid w:val="1CE247F8"/>
    <w:rsid w:val="1D1722B1"/>
    <w:rsid w:val="1D640CB3"/>
    <w:rsid w:val="1DB96341"/>
    <w:rsid w:val="1DE5480D"/>
    <w:rsid w:val="1E083917"/>
    <w:rsid w:val="1E1C1AFF"/>
    <w:rsid w:val="1E386346"/>
    <w:rsid w:val="1EC71617"/>
    <w:rsid w:val="1ED57D2E"/>
    <w:rsid w:val="1EE63636"/>
    <w:rsid w:val="1F382D02"/>
    <w:rsid w:val="1FD20711"/>
    <w:rsid w:val="1FE87F35"/>
    <w:rsid w:val="200E4068"/>
    <w:rsid w:val="205611AE"/>
    <w:rsid w:val="205848BD"/>
    <w:rsid w:val="20735A50"/>
    <w:rsid w:val="207832B9"/>
    <w:rsid w:val="20842D5D"/>
    <w:rsid w:val="20FF0011"/>
    <w:rsid w:val="21052421"/>
    <w:rsid w:val="210614E2"/>
    <w:rsid w:val="216E1D66"/>
    <w:rsid w:val="21A7594B"/>
    <w:rsid w:val="21DD44D5"/>
    <w:rsid w:val="22316C03"/>
    <w:rsid w:val="224736DC"/>
    <w:rsid w:val="22E457C4"/>
    <w:rsid w:val="22ED580C"/>
    <w:rsid w:val="23476D20"/>
    <w:rsid w:val="236944B9"/>
    <w:rsid w:val="237406C1"/>
    <w:rsid w:val="24446C1D"/>
    <w:rsid w:val="24747E1D"/>
    <w:rsid w:val="24AF016D"/>
    <w:rsid w:val="24D35C2C"/>
    <w:rsid w:val="254259F1"/>
    <w:rsid w:val="25C1582D"/>
    <w:rsid w:val="25E371D4"/>
    <w:rsid w:val="26572D4C"/>
    <w:rsid w:val="26D11723"/>
    <w:rsid w:val="26E47A85"/>
    <w:rsid w:val="26E522AB"/>
    <w:rsid w:val="26FA3134"/>
    <w:rsid w:val="281C569E"/>
    <w:rsid w:val="286F11F3"/>
    <w:rsid w:val="28B9246E"/>
    <w:rsid w:val="28BD6671"/>
    <w:rsid w:val="29381D5F"/>
    <w:rsid w:val="29A547A1"/>
    <w:rsid w:val="29BC2AC3"/>
    <w:rsid w:val="29C50F13"/>
    <w:rsid w:val="29D5432D"/>
    <w:rsid w:val="29E02325"/>
    <w:rsid w:val="29F00B0C"/>
    <w:rsid w:val="2A1536D4"/>
    <w:rsid w:val="2A1C2CB5"/>
    <w:rsid w:val="2A491993"/>
    <w:rsid w:val="2ACA2711"/>
    <w:rsid w:val="2AFE685E"/>
    <w:rsid w:val="2B476EFC"/>
    <w:rsid w:val="2B67588B"/>
    <w:rsid w:val="2B832919"/>
    <w:rsid w:val="2B9B5E5B"/>
    <w:rsid w:val="2C1B2CF0"/>
    <w:rsid w:val="2C5140BE"/>
    <w:rsid w:val="2C6B1C41"/>
    <w:rsid w:val="2D363880"/>
    <w:rsid w:val="2D746964"/>
    <w:rsid w:val="2E045743"/>
    <w:rsid w:val="2E23750C"/>
    <w:rsid w:val="2E7B0853"/>
    <w:rsid w:val="2EC92CDF"/>
    <w:rsid w:val="2FF62A99"/>
    <w:rsid w:val="3056529F"/>
    <w:rsid w:val="305B02AF"/>
    <w:rsid w:val="30806709"/>
    <w:rsid w:val="30AB447E"/>
    <w:rsid w:val="30ED267A"/>
    <w:rsid w:val="311B3A87"/>
    <w:rsid w:val="31275097"/>
    <w:rsid w:val="312863E3"/>
    <w:rsid w:val="31390809"/>
    <w:rsid w:val="31567D34"/>
    <w:rsid w:val="316311C9"/>
    <w:rsid w:val="318D26EA"/>
    <w:rsid w:val="31973C03"/>
    <w:rsid w:val="319E0B3E"/>
    <w:rsid w:val="31AD68E8"/>
    <w:rsid w:val="31D15F92"/>
    <w:rsid w:val="322A3FD0"/>
    <w:rsid w:val="32460D6D"/>
    <w:rsid w:val="32473536"/>
    <w:rsid w:val="327B2543"/>
    <w:rsid w:val="3282783E"/>
    <w:rsid w:val="32953785"/>
    <w:rsid w:val="329F2841"/>
    <w:rsid w:val="331139DA"/>
    <w:rsid w:val="33CC574C"/>
    <w:rsid w:val="33D034AB"/>
    <w:rsid w:val="33D53E1A"/>
    <w:rsid w:val="33D53ED4"/>
    <w:rsid w:val="343C3F54"/>
    <w:rsid w:val="34AC1F61"/>
    <w:rsid w:val="34C401D1"/>
    <w:rsid w:val="35527ED3"/>
    <w:rsid w:val="35CC3776"/>
    <w:rsid w:val="35FC7E3E"/>
    <w:rsid w:val="360A60B7"/>
    <w:rsid w:val="36323189"/>
    <w:rsid w:val="36647880"/>
    <w:rsid w:val="369B5098"/>
    <w:rsid w:val="36EE3C2B"/>
    <w:rsid w:val="377C6844"/>
    <w:rsid w:val="37DE3D29"/>
    <w:rsid w:val="3872430C"/>
    <w:rsid w:val="387B7DEB"/>
    <w:rsid w:val="38DE4A75"/>
    <w:rsid w:val="393C05D6"/>
    <w:rsid w:val="39D8059A"/>
    <w:rsid w:val="39E24BE1"/>
    <w:rsid w:val="39EB2452"/>
    <w:rsid w:val="3A461688"/>
    <w:rsid w:val="3AAA66ED"/>
    <w:rsid w:val="3AD2116E"/>
    <w:rsid w:val="3B5E3BB5"/>
    <w:rsid w:val="3C420B80"/>
    <w:rsid w:val="3C771569"/>
    <w:rsid w:val="3CA13016"/>
    <w:rsid w:val="3D932E36"/>
    <w:rsid w:val="3DE12BD5"/>
    <w:rsid w:val="3E8C544C"/>
    <w:rsid w:val="3E942603"/>
    <w:rsid w:val="3E9C5D1B"/>
    <w:rsid w:val="3F344FC4"/>
    <w:rsid w:val="3F5D7028"/>
    <w:rsid w:val="3FED7ECB"/>
    <w:rsid w:val="409D0E9A"/>
    <w:rsid w:val="40B01F51"/>
    <w:rsid w:val="40B7360A"/>
    <w:rsid w:val="40C31C84"/>
    <w:rsid w:val="4105404B"/>
    <w:rsid w:val="411B561D"/>
    <w:rsid w:val="41607EC4"/>
    <w:rsid w:val="41A05B22"/>
    <w:rsid w:val="41C537DA"/>
    <w:rsid w:val="4242307D"/>
    <w:rsid w:val="425A189B"/>
    <w:rsid w:val="42C44352"/>
    <w:rsid w:val="42D31F27"/>
    <w:rsid w:val="42DE4B54"/>
    <w:rsid w:val="42E94F7C"/>
    <w:rsid w:val="42F93A27"/>
    <w:rsid w:val="43A84854"/>
    <w:rsid w:val="446756ED"/>
    <w:rsid w:val="44971A01"/>
    <w:rsid w:val="44B95392"/>
    <w:rsid w:val="45264590"/>
    <w:rsid w:val="4565155C"/>
    <w:rsid w:val="45C5221E"/>
    <w:rsid w:val="462211FB"/>
    <w:rsid w:val="46252A99"/>
    <w:rsid w:val="4632349B"/>
    <w:rsid w:val="46674E60"/>
    <w:rsid w:val="46BD7176"/>
    <w:rsid w:val="46CA5521"/>
    <w:rsid w:val="46DD15C6"/>
    <w:rsid w:val="46E05F52"/>
    <w:rsid w:val="46F56670"/>
    <w:rsid w:val="46FC0C7F"/>
    <w:rsid w:val="47C00CCC"/>
    <w:rsid w:val="48621A93"/>
    <w:rsid w:val="486858C8"/>
    <w:rsid w:val="49310464"/>
    <w:rsid w:val="49427F35"/>
    <w:rsid w:val="49587582"/>
    <w:rsid w:val="49793507"/>
    <w:rsid w:val="49F66C27"/>
    <w:rsid w:val="4A040D5F"/>
    <w:rsid w:val="4A8E048D"/>
    <w:rsid w:val="4AB10DA0"/>
    <w:rsid w:val="4ACA3C0F"/>
    <w:rsid w:val="4ACC65DF"/>
    <w:rsid w:val="4AF62644"/>
    <w:rsid w:val="4B1A06F3"/>
    <w:rsid w:val="4B981B71"/>
    <w:rsid w:val="4BB26B7D"/>
    <w:rsid w:val="4BD0684C"/>
    <w:rsid w:val="4C3B1BE7"/>
    <w:rsid w:val="4C414C97"/>
    <w:rsid w:val="4C6836E0"/>
    <w:rsid w:val="4C985CF9"/>
    <w:rsid w:val="4D232139"/>
    <w:rsid w:val="4DA02B54"/>
    <w:rsid w:val="4DFC4A28"/>
    <w:rsid w:val="4E50267E"/>
    <w:rsid w:val="4E8B0864"/>
    <w:rsid w:val="4E8F31A6"/>
    <w:rsid w:val="4EEA4174"/>
    <w:rsid w:val="4EEB759A"/>
    <w:rsid w:val="4F7A0475"/>
    <w:rsid w:val="4F8170F1"/>
    <w:rsid w:val="4F916898"/>
    <w:rsid w:val="4FCB2252"/>
    <w:rsid w:val="501A1CFB"/>
    <w:rsid w:val="50B96C00"/>
    <w:rsid w:val="50F36E79"/>
    <w:rsid w:val="50FB388D"/>
    <w:rsid w:val="51142088"/>
    <w:rsid w:val="51183927"/>
    <w:rsid w:val="51C02217"/>
    <w:rsid w:val="52045C59"/>
    <w:rsid w:val="5217598C"/>
    <w:rsid w:val="525536BD"/>
    <w:rsid w:val="528F690A"/>
    <w:rsid w:val="529F1132"/>
    <w:rsid w:val="52BD4273"/>
    <w:rsid w:val="52FF7374"/>
    <w:rsid w:val="53C438F2"/>
    <w:rsid w:val="54415F9E"/>
    <w:rsid w:val="544D6C18"/>
    <w:rsid w:val="54EA346C"/>
    <w:rsid w:val="55E664D3"/>
    <w:rsid w:val="56244A03"/>
    <w:rsid w:val="5637090C"/>
    <w:rsid w:val="569846E3"/>
    <w:rsid w:val="56B6339E"/>
    <w:rsid w:val="57A05CBD"/>
    <w:rsid w:val="57AA1051"/>
    <w:rsid w:val="57FB1D6F"/>
    <w:rsid w:val="582D4CB2"/>
    <w:rsid w:val="584E29FC"/>
    <w:rsid w:val="587C0532"/>
    <w:rsid w:val="58AB2F5D"/>
    <w:rsid w:val="58E95BA9"/>
    <w:rsid w:val="593212FE"/>
    <w:rsid w:val="5994429F"/>
    <w:rsid w:val="59C83A10"/>
    <w:rsid w:val="59ED0D05"/>
    <w:rsid w:val="5A5338E2"/>
    <w:rsid w:val="5A957D82"/>
    <w:rsid w:val="5B4D68C3"/>
    <w:rsid w:val="5BDC74AB"/>
    <w:rsid w:val="5BFC1BB3"/>
    <w:rsid w:val="5C5C2FCC"/>
    <w:rsid w:val="5C974299"/>
    <w:rsid w:val="5CDC2A8F"/>
    <w:rsid w:val="5D860856"/>
    <w:rsid w:val="5D871691"/>
    <w:rsid w:val="5EB172BE"/>
    <w:rsid w:val="5EBC7D66"/>
    <w:rsid w:val="5EEB4428"/>
    <w:rsid w:val="5F5321C7"/>
    <w:rsid w:val="60087403"/>
    <w:rsid w:val="60B91957"/>
    <w:rsid w:val="60BB6946"/>
    <w:rsid w:val="60EE1FAE"/>
    <w:rsid w:val="612D4D53"/>
    <w:rsid w:val="615962A6"/>
    <w:rsid w:val="61926DDD"/>
    <w:rsid w:val="623507B5"/>
    <w:rsid w:val="623B46F0"/>
    <w:rsid w:val="623E69E4"/>
    <w:rsid w:val="62540044"/>
    <w:rsid w:val="62BC0B2B"/>
    <w:rsid w:val="636968FC"/>
    <w:rsid w:val="63EC0D9F"/>
    <w:rsid w:val="64622C71"/>
    <w:rsid w:val="64923598"/>
    <w:rsid w:val="64A61583"/>
    <w:rsid w:val="64F27480"/>
    <w:rsid w:val="65A718A3"/>
    <w:rsid w:val="661C7228"/>
    <w:rsid w:val="663028FA"/>
    <w:rsid w:val="666A0329"/>
    <w:rsid w:val="66E00683"/>
    <w:rsid w:val="66E40180"/>
    <w:rsid w:val="67081BBE"/>
    <w:rsid w:val="67331BC7"/>
    <w:rsid w:val="67423054"/>
    <w:rsid w:val="67950437"/>
    <w:rsid w:val="684C048F"/>
    <w:rsid w:val="68966D41"/>
    <w:rsid w:val="68DD1E79"/>
    <w:rsid w:val="68E47ECC"/>
    <w:rsid w:val="69021D95"/>
    <w:rsid w:val="693410C2"/>
    <w:rsid w:val="69594941"/>
    <w:rsid w:val="695E1C9B"/>
    <w:rsid w:val="696D7D9D"/>
    <w:rsid w:val="69780673"/>
    <w:rsid w:val="699643D0"/>
    <w:rsid w:val="69C550B4"/>
    <w:rsid w:val="69EF4FC9"/>
    <w:rsid w:val="6A10568B"/>
    <w:rsid w:val="6A222CC8"/>
    <w:rsid w:val="6A6376B8"/>
    <w:rsid w:val="6AAE2651"/>
    <w:rsid w:val="6AEC1C54"/>
    <w:rsid w:val="6B1666AD"/>
    <w:rsid w:val="6B576059"/>
    <w:rsid w:val="6B8C3A28"/>
    <w:rsid w:val="6C1F3963"/>
    <w:rsid w:val="6C24060F"/>
    <w:rsid w:val="6C4D3CBC"/>
    <w:rsid w:val="6C765E41"/>
    <w:rsid w:val="6CFC73C8"/>
    <w:rsid w:val="6D036096"/>
    <w:rsid w:val="6D0964BE"/>
    <w:rsid w:val="6D12171A"/>
    <w:rsid w:val="6D287D18"/>
    <w:rsid w:val="6D4F4F47"/>
    <w:rsid w:val="6D785A21"/>
    <w:rsid w:val="6DB93944"/>
    <w:rsid w:val="6DBC675B"/>
    <w:rsid w:val="6DDC0427"/>
    <w:rsid w:val="6DEB6993"/>
    <w:rsid w:val="6E0E0133"/>
    <w:rsid w:val="6E3F4BB9"/>
    <w:rsid w:val="6E581F01"/>
    <w:rsid w:val="6E625D89"/>
    <w:rsid w:val="6E9F3C9F"/>
    <w:rsid w:val="6F6D49E6"/>
    <w:rsid w:val="6F801D84"/>
    <w:rsid w:val="6F897436"/>
    <w:rsid w:val="700649E3"/>
    <w:rsid w:val="702B672C"/>
    <w:rsid w:val="70820965"/>
    <w:rsid w:val="70873060"/>
    <w:rsid w:val="709D7847"/>
    <w:rsid w:val="70DC7D22"/>
    <w:rsid w:val="710B6BAC"/>
    <w:rsid w:val="712D491D"/>
    <w:rsid w:val="713E2ADE"/>
    <w:rsid w:val="7148395C"/>
    <w:rsid w:val="714F53FB"/>
    <w:rsid w:val="71C254BD"/>
    <w:rsid w:val="731D6316"/>
    <w:rsid w:val="731E2BC7"/>
    <w:rsid w:val="73976A11"/>
    <w:rsid w:val="73D37293"/>
    <w:rsid w:val="73DF0290"/>
    <w:rsid w:val="7452082F"/>
    <w:rsid w:val="749D7B1B"/>
    <w:rsid w:val="74C002E8"/>
    <w:rsid w:val="752328F9"/>
    <w:rsid w:val="754E0E15"/>
    <w:rsid w:val="759C7DD3"/>
    <w:rsid w:val="76221F91"/>
    <w:rsid w:val="76237109"/>
    <w:rsid w:val="763D7A3F"/>
    <w:rsid w:val="769A6A08"/>
    <w:rsid w:val="769C492A"/>
    <w:rsid w:val="77E23F4F"/>
    <w:rsid w:val="77E872FF"/>
    <w:rsid w:val="780D4FB8"/>
    <w:rsid w:val="781D7C27"/>
    <w:rsid w:val="783D4190"/>
    <w:rsid w:val="786A41B8"/>
    <w:rsid w:val="786E0A50"/>
    <w:rsid w:val="78840832"/>
    <w:rsid w:val="78B0416D"/>
    <w:rsid w:val="78C97718"/>
    <w:rsid w:val="79786DA9"/>
    <w:rsid w:val="79B77DBE"/>
    <w:rsid w:val="7A101AB7"/>
    <w:rsid w:val="7A6A2399"/>
    <w:rsid w:val="7B0B161F"/>
    <w:rsid w:val="7B0B3DD5"/>
    <w:rsid w:val="7B252618"/>
    <w:rsid w:val="7B334D35"/>
    <w:rsid w:val="7B4C1BE3"/>
    <w:rsid w:val="7BEE7289"/>
    <w:rsid w:val="7C370855"/>
    <w:rsid w:val="7C5C33D9"/>
    <w:rsid w:val="7C7D499B"/>
    <w:rsid w:val="7CB63E70"/>
    <w:rsid w:val="7D43322A"/>
    <w:rsid w:val="7D4C6582"/>
    <w:rsid w:val="7D6C452F"/>
    <w:rsid w:val="7E7C3DCD"/>
    <w:rsid w:val="7EA67F14"/>
    <w:rsid w:val="7EE37ECB"/>
    <w:rsid w:val="7EE477AF"/>
    <w:rsid w:val="7EEF0E10"/>
    <w:rsid w:val="7F460DAF"/>
    <w:rsid w:val="7F725188"/>
    <w:rsid w:val="7FC43D2E"/>
    <w:rsid w:val="7FC57E9B"/>
    <w:rsid w:val="7FFA407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99" w:semiHidden="0" w:name="envelope return"/>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name="Date"/>
    <w:lsdException w:qFormat="1" w:unhideWhenUsed="0" w:uiPriority="99" w:semiHidden="0" w:name="Body Text First Indent"/>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qFormat="1" w:unhideWhenUsed="0" w:uiPriority="0" w:semiHidden="0"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kern w:val="0"/>
      <w:sz w:val="24"/>
      <w:szCs w:val="24"/>
      <w:lang w:val="en-US" w:eastAsia="zh-CN" w:bidi="ar-SA"/>
    </w:rPr>
  </w:style>
  <w:style w:type="paragraph" w:styleId="3">
    <w:name w:val="heading 1"/>
    <w:basedOn w:val="1"/>
    <w:next w:val="1"/>
    <w:link w:val="50"/>
    <w:qFormat/>
    <w:uiPriority w:val="9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51"/>
    <w:qFormat/>
    <w:uiPriority w:val="9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52"/>
    <w:qFormat/>
    <w:uiPriority w:val="9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53"/>
    <w:qFormat/>
    <w:uiPriority w:val="99"/>
    <w:pPr>
      <w:keepNext/>
      <w:numPr>
        <w:ilvl w:val="3"/>
        <w:numId w:val="1"/>
      </w:numPr>
      <w:spacing w:before="240" w:after="60"/>
      <w:outlineLvl w:val="3"/>
    </w:pPr>
    <w:rPr>
      <w:b/>
      <w:bCs/>
      <w:sz w:val="28"/>
      <w:szCs w:val="28"/>
    </w:rPr>
  </w:style>
  <w:style w:type="paragraph" w:styleId="7">
    <w:name w:val="heading 5"/>
    <w:basedOn w:val="1"/>
    <w:next w:val="1"/>
    <w:link w:val="54"/>
    <w:qFormat/>
    <w:uiPriority w:val="99"/>
    <w:pPr>
      <w:numPr>
        <w:ilvl w:val="4"/>
        <w:numId w:val="1"/>
      </w:numPr>
      <w:spacing w:before="240" w:after="60"/>
      <w:outlineLvl w:val="4"/>
    </w:pPr>
    <w:rPr>
      <w:b/>
      <w:bCs/>
      <w:i/>
      <w:iCs/>
      <w:sz w:val="26"/>
      <w:szCs w:val="26"/>
    </w:rPr>
  </w:style>
  <w:style w:type="paragraph" w:styleId="8">
    <w:name w:val="heading 6"/>
    <w:basedOn w:val="1"/>
    <w:next w:val="1"/>
    <w:link w:val="55"/>
    <w:qFormat/>
    <w:uiPriority w:val="99"/>
    <w:pPr>
      <w:numPr>
        <w:ilvl w:val="5"/>
        <w:numId w:val="1"/>
      </w:numPr>
      <w:spacing w:before="240" w:after="60"/>
      <w:outlineLvl w:val="5"/>
    </w:pPr>
    <w:rPr>
      <w:b/>
      <w:bCs/>
      <w:sz w:val="22"/>
      <w:szCs w:val="22"/>
    </w:rPr>
  </w:style>
  <w:style w:type="paragraph" w:styleId="9">
    <w:name w:val="heading 7"/>
    <w:basedOn w:val="1"/>
    <w:next w:val="1"/>
    <w:link w:val="56"/>
    <w:qFormat/>
    <w:uiPriority w:val="99"/>
    <w:pPr>
      <w:numPr>
        <w:ilvl w:val="6"/>
        <w:numId w:val="1"/>
      </w:numPr>
      <w:spacing w:before="240" w:after="60"/>
      <w:outlineLvl w:val="6"/>
    </w:pPr>
  </w:style>
  <w:style w:type="paragraph" w:styleId="10">
    <w:name w:val="heading 8"/>
    <w:basedOn w:val="1"/>
    <w:next w:val="1"/>
    <w:link w:val="57"/>
    <w:qFormat/>
    <w:uiPriority w:val="99"/>
    <w:pPr>
      <w:numPr>
        <w:ilvl w:val="7"/>
        <w:numId w:val="1"/>
      </w:numPr>
      <w:spacing w:before="240" w:after="60"/>
      <w:outlineLvl w:val="7"/>
    </w:pPr>
    <w:rPr>
      <w:i/>
      <w:iCs/>
    </w:rPr>
  </w:style>
  <w:style w:type="paragraph" w:styleId="11">
    <w:name w:val="heading 9"/>
    <w:basedOn w:val="1"/>
    <w:next w:val="1"/>
    <w:link w:val="58"/>
    <w:qFormat/>
    <w:uiPriority w:val="99"/>
    <w:pPr>
      <w:numPr>
        <w:ilvl w:val="8"/>
        <w:numId w:val="1"/>
      </w:numPr>
      <w:spacing w:before="240" w:after="60"/>
      <w:outlineLvl w:val="8"/>
    </w:pPr>
    <w:rPr>
      <w:rFonts w:ascii="Calibri Light" w:hAnsi="Calibri Light"/>
      <w:sz w:val="22"/>
      <w:szCs w:val="22"/>
    </w:rPr>
  </w:style>
  <w:style w:type="character" w:default="1" w:styleId="35">
    <w:name w:val="Default Paragraph Font"/>
    <w:semiHidden/>
    <w:qFormat/>
    <w:uiPriority w:val="99"/>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qFormat/>
    <w:uiPriority w:val="99"/>
    <w:pPr>
      <w:ind w:left="720"/>
      <w:contextualSpacing/>
    </w:pPr>
  </w:style>
  <w:style w:type="paragraph" w:styleId="12">
    <w:name w:val="Normal Indent"/>
    <w:basedOn w:val="1"/>
    <w:next w:val="1"/>
    <w:qFormat/>
    <w:uiPriority w:val="99"/>
    <w:pPr>
      <w:autoSpaceDE w:val="0"/>
      <w:autoSpaceDN w:val="0"/>
      <w:adjustRightInd w:val="0"/>
      <w:spacing w:line="640" w:lineRule="exact"/>
      <w:ind w:firstLine="585"/>
    </w:pPr>
    <w:rPr>
      <w:rFonts w:ascii="楷体_GB2312" w:eastAsia="楷体_GB2312"/>
      <w:sz w:val="32"/>
      <w:szCs w:val="32"/>
    </w:rPr>
  </w:style>
  <w:style w:type="paragraph" w:styleId="13">
    <w:name w:val="caption"/>
    <w:basedOn w:val="1"/>
    <w:next w:val="1"/>
    <w:qFormat/>
    <w:uiPriority w:val="99"/>
    <w:rPr>
      <w:rFonts w:ascii="Calibri Light" w:hAnsi="Calibri Light" w:eastAsia="黑体"/>
      <w:sz w:val="20"/>
      <w:szCs w:val="20"/>
    </w:rPr>
  </w:style>
  <w:style w:type="paragraph" w:styleId="14">
    <w:name w:val="Document Map"/>
    <w:basedOn w:val="1"/>
    <w:link w:val="60"/>
    <w:semiHidden/>
    <w:qFormat/>
    <w:uiPriority w:val="99"/>
    <w:pPr>
      <w:spacing w:line="400" w:lineRule="exact"/>
      <w:jc w:val="both"/>
    </w:pPr>
    <w:rPr>
      <w:rFonts w:ascii="宋体" w:hAnsi="Calibri Light" w:cs="Calibri Light"/>
      <w:kern w:val="2"/>
      <w:sz w:val="18"/>
      <w:szCs w:val="18"/>
    </w:rPr>
  </w:style>
  <w:style w:type="paragraph" w:styleId="15">
    <w:name w:val="annotation text"/>
    <w:basedOn w:val="1"/>
    <w:link w:val="61"/>
    <w:qFormat/>
    <w:uiPriority w:val="99"/>
    <w:pPr>
      <w:spacing w:line="400" w:lineRule="exact"/>
    </w:pPr>
    <w:rPr>
      <w:rFonts w:ascii="Calibri Light" w:hAnsi="Calibri Light" w:eastAsia="华文仿宋" w:cs="Calibri Light"/>
      <w:kern w:val="2"/>
      <w:sz w:val="28"/>
      <w:szCs w:val="28"/>
    </w:rPr>
  </w:style>
  <w:style w:type="paragraph" w:styleId="16">
    <w:name w:val="Body Text"/>
    <w:basedOn w:val="1"/>
    <w:next w:val="1"/>
    <w:link w:val="59"/>
    <w:qFormat/>
    <w:uiPriority w:val="99"/>
    <w:rPr>
      <w:color w:val="993300"/>
    </w:rPr>
  </w:style>
  <w:style w:type="paragraph" w:styleId="17">
    <w:name w:val="Body Text Indent"/>
    <w:basedOn w:val="18"/>
    <w:next w:val="20"/>
    <w:link w:val="62"/>
    <w:qFormat/>
    <w:uiPriority w:val="99"/>
    <w:pPr>
      <w:ind w:firstLine="480"/>
    </w:pPr>
    <w:rPr>
      <w:rFonts w:ascii="宋体" w:hAnsi="宋体"/>
    </w:rPr>
  </w:style>
  <w:style w:type="paragraph" w:customStyle="1" w:styleId="18">
    <w:name w:val="Normal_1"/>
    <w:next w:val="19"/>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19">
    <w:name w:val="Body Text First Indent 2"/>
    <w:basedOn w:val="17"/>
    <w:next w:val="1"/>
    <w:link w:val="72"/>
    <w:qFormat/>
    <w:uiPriority w:val="99"/>
    <w:pPr>
      <w:ind w:firstLine="420" w:firstLineChars="200"/>
    </w:pPr>
  </w:style>
  <w:style w:type="paragraph" w:styleId="20">
    <w:name w:val="envelope return"/>
    <w:basedOn w:val="18"/>
    <w:qFormat/>
    <w:uiPriority w:val="99"/>
    <w:pPr>
      <w:snapToGrid w:val="0"/>
    </w:pPr>
    <w:rPr>
      <w:rFonts w:ascii="Arial" w:hAnsi="Arial"/>
    </w:rPr>
  </w:style>
  <w:style w:type="paragraph" w:styleId="21">
    <w:name w:val="Plain Text"/>
    <w:basedOn w:val="1"/>
    <w:next w:val="1"/>
    <w:link w:val="63"/>
    <w:qFormat/>
    <w:uiPriority w:val="99"/>
    <w:rPr>
      <w:rFonts w:ascii="宋体"/>
      <w:szCs w:val="20"/>
    </w:rPr>
  </w:style>
  <w:style w:type="paragraph" w:styleId="22">
    <w:name w:val="Date"/>
    <w:basedOn w:val="1"/>
    <w:next w:val="1"/>
    <w:link w:val="64"/>
    <w:semiHidden/>
    <w:qFormat/>
    <w:uiPriority w:val="99"/>
    <w:pPr>
      <w:ind w:left="100" w:leftChars="2500"/>
    </w:pPr>
  </w:style>
  <w:style w:type="paragraph" w:styleId="23">
    <w:name w:val="Balloon Text"/>
    <w:basedOn w:val="1"/>
    <w:link w:val="65"/>
    <w:semiHidden/>
    <w:qFormat/>
    <w:uiPriority w:val="99"/>
    <w:rPr>
      <w:sz w:val="18"/>
      <w:szCs w:val="18"/>
    </w:rPr>
  </w:style>
  <w:style w:type="paragraph" w:styleId="24">
    <w:name w:val="footer"/>
    <w:basedOn w:val="1"/>
    <w:link w:val="66"/>
    <w:qFormat/>
    <w:uiPriority w:val="99"/>
    <w:pPr>
      <w:tabs>
        <w:tab w:val="center" w:pos="4153"/>
        <w:tab w:val="right" w:pos="8306"/>
      </w:tabs>
      <w:snapToGrid w:val="0"/>
      <w:spacing w:line="240" w:lineRule="atLeast"/>
    </w:pPr>
    <w:rPr>
      <w:sz w:val="18"/>
      <w:szCs w:val="18"/>
    </w:rPr>
  </w:style>
  <w:style w:type="paragraph" w:styleId="25">
    <w:name w:val="header"/>
    <w:basedOn w:val="1"/>
    <w:link w:val="67"/>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6">
    <w:name w:val="toc 1"/>
    <w:basedOn w:val="1"/>
    <w:next w:val="1"/>
    <w:qFormat/>
    <w:uiPriority w:val="99"/>
    <w:pPr>
      <w:spacing w:beforeLines="100" w:afterLines="100"/>
    </w:pPr>
    <w:rPr>
      <w:kern w:val="32"/>
      <w:sz w:val="32"/>
    </w:rPr>
  </w:style>
  <w:style w:type="paragraph" w:styleId="27">
    <w:name w:val="Subtitle"/>
    <w:basedOn w:val="1"/>
    <w:next w:val="1"/>
    <w:link w:val="68"/>
    <w:qFormat/>
    <w:uiPriority w:val="99"/>
    <w:pPr>
      <w:keepNext/>
      <w:spacing w:beforeLines="50" w:afterLines="50"/>
      <w:jc w:val="center"/>
      <w:outlineLvl w:val="1"/>
    </w:pPr>
    <w:rPr>
      <w:rFonts w:eastAsia="黑体"/>
      <w:sz w:val="32"/>
    </w:rPr>
  </w:style>
  <w:style w:type="paragraph" w:styleId="28">
    <w:name w:val="Body Text Indent 3"/>
    <w:basedOn w:val="1"/>
    <w:qFormat/>
    <w:locked/>
    <w:uiPriority w:val="0"/>
    <w:pPr>
      <w:spacing w:after="120"/>
      <w:ind w:left="420" w:leftChars="200"/>
    </w:pPr>
    <w:rPr>
      <w:sz w:val="16"/>
    </w:rPr>
  </w:style>
  <w:style w:type="paragraph" w:styleId="29">
    <w:name w:val="Normal (Web)"/>
    <w:basedOn w:val="1"/>
    <w:qFormat/>
    <w:uiPriority w:val="99"/>
    <w:pPr>
      <w:spacing w:before="100" w:beforeAutospacing="1" w:after="100" w:afterAutospacing="1"/>
    </w:pPr>
    <w:rPr>
      <w:rFonts w:ascii="宋体" w:hAnsi="宋体"/>
    </w:rPr>
  </w:style>
  <w:style w:type="paragraph" w:styleId="30">
    <w:name w:val="Title"/>
    <w:basedOn w:val="1"/>
    <w:next w:val="1"/>
    <w:link w:val="69"/>
    <w:qFormat/>
    <w:uiPriority w:val="99"/>
    <w:pPr>
      <w:spacing w:before="240" w:after="60"/>
      <w:jc w:val="center"/>
      <w:outlineLvl w:val="0"/>
    </w:pPr>
    <w:rPr>
      <w:rFonts w:ascii="Calibri Light" w:hAnsi="Calibri Light"/>
      <w:b/>
      <w:bCs/>
      <w:kern w:val="28"/>
      <w:sz w:val="32"/>
      <w:szCs w:val="32"/>
    </w:rPr>
  </w:style>
  <w:style w:type="paragraph" w:styleId="31">
    <w:name w:val="annotation subject"/>
    <w:basedOn w:val="15"/>
    <w:next w:val="15"/>
    <w:link w:val="70"/>
    <w:semiHidden/>
    <w:qFormat/>
    <w:uiPriority w:val="99"/>
    <w:rPr>
      <w:b/>
      <w:bCs/>
    </w:rPr>
  </w:style>
  <w:style w:type="paragraph" w:styleId="32">
    <w:name w:val="Body Text First Indent"/>
    <w:basedOn w:val="16"/>
    <w:next w:val="1"/>
    <w:link w:val="71"/>
    <w:qFormat/>
    <w:uiPriority w:val="99"/>
    <w:pPr>
      <w:ind w:firstLine="420" w:firstLineChars="100"/>
    </w:pPr>
  </w:style>
  <w:style w:type="table" w:styleId="34">
    <w:name w:val="Table Grid"/>
    <w:basedOn w:val="33"/>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99"/>
    <w:rPr>
      <w:rFonts w:cs="Times New Roman"/>
      <w:b/>
      <w:bCs/>
    </w:rPr>
  </w:style>
  <w:style w:type="character" w:styleId="37">
    <w:name w:val="page number"/>
    <w:basedOn w:val="35"/>
    <w:qFormat/>
    <w:uiPriority w:val="99"/>
    <w:rPr>
      <w:rFonts w:ascii="Times New Roman" w:hAnsi="Times New Roman" w:eastAsia="宋体" w:cs="Times New Roman"/>
    </w:rPr>
  </w:style>
  <w:style w:type="character" w:styleId="38">
    <w:name w:val="FollowedHyperlink"/>
    <w:basedOn w:val="35"/>
    <w:semiHidden/>
    <w:qFormat/>
    <w:uiPriority w:val="99"/>
    <w:rPr>
      <w:rFonts w:cs="Times New Roman"/>
      <w:color w:val="954F72"/>
      <w:u w:val="single"/>
    </w:rPr>
  </w:style>
  <w:style w:type="character" w:styleId="39">
    <w:name w:val="Emphasis"/>
    <w:basedOn w:val="35"/>
    <w:qFormat/>
    <w:uiPriority w:val="99"/>
    <w:rPr>
      <w:rFonts w:ascii="Calibri" w:hAnsi="Calibri" w:cs="Times New Roman"/>
      <w:b/>
      <w:i/>
      <w:iCs/>
    </w:rPr>
  </w:style>
  <w:style w:type="character" w:styleId="40">
    <w:name w:val="HTML Definition"/>
    <w:basedOn w:val="35"/>
    <w:semiHidden/>
    <w:unhideWhenUsed/>
    <w:qFormat/>
    <w:locked/>
    <w:uiPriority w:val="99"/>
  </w:style>
  <w:style w:type="character" w:styleId="41">
    <w:name w:val="HTML Typewriter"/>
    <w:basedOn w:val="35"/>
    <w:semiHidden/>
    <w:unhideWhenUsed/>
    <w:qFormat/>
    <w:locked/>
    <w:uiPriority w:val="99"/>
    <w:rPr>
      <w:rFonts w:ascii="monospace" w:hAnsi="monospace" w:eastAsia="monospace" w:cs="monospace"/>
      <w:sz w:val="20"/>
    </w:rPr>
  </w:style>
  <w:style w:type="character" w:styleId="42">
    <w:name w:val="HTML Acronym"/>
    <w:basedOn w:val="35"/>
    <w:semiHidden/>
    <w:unhideWhenUsed/>
    <w:qFormat/>
    <w:locked/>
    <w:uiPriority w:val="99"/>
  </w:style>
  <w:style w:type="character" w:styleId="43">
    <w:name w:val="HTML Variable"/>
    <w:basedOn w:val="35"/>
    <w:semiHidden/>
    <w:unhideWhenUsed/>
    <w:qFormat/>
    <w:locked/>
    <w:uiPriority w:val="99"/>
  </w:style>
  <w:style w:type="character" w:styleId="44">
    <w:name w:val="Hyperlink"/>
    <w:basedOn w:val="35"/>
    <w:qFormat/>
    <w:uiPriority w:val="99"/>
    <w:rPr>
      <w:rFonts w:cs="Times New Roman"/>
      <w:color w:val="0563C1"/>
      <w:u w:val="single"/>
    </w:rPr>
  </w:style>
  <w:style w:type="character" w:styleId="45">
    <w:name w:val="HTML Code"/>
    <w:basedOn w:val="35"/>
    <w:semiHidden/>
    <w:unhideWhenUsed/>
    <w:qFormat/>
    <w:locked/>
    <w:uiPriority w:val="99"/>
    <w:rPr>
      <w:rFonts w:hint="default" w:ascii="monospace" w:hAnsi="monospace" w:eastAsia="monospace" w:cs="monospace"/>
      <w:sz w:val="20"/>
    </w:rPr>
  </w:style>
  <w:style w:type="character" w:styleId="46">
    <w:name w:val="annotation reference"/>
    <w:basedOn w:val="35"/>
    <w:semiHidden/>
    <w:qFormat/>
    <w:uiPriority w:val="99"/>
    <w:rPr>
      <w:rFonts w:cs="Times New Roman"/>
      <w:sz w:val="21"/>
      <w:szCs w:val="21"/>
    </w:rPr>
  </w:style>
  <w:style w:type="character" w:styleId="47">
    <w:name w:val="HTML Cite"/>
    <w:basedOn w:val="35"/>
    <w:semiHidden/>
    <w:unhideWhenUsed/>
    <w:qFormat/>
    <w:locked/>
    <w:uiPriority w:val="99"/>
  </w:style>
  <w:style w:type="character" w:styleId="48">
    <w:name w:val="HTML Keyboard"/>
    <w:basedOn w:val="35"/>
    <w:semiHidden/>
    <w:unhideWhenUsed/>
    <w:qFormat/>
    <w:locked/>
    <w:uiPriority w:val="99"/>
    <w:rPr>
      <w:rFonts w:hint="default" w:ascii="monospace" w:hAnsi="monospace" w:eastAsia="monospace" w:cs="monospace"/>
      <w:sz w:val="20"/>
    </w:rPr>
  </w:style>
  <w:style w:type="character" w:styleId="49">
    <w:name w:val="HTML Sample"/>
    <w:basedOn w:val="35"/>
    <w:semiHidden/>
    <w:unhideWhenUsed/>
    <w:qFormat/>
    <w:locked/>
    <w:uiPriority w:val="99"/>
    <w:rPr>
      <w:rFonts w:hint="default" w:ascii="monospace" w:hAnsi="monospace" w:eastAsia="monospace" w:cs="monospace"/>
    </w:rPr>
  </w:style>
  <w:style w:type="character" w:customStyle="1" w:styleId="50">
    <w:name w:val="Heading 1 Char"/>
    <w:basedOn w:val="35"/>
    <w:link w:val="3"/>
    <w:qFormat/>
    <w:locked/>
    <w:uiPriority w:val="99"/>
    <w:rPr>
      <w:rFonts w:ascii="方正小标宋_GBK" w:hAnsi="仿宋" w:eastAsia="方正小标宋_GBK" w:cs="Times New Roman"/>
      <w:sz w:val="44"/>
      <w:szCs w:val="44"/>
    </w:rPr>
  </w:style>
  <w:style w:type="character" w:customStyle="1" w:styleId="51">
    <w:name w:val="Heading 2 Char"/>
    <w:basedOn w:val="35"/>
    <w:link w:val="4"/>
    <w:qFormat/>
    <w:locked/>
    <w:uiPriority w:val="99"/>
    <w:rPr>
      <w:rFonts w:ascii="楷体" w:hAnsi="楷体" w:eastAsia="黑体" w:cs="Times New Roman"/>
      <w:sz w:val="32"/>
      <w:szCs w:val="32"/>
    </w:rPr>
  </w:style>
  <w:style w:type="character" w:customStyle="1" w:styleId="52">
    <w:name w:val="Heading 3 Char"/>
    <w:basedOn w:val="35"/>
    <w:link w:val="5"/>
    <w:qFormat/>
    <w:locked/>
    <w:uiPriority w:val="99"/>
    <w:rPr>
      <w:rFonts w:ascii="方正小标宋_GBK" w:hAnsi="仿宋" w:eastAsia="方正小标宋_GBK" w:cs="Times New Roman"/>
      <w:sz w:val="36"/>
      <w:szCs w:val="36"/>
    </w:rPr>
  </w:style>
  <w:style w:type="character" w:customStyle="1" w:styleId="53">
    <w:name w:val="Heading 4 Char"/>
    <w:basedOn w:val="35"/>
    <w:link w:val="6"/>
    <w:semiHidden/>
    <w:qFormat/>
    <w:locked/>
    <w:uiPriority w:val="99"/>
    <w:rPr>
      <w:rFonts w:cs="Times New Roman"/>
      <w:b/>
      <w:bCs/>
      <w:sz w:val="28"/>
      <w:szCs w:val="28"/>
    </w:rPr>
  </w:style>
  <w:style w:type="character" w:customStyle="1" w:styleId="54">
    <w:name w:val="Heading 5 Char"/>
    <w:basedOn w:val="35"/>
    <w:link w:val="7"/>
    <w:semiHidden/>
    <w:qFormat/>
    <w:locked/>
    <w:uiPriority w:val="99"/>
    <w:rPr>
      <w:rFonts w:cs="Times New Roman"/>
      <w:b/>
      <w:bCs/>
      <w:i/>
      <w:iCs/>
      <w:sz w:val="26"/>
      <w:szCs w:val="26"/>
    </w:rPr>
  </w:style>
  <w:style w:type="character" w:customStyle="1" w:styleId="55">
    <w:name w:val="Heading 6 Char"/>
    <w:basedOn w:val="35"/>
    <w:link w:val="8"/>
    <w:semiHidden/>
    <w:qFormat/>
    <w:locked/>
    <w:uiPriority w:val="99"/>
    <w:rPr>
      <w:rFonts w:cs="Times New Roman"/>
      <w:b/>
      <w:bCs/>
    </w:rPr>
  </w:style>
  <w:style w:type="character" w:customStyle="1" w:styleId="56">
    <w:name w:val="Heading 7 Char"/>
    <w:basedOn w:val="35"/>
    <w:link w:val="9"/>
    <w:semiHidden/>
    <w:qFormat/>
    <w:locked/>
    <w:uiPriority w:val="99"/>
    <w:rPr>
      <w:rFonts w:cs="Times New Roman"/>
      <w:sz w:val="24"/>
      <w:szCs w:val="24"/>
    </w:rPr>
  </w:style>
  <w:style w:type="character" w:customStyle="1" w:styleId="57">
    <w:name w:val="Heading 8 Char"/>
    <w:basedOn w:val="35"/>
    <w:link w:val="10"/>
    <w:semiHidden/>
    <w:qFormat/>
    <w:locked/>
    <w:uiPriority w:val="99"/>
    <w:rPr>
      <w:rFonts w:cs="Times New Roman"/>
      <w:i/>
      <w:iCs/>
      <w:sz w:val="24"/>
      <w:szCs w:val="24"/>
    </w:rPr>
  </w:style>
  <w:style w:type="character" w:customStyle="1" w:styleId="58">
    <w:name w:val="Heading 9 Char"/>
    <w:basedOn w:val="35"/>
    <w:link w:val="11"/>
    <w:semiHidden/>
    <w:qFormat/>
    <w:locked/>
    <w:uiPriority w:val="99"/>
    <w:rPr>
      <w:rFonts w:ascii="Calibri Light" w:hAnsi="Calibri Light" w:eastAsia="宋体" w:cs="Times New Roman"/>
    </w:rPr>
  </w:style>
  <w:style w:type="character" w:customStyle="1" w:styleId="59">
    <w:name w:val="Body Text Char"/>
    <w:basedOn w:val="35"/>
    <w:link w:val="16"/>
    <w:semiHidden/>
    <w:qFormat/>
    <w:locked/>
    <w:uiPriority w:val="99"/>
    <w:rPr>
      <w:rFonts w:ascii="Calibri" w:hAnsi="Calibri" w:cs="Times New Roman"/>
      <w:kern w:val="0"/>
      <w:sz w:val="24"/>
      <w:szCs w:val="24"/>
    </w:rPr>
  </w:style>
  <w:style w:type="character" w:customStyle="1" w:styleId="60">
    <w:name w:val="Document Map Char"/>
    <w:basedOn w:val="35"/>
    <w:link w:val="14"/>
    <w:semiHidden/>
    <w:qFormat/>
    <w:locked/>
    <w:uiPriority w:val="99"/>
    <w:rPr>
      <w:rFonts w:ascii="宋体" w:hAnsi="Calibri Light" w:eastAsia="宋体" w:cs="Calibri Light"/>
      <w:kern w:val="2"/>
      <w:sz w:val="18"/>
      <w:szCs w:val="18"/>
    </w:rPr>
  </w:style>
  <w:style w:type="character" w:customStyle="1" w:styleId="61">
    <w:name w:val="Comment Text Char"/>
    <w:basedOn w:val="35"/>
    <w:link w:val="15"/>
    <w:qFormat/>
    <w:locked/>
    <w:uiPriority w:val="99"/>
    <w:rPr>
      <w:rFonts w:ascii="Calibri Light" w:hAnsi="Calibri Light" w:eastAsia="华文仿宋" w:cs="Calibri Light"/>
      <w:kern w:val="2"/>
      <w:sz w:val="28"/>
      <w:szCs w:val="28"/>
    </w:rPr>
  </w:style>
  <w:style w:type="character" w:customStyle="1" w:styleId="62">
    <w:name w:val="Body Text Indent Char"/>
    <w:basedOn w:val="35"/>
    <w:link w:val="17"/>
    <w:semiHidden/>
    <w:qFormat/>
    <w:locked/>
    <w:uiPriority w:val="99"/>
    <w:rPr>
      <w:rFonts w:ascii="Calibri" w:hAnsi="Calibri" w:cs="Times New Roman"/>
      <w:kern w:val="0"/>
      <w:sz w:val="24"/>
      <w:szCs w:val="24"/>
    </w:rPr>
  </w:style>
  <w:style w:type="character" w:customStyle="1" w:styleId="63">
    <w:name w:val="Plain Text Char"/>
    <w:basedOn w:val="35"/>
    <w:link w:val="21"/>
    <w:semiHidden/>
    <w:qFormat/>
    <w:locked/>
    <w:uiPriority w:val="99"/>
    <w:rPr>
      <w:rFonts w:ascii="宋体" w:hAnsi="Courier New" w:cs="Courier New"/>
      <w:kern w:val="0"/>
      <w:sz w:val="21"/>
      <w:szCs w:val="21"/>
    </w:rPr>
  </w:style>
  <w:style w:type="character" w:customStyle="1" w:styleId="64">
    <w:name w:val="Date Char"/>
    <w:basedOn w:val="35"/>
    <w:link w:val="22"/>
    <w:semiHidden/>
    <w:qFormat/>
    <w:locked/>
    <w:uiPriority w:val="99"/>
    <w:rPr>
      <w:rFonts w:ascii="华文仿宋" w:hAnsi="华文仿宋" w:eastAsia="华文仿宋" w:cs="Times New Roman"/>
      <w:sz w:val="28"/>
      <w:szCs w:val="28"/>
    </w:rPr>
  </w:style>
  <w:style w:type="character" w:customStyle="1" w:styleId="65">
    <w:name w:val="Balloon Text Char"/>
    <w:basedOn w:val="35"/>
    <w:link w:val="23"/>
    <w:semiHidden/>
    <w:qFormat/>
    <w:locked/>
    <w:uiPriority w:val="99"/>
    <w:rPr>
      <w:rFonts w:cs="Times New Roman"/>
      <w:sz w:val="18"/>
      <w:szCs w:val="18"/>
    </w:rPr>
  </w:style>
  <w:style w:type="character" w:customStyle="1" w:styleId="66">
    <w:name w:val="Footer Char"/>
    <w:basedOn w:val="35"/>
    <w:link w:val="24"/>
    <w:qFormat/>
    <w:locked/>
    <w:uiPriority w:val="99"/>
    <w:rPr>
      <w:rFonts w:ascii="华文仿宋" w:hAnsi="华文仿宋" w:eastAsia="华文仿宋" w:cs="Times New Roman"/>
      <w:sz w:val="18"/>
      <w:szCs w:val="18"/>
    </w:rPr>
  </w:style>
  <w:style w:type="character" w:customStyle="1" w:styleId="67">
    <w:name w:val="Header Char"/>
    <w:basedOn w:val="35"/>
    <w:link w:val="25"/>
    <w:qFormat/>
    <w:locked/>
    <w:uiPriority w:val="99"/>
    <w:rPr>
      <w:rFonts w:ascii="华文仿宋" w:hAnsi="华文仿宋" w:eastAsia="华文仿宋" w:cs="Times New Roman"/>
      <w:sz w:val="18"/>
      <w:szCs w:val="18"/>
    </w:rPr>
  </w:style>
  <w:style w:type="character" w:customStyle="1" w:styleId="68">
    <w:name w:val="Subtitle Char"/>
    <w:basedOn w:val="35"/>
    <w:link w:val="27"/>
    <w:qFormat/>
    <w:locked/>
    <w:uiPriority w:val="99"/>
    <w:rPr>
      <w:rFonts w:ascii="Calibri" w:hAnsi="Calibri" w:eastAsia="黑体" w:cs="Times New Roman"/>
      <w:sz w:val="24"/>
      <w:szCs w:val="24"/>
    </w:rPr>
  </w:style>
  <w:style w:type="character" w:customStyle="1" w:styleId="69">
    <w:name w:val="Title Char"/>
    <w:basedOn w:val="35"/>
    <w:link w:val="30"/>
    <w:qFormat/>
    <w:locked/>
    <w:uiPriority w:val="99"/>
    <w:rPr>
      <w:rFonts w:ascii="Calibri Light" w:hAnsi="Calibri Light" w:eastAsia="宋体" w:cs="Times New Roman"/>
      <w:b/>
      <w:bCs/>
      <w:kern w:val="28"/>
      <w:sz w:val="32"/>
      <w:szCs w:val="32"/>
    </w:rPr>
  </w:style>
  <w:style w:type="character" w:customStyle="1" w:styleId="70">
    <w:name w:val="Comment Subject Char"/>
    <w:basedOn w:val="61"/>
    <w:link w:val="31"/>
    <w:semiHidden/>
    <w:qFormat/>
    <w:locked/>
    <w:uiPriority w:val="99"/>
    <w:rPr>
      <w:b/>
      <w:bCs/>
    </w:rPr>
  </w:style>
  <w:style w:type="character" w:customStyle="1" w:styleId="71">
    <w:name w:val="Body Text First Indent Char"/>
    <w:basedOn w:val="59"/>
    <w:link w:val="32"/>
    <w:semiHidden/>
    <w:qFormat/>
    <w:locked/>
    <w:uiPriority w:val="99"/>
  </w:style>
  <w:style w:type="character" w:customStyle="1" w:styleId="72">
    <w:name w:val="Body Text First Indent 2 Char"/>
    <w:basedOn w:val="62"/>
    <w:link w:val="19"/>
    <w:semiHidden/>
    <w:qFormat/>
    <w:locked/>
    <w:uiPriority w:val="99"/>
  </w:style>
  <w:style w:type="paragraph" w:customStyle="1" w:styleId="73">
    <w:name w:val="※封面大标题"/>
    <w:basedOn w:val="1"/>
    <w:next w:val="1"/>
    <w:qFormat/>
    <w:uiPriority w:val="99"/>
    <w:pPr>
      <w:jc w:val="center"/>
    </w:pPr>
    <w:rPr>
      <w:rFonts w:ascii="华文中宋" w:hAnsi="华文中宋" w:eastAsia="华文中宋"/>
      <w:sz w:val="96"/>
      <w:szCs w:val="96"/>
    </w:rPr>
  </w:style>
  <w:style w:type="paragraph" w:customStyle="1" w:styleId="74">
    <w:name w:val="※封面题颌"/>
    <w:basedOn w:val="1"/>
    <w:next w:val="1"/>
    <w:qFormat/>
    <w:uiPriority w:val="99"/>
    <w:pPr>
      <w:jc w:val="center"/>
    </w:pPr>
    <w:rPr>
      <w:rFonts w:ascii="Calibri Light" w:hAnsi="Calibri Light" w:eastAsia="华文仿宋"/>
      <w:sz w:val="36"/>
      <w:szCs w:val="36"/>
    </w:rPr>
  </w:style>
  <w:style w:type="paragraph" w:customStyle="1" w:styleId="75">
    <w:name w:val="※封面题眉"/>
    <w:basedOn w:val="1"/>
    <w:next w:val="73"/>
    <w:qFormat/>
    <w:uiPriority w:val="99"/>
    <w:pPr>
      <w:jc w:val="center"/>
    </w:pPr>
    <w:rPr>
      <w:rFonts w:ascii="华文仿宋" w:hAnsi="华文仿宋" w:eastAsia="华文仿宋"/>
      <w:sz w:val="52"/>
      <w:szCs w:val="28"/>
    </w:rPr>
  </w:style>
  <w:style w:type="paragraph" w:customStyle="1" w:styleId="76">
    <w:name w:val="※封面题须"/>
    <w:basedOn w:val="1"/>
    <w:qFormat/>
    <w:uiPriority w:val="99"/>
    <w:pPr>
      <w:ind w:left="850" w:leftChars="350" w:right="250" w:rightChars="250" w:hanging="500" w:hangingChars="500"/>
    </w:pPr>
    <w:rPr>
      <w:sz w:val="36"/>
      <w:szCs w:val="36"/>
    </w:rPr>
  </w:style>
  <w:style w:type="paragraph" w:customStyle="1" w:styleId="77">
    <w:name w:val="※目录（次）"/>
    <w:basedOn w:val="1"/>
    <w:qFormat/>
    <w:uiPriority w:val="99"/>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78">
    <w:name w:val="※目录（主）"/>
    <w:basedOn w:val="1"/>
    <w:qFormat/>
    <w:uiPriority w:val="99"/>
    <w:pPr>
      <w:tabs>
        <w:tab w:val="right" w:leader="hyphen" w:pos="8400"/>
      </w:tabs>
      <w:spacing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79">
    <w:name w:val="※小标题 1"/>
    <w:basedOn w:val="1"/>
    <w:next w:val="1"/>
    <w:qFormat/>
    <w:uiPriority w:val="99"/>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80">
    <w:name w:val="※正文"/>
    <w:basedOn w:val="1"/>
    <w:next w:val="1"/>
    <w:qFormat/>
    <w:uiPriority w:val="99"/>
    <w:pPr>
      <w:wordWrap w:val="0"/>
      <w:spacing w:line="400" w:lineRule="exact"/>
    </w:pPr>
    <w:rPr>
      <w:rFonts w:ascii="Calibri Light" w:hAnsi="Calibri Light" w:eastAsia="华文仿宋"/>
      <w:sz w:val="28"/>
      <w:szCs w:val="28"/>
    </w:rPr>
  </w:style>
  <w:style w:type="paragraph" w:customStyle="1" w:styleId="81">
    <w:name w:val="※小标题 一"/>
    <w:basedOn w:val="80"/>
    <w:next w:val="80"/>
    <w:qFormat/>
    <w:uiPriority w:val="99"/>
    <w:pPr>
      <w:spacing w:before="120" w:line="240" w:lineRule="auto"/>
      <w:outlineLvl w:val="2"/>
    </w:pPr>
    <w:rPr>
      <w:b/>
      <w:color w:val="1F3864"/>
      <w:sz w:val="32"/>
    </w:rPr>
  </w:style>
  <w:style w:type="paragraph" w:customStyle="1" w:styleId="82">
    <w:name w:val="※小标题（1）"/>
    <w:basedOn w:val="1"/>
    <w:next w:val="80"/>
    <w:qFormat/>
    <w:uiPriority w:val="99"/>
    <w:pPr>
      <w:wordWrap w:val="0"/>
      <w:spacing w:line="400" w:lineRule="exact"/>
      <w:ind w:firstLine="200" w:firstLineChars="200"/>
      <w:outlineLvl w:val="5"/>
    </w:pPr>
    <w:rPr>
      <w:rFonts w:ascii="Calibri Light" w:hAnsi="Calibri Light" w:eastAsia="华文仿宋"/>
      <w:b/>
      <w:sz w:val="28"/>
      <w:szCs w:val="28"/>
    </w:rPr>
  </w:style>
  <w:style w:type="paragraph" w:customStyle="1" w:styleId="83">
    <w:name w:val="※小标题（一）"/>
    <w:basedOn w:val="1"/>
    <w:next w:val="80"/>
    <w:qFormat/>
    <w:uiPriority w:val="99"/>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84">
    <w:name w:val="※页脚（横屏）"/>
    <w:basedOn w:val="1"/>
    <w:qFormat/>
    <w:uiPriority w:val="99"/>
    <w:pPr>
      <w:tabs>
        <w:tab w:val="center" w:pos="7000"/>
      </w:tabs>
      <w:wordWrap w:val="0"/>
      <w:spacing w:line="240" w:lineRule="atLeast"/>
    </w:pPr>
    <w:rPr>
      <w:rFonts w:ascii="宋体" w:hAnsi="宋体"/>
      <w:sz w:val="18"/>
      <w:szCs w:val="18"/>
    </w:rPr>
  </w:style>
  <w:style w:type="paragraph" w:customStyle="1" w:styleId="85">
    <w:name w:val="※页脚（竖屏）"/>
    <w:basedOn w:val="1"/>
    <w:qFormat/>
    <w:uiPriority w:val="99"/>
    <w:pPr>
      <w:tabs>
        <w:tab w:val="center" w:pos="4536"/>
      </w:tabs>
      <w:wordWrap w:val="0"/>
      <w:spacing w:line="240" w:lineRule="atLeast"/>
    </w:pPr>
    <w:rPr>
      <w:rFonts w:ascii="宋体" w:hAnsi="宋体"/>
      <w:sz w:val="18"/>
      <w:szCs w:val="18"/>
    </w:rPr>
  </w:style>
  <w:style w:type="paragraph" w:customStyle="1" w:styleId="86">
    <w:name w:val="※页眉"/>
    <w:basedOn w:val="80"/>
    <w:qFormat/>
    <w:uiPriority w:val="99"/>
    <w:pPr>
      <w:pBdr>
        <w:bottom w:val="single" w:color="auto" w:sz="4" w:space="1"/>
      </w:pBdr>
      <w:spacing w:line="240" w:lineRule="atLeast"/>
      <w:jc w:val="right"/>
    </w:pPr>
    <w:rPr>
      <w:rFonts w:ascii="宋体" w:hAnsi="宋体" w:eastAsia="宋体"/>
      <w:sz w:val="18"/>
    </w:rPr>
  </w:style>
  <w:style w:type="paragraph" w:customStyle="1" w:styleId="87">
    <w:name w:val="※章节标题（第X章）"/>
    <w:basedOn w:val="1"/>
    <w:qFormat/>
    <w:uiPriority w:val="99"/>
    <w:pPr>
      <w:jc w:val="center"/>
      <w:outlineLvl w:val="0"/>
    </w:pPr>
    <w:rPr>
      <w:rFonts w:ascii="Calibri Light" w:hAnsi="Calibri Light" w:eastAsia="黑体"/>
      <w:sz w:val="36"/>
      <w:szCs w:val="28"/>
    </w:rPr>
  </w:style>
  <w:style w:type="paragraph" w:customStyle="1" w:styleId="88">
    <w:name w:val="※章节标题（第Y部分）"/>
    <w:basedOn w:val="1"/>
    <w:next w:val="1"/>
    <w:qFormat/>
    <w:uiPriority w:val="99"/>
    <w:pPr>
      <w:jc w:val="center"/>
      <w:outlineLvl w:val="1"/>
    </w:pPr>
    <w:rPr>
      <w:rFonts w:ascii="Calibri Light" w:hAnsi="Calibri Light" w:eastAsia="黑体"/>
      <w:color w:val="1F4E79"/>
      <w:sz w:val="32"/>
      <w:szCs w:val="36"/>
    </w:rPr>
  </w:style>
  <w:style w:type="paragraph" w:customStyle="1" w:styleId="89">
    <w:name w:val="※章节标题（第Z部分分项）"/>
    <w:basedOn w:val="88"/>
    <w:qFormat/>
    <w:uiPriority w:val="99"/>
    <w:pPr>
      <w:outlineLvl w:val="2"/>
    </w:pPr>
  </w:style>
  <w:style w:type="paragraph" w:customStyle="1" w:styleId="90">
    <w:name w:val="※正文（落款）"/>
    <w:basedOn w:val="1"/>
    <w:qFormat/>
    <w:uiPriority w:val="99"/>
    <w:pPr>
      <w:tabs>
        <w:tab w:val="center" w:pos="6663"/>
      </w:tabs>
      <w:wordWrap w:val="0"/>
      <w:spacing w:line="240" w:lineRule="atLeast"/>
    </w:pPr>
    <w:rPr>
      <w:rFonts w:ascii="Calibri Light" w:hAnsi="Calibri Light" w:eastAsia="华文仿宋"/>
      <w:sz w:val="28"/>
      <w:szCs w:val="28"/>
    </w:rPr>
  </w:style>
  <w:style w:type="paragraph" w:customStyle="1" w:styleId="91">
    <w:name w:val="※正文（缩进2）"/>
    <w:basedOn w:val="80"/>
    <w:qFormat/>
    <w:uiPriority w:val="99"/>
    <w:pPr>
      <w:ind w:firstLine="200" w:firstLineChars="200"/>
    </w:pPr>
  </w:style>
  <w:style w:type="paragraph" w:customStyle="1" w:styleId="92">
    <w:name w:val="※正文（缩进4）"/>
    <w:basedOn w:val="80"/>
    <w:qFormat/>
    <w:uiPriority w:val="99"/>
    <w:pPr>
      <w:ind w:firstLine="400" w:firstLineChars="400"/>
    </w:pPr>
  </w:style>
  <w:style w:type="paragraph" w:styleId="93">
    <w:name w:val="No Spacing"/>
    <w:basedOn w:val="1"/>
    <w:qFormat/>
    <w:uiPriority w:val="99"/>
    <w:rPr>
      <w:szCs w:val="32"/>
    </w:rPr>
  </w:style>
  <w:style w:type="paragraph" w:styleId="94">
    <w:name w:val="Quote"/>
    <w:basedOn w:val="1"/>
    <w:next w:val="1"/>
    <w:link w:val="95"/>
    <w:qFormat/>
    <w:uiPriority w:val="99"/>
    <w:rPr>
      <w:i/>
    </w:rPr>
  </w:style>
  <w:style w:type="character" w:customStyle="1" w:styleId="95">
    <w:name w:val="Quote Char"/>
    <w:basedOn w:val="35"/>
    <w:link w:val="94"/>
    <w:qFormat/>
    <w:locked/>
    <w:uiPriority w:val="99"/>
    <w:rPr>
      <w:rFonts w:cs="Times New Roman"/>
      <w:i/>
      <w:sz w:val="24"/>
      <w:szCs w:val="24"/>
    </w:rPr>
  </w:style>
  <w:style w:type="paragraph" w:styleId="96">
    <w:name w:val="Intense Quote"/>
    <w:basedOn w:val="1"/>
    <w:next w:val="1"/>
    <w:link w:val="97"/>
    <w:qFormat/>
    <w:uiPriority w:val="99"/>
    <w:pPr>
      <w:ind w:left="720" w:right="720"/>
    </w:pPr>
    <w:rPr>
      <w:b/>
      <w:i/>
      <w:szCs w:val="22"/>
    </w:rPr>
  </w:style>
  <w:style w:type="character" w:customStyle="1" w:styleId="97">
    <w:name w:val="Intense Quote Char"/>
    <w:basedOn w:val="35"/>
    <w:link w:val="96"/>
    <w:qFormat/>
    <w:locked/>
    <w:uiPriority w:val="99"/>
    <w:rPr>
      <w:rFonts w:cs="Times New Roman"/>
      <w:b/>
      <w:i/>
      <w:sz w:val="24"/>
    </w:rPr>
  </w:style>
  <w:style w:type="character" w:customStyle="1" w:styleId="98">
    <w:name w:val="Subtle Emphasis1"/>
    <w:qFormat/>
    <w:uiPriority w:val="99"/>
    <w:rPr>
      <w:i/>
      <w:color w:val="595959"/>
    </w:rPr>
  </w:style>
  <w:style w:type="character" w:customStyle="1" w:styleId="99">
    <w:name w:val="Intense Emphasis1"/>
    <w:basedOn w:val="35"/>
    <w:qFormat/>
    <w:uiPriority w:val="99"/>
    <w:rPr>
      <w:rFonts w:cs="Times New Roman"/>
      <w:b/>
      <w:i/>
      <w:sz w:val="24"/>
      <w:szCs w:val="24"/>
      <w:u w:val="single"/>
    </w:rPr>
  </w:style>
  <w:style w:type="character" w:customStyle="1" w:styleId="100">
    <w:name w:val="Subtle Reference1"/>
    <w:basedOn w:val="35"/>
    <w:qFormat/>
    <w:uiPriority w:val="99"/>
    <w:rPr>
      <w:rFonts w:cs="Times New Roman"/>
      <w:sz w:val="24"/>
      <w:szCs w:val="24"/>
      <w:u w:val="single"/>
    </w:rPr>
  </w:style>
  <w:style w:type="character" w:customStyle="1" w:styleId="101">
    <w:name w:val="Intense Reference1"/>
    <w:basedOn w:val="35"/>
    <w:qFormat/>
    <w:uiPriority w:val="99"/>
    <w:rPr>
      <w:rFonts w:cs="Times New Roman"/>
      <w:b/>
      <w:sz w:val="24"/>
      <w:u w:val="single"/>
    </w:rPr>
  </w:style>
  <w:style w:type="character" w:customStyle="1" w:styleId="102">
    <w:name w:val="Book Title1"/>
    <w:basedOn w:val="35"/>
    <w:qFormat/>
    <w:uiPriority w:val="99"/>
    <w:rPr>
      <w:rFonts w:ascii="Calibri Light" w:hAnsi="Calibri Light" w:eastAsia="宋体" w:cs="Times New Roman"/>
      <w:b/>
      <w:i/>
      <w:sz w:val="24"/>
      <w:szCs w:val="24"/>
    </w:rPr>
  </w:style>
  <w:style w:type="paragraph" w:customStyle="1" w:styleId="103">
    <w:name w:val="TOC Heading1"/>
    <w:basedOn w:val="3"/>
    <w:next w:val="1"/>
    <w:semiHidden/>
    <w:qFormat/>
    <w:uiPriority w:val="99"/>
    <w:pPr>
      <w:outlineLvl w:val="9"/>
    </w:pPr>
  </w:style>
  <w:style w:type="paragraph" w:customStyle="1" w:styleId="104">
    <w:name w:val="@正文"/>
    <w:basedOn w:val="80"/>
    <w:qFormat/>
    <w:uiPriority w:val="99"/>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105">
    <w:name w:val="@一级小标题"/>
    <w:basedOn w:val="1"/>
    <w:next w:val="104"/>
    <w:qFormat/>
    <w:uiPriority w:val="99"/>
    <w:pPr>
      <w:keepNext/>
      <w:spacing w:before="120" w:after="60"/>
      <w:outlineLvl w:val="2"/>
    </w:pPr>
    <w:rPr>
      <w:rFonts w:eastAsia="黑体"/>
      <w:kern w:val="28"/>
      <w:sz w:val="28"/>
    </w:rPr>
  </w:style>
  <w:style w:type="paragraph" w:customStyle="1" w:styleId="106">
    <w:name w:val="@标题"/>
    <w:basedOn w:val="1"/>
    <w:next w:val="104"/>
    <w:qFormat/>
    <w:uiPriority w:val="99"/>
    <w:pPr>
      <w:keepNext/>
      <w:spacing w:beforeLines="50" w:afterLines="50"/>
      <w:jc w:val="center"/>
      <w:outlineLvl w:val="1"/>
    </w:pPr>
    <w:rPr>
      <w:rFonts w:eastAsia="黑体"/>
      <w:kern w:val="32"/>
      <w:sz w:val="32"/>
    </w:rPr>
  </w:style>
  <w:style w:type="table" w:customStyle="1" w:styleId="107">
    <w:name w:val="网格型1"/>
    <w:qFormat/>
    <w:uiPriority w:val="99"/>
    <w:pPr>
      <w:ind w:firstLine="200"/>
    </w:pPr>
    <w:rPr>
      <w:rFonts w:ascii="Calibri Light" w:hAnsi="Calibri Light" w:eastAsia="华文仿宋"/>
      <w:kern w:val="0"/>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8">
    <w:name w:val="页眉 Char1"/>
    <w:basedOn w:val="35"/>
    <w:semiHidden/>
    <w:qFormat/>
    <w:uiPriority w:val="99"/>
    <w:rPr>
      <w:rFonts w:cs="Calibri Light"/>
      <w:sz w:val="18"/>
      <w:szCs w:val="18"/>
    </w:rPr>
  </w:style>
  <w:style w:type="character" w:customStyle="1" w:styleId="109">
    <w:name w:val="页脚 Char1"/>
    <w:basedOn w:val="35"/>
    <w:semiHidden/>
    <w:qFormat/>
    <w:uiPriority w:val="99"/>
    <w:rPr>
      <w:rFonts w:cs="Calibri Light"/>
      <w:sz w:val="18"/>
      <w:szCs w:val="18"/>
    </w:rPr>
  </w:style>
  <w:style w:type="character" w:styleId="110">
    <w:name w:val="Placeholder Text"/>
    <w:basedOn w:val="35"/>
    <w:semiHidden/>
    <w:qFormat/>
    <w:uiPriority w:val="99"/>
    <w:rPr>
      <w:rFonts w:cs="Times New Roman"/>
      <w:color w:val="808080"/>
    </w:rPr>
  </w:style>
  <w:style w:type="character" w:customStyle="1" w:styleId="111">
    <w:name w:val="Unresolved Mention"/>
    <w:basedOn w:val="35"/>
    <w:semiHidden/>
    <w:qFormat/>
    <w:uiPriority w:val="99"/>
    <w:rPr>
      <w:rFonts w:cs="Times New Roman"/>
      <w:color w:val="605E5C"/>
      <w:shd w:val="clear" w:color="auto" w:fill="E1DFDD"/>
    </w:rPr>
  </w:style>
  <w:style w:type="paragraph" w:customStyle="1" w:styleId="112">
    <w:name w:val="样式1"/>
    <w:basedOn w:val="5"/>
    <w:link w:val="114"/>
    <w:qFormat/>
    <w:uiPriority w:val="99"/>
    <w:pPr>
      <w:jc w:val="left"/>
    </w:pPr>
    <w:rPr>
      <w:rFonts w:eastAsia="楷体"/>
      <w:sz w:val="32"/>
    </w:rPr>
  </w:style>
  <w:style w:type="paragraph" w:customStyle="1" w:styleId="113">
    <w:name w:val="样式2"/>
    <w:basedOn w:val="106"/>
    <w:link w:val="116"/>
    <w:qFormat/>
    <w:uiPriority w:val="99"/>
    <w:pPr>
      <w:spacing w:line="560" w:lineRule="exact"/>
      <w:ind w:firstLine="643" w:firstLineChars="200"/>
      <w:jc w:val="both"/>
    </w:pPr>
    <w:rPr>
      <w:rFonts w:ascii="仿宋_GB2312" w:hAnsi="仿宋" w:eastAsia="仿宋_GB2312"/>
      <w:b/>
      <w:bCs/>
      <w:szCs w:val="32"/>
    </w:rPr>
  </w:style>
  <w:style w:type="character" w:customStyle="1" w:styleId="114">
    <w:name w:val="样式1 字符"/>
    <w:basedOn w:val="51"/>
    <w:link w:val="112"/>
    <w:qFormat/>
    <w:locked/>
    <w:uiPriority w:val="99"/>
    <w:rPr>
      <w:rFonts w:ascii="方正小标宋_GBK" w:hAnsi="仿宋" w:eastAsia="楷体"/>
      <w:sz w:val="36"/>
      <w:szCs w:val="36"/>
    </w:rPr>
  </w:style>
  <w:style w:type="paragraph" w:customStyle="1" w:styleId="115">
    <w:name w:val="样式3"/>
    <w:basedOn w:val="1"/>
    <w:link w:val="117"/>
    <w:qFormat/>
    <w:uiPriority w:val="99"/>
    <w:pPr>
      <w:spacing w:line="560" w:lineRule="exact"/>
      <w:jc w:val="center"/>
    </w:pPr>
    <w:rPr>
      <w:rFonts w:ascii="方正小标宋_GBK" w:hAnsi="仿宋" w:eastAsia="方正小标宋_GBK"/>
      <w:sz w:val="36"/>
      <w:szCs w:val="36"/>
    </w:rPr>
  </w:style>
  <w:style w:type="character" w:customStyle="1" w:styleId="116">
    <w:name w:val="样式2 字符"/>
    <w:basedOn w:val="35"/>
    <w:link w:val="113"/>
    <w:qFormat/>
    <w:locked/>
    <w:uiPriority w:val="99"/>
    <w:rPr>
      <w:rFonts w:ascii="仿宋_GB2312" w:hAnsi="仿宋" w:eastAsia="仿宋_GB2312" w:cs="Times New Roman"/>
      <w:b/>
      <w:bCs/>
      <w:kern w:val="32"/>
      <w:sz w:val="32"/>
      <w:szCs w:val="32"/>
    </w:rPr>
  </w:style>
  <w:style w:type="character" w:customStyle="1" w:styleId="117">
    <w:name w:val="样式3 字符"/>
    <w:basedOn w:val="35"/>
    <w:link w:val="115"/>
    <w:qFormat/>
    <w:locked/>
    <w:uiPriority w:val="99"/>
    <w:rPr>
      <w:rFonts w:ascii="方正小标宋_GBK" w:hAnsi="仿宋" w:eastAsia="方正小标宋_GBK" w:cs="Times New Roman"/>
      <w:sz w:val="36"/>
      <w:szCs w:val="36"/>
    </w:rPr>
  </w:style>
  <w:style w:type="paragraph" w:customStyle="1" w:styleId="118">
    <w:name w:val="HTML Preformatted1"/>
    <w:basedOn w:val="1"/>
    <w:qFormat/>
    <w:uiPriority w:val="99"/>
    <w:rPr>
      <w:rFonts w:ascii="Courier New" w:hAnsi="Courier New"/>
      <w:sz w:val="20"/>
    </w:rPr>
  </w:style>
  <w:style w:type="paragraph" w:customStyle="1" w:styleId="119">
    <w:name w:val="Table Paragraph"/>
    <w:basedOn w:val="1"/>
    <w:qFormat/>
    <w:uiPriority w:val="99"/>
  </w:style>
  <w:style w:type="paragraph" w:customStyle="1" w:styleId="120">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121">
    <w:name w:val="正文空2格  1."/>
    <w:basedOn w:val="1"/>
    <w:qFormat/>
    <w:uiPriority w:val="99"/>
    <w:pPr>
      <w:adjustRightInd w:val="0"/>
      <w:spacing w:line="360" w:lineRule="auto"/>
      <w:ind w:firstLine="480" w:firstLineChars="200"/>
    </w:pPr>
    <w:rPr>
      <w:rFonts w:ascii="宋体" w:eastAsia="仿宋" w:cs="宋体"/>
      <w:sz w:val="28"/>
    </w:rPr>
  </w:style>
  <w:style w:type="paragraph" w:customStyle="1" w:styleId="122">
    <w:name w:val="样式 标题 2 + Times New Roman 四号 非加粗 段前: 5 磅 段后: 0 磅 行距: 固定值 20..."/>
    <w:basedOn w:val="4"/>
    <w:qFormat/>
    <w:uiPriority w:val="99"/>
    <w:pPr>
      <w:spacing w:before="100" w:line="400" w:lineRule="exact"/>
    </w:pPr>
    <w:rPr>
      <w:rFonts w:ascii="Times New Roman" w:hAnsi="Times New Roman" w:cs="宋体"/>
      <w:sz w:val="28"/>
      <w:szCs w:val="20"/>
    </w:rPr>
  </w:style>
  <w:style w:type="paragraph" w:customStyle="1" w:styleId="123">
    <w:name w:val="首行缩进"/>
    <w:basedOn w:val="124"/>
    <w:next w:val="21"/>
    <w:qFormat/>
    <w:uiPriority w:val="0"/>
    <w:pPr>
      <w:spacing w:line="360" w:lineRule="auto"/>
      <w:ind w:firstLine="0" w:firstLineChars="0"/>
      <w:jc w:val="left"/>
    </w:pPr>
    <w:rPr>
      <w:rFonts w:ascii="宋体" w:hAnsi="宋体" w:eastAsia="宋体" w:cs="Times New Roman"/>
      <w:sz w:val="24"/>
      <w:szCs w:val="22"/>
    </w:rPr>
  </w:style>
  <w:style w:type="paragraph" w:customStyle="1" w:styleId="124">
    <w:name w:val="Normal_0"/>
    <w:next w:val="18"/>
    <w:qFormat/>
    <w:uiPriority w:val="0"/>
    <w:pPr>
      <w:widowControl w:val="0"/>
      <w:jc w:val="both"/>
    </w:pPr>
    <w:rPr>
      <w:rFonts w:ascii="Times New Roman" w:hAnsi="Times New Roman" w:eastAsia="宋体" w:cs="Times New Roman"/>
      <w:szCs w:val="21"/>
      <w:lang w:val="en-US" w:eastAsia="zh-CN" w:bidi="ar-SA"/>
    </w:rPr>
  </w:style>
  <w:style w:type="paragraph" w:customStyle="1" w:styleId="125">
    <w:name w:val="列出段落1"/>
    <w:basedOn w:val="1"/>
    <w:qFormat/>
    <w:uiPriority w:val="99"/>
    <w:pPr>
      <w:spacing w:line="240" w:lineRule="auto"/>
      <w:ind w:firstLine="420" w:firstLineChars="200"/>
    </w:pPr>
  </w:style>
  <w:style w:type="paragraph" w:customStyle="1" w:styleId="1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Lenovo</Company>
  <Pages>100</Pages>
  <Words>38382</Words>
  <Characters>40711</Characters>
  <Lines>0</Lines>
  <Paragraphs>0</Paragraphs>
  <TotalTime>273</TotalTime>
  <ScaleCrop>false</ScaleCrop>
  <LinksUpToDate>false</LinksUpToDate>
  <CharactersWithSpaces>41950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2023-03-02T06:43:00Z</dcterms:created>
  <dc:creator>lenovo</dc:creator>
  <cp:lastModifiedBy>Administrator</cp:lastModifiedBy>
  <cp:lastPrinted>2023-03-10T07:10:00Z</cp:lastPrinted>
  <dcterms:modified xsi:type="dcterms:W3CDTF">2023-07-03T07:11:05Z</dcterms:modified>
  <dc:title>项目编号:HSGJ2023-121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894439D438B04AB6A93223596E4914A4_13</vt:lpwstr>
  </property>
</Properties>
</file>