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 w:line="360" w:lineRule="auto"/>
        <w:ind w:left="0" w:right="0"/>
        <w:jc w:val="center"/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采购需求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 w:line="360" w:lineRule="auto"/>
        <w:ind w:left="0" w:right="0"/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项目概况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西安市未央区人民法院派出法庭互联网法庭采购项目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招标项目的潜在投标人应在西安市唐延路37号class公馆B栋11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03室获取招标文件，并于 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09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日14时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0分 （北京时间）前递交投标文件。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360" w:lineRule="auto"/>
        <w:ind w:left="0" w:right="0"/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一、项目基本情况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DRZB2023-ZC-145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西安市未央区人民法院派出法庭互联网法庭采购项目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采购方式：公开招标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预算金额：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500,000.00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元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采购需求：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合同包1(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派出法庭互联网法庭采购项目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):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合同包预算金额：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500,000.00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元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合同包最高限价：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500,000.00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元</w:t>
      </w:r>
    </w:p>
    <w:tbl>
      <w:tblPr>
        <w:tblStyle w:val="6"/>
        <w:tblW w:w="931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1569"/>
        <w:gridCol w:w="1483"/>
        <w:gridCol w:w="829"/>
        <w:gridCol w:w="1590"/>
        <w:gridCol w:w="1628"/>
        <w:gridCol w:w="162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  <w:tblHeader/>
          <w:jc w:val="center"/>
        </w:trPr>
        <w:tc>
          <w:tcPr>
            <w:tcW w:w="55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品目号</w:t>
            </w:r>
          </w:p>
        </w:tc>
        <w:tc>
          <w:tcPr>
            <w:tcW w:w="1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品目名称</w:t>
            </w:r>
          </w:p>
        </w:tc>
        <w:tc>
          <w:tcPr>
            <w:tcW w:w="15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采购标的</w:t>
            </w: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数量（单位）</w:t>
            </w:r>
          </w:p>
        </w:tc>
        <w:tc>
          <w:tcPr>
            <w:tcW w:w="13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技术规格、参数及要求</w:t>
            </w:r>
          </w:p>
        </w:tc>
        <w:tc>
          <w:tcPr>
            <w:tcW w:w="1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品目预算(元)</w:t>
            </w:r>
          </w:p>
        </w:tc>
        <w:tc>
          <w:tcPr>
            <w:tcW w:w="1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其他办公设备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500000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500,000.00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500,000.00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本合同包不接受联合体投标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630"/>
        <w:jc w:val="both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合同履行期限：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自合同签订之日起30日历日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Style w:val="8"/>
          <w:rFonts w:hint="eastAsia" w:ascii="仿宋" w:hAnsi="仿宋" w:eastAsia="仿宋" w:cs="仿宋"/>
          <w:bCs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</w:rPr>
        <w:t>二、项目采购需求：</w:t>
      </w:r>
    </w:p>
    <w:tbl>
      <w:tblPr>
        <w:tblStyle w:val="6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2962"/>
        <w:gridCol w:w="1839"/>
        <w:gridCol w:w="18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0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0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7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互联网庭审视频服务平台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7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电子信息交互终端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7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庭审数据展示模块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7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高清云台摄像机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7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摄像机支架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7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功放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7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音箱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7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音箱挂架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7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话筒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6</w:t>
            </w:r>
          </w:p>
        </w:tc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7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调音台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7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数字反馈抑制器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17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电源时序器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17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示证展台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17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小间距LED显示屏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7.96</w:t>
            </w:r>
          </w:p>
        </w:tc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17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视频处理器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17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大屏播放控制软件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17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大屏专用电源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37</w:t>
            </w:r>
          </w:p>
        </w:tc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17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接收卡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25</w:t>
            </w:r>
          </w:p>
        </w:tc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17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配电柜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17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主电缆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60</w:t>
            </w:r>
          </w:p>
        </w:tc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...</w:t>
            </w:r>
          </w:p>
        </w:tc>
        <w:tc>
          <w:tcPr>
            <w:tcW w:w="17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...</w:t>
            </w:r>
          </w:p>
        </w:tc>
        <w:tc>
          <w:tcPr>
            <w:tcW w:w="10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...</w:t>
            </w:r>
          </w:p>
        </w:tc>
        <w:tc>
          <w:tcPr>
            <w:tcW w:w="10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...</w:t>
            </w:r>
          </w:p>
        </w:tc>
      </w:tr>
    </w:tbl>
    <w:p>
      <w:pPr>
        <w:numPr>
          <w:numId w:val="0"/>
        </w:numPr>
        <w:ind w:firstLine="240" w:firstLineChars="10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详见采购文件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kNmEwODUxZTlhY2U2ZTM0OTI0ZDY1ZmQzYTAyZjYifQ=="/>
  </w:docVars>
  <w:rsids>
    <w:rsidRoot w:val="120849DA"/>
    <w:rsid w:val="120849DA"/>
    <w:rsid w:val="1AB01AA7"/>
    <w:rsid w:val="248D4C07"/>
    <w:rsid w:val="2FF26266"/>
    <w:rsid w:val="347E456C"/>
    <w:rsid w:val="520C2D5F"/>
    <w:rsid w:val="604B1CEE"/>
    <w:rsid w:val="763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nhideWhenUsed="0" w:uiPriority="9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6"/>
    <w:basedOn w:val="1"/>
    <w:next w:val="1"/>
    <w:qFormat/>
    <w:uiPriority w:val="99"/>
    <w:pPr>
      <w:keepNext/>
      <w:keepLines/>
      <w:spacing w:before="240" w:after="64" w:line="320" w:lineRule="auto"/>
      <w:outlineLvl w:val="5"/>
    </w:pPr>
    <w:rPr>
      <w:rFonts w:ascii="Calibri Light" w:hAnsi="Calibri Light"/>
      <w:b/>
      <w:bCs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2023-08-31T09:11:00Z</dcterms:created>
  <dc:creator>To  encounter</dc:creator>
  <cp:lastModifiedBy>To  encounter</cp:lastModifiedBy>
  <dcterms:modified xsi:type="dcterms:W3CDTF">2023-08-31T09:19:33Z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15DDF528523047AC9BD9ADD8E992D50E_11</vt:lpwstr>
  </property>
</Properties>
</file>