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40" w:beforeLines="100" w:after="0" w:line="360" w:lineRule="auto"/>
        <w:outlineLvl w:val="1"/>
        <w:rPr>
          <w:rFonts w:hint="eastAsia" w:ascii="黑体" w:hAnsi="黑体"/>
          <w:b w:val="0"/>
          <w:color w:val="auto"/>
          <w:sz w:val="36"/>
          <w:szCs w:val="36"/>
          <w:highlight w:val="none"/>
        </w:rPr>
      </w:pPr>
      <w:bookmarkStart w:id="0" w:name="_Toc1485"/>
      <w:bookmarkStart w:id="1" w:name="_Toc13402"/>
      <w:r>
        <w:rPr>
          <w:rFonts w:hint="eastAsia" w:ascii="黑体" w:hAnsi="黑体"/>
          <w:b w:val="0"/>
          <w:color w:val="auto"/>
          <w:sz w:val="36"/>
          <w:szCs w:val="36"/>
          <w:highlight w:val="none"/>
        </w:rPr>
        <w:t>1.项目概况及总体要求</w:t>
      </w:r>
      <w:bookmarkEnd w:id="0"/>
      <w:bookmarkEnd w:id="1"/>
    </w:p>
    <w:p>
      <w:pPr>
        <w:adjustRightInd w:val="0"/>
        <w:snapToGrid w:val="0"/>
        <w:spacing w:line="360" w:lineRule="auto"/>
        <w:ind w:firstLine="465"/>
        <w:rPr>
          <w:rFonts w:hint="eastAsia" w:hAnsi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西安市碑林区城市管理和综合执法局垃圾分类收集箱采购项目。</w:t>
      </w:r>
      <w:r>
        <w:rPr>
          <w:rFonts w:hint="eastAsia" w:hAnsi="宋体"/>
          <w:b/>
          <w:bCs/>
          <w:color w:val="auto"/>
          <w:szCs w:val="21"/>
          <w:highlight w:val="none"/>
        </w:rPr>
        <w:t>本项目行业属性</w:t>
      </w:r>
      <w:r>
        <w:rPr>
          <w:rFonts w:hint="eastAsia" w:hAnsi="宋体"/>
          <w:b/>
          <w:bCs/>
          <w:color w:val="auto"/>
          <w:szCs w:val="21"/>
          <w:highlight w:val="none"/>
          <w:u w:val="single"/>
          <w:lang w:eastAsia="zh-CN"/>
        </w:rPr>
        <w:t>工业</w:t>
      </w:r>
      <w:r>
        <w:rPr>
          <w:rFonts w:hint="eastAsia" w:hAnsi="宋体"/>
          <w:b/>
          <w:bCs/>
          <w:color w:val="auto"/>
          <w:szCs w:val="21"/>
          <w:highlight w:val="none"/>
        </w:rPr>
        <w:t>。</w:t>
      </w:r>
    </w:p>
    <w:p>
      <w:pPr>
        <w:pStyle w:val="4"/>
        <w:numPr>
          <w:ilvl w:val="0"/>
          <w:numId w:val="1"/>
        </w:numPr>
        <w:spacing w:before="120" w:beforeLines="50" w:after="120" w:afterLines="50" w:line="360" w:lineRule="auto"/>
        <w:outlineLvl w:val="1"/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</w:pPr>
      <w:bookmarkStart w:id="2" w:name="_Toc29345"/>
      <w:bookmarkStart w:id="3" w:name="_Toc9401"/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采购内容</w:t>
      </w:r>
      <w:bookmarkEnd w:id="2"/>
      <w:bookmarkEnd w:id="3"/>
    </w:p>
    <w:p>
      <w:pPr>
        <w:widowControl/>
        <w:autoSpaceDE w:val="0"/>
        <w:autoSpaceDN w:val="0"/>
        <w:spacing w:before="120" w:beforeLines="50" w:after="120" w:afterLines="50" w:line="360" w:lineRule="auto"/>
        <w:ind w:right="51"/>
        <w:textAlignment w:val="bottom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2.1 技术要求</w:t>
      </w:r>
    </w:p>
    <w:p>
      <w:pPr>
        <w:pStyle w:val="6"/>
        <w:spacing w:before="0" w:after="0" w:line="360" w:lineRule="auto"/>
        <w:ind w:firstLine="422" w:firstLineChars="20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  <w:t>2.1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  <w:lang w:val="en-US" w:eastAsia="zh-CN"/>
        </w:rPr>
        <w:t>.1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  <w:t>带有</w:t>
      </w:r>
      <w:r>
        <w:rPr>
          <w:rFonts w:hint="eastAsia" w:ascii="宋体" w:hAnsi="宋体" w:cs="宋体"/>
          <w:b/>
          <w:bCs w:val="0"/>
          <w:color w:val="auto"/>
          <w:kern w:val="0"/>
          <w:sz w:val="20"/>
          <w:highlight w:val="none"/>
          <w:lang w:bidi="ar"/>
        </w:rPr>
        <w:t>★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  <w:t>号的技术参数为实质性条款不得有偏差。</w:t>
      </w:r>
    </w:p>
    <w:p>
      <w:pPr>
        <w:pStyle w:val="6"/>
        <w:spacing w:before="0" w:after="0" w:line="360" w:lineRule="auto"/>
        <w:ind w:firstLine="422" w:firstLineChars="200"/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  <w:t>2.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b/>
          <w:bCs/>
          <w:color w:val="auto"/>
          <w:sz w:val="21"/>
          <w:szCs w:val="21"/>
          <w:highlight w:val="none"/>
        </w:rPr>
        <w:t>核心产品的名称</w:t>
      </w:r>
      <w:r>
        <w:rPr>
          <w:rFonts w:hint="eastAsia"/>
          <w:b w:val="0"/>
          <w:color w:val="auto"/>
          <w:sz w:val="21"/>
          <w:szCs w:val="21"/>
          <w:highlight w:val="none"/>
        </w:rPr>
        <w:t>：</w:t>
      </w:r>
      <w:r>
        <w:rPr>
          <w:rFonts w:hint="eastAsia"/>
          <w:b/>
          <w:color w:val="auto"/>
          <w:sz w:val="21"/>
          <w:szCs w:val="21"/>
          <w:highlight w:val="none"/>
        </w:rPr>
        <w:t>：</w:t>
      </w:r>
      <w:r>
        <w:rPr>
          <w:rFonts w:hint="eastAsia" w:hAnsi="宋体"/>
          <w:b w:val="0"/>
          <w:bCs/>
          <w:color w:val="auto"/>
          <w:sz w:val="22"/>
          <w:szCs w:val="22"/>
          <w:highlight w:val="none"/>
          <w:u w:val="single"/>
          <w:lang w:val="en-US" w:eastAsia="zh-CN"/>
        </w:rPr>
        <w:t>垃圾分类收集箱</w:t>
      </w:r>
      <w:r>
        <w:rPr>
          <w:rFonts w:hint="eastAsia" w:ascii="宋体" w:hAnsi="宋体"/>
          <w:b w:val="0"/>
          <w:color w:val="auto"/>
          <w:sz w:val="21"/>
          <w:szCs w:val="21"/>
          <w:highlight w:val="none"/>
        </w:rPr>
        <w:t>（仅限</w:t>
      </w:r>
      <w:r>
        <w:rPr>
          <w:b w:val="0"/>
          <w:color w:val="auto"/>
          <w:sz w:val="21"/>
          <w:szCs w:val="21"/>
          <w:highlight w:val="none"/>
        </w:rPr>
        <w:t>非单一产品采购项目</w:t>
      </w:r>
      <w:r>
        <w:rPr>
          <w:rFonts w:hint="eastAsia" w:ascii="宋体" w:hAnsi="宋体"/>
          <w:b w:val="0"/>
          <w:color w:val="auto"/>
          <w:sz w:val="21"/>
          <w:szCs w:val="21"/>
          <w:highlight w:val="none"/>
        </w:rPr>
        <w:t>）。</w:t>
      </w:r>
    </w:p>
    <w:p>
      <w:pPr>
        <w:pStyle w:val="6"/>
        <w:spacing w:before="0" w:after="0" w:line="360" w:lineRule="auto"/>
        <w:ind w:firstLine="402" w:firstLineChars="200"/>
        <w:rPr>
          <w:rFonts w:hint="default" w:ascii="宋体" w:hAnsi="宋体" w:eastAsia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0"/>
          <w:highlight w:val="none"/>
          <w:lang w:bidi="ar"/>
        </w:rPr>
        <w:t>★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  <w:t>2.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  <w:t>3 下列产品为强制采购的节能产品（如有）：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 xml:space="preserve"> 无   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</w:p>
    <w:p>
      <w:pPr>
        <w:pStyle w:val="6"/>
        <w:spacing w:before="0" w:after="0" w:line="360" w:lineRule="auto"/>
        <w:ind w:firstLine="422" w:firstLineChars="200"/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  <w:t>2.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</w:rPr>
        <w:t>4货物需求一览表及技术要求</w:t>
      </w:r>
    </w:p>
    <w:p>
      <w:pPr>
        <w:adjustRightInd w:val="0"/>
        <w:snapToGrid w:val="0"/>
        <w:spacing w:line="360" w:lineRule="auto"/>
        <w:ind w:firstLine="465"/>
        <w:jc w:val="both"/>
        <w:rPr>
          <w:rFonts w:hint="eastAsia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/>
          <w:b/>
          <w:bCs/>
          <w:color w:val="auto"/>
          <w:sz w:val="21"/>
          <w:szCs w:val="21"/>
          <w:highlight w:val="none"/>
          <w:lang w:val="en-US" w:eastAsia="zh-CN"/>
        </w:rPr>
        <w:t>2.1.4.1采购要求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主要技术、材质及供货要求</w:t>
      </w:r>
    </w:p>
    <w:p>
      <w:pPr>
        <w:spacing w:line="360" w:lineRule="auto"/>
        <w:ind w:firstLine="420" w:firstLineChars="200"/>
        <w:rPr>
          <w:rFonts w:hint="default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为深入推进全省城市生活垃圾分类，充分发挥专项资金项</w:t>
      </w:r>
      <w:r>
        <w:rPr>
          <w:rFonts w:hint="default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目示范带动作用，推动《陕西省城市生活垃圾分类规划（2019-2025年）》落实落地落细，省住房城乡建设厅、省财政厅组织各市积极申报省级垃圾分类示范区建设专项资金项目，现将</w:t>
      </w:r>
      <w:r>
        <w:rPr>
          <w:rFonts w:hint="eastAsia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碑林区</w:t>
      </w:r>
      <w:r>
        <w:rPr>
          <w:rFonts w:hint="default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生活垃圾分类计划</w:t>
      </w:r>
      <w:r>
        <w:rPr>
          <w:rFonts w:hint="eastAsia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如下</w:t>
      </w:r>
      <w:r>
        <w:rPr>
          <w:rFonts w:hint="default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2.1、碑林区三无小区硬件提升项目的垃圾收集。棚亭建设、道路硬化等提升改造，需采购110座垃圾分类收集箱；</w:t>
      </w:r>
    </w:p>
    <w:p>
      <w:pPr>
        <w:spacing w:line="360" w:lineRule="auto"/>
        <w:ind w:firstLine="420" w:firstLineChars="200"/>
        <w:rPr>
          <w:rFonts w:hint="default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2.2、碑林区市级精品示范小区建设项目，需选取10个小区进行精品示范小区建设，开展垃圾投放点配套设施建设，厢房改造，分类引导宣传等内容，需采购25座垃圾分类收集箱；</w:t>
      </w:r>
    </w:p>
    <w:p>
      <w:pPr>
        <w:spacing w:line="360" w:lineRule="auto"/>
        <w:ind w:firstLine="420" w:firstLineChars="200"/>
        <w:rPr>
          <w:rFonts w:hint="default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2.3、碑林区提升现有示范达标单位（小区）分类管理水平项目，对现有示范达标单位垃圾桶进行跟新升级，需采购20座垃圾分类收集箱；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2.4碑林区城市生活垃圾分类专项资金项目约采购155个垃圾分类箱。垃圾分类箱作用于垃圾分类，是集收纳、分类、知识宣传为一体的多功能垃圾箱，里面设置有非常详细的垃圾类别，基本涵盖了当前居民生活垃圾的所有种类，可以根据垃圾分类箱上面的指示，就能够准确地进行垃圾分类投放。是一种更加主动和人性化的方式宣传和推广垃圾分类知识。除此之外垃圾分类箱的外观设计也很漂亮、简约与现代城市生活融为一体。</w:t>
      </w:r>
    </w:p>
    <w:tbl>
      <w:tblPr>
        <w:tblStyle w:val="8"/>
        <w:tblW w:w="0" w:type="auto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050"/>
        <w:gridCol w:w="2833"/>
        <w:gridCol w:w="1110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名称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主要技术要求及供货说明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数量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垃圾分类收集箱</w:t>
            </w:r>
          </w:p>
          <w:p>
            <w:pPr>
              <w:adjustRightInd w:val="0"/>
              <w:snapToGrid w:val="0"/>
              <w:spacing w:line="360" w:lineRule="auto"/>
              <w:ind w:firstLine="465"/>
              <w:jc w:val="both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4桶/组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规格：设计垃圾桶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240L*4个(可回收物1个、其他垃圾1个、有害垃圾1个、厨余垃圾1个），附洗手池1个、LED灯、镜子一块（尺寸符合现场尺寸），所有管道及对应的管道阀门配件全部采用国标合格产品。洗手池位置居中。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尺寸：长≥3750mm*宽≥1200mm*高≥2200mm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每座配4桶，共110座、440桶。（暂定，具体以实际结算为准）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成品垃圾分类收集箱及附属设施，具备密闭上锁功能（可确保定时定点收集），地基硬化工程（以现场实际测量面积为准）、基础上下水，所有分类标识必须符合国家GB/T19095-2019标准。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垃圾分类收集箱</w:t>
            </w:r>
          </w:p>
          <w:p>
            <w:pPr>
              <w:adjustRightInd w:val="0"/>
              <w:snapToGrid w:val="0"/>
              <w:spacing w:line="360" w:lineRule="auto"/>
              <w:ind w:firstLine="465"/>
              <w:jc w:val="both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5桶/组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规格：设计垃圾桶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240L*5个(可回收物1个、其他垃圾2个、有害垃圾1个、LED灯、镜子一块（尺寸符合现场尺寸）、厨余垃圾1个），附洗手池1个，所有管道及对应的管道阀门配件全部采用国标合格产品。洗手池位置居中。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尺寸：长≥4500mm*宽≥1200mm*高≥2200mm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每座配5桶，共25座、125桶。（暂定，具体以实际结算为准）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垃圾分类收集箱</w:t>
            </w:r>
          </w:p>
          <w:p>
            <w:pPr>
              <w:adjustRightInd w:val="0"/>
              <w:snapToGrid w:val="0"/>
              <w:spacing w:line="360" w:lineRule="auto"/>
              <w:ind w:firstLine="642" w:firstLineChars="321"/>
              <w:jc w:val="both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6桶/组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规格：设计垃圾桶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240L*6个（可回收物1个、其他垃圾2个、有害垃圾1个、厨余垃圾2个）附洗手池1个、LED灯、镜子一块（尺寸符合现场尺寸），所有管道及对应的管道阀门配件全部采用国标合格产品。洗手池位置居中。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尺寸：长≥5250mm*宽≥1200mm*高≥2200mm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每座配6桶，共20座、120桶。（暂定，具体以实际结算为准）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65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用途及适用范围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主要适用于小区、街道及公共场所使用。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电源及电控制方式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外接电源市电AC220V/50-60Hz；电器累加功率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00W，电气控制方式：PLC智能化自动可编程控制。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电器、电线说明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接入电线采用RVV6mm²纯铜电缆线；电箱组装采用CCC认证资格的组装，电箱内主要配置电器C40双极漏电保护器开关40A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个。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构筑物半径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5米以内，接电工作由中标人完成，中标人承担施工内容等相关费用；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构筑物半径5米以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外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，接电工作由中标人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配合物业方完成，物业方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承担施工内容等相关费用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主要骨架结构材质及工艺要求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国标热镀锌矩形管材质结构，钢骨架采用满焊牢固，精细打磨后烤漆。整体采用冷轧钢板，厚度T≥1.2mm，屈服强度：130MPa～280MPa，结构件折弯成型拼焊连接。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表面处理及颜色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金属材料全部采用塑粉静电喷涂工艺，色彩鲜艳不掉色，色彩可定制。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墙面装饰材料及工艺说明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室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外安装抗老化宣传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标识和标牌，亚克力雕刻字、户外宣传灯箱及不干胶告示等。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分类标识：标识纸粘贴，色彩鲜艳、标识醒目。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生活垃圾分类收集箱宣传标识居中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屋顶雨棚造型和材质工艺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屋顶雨棚做好防水。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地面做法及材料装饰说明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地基采用人工开挖，低洼处采用碎石垫高加固，C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商混硬化15公分厚，基础必须高出周围地面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公分，防止雨水浸泡，表面水泥砂浆抹平压光，地面要求耐磨、防滑、防水、防腐。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安装固定要求方法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垃圾分类收集箱必须固定牢固，达到抗台风级别，采用厚12㎜钢板冲4孔洞，钢板尺寸200㎜*200㎜，用直径14㎜膨胀螺丝固定在混凝土里。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洗手池和给、排水管道材质和规格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采用陶瓷洗手池，所有龙头、管道及对应的管道阀门配件全部采用国标合格产品。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构筑物半径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5米以内，给、排水工作由中标单位完成，自行承担施工内容相关费用；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构筑物半径5米以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外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给、排水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工作由中标单位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配合物业方完成，物业方</w:t>
            </w:r>
            <w:r>
              <w:rPr>
                <w:rFonts w:hint="default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承担施工内容相关费用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主要电器配置要求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顶棚安装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LED节能型照明灯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3个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；功率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40W。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65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其他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制造工艺：满焊工艺、激光切割、数控剪折、精细打磨、高温烤漆、UV丝印等。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65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底座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在底座前沿设置斜坡,底部宽度 900mm±10mm,坡度为 10 度±2 度，在操作工换垃圾桶时方便拉桶出入箱体。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65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外观</w:t>
            </w:r>
          </w:p>
        </w:tc>
        <w:tc>
          <w:tcPr>
            <w:tcW w:w="56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外观：严格按照《西安市垃圾分类管理条例》对可回收物、其他垃圾厨余垃圾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回收箱部位投口及箱门覆盖垃圾分类规定颜色【可回收物为蓝色、其他垃圾为黑色、厨余垃圾为绿色、有害垃圾回收箱部位正面为红色（投口为不锈钢本色）】进行表面静电喷色，隔断外界腐蚀物与基材接触，增加箱体的使用寿命。耐潮湿、耐腐蚀、耐高温、耐磨损、耐低温、耐老化。</w:t>
            </w:r>
          </w:p>
        </w:tc>
      </w:tr>
    </w:tbl>
    <w:p>
      <w:pPr>
        <w:pStyle w:val="5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2.1.5  质量要求</w:t>
      </w:r>
    </w:p>
    <w:p>
      <w:pPr>
        <w:pStyle w:val="5"/>
        <w:spacing w:line="360" w:lineRule="auto"/>
        <w:ind w:firstLine="577" w:firstLineChars="275"/>
        <w:rPr>
          <w:rFonts w:hint="default" w:ascii="宋体" w:hAnsi="宋体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★2.1.5.1 货物（产品）制造商、经销代理商应严格遵守《中华人民共和国产品质量法》，确保提供的产品符合质量标准，达到合格产品的要求。可能危及人体健康和人身、财产安全的工业产品，必须符合保障人体健康和人身、财产安全的国家标准、行业标准;未制定国家标准、行业标准的，必须符合保障人体健康和人身、财产安全的要求。</w:t>
      </w:r>
    </w:p>
    <w:p>
      <w:pPr>
        <w:pStyle w:val="5"/>
        <w:spacing w:line="360" w:lineRule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投标人除了满足附表技术参数和配置要求外，还应当满足以下技术要求：</w:t>
      </w:r>
    </w:p>
    <w:p>
      <w:pPr>
        <w:pStyle w:val="5"/>
        <w:spacing w:line="360" w:lineRule="auto"/>
        <w:ind w:firstLineChars="200"/>
        <w:rPr>
          <w:rFonts w:hint="eastAsia" w:ascii="宋体" w:hAnsi="宋体"/>
          <w:b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/>
          <w:bCs w:val="0"/>
          <w:color w:val="auto"/>
          <w:szCs w:val="21"/>
          <w:highlight w:val="none"/>
        </w:rPr>
        <w:t>2.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b/>
          <w:bCs w:val="0"/>
          <w:color w:val="auto"/>
          <w:szCs w:val="21"/>
          <w:highlight w:val="none"/>
        </w:rPr>
        <w:t>5</w:t>
      </w:r>
      <w:r>
        <w:rPr>
          <w:rFonts w:hint="eastAsia" w:ascii="宋体" w:hAnsi="宋体"/>
          <w:b/>
          <w:bCs w:val="0"/>
          <w:color w:val="auto"/>
          <w:szCs w:val="21"/>
          <w:highlight w:val="none"/>
          <w:lang w:val="en-US" w:eastAsia="zh-CN"/>
        </w:rPr>
        <w:t>.2</w:t>
      </w:r>
      <w:r>
        <w:rPr>
          <w:rFonts w:hint="eastAsia" w:ascii="宋体" w:hAnsi="宋体"/>
          <w:b/>
          <w:bCs w:val="0"/>
          <w:color w:val="auto"/>
          <w:szCs w:val="21"/>
          <w:highlight w:val="none"/>
        </w:rPr>
        <w:t xml:space="preserve"> 货物（产品）执行的标准、规范：</w:t>
      </w:r>
    </w:p>
    <w:p>
      <w:pPr>
        <w:pStyle w:val="5"/>
        <w:spacing w:line="360" w:lineRule="auto"/>
        <w:ind w:firstLine="577" w:firstLineChars="275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（1）国家标准、规范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 xml:space="preserve">     /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bCs/>
          <w:color w:val="auto"/>
          <w:szCs w:val="21"/>
          <w:highlight w:val="none"/>
        </w:rPr>
        <w:t>；</w:t>
      </w:r>
    </w:p>
    <w:p>
      <w:pPr>
        <w:pStyle w:val="5"/>
        <w:spacing w:line="360" w:lineRule="auto"/>
        <w:ind w:firstLine="577" w:firstLineChars="275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（2）行业标准、规范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/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；</w:t>
      </w:r>
    </w:p>
    <w:p>
      <w:pPr>
        <w:pStyle w:val="5"/>
        <w:spacing w:line="360" w:lineRule="auto"/>
        <w:ind w:firstLine="577" w:firstLineChars="275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（3）地方标准、规范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/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；</w:t>
      </w:r>
    </w:p>
    <w:p>
      <w:pPr>
        <w:pStyle w:val="5"/>
        <w:spacing w:line="360" w:lineRule="auto"/>
        <w:ind w:firstLine="577" w:firstLineChars="275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（4）团体标准、规范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/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；</w:t>
      </w:r>
    </w:p>
    <w:p>
      <w:pPr>
        <w:pStyle w:val="5"/>
        <w:spacing w:line="360" w:lineRule="auto"/>
        <w:ind w:firstLine="577" w:firstLineChars="275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（5）企业标准、规范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 xml:space="preserve">     /      </w:t>
      </w:r>
      <w:r>
        <w:rPr>
          <w:rFonts w:hint="eastAsia" w:ascii="宋体" w:hAnsi="宋体"/>
          <w:bCs/>
          <w:color w:val="auto"/>
          <w:szCs w:val="21"/>
          <w:highlight w:val="none"/>
        </w:rPr>
        <w:t>。</w:t>
      </w:r>
    </w:p>
    <w:p>
      <w:pPr>
        <w:pStyle w:val="5"/>
        <w:spacing w:line="360" w:lineRule="auto"/>
        <w:ind w:firstLine="40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0"/>
          <w:highlight w:val="none"/>
          <w:lang w:bidi="ar"/>
        </w:rPr>
        <w:t>★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2.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1.5.3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 xml:space="preserve"> 本章第2.5条款未明确货物（产品）执行标准、规范的，则按下列方法进行选择：</w:t>
      </w:r>
    </w:p>
    <w:p>
      <w:pPr>
        <w:pStyle w:val="5"/>
        <w:spacing w:line="360" w:lineRule="auto"/>
        <w:ind w:left="840" w:hanging="840" w:hangingChars="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□ 顺序执行：国家标准→行业标准→地方标准→团体标准→企业标准（有国家标准按国家标准执行，没有国家标准按行业标准，以此类推）；</w:t>
      </w:r>
    </w:p>
    <w:p>
      <w:pPr>
        <w:pStyle w:val="5"/>
        <w:spacing w:line="360" w:lineRule="auto"/>
        <w:ind w:left="840" w:hanging="840" w:hangingChars="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□ 最高标准执行：国家标准，行业标准，地方标准，团体标准，企业标准（那个标准高执行那个标准）；</w:t>
      </w:r>
    </w:p>
    <w:p>
      <w:pPr>
        <w:pStyle w:val="5"/>
        <w:spacing w:line="360" w:lineRule="auto"/>
        <w:ind w:left="840" w:hanging="840" w:hangingChars="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</w:t>
      </w:r>
      <w:r>
        <w:rPr>
          <w:rFonts w:ascii="宋体" w:hAnsi="宋体"/>
          <w:color w:val="auto"/>
          <w:szCs w:val="21"/>
          <w:highlight w:val="none"/>
        </w:rPr>
        <w:fldChar w:fldCharType="begin"/>
      </w:r>
      <w:r>
        <w:rPr>
          <w:rFonts w:ascii="宋体" w:hAnsi="宋体"/>
          <w:color w:val="auto"/>
          <w:szCs w:val="21"/>
          <w:highlight w:val="none"/>
        </w:rPr>
        <w:instrText xml:space="preserve"> </w:instrText>
      </w:r>
      <w:r>
        <w:rPr>
          <w:rFonts w:hint="eastAsia" w:ascii="宋体" w:hAnsi="宋体"/>
          <w:color w:val="auto"/>
          <w:szCs w:val="21"/>
          <w:highlight w:val="none"/>
        </w:rPr>
        <w:instrText xml:space="preserve">eq \o\ac(□,</w:instrText>
      </w:r>
      <w:r>
        <w:rPr>
          <w:rFonts w:hint="eastAsia" w:ascii="宋体" w:hAnsi="宋体"/>
          <w:color w:val="auto"/>
          <w:position w:val="2"/>
          <w:szCs w:val="21"/>
          <w:highlight w:val="none"/>
        </w:rPr>
        <w:instrText xml:space="preserve">√</w:instrText>
      </w:r>
      <w:r>
        <w:rPr>
          <w:rFonts w:hint="eastAsia" w:ascii="宋体" w:hAnsi="宋体"/>
          <w:color w:val="auto"/>
          <w:szCs w:val="21"/>
          <w:highlight w:val="none"/>
        </w:rPr>
        <w:instrText xml:space="preserve">)</w:instrText>
      </w:r>
      <w:r>
        <w:rPr>
          <w:rFonts w:ascii="宋体" w:hAnsi="宋体"/>
          <w:color w:val="auto"/>
          <w:szCs w:val="21"/>
          <w:highlight w:val="none"/>
        </w:rPr>
        <w:fldChar w:fldCharType="end"/>
      </w:r>
      <w:r>
        <w:rPr>
          <w:rFonts w:hint="eastAsia" w:ascii="宋体" w:hAnsi="宋体"/>
          <w:color w:val="auto"/>
          <w:szCs w:val="21"/>
          <w:highlight w:val="none"/>
        </w:rPr>
        <w:t xml:space="preserve"> 必须执行：国家（行业）强制性标准。</w:t>
      </w:r>
      <w:bookmarkStart w:id="4" w:name="_Toc24945"/>
    </w:p>
    <w:p>
      <w:pPr>
        <w:pStyle w:val="5"/>
        <w:spacing w:line="360" w:lineRule="auto"/>
        <w:ind w:left="840" w:hanging="1446" w:hangingChars="400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  <w:lang w:val="en-US" w:eastAsia="zh-CN"/>
        </w:rPr>
        <w:t>2.2</w:t>
      </w: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  <w:t>商务要求</w:t>
      </w:r>
      <w:bookmarkEnd w:id="4"/>
    </w:p>
    <w:p>
      <w:pPr>
        <w:pStyle w:val="6"/>
        <w:spacing w:before="120" w:beforeLines="50" w:after="120" w:afterLines="50" w:line="360" w:lineRule="auto"/>
        <w:ind w:firstLine="422" w:firstLineChars="20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2.2.1带有</w:t>
      </w:r>
      <w:r>
        <w:rPr>
          <w:rFonts w:hint="eastAsia" w:ascii="宋体" w:hAnsi="宋体" w:cs="宋体"/>
          <w:color w:val="auto"/>
          <w:kern w:val="0"/>
          <w:sz w:val="20"/>
          <w:highlight w:val="none"/>
          <w:lang w:bidi="ar"/>
        </w:rPr>
        <w:t>★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号的商务要求为实质性条款不得有偏差。</w:t>
      </w:r>
    </w:p>
    <w:p>
      <w:pPr>
        <w:pStyle w:val="5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0"/>
          <w:highlight w:val="none"/>
          <w:lang w:bidi="ar"/>
        </w:rPr>
        <w:t>★</w:t>
      </w:r>
      <w:r>
        <w:rPr>
          <w:rFonts w:hint="eastAsia" w:ascii="宋体" w:hAnsi="宋体"/>
          <w:b/>
          <w:color w:val="auto"/>
          <w:szCs w:val="21"/>
          <w:highlight w:val="none"/>
        </w:rPr>
        <w:t>2.2.2交货时间和地点：</w:t>
      </w:r>
      <w:r>
        <w:rPr>
          <w:rFonts w:hint="eastAsia" w:ascii="宋体" w:hAnsi="宋体"/>
          <w:color w:val="auto"/>
          <w:szCs w:val="21"/>
          <w:highlight w:val="none"/>
        </w:rPr>
        <w:t>见投标人须知附表。</w:t>
      </w:r>
    </w:p>
    <w:p>
      <w:pPr>
        <w:pStyle w:val="5"/>
        <w:spacing w:line="360" w:lineRule="auto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0"/>
          <w:highlight w:val="none"/>
          <w:lang w:bidi="ar"/>
        </w:rPr>
        <w:t>★</w:t>
      </w:r>
      <w:r>
        <w:rPr>
          <w:rFonts w:hint="eastAsia" w:ascii="宋体" w:hAnsi="宋体"/>
          <w:b/>
          <w:color w:val="auto"/>
          <w:szCs w:val="21"/>
          <w:highlight w:val="none"/>
        </w:rPr>
        <w:t>2.2.3付款条件：</w:t>
      </w:r>
      <w:r>
        <w:rPr>
          <w:rFonts w:hint="eastAsia" w:ascii="宋体" w:hAnsi="宋体"/>
          <w:color w:val="auto"/>
          <w:szCs w:val="21"/>
          <w:highlight w:val="none"/>
        </w:rPr>
        <w:t>见投标人须知附表。</w:t>
      </w:r>
    </w:p>
    <w:p>
      <w:pPr>
        <w:pStyle w:val="5"/>
        <w:spacing w:line="360" w:lineRule="auto"/>
        <w:ind w:firstLine="632" w:firstLineChars="300"/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2.2.4运输要求：</w:t>
      </w:r>
      <w:r>
        <w:rPr>
          <w:rFonts w:hint="eastAsia" w:ascii="宋体" w:hAnsi="宋体"/>
          <w:color w:val="auto"/>
          <w:szCs w:val="21"/>
          <w:highlight w:val="none"/>
        </w:rPr>
        <w:t>货物（产品）运输、安装及调试由中标人负责。采用公路或铁路运输方式，选择风险小、运费低和运距短的运输路线。运杂费一次性包死在总价内，采购人不再额外支付，包括从生产厂家到使用（安装）现场的包装、装载、运输、卸载、现场保管、二次倒运等费用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，</w:t>
      </w:r>
      <w:r>
        <w:rPr>
          <w:rFonts w:hint="eastAsia" w:ascii="宋体" w:hAnsi="宋体" w:eastAsia="宋体" w:cs="Times New Roman"/>
          <w:b/>
          <w:bCs/>
          <w:color w:val="auto"/>
          <w:szCs w:val="21"/>
          <w:highlight w:val="none"/>
        </w:rPr>
        <w:t>达到交钥匙。</w:t>
      </w:r>
    </w:p>
    <w:p>
      <w:pPr>
        <w:pStyle w:val="13"/>
        <w:spacing w:line="360" w:lineRule="auto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2.2.5包装要求：</w:t>
      </w:r>
    </w:p>
    <w:p>
      <w:pPr>
        <w:pStyle w:val="13"/>
        <w:spacing w:line="360" w:lineRule="auto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2.2.5.1全</w:t>
      </w:r>
      <w:r>
        <w:rPr>
          <w:rFonts w:hint="eastAsia" w:ascii="宋体" w:hAnsi="宋体" w:cs="Times New Roman"/>
          <w:color w:val="auto"/>
          <w:sz w:val="21"/>
          <w:szCs w:val="21"/>
          <w:highlight w:val="none"/>
        </w:rPr>
        <w:t>部货物（产品）均应按照国家、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行业规定的</w:t>
      </w:r>
      <w:r>
        <w:rPr>
          <w:rFonts w:hint="eastAsia" w:ascii="宋体" w:hAnsi="宋体" w:cs="Times New Roman"/>
          <w:color w:val="auto"/>
          <w:sz w:val="21"/>
          <w:szCs w:val="21"/>
          <w:highlight w:val="none"/>
        </w:rPr>
        <w:t>标准和保护措施进行包装，该包装应适应于远距离运输、防潮、防震、防锈和防野蛮装卸，以确保货物安全运抵指定地点。</w:t>
      </w:r>
    </w:p>
    <w:p>
      <w:pPr>
        <w:pStyle w:val="5"/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2.2.5.2 当包装使用塑料、纸质、木材等包装材料时，除应当按照国家、行业规定的包装标准进行包装外，还需按照《商品包装政府采购需求标准（试行）》（财办库[2020]）123号）规定的环保要求进行包装。</w:t>
      </w:r>
    </w:p>
    <w:p>
      <w:pPr>
        <w:pStyle w:val="5"/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2.2.5.3 当采用快递交货方式时，快递包装除应当按照国家、行业规定的包装标准进行包装外，还需按照《快递包装政府采购需求标准（试行）》（财办库[2020]）123号）规定的环保要求进行包装。</w:t>
      </w:r>
      <w:bookmarkStart w:id="5" w:name="_Toc10177"/>
    </w:p>
    <w:p>
      <w:pPr>
        <w:pStyle w:val="13"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6售后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服务要求</w:t>
      </w:r>
      <w:bookmarkEnd w:id="5"/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2.2.6.1 基本要求</w:t>
      </w:r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（1）中标人须指派专人负责与采购人联系售后服务事宜</w:t>
      </w:r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（2）中标人负责货物（产品）的现场安装、调试和启动；</w:t>
      </w:r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3）中标人负责货物（产品）的安装、启动、运行及维护等对使用人员进行免费培训：培训主要内容为货物的基本结构、性能、主要部件的构造及原理，日常使用操作、维护保养与管理，常见故障的排除、紧急情况的处理等，如使用方未使用过同类型货物，中标人还需就货物的功能对使用方人员进行相应的技术培训，培训地点为货物安装现场或由使用方安排；</w:t>
      </w:r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（4）质保期自采购人在货物质量验收单（终验）上签名之日起计算，质保费用计入总价；</w:t>
      </w:r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（5）质保期内，中标人负责对其提供的货物整机进行维修和系统维护，不再收取任何费用，但不可抗力（如火灾、雷击等）造成的故障除外；</w:t>
      </w:r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（6）货物故障报修的响应时间为：工作期间（星期一至星期五8：00-18：00）为2时；非工作期间为4小时；</w:t>
      </w:r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（7）售后服务提供365天*24小时服务电话，并设立专门售后服务人员提供全天候的技术支持服务，对采购单位反映的任何问题立即响应，经与业主方商量后，在接报后6小时内响应，1小时内恢复产品正常使用。；</w:t>
      </w:r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（8）所有货物服务方式均为乙方上门服务，即由乙方派员到货物使用现场维修，由此产生的一切费用均由乙方承担；</w:t>
      </w:r>
    </w:p>
    <w:p>
      <w:pPr>
        <w:pStyle w:val="5"/>
        <w:spacing w:line="360" w:lineRule="auto"/>
        <w:ind w:firstLine="735" w:firstLineChars="350"/>
        <w:jc w:val="left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（9）质保期结束后的货物维修、维护由双方协商再定。</w:t>
      </w:r>
    </w:p>
    <w:p>
      <w:pPr>
        <w:pStyle w:val="5"/>
        <w:spacing w:line="360" w:lineRule="auto"/>
        <w:ind w:firstLine="700" w:firstLineChars="35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0"/>
          <w:highlight w:val="none"/>
          <w:lang w:bidi="ar"/>
        </w:rPr>
        <w:t>★</w:t>
      </w:r>
      <w:r>
        <w:rPr>
          <w:rFonts w:hint="eastAsia" w:ascii="宋体" w:hAnsi="宋体"/>
          <w:b/>
          <w:color w:val="auto"/>
          <w:szCs w:val="21"/>
          <w:highlight w:val="none"/>
        </w:rPr>
        <w:t>2.2.6.2 质保期要求：</w:t>
      </w:r>
      <w:r>
        <w:rPr>
          <w:rFonts w:hint="eastAsia" w:ascii="宋体" w:hAnsi="宋体"/>
          <w:color w:val="auto"/>
          <w:szCs w:val="21"/>
          <w:highlight w:val="none"/>
        </w:rPr>
        <w:t>货物（产品）的质保期不少于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1年</w:t>
      </w:r>
      <w:r>
        <w:rPr>
          <w:rFonts w:hint="eastAsia" w:ascii="宋体" w:hAnsi="宋体"/>
          <w:color w:val="auto"/>
          <w:szCs w:val="21"/>
          <w:highlight w:val="none"/>
        </w:rPr>
        <w:t>。质保期为产品自安装验收合格正常使用起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1年  </w:t>
      </w:r>
      <w:r>
        <w:rPr>
          <w:rFonts w:hint="eastAsia" w:ascii="宋体" w:hAnsi="宋体"/>
          <w:color w:val="auto"/>
          <w:szCs w:val="21"/>
          <w:highlight w:val="none"/>
        </w:rPr>
        <w:t>免费保修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>
      <w:pPr>
        <w:pStyle w:val="5"/>
        <w:spacing w:line="360" w:lineRule="auto"/>
        <w:ind w:firstLine="738" w:firstLineChars="3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2.2.6.3 产品“三包”要求：</w:t>
      </w:r>
      <w:r>
        <w:rPr>
          <w:rFonts w:hint="eastAsia" w:ascii="宋体" w:hAnsi="宋体"/>
          <w:color w:val="auto"/>
          <w:szCs w:val="21"/>
          <w:highlight w:val="none"/>
        </w:rPr>
        <w:t>货物（产品）属于国家规定的“三包产品”，产品制造商、经销代理商应遵守“三包”的规定，在产品发生质量问题时，及时对所提供产品实行“包退、包换、保修”服务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，在供货过程中，保证按供货期的要求，免费安装调试和培训。货物安装调试后10天内免费电话回访，以后每月电话回访一次。</w:t>
      </w:r>
    </w:p>
    <w:p>
      <w:r>
        <w:rPr>
          <w:rFonts w:hint="eastAsia" w:ascii="宋体" w:hAnsi="宋体"/>
          <w:b/>
          <w:color w:val="auto"/>
          <w:szCs w:val="21"/>
          <w:highlight w:val="none"/>
        </w:rPr>
        <w:t>2.2.6.4电子电器产品服务要求：</w:t>
      </w:r>
      <w:r>
        <w:rPr>
          <w:rFonts w:hint="eastAsia" w:ascii="宋体" w:hAnsi="宋体"/>
          <w:color w:val="auto"/>
          <w:szCs w:val="21"/>
          <w:highlight w:val="none"/>
        </w:rPr>
        <w:t>货物（产品）属于电子电器的，产品制造商、经销代理商应按照《政府采购电子电器服务规范》（GB/T 33496-2017）的要求提供服务。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FC521"/>
    <w:multiLevelType w:val="singleLevel"/>
    <w:tmpl w:val="F08FC5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zkzNjRmZjY4MDg4NmRmNDdiY2I0ZGM1N2RjMGEifQ=="/>
  </w:docVars>
  <w:rsids>
    <w:rsidRoot w:val="00000000"/>
    <w:rsid w:val="0BEE32C2"/>
    <w:rsid w:val="0E916E0F"/>
    <w:rsid w:val="2682656C"/>
    <w:rsid w:val="28C01707"/>
    <w:rsid w:val="28E03E7D"/>
    <w:rsid w:val="298970CB"/>
    <w:rsid w:val="2C1C1DF7"/>
    <w:rsid w:val="2FCB43E0"/>
    <w:rsid w:val="35B12276"/>
    <w:rsid w:val="37294A27"/>
    <w:rsid w:val="422C694D"/>
    <w:rsid w:val="431E61AB"/>
    <w:rsid w:val="43995A03"/>
    <w:rsid w:val="492C14BA"/>
    <w:rsid w:val="4BFE3A92"/>
    <w:rsid w:val="59D41C83"/>
    <w:rsid w:val="667A008B"/>
    <w:rsid w:val="7C6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kern w:val="44"/>
      <w:sz w:val="44"/>
      <w:szCs w:val="20"/>
    </w:rPr>
  </w:style>
  <w:style w:type="paragraph" w:styleId="4">
    <w:name w:val="heading 2"/>
    <w:basedOn w:val="1"/>
    <w:next w:val="5"/>
    <w:link w:val="11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6"/>
      <w:szCs w:val="2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="50" w:afterLines="50" w:afterAutospacing="0" w:line="240" w:lineRule="auto"/>
      <w:outlineLvl w:val="2"/>
    </w:pPr>
    <w:rPr>
      <w:rFonts w:ascii="Calibri" w:hAnsi="Calibri" w:eastAsia="宋体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b/>
      <w:sz w:val="28"/>
    </w:rPr>
  </w:style>
  <w:style w:type="paragraph" w:styleId="5">
    <w:name w:val="Normal Indent"/>
    <w:basedOn w:val="1"/>
    <w:next w:val="1"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qFormat/>
    <w:uiPriority w:val="0"/>
    <w:rPr>
      <w:rFonts w:ascii="Calibri" w:hAnsi="Calibri" w:eastAsia="宋体"/>
      <w:b/>
      <w:sz w:val="30"/>
    </w:rPr>
  </w:style>
  <w:style w:type="character" w:customStyle="1" w:styleId="11">
    <w:name w:val="标题 2 Char"/>
    <w:link w:val="4"/>
    <w:qFormat/>
    <w:uiPriority w:val="0"/>
    <w:rPr>
      <w:rFonts w:ascii="Arial" w:hAnsi="Arial" w:eastAsia="黑体"/>
      <w:b/>
      <w:kern w:val="2"/>
      <w:sz w:val="36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宋体"/>
      <w:b/>
      <w:kern w:val="44"/>
      <w:sz w:val="44"/>
      <w:szCs w:val="20"/>
    </w:rPr>
  </w:style>
  <w:style w:type="paragraph" w:customStyle="1" w:styleId="13">
    <w:name w:val="样式 首行缩进:  2 字符"/>
    <w:basedOn w:val="1"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2022-04-21T01:37:00Z</dcterms:created>
  <dc:creator>Administrator</dc:creator>
  <cp:lastModifiedBy>野</cp:lastModifiedBy>
  <dcterms:modified xsi:type="dcterms:W3CDTF">2023-10-07T03:39:39Z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0E578352A9D94473AC475CC1BFFC67B4</vt:lpwstr>
  </property>
</Properties>
</file>