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03" w:firstLineChars="200"/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 w:bidi="zh-TW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 w:bidi="zh-TW"/>
        </w:rPr>
        <w:t>采购需求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TW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zh-TW"/>
        </w:rPr>
        <w:t>适用于心脏、腹部、妇产科、泌尿科、浅表组织与小器官、外周血管、小儿与新生儿、术中、穿刺等全身应用系统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zh-TW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TW"/>
        </w:rPr>
        <w:t>详见谈判文件第三部分。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zc0ZDhlOTZjMmQwZTVhNzg0MWM5Yzk1NWYxMzEifQ=="/>
  </w:docVars>
  <w:rsids>
    <w:rsidRoot w:val="5EF64F95"/>
    <w:rsid w:val="5EF6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1"/>
    <w:qFormat/>
    <w:uiPriority w:val="0"/>
    <w:pPr>
      <w:spacing w:beforeLines="10" w:afterLines="10"/>
      <w:jc w:val="left"/>
    </w:pPr>
    <w:rPr>
      <w:bCs/>
      <w:spacing w:val="1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2023-03-29T06:54:00Z</dcterms:created>
  <dc:creator>陈凯</dc:creator>
  <cp:lastModifiedBy>陈凯</cp:lastModifiedBy>
  <dcterms:modified xsi:type="dcterms:W3CDTF">2023-03-29T06:56:33Z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8BEBE717D1DB4B4A85427E8B6EF0266B</vt:lpwstr>
  </property>
</Properties>
</file>