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rPr>
          <w:rFonts w:ascii="楷体" w:hAnsi="楷体" w:cs="楷体"/>
          <w:b/>
          <w:bCs/>
          <w:kern w:val="0"/>
        </w:rPr>
      </w:pPr>
      <w:r>
        <w:rPr>
          <w:rFonts w:ascii="楷体" w:hAnsi="楷体" w:cs="楷体"/>
          <w:b/>
          <w:bCs/>
          <w:kern w:val="0"/>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36"/>
        <w:ind w:firstLine="0" w:firstLineChars="0"/>
        <w:jc w:val="center"/>
        <w:rPr>
          <w:rFonts w:ascii="楷体" w:hAnsi="楷体" w:eastAsia="楷体" w:cs="楷体"/>
          <w:b/>
          <w:bCs/>
          <w:kern w:val="0"/>
          <w:sz w:val="52"/>
          <w:szCs w:val="52"/>
        </w:rPr>
      </w:pPr>
    </w:p>
    <w:p>
      <w:pPr>
        <w:pStyle w:val="36"/>
        <w:ind w:firstLine="0" w:firstLineChars="0"/>
        <w:jc w:val="center"/>
        <w:rPr>
          <w:rFonts w:ascii="楷体" w:hAnsi="楷体" w:eastAsia="楷体" w:cs="楷体"/>
          <w:b/>
          <w:bCs/>
          <w:kern w:val="0"/>
          <w:sz w:val="52"/>
          <w:szCs w:val="52"/>
        </w:rPr>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西安市碑林区朱雀大街小学智慧</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lang w:val="en-US" w:eastAsia="zh-CN"/>
        </w:rPr>
        <w:t>音频监控项目</w:t>
      </w:r>
    </w:p>
    <w:p>
      <w:pPr>
        <w:pStyle w:val="2"/>
        <w:ind w:firstLine="560"/>
        <w:rPr>
          <w:rFonts w:ascii="楷体" w:hAnsi="楷体"/>
        </w:rPr>
      </w:pPr>
    </w:p>
    <w:p>
      <w:pPr>
        <w:ind w:firstLine="480"/>
      </w:pPr>
    </w:p>
    <w:p>
      <w:pPr>
        <w:pStyle w:val="2"/>
        <w:ind w:firstLine="0" w:firstLineChars="0"/>
      </w:pPr>
    </w:p>
    <w:p>
      <w:pPr>
        <w:widowControl/>
        <w:ind w:firstLine="0" w:firstLineChars="0"/>
        <w:jc w:val="center"/>
        <w:rPr>
          <w:lang w:val="zh-CN"/>
        </w:rPr>
      </w:pPr>
      <w:r>
        <w:rPr>
          <w:rFonts w:hint="eastAsia" w:ascii="楷体" w:hAnsi="楷体" w:cs="楷体"/>
          <w:b/>
          <w:bCs/>
          <w:kern w:val="0"/>
          <w:sz w:val="72"/>
          <w:szCs w:val="72"/>
        </w:rPr>
        <w:t>竞争性谈判</w:t>
      </w:r>
      <w:r>
        <w:rPr>
          <w:rFonts w:hint="eastAsia" w:ascii="楷体" w:hAnsi="楷体" w:cs="楷体"/>
          <w:b/>
          <w:bCs/>
          <w:kern w:val="0"/>
          <w:sz w:val="72"/>
          <w:szCs w:val="72"/>
          <w:lang w:val="zh-CN"/>
        </w:rPr>
        <w:t>文件</w:t>
      </w:r>
    </w:p>
    <w:p>
      <w:pPr>
        <w:widowControl/>
        <w:ind w:firstLine="0" w:firstLineChars="0"/>
        <w:jc w:val="center"/>
        <w:rPr>
          <w:rFonts w:hint="default" w:ascii="楷体" w:hAnsi="楷体" w:eastAsia="楷体" w:cs="楷体"/>
          <w:b/>
          <w:bCs/>
          <w:kern w:val="0"/>
          <w:sz w:val="32"/>
          <w:szCs w:val="32"/>
          <w:highlight w:val="none"/>
          <w:lang w:val="en-US" w:eastAsia="zh-CN"/>
        </w:rPr>
      </w:pPr>
      <w:r>
        <w:rPr>
          <w:rFonts w:hint="eastAsia" w:ascii="楷体" w:hAnsi="楷体" w:cs="楷体"/>
          <w:b/>
          <w:bCs/>
          <w:kern w:val="0"/>
          <w:sz w:val="32"/>
          <w:szCs w:val="32"/>
          <w:lang w:val="zh-CN"/>
        </w:rPr>
        <w:t>采购项目编号</w:t>
      </w:r>
      <w:r>
        <w:rPr>
          <w:rFonts w:hint="eastAsia" w:ascii="楷体" w:hAnsi="楷体" w:cs="楷体"/>
          <w:b/>
          <w:bCs/>
          <w:kern w:val="0"/>
          <w:sz w:val="32"/>
          <w:szCs w:val="32"/>
          <w:highlight w:val="none"/>
          <w:lang w:val="zh-CN"/>
        </w:rPr>
        <w:t>：HYTH-202306051</w:t>
      </w:r>
    </w:p>
    <w:p>
      <w:pPr>
        <w:widowControl/>
        <w:ind w:firstLine="562"/>
        <w:jc w:val="center"/>
        <w:rPr>
          <w:rFonts w:ascii="楷体" w:hAnsi="楷体" w:cs="楷体"/>
          <w:b/>
          <w:bCs/>
          <w:kern w:val="0"/>
          <w:sz w:val="28"/>
          <w:szCs w:val="28"/>
        </w:rPr>
      </w:pPr>
    </w:p>
    <w:p>
      <w:pPr>
        <w:pStyle w:val="42"/>
        <w:ind w:left="480" w:firstLine="562"/>
        <w:rPr>
          <w:rFonts w:ascii="楷体" w:hAnsi="楷体" w:cs="楷体"/>
          <w:b/>
          <w:bCs/>
          <w:kern w:val="0"/>
          <w:sz w:val="28"/>
          <w:szCs w:val="28"/>
        </w:rPr>
      </w:pPr>
    </w:p>
    <w:p>
      <w:pPr>
        <w:pStyle w:val="42"/>
        <w:ind w:left="480" w:firstLine="562"/>
        <w:rPr>
          <w:rFonts w:ascii="楷体" w:hAnsi="楷体" w:cs="楷体"/>
          <w:b/>
          <w:bCs/>
          <w:kern w:val="0"/>
          <w:sz w:val="28"/>
          <w:szCs w:val="28"/>
        </w:rPr>
      </w:pPr>
    </w:p>
    <w:p>
      <w:pPr>
        <w:tabs>
          <w:tab w:val="left" w:pos="734"/>
        </w:tabs>
        <w:spacing w:line="480" w:lineRule="auto"/>
        <w:ind w:firstLine="0" w:firstLineChars="0"/>
        <w:jc w:val="center"/>
        <w:rPr>
          <w:rFonts w:hint="eastAsia" w:ascii="楷体" w:hAnsi="楷体" w:cs="楷体"/>
          <w:b/>
          <w:bCs/>
          <w:sz w:val="32"/>
          <w:szCs w:val="32"/>
        </w:rPr>
      </w:pPr>
    </w:p>
    <w:p>
      <w:pPr>
        <w:pStyle w:val="27"/>
        <w:rPr>
          <w:rFonts w:hint="eastAsia"/>
        </w:rPr>
      </w:pPr>
    </w:p>
    <w:p>
      <w:pPr>
        <w:tabs>
          <w:tab w:val="left" w:pos="0"/>
        </w:tabs>
        <w:spacing w:line="720" w:lineRule="auto"/>
        <w:ind w:firstLine="2249" w:firstLineChars="700"/>
        <w:rPr>
          <w:rFonts w:hint="eastAsia" w:ascii="楷体" w:hAnsi="楷体" w:cs="楷体"/>
          <w:b/>
          <w:bCs/>
          <w:sz w:val="32"/>
          <w:szCs w:val="32"/>
        </w:rPr>
      </w:pPr>
      <w:r>
        <w:rPr>
          <w:rFonts w:hint="eastAsia" w:ascii="楷体" w:hAnsi="楷体" w:cs="楷体"/>
          <w:b/>
          <w:bCs/>
          <w:sz w:val="32"/>
          <w:szCs w:val="32"/>
        </w:rPr>
        <w:t>陕西四方衡裕项目管理有限公司</w:t>
      </w:r>
    </w:p>
    <w:p>
      <w:pPr>
        <w:pStyle w:val="42"/>
        <w:ind w:left="482" w:leftChars="0" w:hanging="482" w:hangingChars="150"/>
        <w:jc w:val="center"/>
        <w:rPr>
          <w:rFonts w:ascii="楷体" w:hAnsi="楷体"/>
        </w:rPr>
      </w:pPr>
      <w:r>
        <w:rPr>
          <w:rFonts w:hint="eastAsia" w:ascii="楷体" w:hAnsi="楷体" w:cs="楷体"/>
          <w:b/>
          <w:bCs/>
          <w:sz w:val="32"/>
          <w:szCs w:val="32"/>
        </w:rPr>
        <w:t>二0二</w:t>
      </w:r>
      <w:r>
        <w:rPr>
          <w:rFonts w:hint="eastAsia" w:ascii="楷体" w:hAnsi="楷体" w:cs="楷体"/>
          <w:b/>
          <w:bCs/>
          <w:sz w:val="32"/>
          <w:szCs w:val="32"/>
          <w:lang w:val="en-US" w:eastAsia="zh-CN"/>
        </w:rPr>
        <w:t>三</w:t>
      </w:r>
      <w:r>
        <w:rPr>
          <w:rFonts w:hint="eastAsia" w:ascii="楷体" w:hAnsi="楷体" w:cs="楷体"/>
          <w:b/>
          <w:bCs/>
          <w:sz w:val="32"/>
          <w:szCs w:val="32"/>
        </w:rPr>
        <w:t>年</w:t>
      </w:r>
      <w:r>
        <w:rPr>
          <w:rFonts w:hint="eastAsia" w:ascii="楷体" w:hAnsi="楷体" w:cs="楷体"/>
          <w:b/>
          <w:bCs/>
          <w:sz w:val="32"/>
          <w:szCs w:val="32"/>
          <w:lang w:val="en-US" w:eastAsia="zh-CN"/>
        </w:rPr>
        <w:t>六</w:t>
      </w:r>
      <w:r>
        <w:rPr>
          <w:rFonts w:hint="eastAsia" w:ascii="楷体" w:hAnsi="楷体" w:cs="楷体"/>
          <w:b/>
          <w:bCs/>
          <w:sz w:val="32"/>
          <w:szCs w:val="32"/>
        </w:rPr>
        <w:t>月</w:t>
      </w:r>
    </w:p>
    <w:p>
      <w:pPr>
        <w:jc w:val="both"/>
        <w:rPr>
          <w:rFonts w:ascii="楷体" w:hAnsi="楷体"/>
        </w:rPr>
      </w:pPr>
    </w:p>
    <w:p>
      <w:pPr>
        <w:rPr>
          <w:rFonts w:hint="eastAsia" w:ascii="楷体" w:hAnsi="楷体" w:cs="Helvetica"/>
          <w:b/>
          <w:bCs/>
          <w:sz w:val="44"/>
          <w:szCs w:val="44"/>
        </w:rPr>
      </w:pPr>
      <w:r>
        <w:rPr>
          <w:rFonts w:hint="eastAsia" w:ascii="楷体" w:hAnsi="楷体" w:cs="Helvetica"/>
          <w:b/>
          <w:bCs/>
          <w:sz w:val="44"/>
          <w:szCs w:val="44"/>
        </w:rPr>
        <w:br w:type="page"/>
      </w: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各供应商到场人员需自备口罩等防护工具，做好个人防护。未能在响应截止时间前成功送达响应文件者，其后果均由供应商自行承担。</w:t>
      </w:r>
    </w:p>
    <w:p>
      <w:pPr>
        <w:numPr>
          <w:ilvl w:val="0"/>
          <w:numId w:val="4"/>
        </w:numPr>
        <w:wordWrap w:val="0"/>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default" w:ascii="楷体" w:hAnsi="楷体" w:eastAsia="楷体"/>
          <w:sz w:val="28"/>
          <w:szCs w:val="28"/>
          <w:lang w:val="en-US" w:eastAsia="zh-CN"/>
        </w:rPr>
      </w:pPr>
      <w:r>
        <w:rPr>
          <w:rFonts w:hint="eastAsia" w:ascii="楷体" w:hAnsi="楷体" w:cs="Helvetica"/>
          <w:b/>
          <w:bCs/>
          <w:sz w:val="28"/>
          <w:szCs w:val="28"/>
        </w:rPr>
        <w:t>联系方式（电话）：</w:t>
      </w:r>
      <w:r>
        <w:rPr>
          <w:rFonts w:hint="eastAsia" w:ascii="楷体" w:hAnsi="楷体" w:cs="Helvetica"/>
          <w:b/>
          <w:bCs/>
          <w:sz w:val="28"/>
          <w:szCs w:val="28"/>
          <w:lang w:val="en-US" w:eastAsia="zh-CN"/>
        </w:rPr>
        <w:t>029-96702</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tabs>
          <w:tab w:val="left" w:pos="734"/>
        </w:tabs>
        <w:spacing w:line="600" w:lineRule="auto"/>
        <w:ind w:firstLine="0" w:firstLineChars="0"/>
        <w:jc w:val="center"/>
        <w:rPr>
          <w:rFonts w:ascii="楷体" w:hAnsi="楷体" w:cs="楷体"/>
          <w:b/>
          <w:bCs/>
          <w:sz w:val="32"/>
          <w:szCs w:val="32"/>
        </w:rPr>
      </w:pPr>
    </w:p>
    <w:p>
      <w:pPr>
        <w:ind w:firstLine="480"/>
        <w:rPr>
          <w:rFonts w:ascii="楷体" w:hAnsi="楷体"/>
        </w:rPr>
      </w:pPr>
      <w:r>
        <w:rPr>
          <w:rFonts w:ascii="楷体" w:hAnsi="楷体"/>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w:t>
      </w:r>
      <w:bookmarkStart w:id="230" w:name="_GoBack"/>
      <w:bookmarkEnd w:id="230"/>
      <w:r>
        <w:rPr>
          <w:rFonts w:hint="eastAsia" w:ascii="楷体" w:hAnsi="楷体" w:cs="楷体"/>
          <w:u w:val="single"/>
        </w:rPr>
        <w:t xml:space="preserve">(采购项目名称、采购项目编号）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w:t>
      </w:r>
      <w:r>
        <w:rPr>
          <w:rFonts w:hint="eastAsia" w:ascii="Times New Roman" w:hAnsi="Times New Roman" w:cs="Times New Roman"/>
          <w:sz w:val="21"/>
          <w:szCs w:val="21"/>
          <w:lang w:val="en-US" w:eastAsia="zh-CN"/>
        </w:rPr>
        <w:t>采购</w:t>
      </w:r>
      <w:r>
        <w:rPr>
          <w:rFonts w:hint="eastAsia" w:ascii="Times New Roman" w:hAnsi="Times New Roman" w:cs="Times New Roman"/>
          <w:sz w:val="21"/>
          <w:szCs w:val="21"/>
        </w:rPr>
        <w:t>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2"/>
        <w:ind w:left="0" w:leftChars="0" w:firstLine="0" w:firstLineChars="0"/>
        <w:rPr>
          <w:rFonts w:ascii="楷体" w:hAnsi="楷体" w:cs="楷体"/>
          <w:b/>
          <w:bCs/>
          <w:sz w:val="32"/>
          <w:szCs w:val="32"/>
          <w:highlight w:val="none"/>
        </w:rPr>
      </w:pPr>
      <w:r>
        <w:rPr>
          <w:rFonts w:hint="eastAsia" w:ascii="Copperplate Gothic Bold" w:hAnsi="Copperplate Gothic Bold" w:cs="Times New Roman"/>
          <w:b/>
          <w:bCs/>
          <w:sz w:val="21"/>
          <w:szCs w:val="21"/>
        </w:rPr>
        <w:t>注：领取本项目采购文件的供应商，如不参与投标，请在规定时间前将书面《弃标告知函》回执至邮箱</w:t>
      </w:r>
      <w:r>
        <w:rPr>
          <w:rFonts w:hint="eastAsia" w:ascii="Copperplate Gothic Bold" w:hAnsi="Copperplate Gothic Bold" w:eastAsia="楷体" w:cs="Times New Roman"/>
          <w:b/>
          <w:bCs/>
          <w:kern w:val="2"/>
          <w:sz w:val="21"/>
          <w:szCs w:val="21"/>
          <w:highlight w:val="none"/>
          <w:lang w:val="en-US" w:eastAsia="zh-CN" w:bidi="ar-SA"/>
        </w:rPr>
        <w:t>（邮箱地址</w:t>
      </w:r>
      <w:r>
        <w:rPr>
          <w:rFonts w:hint="eastAsia" w:ascii="楷体" w:hAnsi="楷体" w:eastAsia="楷体" w:cs="楷体"/>
          <w:b/>
          <w:bCs/>
          <w:kern w:val="2"/>
          <w:sz w:val="21"/>
          <w:szCs w:val="21"/>
          <w:highlight w:val="none"/>
          <w:lang w:val="en-US" w:eastAsia="zh-CN" w:bidi="ar-SA"/>
        </w:rPr>
        <w:t>：shuxinxin@sfhyzb.com</w:t>
      </w:r>
      <w:r>
        <w:rPr>
          <w:rFonts w:hint="eastAsia" w:ascii="Copperplate Gothic Bold" w:hAnsi="Copperplate Gothic Bold" w:eastAsia="楷体" w:cs="Times New Roman"/>
          <w:b/>
          <w:bCs/>
          <w:kern w:val="2"/>
          <w:sz w:val="21"/>
          <w:szCs w:val="21"/>
          <w:highlight w:val="none"/>
          <w:lang w:val="en-US" w:eastAsia="zh-CN" w:bidi="ar-SA"/>
        </w:rPr>
        <w:t>）</w:t>
      </w:r>
    </w:p>
    <w:p>
      <w:pPr>
        <w:pStyle w:val="42"/>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238" w:left="1560" w:header="851" w:footer="992" w:gutter="0"/>
          <w:cols w:space="425" w:num="1"/>
          <w:titlePg/>
          <w:docGrid w:type="lines" w:linePitch="312" w:charSpace="0"/>
        </w:sectPr>
      </w:pPr>
    </w:p>
    <w:sdt>
      <w:sdtPr>
        <w:rPr>
          <w:rFonts w:hint="eastAsia" w:ascii="楷体" w:hAnsi="楷体" w:cs="楷体"/>
          <w:sz w:val="44"/>
          <w:szCs w:val="44"/>
        </w:rPr>
        <w:id w:val="147479754"/>
        <w15:color w:val="DBDBDB"/>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
            <w:ind w:firstLine="560"/>
          </w:pPr>
        </w:p>
        <w:p>
          <w:pPr>
            <w:pStyle w:val="29"/>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_Toc3499 </w:instrText>
          </w:r>
          <w:r>
            <w:rPr>
              <w:rFonts w:hint="eastAsia" w:ascii="楷体" w:hAnsi="楷体" w:eastAsia="楷体" w:cs="楷体"/>
              <w:sz w:val="30"/>
              <w:szCs w:val="30"/>
            </w:rPr>
            <w:fldChar w:fldCharType="separate"/>
          </w:r>
          <w:r>
            <w:rPr>
              <w:rFonts w:hint="eastAsia" w:ascii="楷体" w:hAnsi="楷体" w:eastAsia="楷体" w:cs="楷体"/>
              <w:sz w:val="30"/>
              <w:szCs w:val="30"/>
            </w:rPr>
            <w:t>第一章 竞争性谈判公告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_Toc3499 \h </w:instrText>
          </w:r>
          <w:r>
            <w:rPr>
              <w:rFonts w:hint="eastAsia" w:ascii="楷体" w:hAnsi="楷体" w:eastAsia="楷体" w:cs="楷体"/>
              <w:sz w:val="30"/>
              <w:szCs w:val="30"/>
            </w:rPr>
            <w:fldChar w:fldCharType="separate"/>
          </w:r>
          <w:r>
            <w:rPr>
              <w:rFonts w:hint="eastAsia" w:ascii="楷体" w:hAnsi="楷体" w:eastAsia="楷体" w:cs="楷体"/>
              <w:sz w:val="30"/>
              <w:szCs w:val="30"/>
            </w:rPr>
            <w:t>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29"/>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_Toc9542 </w:instrText>
          </w:r>
          <w:r>
            <w:rPr>
              <w:rFonts w:hint="eastAsia" w:ascii="楷体" w:hAnsi="楷体" w:eastAsia="楷体" w:cs="楷体"/>
              <w:sz w:val="30"/>
              <w:szCs w:val="30"/>
            </w:rPr>
            <w:fldChar w:fldCharType="separate"/>
          </w:r>
          <w:r>
            <w:rPr>
              <w:rFonts w:hint="eastAsia" w:ascii="楷体" w:hAnsi="楷体" w:eastAsia="楷体" w:cs="楷体"/>
              <w:sz w:val="30"/>
              <w:szCs w:val="30"/>
            </w:rPr>
            <w:t>第二章 供应商须知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_Toc9542 \h </w:instrText>
          </w:r>
          <w:r>
            <w:rPr>
              <w:rFonts w:hint="eastAsia" w:ascii="楷体" w:hAnsi="楷体" w:eastAsia="楷体" w:cs="楷体"/>
              <w:sz w:val="30"/>
              <w:szCs w:val="30"/>
            </w:rPr>
            <w:fldChar w:fldCharType="separate"/>
          </w:r>
          <w:r>
            <w:rPr>
              <w:rFonts w:hint="eastAsia" w:ascii="楷体" w:hAnsi="楷体" w:eastAsia="楷体" w:cs="楷体"/>
              <w:sz w:val="30"/>
              <w:szCs w:val="30"/>
            </w:rPr>
            <w:t>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29"/>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_Toc3520 </w:instrText>
          </w:r>
          <w:r>
            <w:rPr>
              <w:rFonts w:hint="eastAsia" w:ascii="楷体" w:hAnsi="楷体" w:eastAsia="楷体" w:cs="楷体"/>
              <w:sz w:val="30"/>
              <w:szCs w:val="30"/>
            </w:rPr>
            <w:fldChar w:fldCharType="separate"/>
          </w:r>
          <w:r>
            <w:rPr>
              <w:rFonts w:hint="eastAsia" w:ascii="楷体" w:hAnsi="楷体" w:eastAsia="楷体" w:cs="楷体"/>
              <w:sz w:val="30"/>
              <w:szCs w:val="30"/>
            </w:rPr>
            <w:t>第三章 采购内容及</w:t>
          </w:r>
          <w:r>
            <w:rPr>
              <w:rFonts w:hint="eastAsia" w:ascii="楷体" w:hAnsi="楷体" w:eastAsia="楷体" w:cs="楷体"/>
              <w:sz w:val="30"/>
              <w:szCs w:val="30"/>
              <w:lang w:val="en-US" w:eastAsia="zh-CN"/>
            </w:rPr>
            <w:t>需求</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_Toc3520 \h </w:instrText>
          </w:r>
          <w:r>
            <w:rPr>
              <w:rFonts w:hint="eastAsia" w:ascii="楷体" w:hAnsi="楷体" w:eastAsia="楷体" w:cs="楷体"/>
              <w:sz w:val="30"/>
              <w:szCs w:val="30"/>
            </w:rPr>
            <w:fldChar w:fldCharType="separate"/>
          </w:r>
          <w:r>
            <w:rPr>
              <w:rFonts w:hint="eastAsia" w:ascii="楷体" w:hAnsi="楷体" w:eastAsia="楷体" w:cs="楷体"/>
              <w:sz w:val="30"/>
              <w:szCs w:val="30"/>
            </w:rPr>
            <w:t>16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29"/>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_Toc2854 </w:instrText>
          </w:r>
          <w:r>
            <w:rPr>
              <w:rFonts w:hint="eastAsia" w:ascii="楷体" w:hAnsi="楷体" w:eastAsia="楷体" w:cs="楷体"/>
              <w:sz w:val="30"/>
              <w:szCs w:val="30"/>
            </w:rPr>
            <w:fldChar w:fldCharType="separate"/>
          </w:r>
          <w:r>
            <w:rPr>
              <w:rFonts w:hint="eastAsia" w:ascii="楷体" w:hAnsi="楷体" w:eastAsia="楷体" w:cs="楷体"/>
              <w:sz w:val="30"/>
              <w:szCs w:val="30"/>
            </w:rPr>
            <w:t>第四章 拟签订的合同文本</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_Toc2854 \h </w:instrText>
          </w:r>
          <w:r>
            <w:rPr>
              <w:rFonts w:hint="eastAsia" w:ascii="楷体" w:hAnsi="楷体" w:eastAsia="楷体" w:cs="楷体"/>
              <w:sz w:val="30"/>
              <w:szCs w:val="30"/>
            </w:rPr>
            <w:fldChar w:fldCharType="separate"/>
          </w:r>
          <w:r>
            <w:rPr>
              <w:rFonts w:hint="eastAsia" w:ascii="楷体" w:hAnsi="楷体" w:eastAsia="楷体" w:cs="楷体"/>
              <w:sz w:val="30"/>
              <w:szCs w:val="30"/>
            </w:rPr>
            <w:t>21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29"/>
            <w:tabs>
              <w:tab w:val="right" w:leader="dot" w:pos="9638"/>
              <w:tab w:val="clear" w:pos="9060"/>
            </w:tabs>
            <w:spacing w:line="480" w:lineRule="auto"/>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_Toc24680 </w:instrText>
          </w:r>
          <w:r>
            <w:rPr>
              <w:rFonts w:hint="eastAsia" w:ascii="楷体" w:hAnsi="楷体" w:eastAsia="楷体" w:cs="楷体"/>
              <w:sz w:val="30"/>
              <w:szCs w:val="30"/>
            </w:rPr>
            <w:fldChar w:fldCharType="separate"/>
          </w:r>
          <w:r>
            <w:rPr>
              <w:rFonts w:hint="eastAsia" w:ascii="楷体" w:hAnsi="楷体" w:eastAsia="楷体" w:cs="楷体"/>
              <w:sz w:val="30"/>
              <w:szCs w:val="30"/>
            </w:rPr>
            <w:t>第五章 响应文件格式</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_Toc24680 \h </w:instrText>
          </w:r>
          <w:r>
            <w:rPr>
              <w:rFonts w:hint="eastAsia" w:ascii="楷体" w:hAnsi="楷体" w:eastAsia="楷体" w:cs="楷体"/>
              <w:sz w:val="30"/>
              <w:szCs w:val="30"/>
            </w:rPr>
            <w:fldChar w:fldCharType="separate"/>
          </w:r>
          <w:r>
            <w:rPr>
              <w:rFonts w:hint="eastAsia" w:ascii="楷体" w:hAnsi="楷体" w:eastAsia="楷体" w:cs="楷体"/>
              <w:sz w:val="30"/>
              <w:szCs w:val="30"/>
            </w:rPr>
            <w:t>34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29"/>
            <w:tabs>
              <w:tab w:val="right" w:leader="dot" w:pos="9638"/>
              <w:tab w:val="clear" w:pos="9060"/>
            </w:tabs>
          </w:pPr>
        </w:p>
        <w:p>
          <w:pPr>
            <w:ind w:firstLine="480"/>
          </w:pPr>
          <w:r>
            <w:rPr>
              <w:rFonts w:hint="eastAsia" w:ascii="楷体" w:hAnsi="楷体" w:cs="楷体"/>
              <w:szCs w:val="30"/>
            </w:rPr>
            <w:fldChar w:fldCharType="end"/>
          </w:r>
        </w:p>
      </w:sdtContent>
    </w:sdt>
    <w:p>
      <w:pPr>
        <w:pStyle w:val="3"/>
        <w:spacing w:before="460" w:line="240" w:lineRule="auto"/>
        <w:ind w:firstLine="883"/>
        <w:rPr>
          <w:rFonts w:ascii="楷体" w:hAnsi="楷体"/>
        </w:rPr>
        <w:sectPr>
          <w:pgSz w:w="11906" w:h="16838"/>
          <w:pgMar w:top="1418" w:right="1134" w:bottom="1418" w:left="1134" w:header="851" w:footer="992" w:gutter="0"/>
          <w:pgNumType w:start="1"/>
          <w:cols w:space="720" w:num="1"/>
          <w:docGrid w:linePitch="312" w:charSpace="0"/>
        </w:sectPr>
      </w:pPr>
      <w:bookmarkStart w:id="0" w:name="_Toc508_WPSOffice_Level1"/>
    </w:p>
    <w:p>
      <w:pPr>
        <w:pStyle w:val="3"/>
        <w:spacing w:before="460" w:line="240" w:lineRule="auto"/>
        <w:ind w:firstLine="883"/>
        <w:rPr>
          <w:rFonts w:ascii="楷体" w:hAnsi="楷体"/>
        </w:rPr>
      </w:pPr>
      <w:bookmarkStart w:id="1" w:name="_Toc3499"/>
      <w:r>
        <w:rPr>
          <w:rFonts w:hint="eastAsia" w:ascii="楷体" w:hAnsi="楷体"/>
        </w:rPr>
        <w:t>竞争性谈判公告</w:t>
      </w:r>
      <w:bookmarkEnd w:id="0"/>
      <w:bookmarkEnd w:id="1"/>
    </w:p>
    <w:p>
      <w:pPr>
        <w:pStyle w:val="36"/>
        <w:pBdr>
          <w:top w:val="single" w:color="auto" w:sz="4" w:space="0"/>
          <w:left w:val="single" w:color="auto" w:sz="4" w:space="0"/>
          <w:bottom w:val="single" w:color="auto" w:sz="4" w:space="0"/>
          <w:right w:val="single" w:color="auto" w:sz="4" w:space="0"/>
        </w:pBdr>
        <w:ind w:firstLine="560"/>
        <w:rPr>
          <w:rFonts w:hint="eastAsia" w:ascii="楷体" w:hAnsi="楷体" w:eastAsia="楷体" w:cs="楷体"/>
          <w:b/>
          <w:bCs/>
          <w:sz w:val="24"/>
          <w:szCs w:val="24"/>
        </w:rPr>
      </w:pPr>
      <w:bookmarkStart w:id="2" w:name="_Toc21145_WPSOffice_Level1"/>
      <w:r>
        <w:rPr>
          <w:rFonts w:hint="eastAsia" w:ascii="楷体" w:hAnsi="楷体" w:eastAsia="楷体" w:cs="楷体"/>
          <w:b/>
          <w:bCs/>
          <w:sz w:val="24"/>
          <w:szCs w:val="24"/>
        </w:rPr>
        <w:t>项目概况</w:t>
      </w:r>
    </w:p>
    <w:p>
      <w:pPr>
        <w:pStyle w:val="36"/>
        <w:pBdr>
          <w:top w:val="single" w:color="auto" w:sz="4" w:space="0"/>
          <w:left w:val="single" w:color="auto" w:sz="4" w:space="0"/>
          <w:bottom w:val="single" w:color="auto" w:sz="4" w:space="0"/>
          <w:right w:val="single" w:color="auto" w:sz="4" w:space="0"/>
        </w:pBdr>
        <w:ind w:firstLine="56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西安市碑林区朱雀大街小学智慧音频监控项目采购项目的潜在供应商应在西安市高新区沣惠路16号泰华金贸国际8号楼28层获取采购文件，并于 2023年07月03日14时30分 （北京时间）前提交响应文件。</w:t>
      </w:r>
    </w:p>
    <w:p>
      <w:pPr>
        <w:spacing w:line="360" w:lineRule="auto"/>
        <w:ind w:left="0" w:leftChars="0" w:firstLine="0" w:firstLineChars="0"/>
        <w:rPr>
          <w:rFonts w:hint="eastAsia" w:ascii="楷体" w:hAnsi="楷体" w:eastAsia="楷体" w:cs="楷体"/>
          <w:b/>
          <w:bCs/>
          <w:sz w:val="24"/>
          <w:szCs w:val="24"/>
        </w:rPr>
      </w:pPr>
      <w:r>
        <w:rPr>
          <w:rFonts w:hint="eastAsia" w:ascii="楷体" w:hAnsi="楷体" w:eastAsia="楷体" w:cs="楷体"/>
          <w:b/>
          <w:bCs/>
          <w:sz w:val="24"/>
          <w:szCs w:val="24"/>
        </w:rPr>
        <w:t>一、项目基本情况</w:t>
      </w:r>
    </w:p>
    <w:p>
      <w:pPr>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sz w:val="24"/>
          <w:szCs w:val="24"/>
        </w:rPr>
        <w:t>项目编号：HYTH-202306051</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项目名称：西安市碑林区朱雀大街小学智慧音频监控项目</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采购方式：竞争性谈判</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预算金额：1,200,000.00元</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采购需求：</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合同包1(西安市碑林区朱雀大街小学智慧音频监控项目):</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合同包预算金额：1,200,000.00元</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合同包最高限价：1,103,700.00元</w:t>
      </w:r>
    </w:p>
    <w:tbl>
      <w:tblPr>
        <w:tblStyle w:val="4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8"/>
        <w:gridCol w:w="1690"/>
        <w:gridCol w:w="1247"/>
        <w:gridCol w:w="917"/>
        <w:gridCol w:w="1284"/>
        <w:gridCol w:w="1681"/>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品目号</w:t>
            </w:r>
          </w:p>
        </w:tc>
        <w:tc>
          <w:tcPr>
            <w:tcW w:w="9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品目名称</w:t>
            </w:r>
          </w:p>
        </w:tc>
        <w:tc>
          <w:tcPr>
            <w:tcW w:w="6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采购标的</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数量（单位）</w:t>
            </w:r>
          </w:p>
        </w:tc>
        <w:tc>
          <w:tcPr>
            <w:tcW w:w="6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技术规格、参数及要求</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品目预算(元)</w:t>
            </w:r>
          </w:p>
        </w:tc>
        <w:tc>
          <w:tcPr>
            <w:tcW w:w="9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1-1</w:t>
            </w:r>
          </w:p>
        </w:tc>
        <w:tc>
          <w:tcPr>
            <w:tcW w:w="9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其他音频设备</w:t>
            </w:r>
          </w:p>
        </w:tc>
        <w:tc>
          <w:tcPr>
            <w:tcW w:w="6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智慧音频 一批</w:t>
            </w:r>
          </w:p>
        </w:tc>
        <w:tc>
          <w:tcPr>
            <w:tcW w:w="4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1(批)</w:t>
            </w:r>
          </w:p>
        </w:tc>
        <w:tc>
          <w:tcPr>
            <w:tcW w:w="6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详见采购文件</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1,200,000.00</w:t>
            </w:r>
          </w:p>
        </w:tc>
        <w:tc>
          <w:tcPr>
            <w:tcW w:w="9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1,103,700.00</w:t>
            </w:r>
          </w:p>
        </w:tc>
      </w:tr>
    </w:tbl>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本合同包不接受联合体投标</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合同履行期限：交货期：自合同签订之日起20日历日内交货。</w:t>
      </w:r>
    </w:p>
    <w:p>
      <w:pPr>
        <w:spacing w:line="360" w:lineRule="auto"/>
        <w:ind w:firstLine="0" w:firstLineChars="0"/>
        <w:rPr>
          <w:rFonts w:hint="eastAsia" w:ascii="楷体" w:hAnsi="楷体" w:eastAsia="楷体" w:cs="楷体"/>
          <w:b/>
          <w:bCs/>
          <w:sz w:val="24"/>
          <w:szCs w:val="24"/>
        </w:rPr>
      </w:pPr>
      <w:r>
        <w:rPr>
          <w:rFonts w:hint="eastAsia" w:ascii="楷体" w:hAnsi="楷体" w:eastAsia="楷体" w:cs="楷体"/>
          <w:b/>
          <w:bCs/>
          <w:sz w:val="24"/>
          <w:szCs w:val="24"/>
        </w:rPr>
        <w:t>二、申请人的资格要求：</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1.满足《中华人民共和国政府采购法》第二十二条规定;</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2.落实政府采购政策需满足的资格要求：无。</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3.本项目的特定资格要求：</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合同包1(西安市碑林区朱雀大街小学智慧音频监控项目)特定资格要求如下:</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（1）供应商通过“信用中国”网站（www.creditchina.gov.cn)、中国政府采购网(www.ccgp.gov.cn)等查询相关主体信用记录；（2）供应商参加本项目的合法授权人授权证明。</w:t>
      </w:r>
    </w:p>
    <w:p>
      <w:pPr>
        <w:spacing w:line="360" w:lineRule="auto"/>
        <w:ind w:firstLine="0" w:firstLineChars="0"/>
        <w:rPr>
          <w:rFonts w:hint="eastAsia" w:ascii="楷体" w:hAnsi="楷体" w:eastAsia="楷体" w:cs="楷体"/>
          <w:b/>
          <w:bCs/>
          <w:sz w:val="24"/>
          <w:szCs w:val="24"/>
        </w:rPr>
      </w:pPr>
      <w:r>
        <w:rPr>
          <w:rFonts w:hint="eastAsia" w:ascii="楷体" w:hAnsi="楷体" w:eastAsia="楷体" w:cs="楷体"/>
          <w:b/>
          <w:bCs/>
          <w:sz w:val="24"/>
          <w:szCs w:val="24"/>
        </w:rPr>
        <w:t>三、获取采购文件</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时间： 2023年06月25日 至 2023年06月28日 ，每天上午 08:30:00 至 12:00:00 ，下午 13:00:00 至 17:30:00 （北京时间）</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途径：西安市高新区沣惠路16号泰华金贸国际8号楼28层</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方式：现场获取</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售价： 0元</w:t>
      </w:r>
    </w:p>
    <w:p>
      <w:pPr>
        <w:spacing w:line="360" w:lineRule="auto"/>
        <w:ind w:firstLine="0" w:firstLineChars="0"/>
        <w:rPr>
          <w:rFonts w:hint="eastAsia" w:ascii="楷体" w:hAnsi="楷体" w:eastAsia="楷体" w:cs="楷体"/>
          <w:b/>
          <w:bCs/>
          <w:sz w:val="24"/>
          <w:szCs w:val="24"/>
        </w:rPr>
      </w:pPr>
      <w:r>
        <w:rPr>
          <w:rFonts w:hint="eastAsia" w:ascii="楷体" w:hAnsi="楷体" w:eastAsia="楷体" w:cs="楷体"/>
          <w:b/>
          <w:bCs/>
          <w:sz w:val="24"/>
          <w:szCs w:val="24"/>
        </w:rPr>
        <w:t>四、响应文件提交</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截止时间： 2023年07月03日14时30分00秒 （北京时间）</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地点：西安市高新区沣惠路16号泰华金贸国际8号楼29层开标一室</w:t>
      </w:r>
    </w:p>
    <w:p>
      <w:pPr>
        <w:spacing w:line="360" w:lineRule="auto"/>
        <w:ind w:firstLine="0" w:firstLineChars="0"/>
        <w:rPr>
          <w:rFonts w:hint="eastAsia" w:ascii="楷体" w:hAnsi="楷体" w:eastAsia="楷体" w:cs="楷体"/>
          <w:b/>
          <w:bCs/>
          <w:sz w:val="24"/>
          <w:szCs w:val="24"/>
        </w:rPr>
      </w:pPr>
      <w:r>
        <w:rPr>
          <w:rFonts w:hint="eastAsia" w:ascii="楷体" w:hAnsi="楷体" w:eastAsia="楷体" w:cs="楷体"/>
          <w:b/>
          <w:bCs/>
          <w:sz w:val="24"/>
          <w:szCs w:val="24"/>
        </w:rPr>
        <w:t>五、开启</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时间： 2023年07月03日14时30分00秒 （北京时间）</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地点：西安市高新区沣惠路16号泰华金贸国际8号楼29层开标一室</w:t>
      </w:r>
    </w:p>
    <w:p>
      <w:pPr>
        <w:spacing w:line="360" w:lineRule="auto"/>
        <w:ind w:firstLine="0" w:firstLineChars="0"/>
        <w:rPr>
          <w:rFonts w:hint="eastAsia" w:ascii="楷体" w:hAnsi="楷体" w:eastAsia="楷体" w:cs="楷体"/>
          <w:b/>
          <w:bCs/>
          <w:sz w:val="24"/>
          <w:szCs w:val="24"/>
        </w:rPr>
      </w:pPr>
      <w:r>
        <w:rPr>
          <w:rFonts w:hint="eastAsia" w:ascii="楷体" w:hAnsi="楷体" w:eastAsia="楷体" w:cs="楷体"/>
          <w:b/>
          <w:bCs/>
          <w:sz w:val="24"/>
          <w:szCs w:val="24"/>
        </w:rPr>
        <w:t>六、公告期限</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自本公告发布之日起3个工作日。</w:t>
      </w:r>
    </w:p>
    <w:p>
      <w:pPr>
        <w:spacing w:line="360" w:lineRule="auto"/>
        <w:ind w:firstLine="0" w:firstLineChars="0"/>
        <w:rPr>
          <w:rFonts w:hint="eastAsia" w:ascii="楷体" w:hAnsi="楷体" w:eastAsia="楷体" w:cs="楷体"/>
          <w:b/>
          <w:bCs/>
          <w:sz w:val="24"/>
          <w:szCs w:val="24"/>
        </w:rPr>
      </w:pPr>
      <w:r>
        <w:rPr>
          <w:rFonts w:hint="eastAsia" w:ascii="楷体" w:hAnsi="楷体" w:eastAsia="楷体" w:cs="楷体"/>
          <w:b/>
          <w:bCs/>
          <w:sz w:val="24"/>
          <w:szCs w:val="24"/>
        </w:rPr>
        <w:t>七、其他补充事宜</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2、本项目非专门面向中小型企业采购。</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3、参加采购项目的供应商获取谈判文件时请携带单位介绍信原件、本人身份证原件或复印件加盖公章。竞争性谈判文件以电子文档方式提供。</w:t>
      </w:r>
    </w:p>
    <w:p>
      <w:pPr>
        <w:spacing w:line="360" w:lineRule="auto"/>
        <w:ind w:firstLine="0" w:firstLineChars="0"/>
        <w:rPr>
          <w:rFonts w:hint="eastAsia" w:ascii="楷体" w:hAnsi="楷体" w:eastAsia="楷体" w:cs="楷体"/>
          <w:b/>
          <w:bCs/>
          <w:sz w:val="24"/>
          <w:szCs w:val="24"/>
        </w:rPr>
      </w:pPr>
      <w:r>
        <w:rPr>
          <w:rFonts w:hint="eastAsia" w:ascii="楷体" w:hAnsi="楷体" w:eastAsia="楷体" w:cs="楷体"/>
          <w:b/>
          <w:bCs/>
          <w:sz w:val="24"/>
          <w:szCs w:val="24"/>
        </w:rPr>
        <w:t>八、对本次招标提出询问，请按以下方式联系。</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1.采购人信息</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名称：西安市碑林区朱雀大街小学</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地址：碑林区朱雀大街北段58号</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联系方式：029-88429502</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2.采购代理机构信息</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名称：陕西四方衡裕项目管理有限公司</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地址：西安市高新区沣惠路16号泰华金贸国际8号楼28层</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联系方式：029-89284433-605</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3.项目联系方式</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项目联系人：王维、李亚容、赵维</w:t>
      </w:r>
    </w:p>
    <w:p>
      <w:pPr>
        <w:spacing w:line="360" w:lineRule="auto"/>
        <w:ind w:firstLine="0" w:firstLineChars="0"/>
        <w:rPr>
          <w:rFonts w:hint="eastAsia" w:ascii="楷体" w:hAnsi="楷体" w:eastAsia="楷体" w:cs="楷体"/>
          <w:sz w:val="24"/>
          <w:szCs w:val="24"/>
        </w:rPr>
      </w:pPr>
      <w:r>
        <w:rPr>
          <w:rFonts w:hint="eastAsia" w:ascii="楷体" w:hAnsi="楷体" w:eastAsia="楷体" w:cs="楷体"/>
          <w:sz w:val="24"/>
          <w:szCs w:val="24"/>
        </w:rPr>
        <w:t>电话：029-89284433-605</w:t>
      </w:r>
    </w:p>
    <w:p>
      <w:pPr>
        <w:pStyle w:val="36"/>
        <w:ind w:firstLine="560"/>
        <w:jc w:val="right"/>
        <w:rPr>
          <w:rFonts w:hint="eastAsia" w:ascii="楷体" w:hAnsi="楷体" w:eastAsia="楷体" w:cs="楷体"/>
          <w:sz w:val="24"/>
          <w:szCs w:val="24"/>
        </w:rPr>
      </w:pPr>
    </w:p>
    <w:p>
      <w:pPr>
        <w:pStyle w:val="36"/>
        <w:ind w:firstLine="560"/>
        <w:jc w:val="right"/>
        <w:rPr>
          <w:rFonts w:hint="eastAsia" w:ascii="楷体" w:hAnsi="楷体" w:eastAsia="楷体" w:cs="楷体"/>
          <w:sz w:val="24"/>
          <w:szCs w:val="24"/>
        </w:rPr>
      </w:pPr>
      <w:r>
        <w:rPr>
          <w:rFonts w:hint="eastAsia" w:ascii="楷体" w:hAnsi="楷体" w:eastAsia="楷体" w:cs="楷体"/>
          <w:sz w:val="24"/>
          <w:szCs w:val="24"/>
        </w:rPr>
        <w:t>陕西四方衡裕项目管理有限公司</w:t>
      </w:r>
    </w:p>
    <w:p>
      <w:pPr>
        <w:pStyle w:val="36"/>
        <w:ind w:firstLine="560"/>
        <w:jc w:val="center"/>
        <w:rPr>
          <w:rFonts w:hint="eastAsia" w:ascii="楷体" w:hAnsi="楷体" w:eastAsia="楷体" w:cs="楷体"/>
          <w:sz w:val="24"/>
          <w:szCs w:val="24"/>
          <w:highlight w:val="none"/>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rPr>
        <w:t xml:space="preserve"> 202</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年</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25</w:t>
      </w:r>
      <w:r>
        <w:rPr>
          <w:rFonts w:hint="eastAsia" w:ascii="楷体" w:hAnsi="楷体" w:eastAsia="楷体" w:cs="楷体"/>
          <w:sz w:val="24"/>
          <w:szCs w:val="24"/>
          <w:highlight w:val="none"/>
        </w:rPr>
        <w:t>日</w:t>
      </w:r>
    </w:p>
    <w:p>
      <w:pPr>
        <w:pStyle w:val="36"/>
        <w:ind w:firstLine="560"/>
      </w:pPr>
      <w:r>
        <w:br w:type="page"/>
      </w:r>
    </w:p>
    <w:p>
      <w:pPr>
        <w:pStyle w:val="3"/>
        <w:ind w:firstLine="883" w:firstLineChars="200"/>
        <w:rPr>
          <w:rFonts w:ascii="楷体" w:hAnsi="楷体" w:cs="楷体"/>
        </w:rPr>
      </w:pPr>
      <w:bookmarkStart w:id="3" w:name="_Toc9542"/>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25285_WPSOffice_Level2"/>
      <w:bookmarkStart w:id="5" w:name="_Toc16405_WPSOffice_Level2"/>
      <w:r>
        <w:rPr>
          <w:rFonts w:hint="eastAsia" w:ascii="楷体" w:hAnsi="楷体"/>
        </w:rPr>
        <w:t>定义</w:t>
      </w:r>
      <w:bookmarkEnd w:id="4"/>
      <w:bookmarkEnd w:id="5"/>
    </w:p>
    <w:p>
      <w:pPr>
        <w:numPr>
          <w:ilvl w:val="0"/>
          <w:numId w:val="5"/>
        </w:numPr>
        <w:ind w:firstLine="480" w:firstLineChars="0"/>
        <w:rPr>
          <w:rFonts w:ascii="楷体" w:hAnsi="楷体" w:cs="楷体"/>
          <w:color w:val="auto"/>
          <w:highlight w:val="none"/>
        </w:rPr>
      </w:pPr>
      <w:r>
        <w:rPr>
          <w:rFonts w:hint="eastAsia" w:ascii="楷体" w:hAnsi="楷体" w:cs="楷体"/>
        </w:rPr>
        <w:t>采 购 人</w:t>
      </w:r>
      <w:r>
        <w:rPr>
          <w:rFonts w:hint="eastAsia" w:ascii="楷体" w:hAnsi="楷体" w:cs="楷体"/>
          <w:color w:val="auto"/>
          <w:highlight w:val="none"/>
        </w:rPr>
        <w:t>：</w:t>
      </w:r>
      <w:r>
        <w:rPr>
          <w:rFonts w:hint="eastAsia" w:ascii="楷体" w:hAnsi="楷体" w:cs="楷体"/>
          <w:color w:val="auto"/>
          <w:highlight w:val="none"/>
          <w:lang w:val="en-US" w:eastAsia="zh-CN"/>
        </w:rPr>
        <w:t>西安市碑林区朱雀大街小学</w:t>
      </w:r>
    </w:p>
    <w:p>
      <w:pPr>
        <w:numPr>
          <w:ilvl w:val="0"/>
          <w:numId w:val="5"/>
        </w:numPr>
        <w:ind w:firstLine="480"/>
        <w:rPr>
          <w:rFonts w:ascii="楷体" w:hAnsi="楷体" w:cs="楷体"/>
          <w:color w:val="auto"/>
          <w:highlight w:val="none"/>
        </w:rPr>
      </w:pPr>
      <w:r>
        <w:rPr>
          <w:rFonts w:hint="eastAsia" w:ascii="楷体" w:hAnsi="楷体" w:cs="楷体"/>
          <w:color w:val="auto"/>
          <w:highlight w:val="none"/>
        </w:rPr>
        <w:t>监督机构：</w:t>
      </w:r>
      <w:r>
        <w:rPr>
          <w:rFonts w:hint="eastAsia" w:ascii="楷体" w:hAnsi="楷体" w:cs="楷体"/>
          <w:color w:val="auto"/>
          <w:highlight w:val="none"/>
          <w:lang w:val="en-US" w:eastAsia="zh-CN"/>
        </w:rPr>
        <w:t>西安市碑林区财政局</w:t>
      </w:r>
    </w:p>
    <w:p>
      <w:pPr>
        <w:ind w:firstLine="480"/>
        <w:rPr>
          <w:rFonts w:ascii="楷体" w:hAnsi="楷体" w:cs="楷体"/>
          <w:color w:val="auto"/>
          <w:highlight w:val="none"/>
        </w:rPr>
      </w:pPr>
      <w:r>
        <w:rPr>
          <w:rFonts w:hint="eastAsia" w:ascii="楷体" w:hAnsi="楷体" w:cs="楷体"/>
          <w:color w:val="auto"/>
          <w:highlight w:val="none"/>
        </w:rPr>
        <w:t>3、采购代理机构：陕西四方衡裕项目管理有限公司</w:t>
      </w:r>
    </w:p>
    <w:p>
      <w:pPr>
        <w:ind w:firstLine="480"/>
      </w:pPr>
      <w:r>
        <w:rPr>
          <w:rFonts w:hint="eastAsia" w:ascii="楷体" w:hAnsi="楷体" w:cs="楷体"/>
        </w:rPr>
        <w:t>4、供应商：响应谈判并且符合谈判文件规定资格条件和参加谈判的法人、其他组织或者自然人</w:t>
      </w:r>
    </w:p>
    <w:p>
      <w:pPr>
        <w:pStyle w:val="4"/>
        <w:spacing w:line="360" w:lineRule="auto"/>
        <w:ind w:left="573"/>
        <w:rPr>
          <w:rFonts w:ascii="楷体" w:hAnsi="楷体"/>
        </w:rPr>
      </w:pPr>
      <w:bookmarkStart w:id="6" w:name="_Toc19936_WPSOffice_Level2"/>
      <w:bookmarkStart w:id="7" w:name="_Toc1686_WPSOffice_Level2"/>
      <w:r>
        <w:rPr>
          <w:rFonts w:hint="eastAsia" w:ascii="楷体" w:hAnsi="楷体"/>
        </w:rPr>
        <w:t>谈判文件说明</w:t>
      </w:r>
      <w:bookmarkEnd w:id="6"/>
      <w:bookmarkEnd w:id="7"/>
    </w:p>
    <w:p>
      <w:pPr>
        <w:ind w:firstLine="480"/>
        <w:rPr>
          <w:rFonts w:ascii="楷体" w:hAnsi="楷体" w:cs="楷体"/>
        </w:rPr>
      </w:pPr>
      <w:r>
        <w:rPr>
          <w:rFonts w:hint="eastAsia" w:ascii="楷体" w:hAnsi="楷体" w:cs="楷体"/>
        </w:rPr>
        <w:t>1、谈判文件是根据本项目的内容和需求编制，谈判文件包括以下内容：</w:t>
      </w:r>
    </w:p>
    <w:p>
      <w:pPr>
        <w:ind w:firstLine="480"/>
        <w:rPr>
          <w:rFonts w:ascii="楷体" w:hAnsi="楷体" w:cs="楷体"/>
          <w:highlight w:val="none"/>
        </w:rPr>
      </w:pPr>
      <w:r>
        <w:rPr>
          <w:rFonts w:hint="eastAsia" w:ascii="楷体" w:hAnsi="楷体" w:cs="楷体"/>
          <w:highlight w:val="none"/>
        </w:rPr>
        <w:t>1-1竞争性谈判公告</w:t>
      </w:r>
    </w:p>
    <w:p>
      <w:pPr>
        <w:ind w:firstLine="480"/>
        <w:rPr>
          <w:rFonts w:ascii="楷体" w:hAnsi="楷体" w:cs="楷体"/>
          <w:highlight w:val="none"/>
        </w:rPr>
      </w:pPr>
      <w:r>
        <w:rPr>
          <w:rFonts w:hint="eastAsia" w:ascii="楷体" w:hAnsi="楷体" w:cs="楷体"/>
          <w:highlight w:val="none"/>
        </w:rPr>
        <w:t>1-2供应商须知</w:t>
      </w:r>
    </w:p>
    <w:p>
      <w:pPr>
        <w:ind w:firstLine="480"/>
        <w:rPr>
          <w:rFonts w:ascii="楷体" w:hAnsi="楷体" w:cs="楷体"/>
          <w:highlight w:val="none"/>
        </w:rPr>
      </w:pPr>
      <w:r>
        <w:rPr>
          <w:rFonts w:hint="eastAsia" w:ascii="楷体" w:hAnsi="楷体" w:cs="楷体"/>
          <w:highlight w:val="none"/>
        </w:rPr>
        <w:t>1-3采购内容及</w:t>
      </w:r>
      <w:r>
        <w:rPr>
          <w:rFonts w:hint="eastAsia" w:ascii="楷体" w:hAnsi="楷体" w:cs="楷体"/>
          <w:highlight w:val="none"/>
          <w:lang w:val="en-US" w:eastAsia="zh-CN"/>
        </w:rPr>
        <w:t>需求</w:t>
      </w:r>
    </w:p>
    <w:p>
      <w:pPr>
        <w:ind w:firstLine="480"/>
        <w:rPr>
          <w:rFonts w:ascii="楷体" w:hAnsi="楷体" w:cs="楷体"/>
          <w:highlight w:val="none"/>
        </w:rPr>
      </w:pPr>
      <w:r>
        <w:rPr>
          <w:rFonts w:hint="eastAsia" w:ascii="楷体" w:hAnsi="楷体" w:cs="楷体"/>
          <w:highlight w:val="none"/>
        </w:rPr>
        <w:t>1-4拟签订的合同文本</w:t>
      </w:r>
    </w:p>
    <w:p>
      <w:pPr>
        <w:ind w:firstLine="480"/>
        <w:rPr>
          <w:rFonts w:ascii="楷体" w:hAnsi="楷体" w:cs="楷体"/>
          <w:highlight w:val="none"/>
        </w:rPr>
      </w:pPr>
      <w:r>
        <w:rPr>
          <w:rFonts w:hint="eastAsia" w:ascii="楷体" w:hAnsi="楷体" w:cs="楷体"/>
          <w:highlight w:val="none"/>
        </w:rPr>
        <w:t>1-5响应文件格式</w:t>
      </w:r>
    </w:p>
    <w:p>
      <w:pPr>
        <w:ind w:firstLine="480"/>
        <w:rPr>
          <w:rFonts w:ascii="楷体" w:hAnsi="楷体" w:cs="楷体"/>
        </w:rPr>
      </w:pPr>
      <w:r>
        <w:rPr>
          <w:rFonts w:hint="eastAsia" w:ascii="楷体" w:hAnsi="楷体" w:cs="楷体"/>
        </w:rPr>
        <w:t>2、谈判文件的获取：竞争性谈判公告发布后，有意向的供应商应从竞争性谈判公告载明的谈判文件获取地点获取谈判文件，其文件仅作为本次谈判使用；未按照竞争性谈判公告要求取得谈判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谈判文件进行必要的澄清或者修改的，澄清或者修改内容在指定的政府采购信息发布媒体上发布澄清或更正公告，澄清或者修改的内容为谈判文件的组成部分。澄清或者修改的内容可能影响响应文件编制的，在提交首次响应文件截止时间至少3个工作日前，以书面形式通知所有获取谈判文件的供应商；不足3个工作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谈判文件的潜在供应商，且作为谈判文件的组成部分。</w:t>
      </w:r>
    </w:p>
    <w:p>
      <w:pPr>
        <w:ind w:firstLine="480"/>
        <w:rPr>
          <w:rFonts w:ascii="楷体" w:hAnsi="楷体" w:cs="楷体"/>
        </w:rPr>
      </w:pPr>
      <w:r>
        <w:rPr>
          <w:rFonts w:hint="eastAsia" w:ascii="楷体" w:hAnsi="楷体" w:cs="楷体"/>
        </w:rPr>
        <w:t>5、谈判文件的解释权归采购代理机构。</w:t>
      </w:r>
    </w:p>
    <w:p>
      <w:pPr>
        <w:pStyle w:val="4"/>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6"/>
        </w:numPr>
        <w:ind w:firstLine="480"/>
        <w:rPr>
          <w:rFonts w:ascii="楷体" w:hAnsi="楷体" w:cs="楷体"/>
        </w:rPr>
      </w:pPr>
      <w:r>
        <w:rPr>
          <w:rFonts w:hint="eastAsia" w:ascii="楷体" w:hAnsi="楷体" w:cs="楷体"/>
        </w:rPr>
        <w:t>供应商应当按照谈判文件的要求编制响应文件，并对其提交的响应文件的真实性、合法性承担法律责任。谈判响应应以</w:t>
      </w:r>
      <w:r>
        <w:rPr>
          <w:rFonts w:hint="eastAsia" w:ascii="楷体" w:hAnsi="楷体" w:cs="楷体"/>
          <w:color w:val="000000" w:themeColor="text1"/>
          <w14:textFill>
            <w14:solidFill>
              <w14:schemeClr w14:val="tx1"/>
            </w14:solidFill>
          </w14:textFill>
        </w:rPr>
        <w:t>项目</w:t>
      </w:r>
      <w:r>
        <w:rPr>
          <w:rFonts w:hint="eastAsia" w:ascii="楷体" w:hAnsi="楷体" w:cs="楷体"/>
        </w:rPr>
        <w:t>为单位，不得在其中选项响应或将其中内容再行分解，否则响应无效。</w:t>
      </w:r>
    </w:p>
    <w:p>
      <w:pPr>
        <w:ind w:firstLine="480"/>
        <w:rPr>
          <w:rFonts w:ascii="楷体" w:hAnsi="楷体" w:cs="楷体"/>
        </w:rPr>
      </w:pPr>
      <w:r>
        <w:rPr>
          <w:rFonts w:hint="eastAsia" w:ascii="楷体" w:hAnsi="楷体" w:cs="楷体"/>
        </w:rPr>
        <w:t>2、供应商资格要求：</w:t>
      </w:r>
    </w:p>
    <w:p>
      <w:pPr>
        <w:pStyle w:val="36"/>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36"/>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w:t>
      </w:r>
      <w:r>
        <w:rPr>
          <w:rFonts w:hint="eastAsia" w:ascii="楷体" w:cs="楷体"/>
          <w:kern w:val="0"/>
          <w:lang w:val="en-US" w:eastAsia="zh-CN"/>
        </w:rPr>
        <w:t>1</w:t>
      </w:r>
      <w:r>
        <w:rPr>
          <w:rFonts w:hint="eastAsia" w:ascii="楷体" w:cs="楷体"/>
          <w:kern w:val="0"/>
        </w:rPr>
        <w:t>年度</w:t>
      </w:r>
      <w:r>
        <w:rPr>
          <w:rFonts w:hint="eastAsia" w:ascii="楷体" w:cs="楷体"/>
          <w:kern w:val="0"/>
          <w:lang w:val="en-US" w:eastAsia="zh-CN"/>
        </w:rPr>
        <w:t>或2022年度</w:t>
      </w:r>
      <w:r>
        <w:rPr>
          <w:rFonts w:hint="eastAsia" w:ascii="楷体" w:cs="楷体"/>
          <w:kern w:val="0"/>
        </w:rPr>
        <w:t>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w:t>
      </w:r>
      <w:r>
        <w:rPr>
          <w:rFonts w:hint="eastAsia" w:ascii="楷体" w:cs="楷体"/>
          <w:kern w:val="0"/>
          <w:lang w:val="en-US" w:eastAsia="zh-CN"/>
        </w:rPr>
        <w:t>12</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w:t>
      </w:r>
      <w:r>
        <w:rPr>
          <w:rFonts w:hint="eastAsia" w:ascii="楷体" w:cs="楷体"/>
          <w:kern w:val="0"/>
          <w:lang w:val="en-US" w:eastAsia="zh-CN"/>
        </w:rPr>
        <w:t>12</w:t>
      </w:r>
      <w:r>
        <w:rPr>
          <w:rFonts w:hint="eastAsia" w:ascii="楷体" w:cs="楷体"/>
          <w:kern w:val="0"/>
        </w:rPr>
        <w:t>月至今已缴存任意一个月社会保障资金缴存单据或社保机构开具的社会保险参保缴费证明，依法不需要缴纳社会保障资金的单位应提供相关证明材料）；</w:t>
      </w:r>
    </w:p>
    <w:p>
      <w:pPr>
        <w:pStyle w:val="36"/>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36"/>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36"/>
        <w:ind w:firstLine="480"/>
        <w:rPr>
          <w:rFonts w:ascii="楷体" w:eastAsia="楷体" w:cs="楷体"/>
          <w:sz w:val="24"/>
        </w:rPr>
      </w:pPr>
      <w:r>
        <w:rPr>
          <w:rFonts w:hint="eastAsia" w:ascii="楷体" w:eastAsia="楷体" w:cs="楷体"/>
          <w:sz w:val="24"/>
        </w:rPr>
        <w:t>2-1-7具备法律、行政法规规定的其他条件的证明材料。</w:t>
      </w:r>
    </w:p>
    <w:p>
      <w:pPr>
        <w:pStyle w:val="36"/>
        <w:wordWrap w:val="0"/>
        <w:ind w:firstLine="480"/>
        <w:rPr>
          <w:rFonts w:ascii="楷体" w:hAnsi="楷体" w:eastAsia="楷体" w:cs="楷体"/>
          <w:sz w:val="24"/>
        </w:rPr>
      </w:pPr>
      <w:r>
        <w:rPr>
          <w:rFonts w:hint="eastAsia" w:ascii="楷体" w:hAnsi="楷体" w:eastAsia="楷体" w:cs="楷体"/>
          <w:sz w:val="24"/>
          <w:lang w:val="en-US" w:eastAsia="zh-CN"/>
        </w:rPr>
        <w:t>2-2</w:t>
      </w:r>
      <w:r>
        <w:rPr>
          <w:rFonts w:hint="eastAsia" w:ascii="楷体" w:hAnsi="楷体" w:eastAsia="楷体" w:cs="楷体"/>
          <w:sz w:val="24"/>
        </w:rPr>
        <w:t>供应商通过“信用中国”网站(www.creditchina.gov.cn)、中国政府采购网(</w:t>
      </w:r>
      <w:r>
        <w:rPr>
          <w:rFonts w:hint="eastAsia" w:ascii="楷体" w:hAnsi="楷体" w:eastAsia="楷体" w:cs="楷体"/>
          <w:sz w:val="24"/>
        </w:rPr>
        <w:fldChar w:fldCharType="begin"/>
      </w:r>
      <w:r>
        <w:rPr>
          <w:rFonts w:hint="eastAsia" w:ascii="楷体" w:hAnsi="楷体" w:eastAsia="楷体" w:cs="楷体"/>
          <w:sz w:val="24"/>
        </w:rPr>
        <w:instrText xml:space="preserve"> HYPERLINK "http://www.ccgp.gov.cn" </w:instrText>
      </w:r>
      <w:r>
        <w:rPr>
          <w:rFonts w:hint="eastAsia" w:ascii="楷体" w:hAnsi="楷体" w:eastAsia="楷体" w:cs="楷体"/>
          <w:sz w:val="24"/>
        </w:rPr>
        <w:fldChar w:fldCharType="separate"/>
      </w:r>
      <w:r>
        <w:rPr>
          <w:rFonts w:hint="eastAsia" w:ascii="楷体" w:hAnsi="楷体" w:eastAsia="楷体" w:cs="楷体"/>
          <w:sz w:val="24"/>
        </w:rPr>
        <w:t>www.ccgp.gov.cn</w:t>
      </w:r>
      <w:r>
        <w:rPr>
          <w:rFonts w:hint="eastAsia" w:ascii="楷体" w:hAnsi="楷体" w:eastAsia="楷体" w:cs="楷体"/>
          <w:sz w:val="24"/>
        </w:rPr>
        <w:fldChar w:fldCharType="end"/>
      </w:r>
      <w:r>
        <w:rPr>
          <w:rFonts w:hint="eastAsia" w:ascii="楷体" w:hAnsi="楷体" w:eastAsia="楷体" w:cs="楷体"/>
          <w:sz w:val="24"/>
        </w:rPr>
        <w:t>) 等查询相关主体信用记录。（对列入失信被执行人、重大税收违法</w:t>
      </w:r>
      <w:r>
        <w:rPr>
          <w:rFonts w:hint="eastAsia" w:ascii="楷体" w:hAnsi="楷体" w:eastAsia="楷体" w:cs="楷体"/>
          <w:sz w:val="24"/>
          <w:lang w:val="en-US" w:eastAsia="zh-CN"/>
        </w:rPr>
        <w:t>失信主体</w:t>
      </w:r>
      <w:r>
        <w:rPr>
          <w:rFonts w:hint="eastAsia" w:ascii="楷体" w:hAnsi="楷体" w:eastAsia="楷体" w:cs="楷体"/>
          <w:sz w:val="24"/>
        </w:rPr>
        <w:t>、政府采购严重违法失信行为记录名单及其他不符合《中华人民共和国政府采购法》第二十二条规定条件的供应商，采购代理机构将拒绝其参与政府采购活动。）</w:t>
      </w:r>
    </w:p>
    <w:p>
      <w:pPr>
        <w:pStyle w:val="36"/>
        <w:ind w:firstLine="480"/>
        <w:rPr>
          <w:highlight w:val="none"/>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供应商应授权合法的人员参加</w:t>
      </w:r>
      <w:r>
        <w:rPr>
          <w:rFonts w:hint="eastAsia" w:ascii="楷体" w:hAnsi="楷体" w:eastAsia="楷体" w:cs="楷体"/>
          <w:sz w:val="24"/>
          <w:lang w:eastAsia="zh-CN"/>
        </w:rPr>
        <w:t>谈判</w:t>
      </w:r>
      <w:r>
        <w:rPr>
          <w:rFonts w:hint="eastAsia" w:ascii="楷体" w:hAnsi="楷体" w:eastAsia="楷体" w:cs="楷体"/>
          <w:sz w:val="24"/>
        </w:rPr>
        <w:t>全过程，其中法定代表人直接参加</w:t>
      </w:r>
      <w:r>
        <w:rPr>
          <w:rFonts w:hint="eastAsia" w:ascii="楷体" w:hAnsi="楷体" w:eastAsia="楷体" w:cs="楷体"/>
          <w:sz w:val="24"/>
          <w:lang w:eastAsia="zh-CN"/>
        </w:rPr>
        <w:t>谈判</w:t>
      </w:r>
      <w:r>
        <w:rPr>
          <w:rFonts w:hint="eastAsia" w:ascii="楷体" w:hAnsi="楷体" w:eastAsia="楷体" w:cs="楷体"/>
          <w:sz w:val="24"/>
        </w:rPr>
        <w:t>的，须出</w:t>
      </w:r>
      <w:r>
        <w:rPr>
          <w:rFonts w:hint="eastAsia" w:ascii="楷体" w:hAnsi="楷体" w:eastAsia="楷体" w:cs="楷体"/>
          <w:sz w:val="24"/>
          <w:highlight w:val="none"/>
        </w:rPr>
        <w:t>具法人身份证，并与营业执照上信息一致。法定代表人授权代表参加</w:t>
      </w:r>
      <w:r>
        <w:rPr>
          <w:rFonts w:hint="eastAsia" w:ascii="楷体" w:hAnsi="楷体" w:eastAsia="楷体" w:cs="楷体"/>
          <w:sz w:val="24"/>
          <w:highlight w:val="none"/>
          <w:lang w:eastAsia="zh-CN"/>
        </w:rPr>
        <w:t>谈判</w:t>
      </w:r>
      <w:r>
        <w:rPr>
          <w:rFonts w:hint="eastAsia" w:ascii="楷体" w:hAnsi="楷体" w:eastAsia="楷体" w:cs="楷体"/>
          <w:sz w:val="24"/>
          <w:highlight w:val="none"/>
        </w:rPr>
        <w:t>的，须出具法定代表人授权书及授权代表身份证</w:t>
      </w:r>
      <w:r>
        <w:rPr>
          <w:rFonts w:hint="eastAsia" w:ascii="楷体" w:hAnsi="楷体" w:eastAsia="楷体" w:cs="楷体"/>
          <w:sz w:val="24"/>
          <w:highlight w:val="none"/>
          <w:lang w:eastAsia="zh-CN"/>
        </w:rPr>
        <w:t>、</w:t>
      </w:r>
      <w:r>
        <w:rPr>
          <w:rFonts w:hint="eastAsia" w:ascii="楷体" w:hAnsi="楷体" w:eastAsia="楷体" w:cs="楷体"/>
          <w:sz w:val="24"/>
          <w:highlight w:val="none"/>
          <w:lang w:val="en-US" w:eastAsia="zh-CN"/>
        </w:rPr>
        <w:t>授权代表本单位证明（谈判前的个人养老保险缴纳证明或劳动合同）。</w:t>
      </w:r>
    </w:p>
    <w:p>
      <w:pPr>
        <w:ind w:firstLine="480"/>
        <w:rPr>
          <w:rFonts w:ascii="楷体" w:hAnsi="楷体" w:cs="楷体"/>
          <w:highlight w:val="none"/>
        </w:rPr>
      </w:pPr>
      <w:r>
        <w:rPr>
          <w:rFonts w:hint="eastAsia" w:ascii="楷体" w:hAnsi="楷体" w:cs="楷体"/>
          <w:highlight w:val="none"/>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highlight w:val="none"/>
        </w:rPr>
      </w:pPr>
      <w:bookmarkStart w:id="10" w:name="_Toc12499_WPSOffice_Level2"/>
      <w:r>
        <w:rPr>
          <w:rFonts w:hint="eastAsia" w:ascii="楷体" w:hAnsi="楷体" w:cs="楷体"/>
          <w:highlight w:val="none"/>
        </w:rPr>
        <w:t>4、本项目不接受联合体响应。</w:t>
      </w:r>
    </w:p>
    <w:p>
      <w:pPr>
        <w:ind w:firstLine="480"/>
        <w:rPr>
          <w:rFonts w:ascii="楷体" w:hAnsi="楷体" w:cs="楷体"/>
          <w:highlight w:val="none"/>
        </w:rPr>
      </w:pPr>
      <w:r>
        <w:rPr>
          <w:rFonts w:hint="eastAsia" w:ascii="楷体" w:hAnsi="楷体" w:cs="楷体"/>
          <w:highlight w:val="none"/>
        </w:rPr>
        <w:t>5、本项目不组织现场考察或者答疑会。</w:t>
      </w:r>
    </w:p>
    <w:p>
      <w:pPr>
        <w:ind w:firstLine="480"/>
        <w:rPr>
          <w:rFonts w:hint="eastAsia" w:ascii="楷体" w:hAnsi="楷体" w:cs="楷体"/>
          <w:color w:val="auto"/>
          <w:highlight w:val="yellow"/>
          <w:lang w:eastAsia="zh-CN"/>
        </w:rPr>
      </w:pPr>
      <w:r>
        <w:rPr>
          <w:rFonts w:hint="eastAsia" w:ascii="楷体" w:hAnsi="楷体" w:cs="楷体"/>
          <w:color w:val="auto"/>
          <w:highlight w:val="none"/>
        </w:rPr>
        <w:t>6、本项目</w:t>
      </w:r>
      <w:r>
        <w:rPr>
          <w:rFonts w:hint="eastAsia" w:ascii="楷体" w:hAnsi="楷体" w:cs="楷体"/>
          <w:color w:val="auto"/>
          <w:highlight w:val="none"/>
          <w:lang w:val="en-US" w:eastAsia="zh-CN"/>
        </w:rPr>
        <w:t>无</w:t>
      </w:r>
      <w:r>
        <w:rPr>
          <w:rFonts w:hint="eastAsia" w:ascii="楷体" w:hAnsi="楷体" w:cs="楷体"/>
          <w:color w:val="auto"/>
          <w:highlight w:val="none"/>
        </w:rPr>
        <w:t>履约保证金</w:t>
      </w:r>
      <w:r>
        <w:rPr>
          <w:rFonts w:hint="eastAsia" w:ascii="楷体" w:hAnsi="楷体" w:cs="楷体"/>
          <w:color w:val="auto"/>
          <w:highlight w:val="none"/>
          <w:lang w:eastAsia="zh-CN"/>
        </w:rPr>
        <w:t>。</w:t>
      </w:r>
    </w:p>
    <w:p>
      <w:pPr>
        <w:ind w:firstLine="480"/>
        <w:rPr>
          <w:rFonts w:ascii="楷体" w:hAnsi="楷体" w:cs="楷体"/>
          <w:color w:val="auto"/>
          <w:highlight w:val="none"/>
        </w:rPr>
      </w:pPr>
      <w:r>
        <w:rPr>
          <w:rFonts w:hint="eastAsia" w:ascii="楷体" w:hAnsi="楷体" w:cs="楷体"/>
          <w:color w:val="auto"/>
          <w:highlight w:val="none"/>
          <w:lang w:val="en-US" w:eastAsia="zh-CN"/>
        </w:rPr>
        <w:t>7、本项目无谈判保证金</w:t>
      </w:r>
      <w:r>
        <w:rPr>
          <w:rFonts w:hint="eastAsia" w:ascii="楷体" w:hAnsi="楷体" w:cs="楷体"/>
          <w:color w:val="auto"/>
          <w:highlight w:val="none"/>
        </w:rPr>
        <w:t>。</w:t>
      </w:r>
    </w:p>
    <w:p>
      <w:pPr>
        <w:pStyle w:val="2"/>
        <w:ind w:firstLine="480"/>
        <w:rPr>
          <w:rFonts w:ascii="楷体" w:hAnsi="楷体" w:cs="楷体"/>
          <w:color w:val="auto"/>
          <w:sz w:val="24"/>
          <w:highlight w:val="none"/>
        </w:rPr>
      </w:pPr>
      <w:r>
        <w:rPr>
          <w:rFonts w:hint="eastAsia" w:ascii="楷体" w:hAnsi="楷体" w:cs="楷体"/>
          <w:color w:val="auto"/>
          <w:sz w:val="24"/>
          <w:highlight w:val="none"/>
        </w:rPr>
        <w:t>8、本项目不允许分包</w:t>
      </w:r>
      <w:r>
        <w:rPr>
          <w:rFonts w:hint="eastAsia" w:ascii="楷体" w:hAnsi="楷体" w:cs="楷体"/>
          <w:color w:val="auto"/>
          <w:sz w:val="24"/>
          <w:highlight w:val="none"/>
          <w:lang w:eastAsia="zh-CN"/>
        </w:rPr>
        <w:t>、</w:t>
      </w:r>
      <w:r>
        <w:rPr>
          <w:rFonts w:hint="eastAsia" w:ascii="楷体" w:hAnsi="楷体" w:cs="楷体"/>
          <w:color w:val="auto"/>
          <w:sz w:val="24"/>
          <w:highlight w:val="none"/>
          <w:lang w:val="en-US" w:eastAsia="zh-CN"/>
        </w:rPr>
        <w:t>转包</w:t>
      </w:r>
      <w:r>
        <w:rPr>
          <w:rFonts w:hint="eastAsia" w:ascii="楷体" w:hAnsi="楷体" w:cs="楷体"/>
          <w:color w:val="auto"/>
          <w:sz w:val="24"/>
          <w:highlight w:val="none"/>
        </w:rPr>
        <w:t>。</w:t>
      </w:r>
    </w:p>
    <w:p>
      <w:pPr>
        <w:ind w:firstLine="480"/>
        <w:rPr>
          <w:rFonts w:ascii="楷体" w:hAnsi="楷体"/>
          <w:highlight w:val="none"/>
        </w:rPr>
      </w:pPr>
      <w:r>
        <w:rPr>
          <w:rFonts w:hint="eastAsia" w:ascii="楷体" w:hAnsi="楷体"/>
          <w:highlight w:val="none"/>
          <w:lang w:val="en-US" w:eastAsia="zh-CN"/>
        </w:rPr>
        <w:t>9</w:t>
      </w:r>
      <w:r>
        <w:rPr>
          <w:rFonts w:hint="eastAsia" w:ascii="楷体" w:hAnsi="楷体"/>
          <w:highlight w:val="none"/>
        </w:rPr>
        <w:t>、本项目不接受备选方案。</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、响应文件编制</w:t>
      </w:r>
    </w:p>
    <w:p>
      <w:pPr>
        <w:ind w:firstLine="480"/>
      </w:pPr>
      <w:r>
        <w:rPr>
          <w:rFonts w:hint="eastAsia" w:ascii="楷体" w:hAnsi="楷体" w:cs="楷体"/>
          <w:highlight w:val="none"/>
          <w:lang w:val="en-US" w:eastAsia="zh-CN"/>
        </w:rPr>
        <w:t>10</w:t>
      </w:r>
      <w:r>
        <w:rPr>
          <w:rFonts w:hint="eastAsia" w:ascii="楷体" w:hAnsi="楷体" w:cs="楷体"/>
          <w:highlight w:val="none"/>
        </w:rPr>
        <w:t>-1</w:t>
      </w:r>
      <w:r>
        <w:rPr>
          <w:rFonts w:hint="eastAsia" w:ascii="楷体" w:hAnsi="楷体" w:cs="楷体"/>
          <w:highlight w:val="none"/>
          <w:lang w:val="en-US" w:eastAsia="zh-CN"/>
        </w:rPr>
        <w:t xml:space="preserve"> </w:t>
      </w:r>
      <w:r>
        <w:rPr>
          <w:rFonts w:hint="eastAsia" w:ascii="楷体" w:hAnsi="楷体" w:cs="楷体"/>
          <w:highlight w:val="none"/>
        </w:rPr>
        <w:t>供应商应以采购代理机构提供的响应文件格式编制响应文件，</w:t>
      </w:r>
      <w:r>
        <w:rPr>
          <w:rFonts w:hint="eastAsia" w:ascii="楷体" w:hAnsi="楷体" w:cs="楷体"/>
          <w:b/>
          <w:bCs/>
        </w:rPr>
        <w:t>正本壹份，副本</w:t>
      </w:r>
      <w:r>
        <w:rPr>
          <w:rFonts w:hint="eastAsia" w:ascii="楷体" w:hAnsi="楷体" w:cs="楷体"/>
          <w:b/>
          <w:bCs/>
          <w:lang w:val="en-US" w:eastAsia="zh-CN"/>
        </w:rPr>
        <w:t>贰</w:t>
      </w:r>
      <w:r>
        <w:rPr>
          <w:rFonts w:hint="eastAsia" w:ascii="楷体" w:hAnsi="楷体" w:cs="楷体"/>
          <w:b/>
          <w:bCs/>
        </w:rPr>
        <w:t>份</w:t>
      </w:r>
      <w:r>
        <w:rPr>
          <w:rFonts w:hint="eastAsia" w:ascii="楷体" w:hAnsi="楷体" w:cs="楷体"/>
          <w:b/>
          <w:bCs/>
          <w:lang w:eastAsia="zh-CN"/>
        </w:rPr>
        <w:t>，</w:t>
      </w:r>
      <w:r>
        <w:rPr>
          <w:rFonts w:hint="eastAsia" w:ascii="楷体" w:hAnsi="楷体" w:cs="楷体"/>
          <w:b/>
          <w:bCs/>
          <w:lang w:val="en-US" w:eastAsia="zh-CN"/>
        </w:rPr>
        <w:t>电子版壹份（须为正本签字盖章的PDF格式及Word格式响应文件，用U盘拷贝），</w:t>
      </w:r>
      <w:r>
        <w:rPr>
          <w:rFonts w:hint="eastAsia" w:ascii="楷体" w:hAnsi="楷体" w:cs="楷体"/>
          <w:highlight w:val="none"/>
        </w:rPr>
        <w:t>并各自装订成册，每套响应文件须清楚地标明“正本”或“副本”，一旦正本与副本不符，以正本为准</w:t>
      </w:r>
      <w:r>
        <w:rPr>
          <w:rFonts w:hint="eastAsia" w:ascii="楷体" w:hAnsi="楷体" w:cs="楷体"/>
          <w:highlight w:val="none"/>
          <w:lang w:eastAsia="zh-CN"/>
        </w:rPr>
        <w:t>，电子版须与正本保持一致。</w:t>
      </w:r>
      <w:r>
        <w:rPr>
          <w:rFonts w:hint="eastAsia" w:ascii="楷体" w:hAnsi="楷体" w:cs="楷体"/>
          <w:highlight w:val="none"/>
          <w:lang w:val="en-US" w:eastAsia="zh-CN"/>
        </w:rPr>
        <w:t>响应</w:t>
      </w:r>
      <w:r>
        <w:rPr>
          <w:rFonts w:hint="eastAsia" w:ascii="楷体" w:hAnsi="楷体" w:cs="楷体"/>
          <w:highlight w:val="none"/>
          <w:lang w:eastAsia="zh-CN"/>
        </w:rPr>
        <w:t>文件建议双面打印</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-2</w:t>
      </w:r>
      <w:r>
        <w:rPr>
          <w:rFonts w:hint="eastAsia" w:ascii="楷体" w:hAnsi="楷体" w:cs="楷体"/>
          <w:highlight w:val="none"/>
          <w:lang w:val="en-US" w:eastAsia="zh-CN"/>
        </w:rPr>
        <w:t xml:space="preserve"> </w:t>
      </w:r>
      <w:r>
        <w:rPr>
          <w:rFonts w:hint="eastAsia" w:ascii="楷体" w:hAnsi="楷体" w:cs="楷体"/>
          <w:highlight w:val="none"/>
        </w:rPr>
        <w:t>供应商在编制响应文件时，应依据</w:t>
      </w:r>
      <w:r>
        <w:rPr>
          <w:rFonts w:hint="eastAsia" w:ascii="楷体" w:hAnsi="楷体" w:cs="楷体"/>
          <w:highlight w:val="none"/>
          <w:lang w:eastAsia="zh-CN"/>
        </w:rPr>
        <w:t>谈判</w:t>
      </w:r>
      <w:r>
        <w:rPr>
          <w:rFonts w:hint="eastAsia" w:ascii="楷体" w:hAnsi="楷体" w:cs="楷体"/>
          <w:highlight w:val="none"/>
        </w:rPr>
        <w:t>文件的要求，对</w:t>
      </w:r>
      <w:r>
        <w:rPr>
          <w:rFonts w:hint="eastAsia" w:ascii="楷体" w:hAnsi="楷体" w:cs="楷体"/>
          <w:highlight w:val="none"/>
          <w:lang w:eastAsia="zh-CN"/>
        </w:rPr>
        <w:t>谈判</w:t>
      </w:r>
      <w:r>
        <w:rPr>
          <w:rFonts w:hint="eastAsia" w:ascii="楷体" w:hAnsi="楷体" w:cs="楷体"/>
          <w:highlight w:val="none"/>
        </w:rPr>
        <w:t>文件作出实质性的响应。响应文件必须按要求加盖供应商公章和法定代表人（或其授权代表）签字。</w:t>
      </w:r>
    </w:p>
    <w:p>
      <w:pPr>
        <w:pStyle w:val="2"/>
        <w:rPr>
          <w:sz w:val="24"/>
          <w:szCs w:val="22"/>
        </w:rPr>
      </w:pPr>
      <w:r>
        <w:rPr>
          <w:rFonts w:hint="eastAsia" w:ascii="楷体" w:cs="楷体"/>
          <w:b/>
          <w:bCs/>
          <w:color w:val="auto"/>
          <w:sz w:val="24"/>
          <w:szCs w:val="22"/>
          <w:highlight w:val="none"/>
          <w:lang w:val="en-US" w:eastAsia="zh-CN"/>
        </w:rPr>
        <w:t>注：凡要求法定代表人签字或盖章之处，非法人单位负责人可参照执行。</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-3</w:t>
      </w:r>
      <w:r>
        <w:rPr>
          <w:rFonts w:hint="eastAsia" w:ascii="楷体" w:hAnsi="楷体" w:cs="楷体"/>
          <w:highlight w:val="none"/>
          <w:lang w:val="en-US" w:eastAsia="zh-CN"/>
        </w:rPr>
        <w:t xml:space="preserve"> </w:t>
      </w:r>
      <w:r>
        <w:rPr>
          <w:rFonts w:hint="eastAsia" w:ascii="楷体" w:hAnsi="楷体" w:cs="楷体"/>
          <w:highlight w:val="none"/>
        </w:rPr>
        <w:t>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w:t>
      </w:r>
      <w:r>
        <w:rPr>
          <w:rFonts w:hint="eastAsia" w:ascii="楷体" w:hAnsi="楷体" w:cs="楷体"/>
          <w:highlight w:val="none"/>
          <w:lang w:val="en-US" w:eastAsia="zh-CN"/>
        </w:rPr>
        <w:t xml:space="preserve"> </w:t>
      </w:r>
      <w:r>
        <w:rPr>
          <w:rFonts w:hint="eastAsia" w:ascii="楷体" w:hAnsi="楷体" w:cs="楷体"/>
          <w:highlight w:val="none"/>
        </w:rPr>
        <w:t>响应文件编制要求：包括（但不限于）以下内容</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-4-1</w:t>
      </w:r>
      <w:r>
        <w:rPr>
          <w:rFonts w:hint="eastAsia" w:ascii="楷体" w:hAnsi="楷体" w:cs="楷体"/>
          <w:highlight w:val="none"/>
          <w:lang w:val="en-US" w:eastAsia="zh-CN"/>
        </w:rPr>
        <w:t xml:space="preserve"> </w:t>
      </w:r>
      <w:r>
        <w:rPr>
          <w:rFonts w:hint="eastAsia" w:ascii="楷体" w:hAnsi="楷体" w:cs="楷体"/>
          <w:highlight w:val="none"/>
        </w:rPr>
        <w:t>响应函；</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-4-2</w:t>
      </w:r>
      <w:r>
        <w:rPr>
          <w:rFonts w:hint="eastAsia" w:ascii="楷体" w:hAnsi="楷体" w:cs="楷体"/>
          <w:highlight w:val="none"/>
          <w:lang w:val="en-US" w:eastAsia="zh-CN"/>
        </w:rPr>
        <w:t xml:space="preserve"> </w:t>
      </w:r>
      <w:r>
        <w:rPr>
          <w:rFonts w:hint="eastAsia" w:ascii="楷体" w:hAnsi="楷体" w:cs="楷体"/>
          <w:highlight w:val="none"/>
          <w:lang w:eastAsia="zh-CN"/>
        </w:rPr>
        <w:t>谈判</w:t>
      </w:r>
      <w:r>
        <w:rPr>
          <w:rFonts w:hint="eastAsia" w:ascii="楷体" w:hAnsi="楷体" w:cs="楷体"/>
          <w:highlight w:val="none"/>
        </w:rPr>
        <w:t>报价一览表和</w:t>
      </w:r>
      <w:r>
        <w:rPr>
          <w:rFonts w:hint="eastAsia" w:ascii="楷体" w:hAnsi="楷体" w:cs="楷体"/>
          <w:highlight w:val="none"/>
          <w:lang w:eastAsia="zh-CN"/>
        </w:rPr>
        <w:t>分项报价表</w:t>
      </w:r>
      <w:r>
        <w:rPr>
          <w:rFonts w:hint="eastAsia" w:ascii="楷体" w:hAnsi="楷体" w:cs="楷体"/>
          <w:highlight w:val="none"/>
        </w:rPr>
        <w:t>；</w:t>
      </w:r>
    </w:p>
    <w:p>
      <w:pPr>
        <w:ind w:firstLine="480"/>
        <w:rPr>
          <w:rFonts w:hint="default" w:ascii="楷体" w:hAnsi="楷体" w:cs="楷体"/>
          <w:highlight w:val="none"/>
          <w:lang w:val="en-US" w:eastAsia="zh-CN"/>
        </w:rPr>
      </w:pPr>
      <w:r>
        <w:rPr>
          <w:rFonts w:hint="eastAsia" w:ascii="楷体" w:hAnsi="楷体" w:cs="楷体"/>
          <w:highlight w:val="none"/>
          <w:lang w:val="en-US" w:eastAsia="zh-CN"/>
        </w:rPr>
        <w:t>10</w:t>
      </w:r>
      <w:r>
        <w:rPr>
          <w:rFonts w:hint="eastAsia" w:ascii="楷体" w:hAnsi="楷体" w:cs="楷体"/>
          <w:highlight w:val="none"/>
        </w:rPr>
        <w:t>-4-3</w:t>
      </w:r>
      <w:r>
        <w:rPr>
          <w:rFonts w:hint="eastAsia" w:ascii="楷体" w:hAnsi="楷体" w:cs="楷体"/>
          <w:highlight w:val="none"/>
          <w:lang w:val="en-US" w:eastAsia="zh-CN"/>
        </w:rPr>
        <w:t xml:space="preserve"> 偏离表；</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w:t>
      </w:r>
      <w:r>
        <w:rPr>
          <w:rFonts w:hint="eastAsia" w:ascii="楷体" w:hAnsi="楷体" w:cs="楷体"/>
          <w:highlight w:val="none"/>
          <w:lang w:val="en-US" w:eastAsia="zh-CN"/>
        </w:rPr>
        <w:t>4</w:t>
      </w:r>
      <w:r>
        <w:rPr>
          <w:rFonts w:hint="eastAsia" w:ascii="楷体" w:hAnsi="楷体" w:cs="楷体"/>
          <w:highlight w:val="none"/>
        </w:rPr>
        <w:t>供应商承诺书；</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w:t>
      </w:r>
      <w:r>
        <w:rPr>
          <w:rFonts w:hint="eastAsia" w:ascii="楷体" w:hAnsi="楷体" w:cs="楷体"/>
          <w:highlight w:val="none"/>
          <w:lang w:val="en-US" w:eastAsia="zh-CN"/>
        </w:rPr>
        <w:t xml:space="preserve">5 </w:t>
      </w:r>
      <w:r>
        <w:rPr>
          <w:rFonts w:hint="eastAsia" w:ascii="楷体" w:hAnsi="楷体" w:cs="楷体"/>
          <w:highlight w:val="none"/>
        </w:rPr>
        <w:t>供应商企业关系关联承诺书；</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w:t>
      </w:r>
      <w:r>
        <w:rPr>
          <w:rFonts w:hint="eastAsia" w:ascii="楷体" w:hAnsi="楷体" w:cs="楷体"/>
          <w:highlight w:val="none"/>
          <w:lang w:val="en-US" w:eastAsia="zh-CN"/>
        </w:rPr>
        <w:t xml:space="preserve">6 </w:t>
      </w:r>
      <w:r>
        <w:rPr>
          <w:rFonts w:hint="eastAsia" w:ascii="楷体" w:hAnsi="楷体" w:cs="楷体"/>
          <w:highlight w:val="none"/>
        </w:rPr>
        <w:t>资格证明文件，</w:t>
      </w:r>
      <w:r>
        <w:rPr>
          <w:rFonts w:hint="eastAsia" w:ascii="楷体" w:hAnsi="楷体" w:cs="楷体"/>
          <w:highlight w:val="none"/>
          <w:lang w:val="zh-CN"/>
        </w:rPr>
        <w:t>证明参加谈判供应商是响应本项目谈判的合格供应商</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w:t>
      </w:r>
      <w:r>
        <w:rPr>
          <w:rFonts w:hint="eastAsia" w:ascii="楷体" w:hAnsi="楷体" w:cs="楷体"/>
          <w:highlight w:val="none"/>
          <w:lang w:val="en-US" w:eastAsia="zh-CN"/>
        </w:rPr>
        <w:t xml:space="preserve">7 </w:t>
      </w:r>
      <w:r>
        <w:rPr>
          <w:rFonts w:hint="eastAsia" w:ascii="楷体" w:hAnsi="楷体" w:cs="楷体"/>
          <w:highlight w:val="none"/>
        </w:rPr>
        <w:t>供应商为本次采购活动编制的响应</w:t>
      </w:r>
      <w:r>
        <w:rPr>
          <w:rFonts w:hint="eastAsia" w:ascii="楷体" w:hAnsi="楷体" w:cs="楷体"/>
          <w:highlight w:val="none"/>
          <w:lang w:val="en-US" w:eastAsia="zh-CN"/>
        </w:rPr>
        <w:t>供货服务</w:t>
      </w:r>
      <w:r>
        <w:rPr>
          <w:rFonts w:hint="eastAsia" w:ascii="楷体" w:hAnsi="楷体" w:cs="楷体"/>
          <w:highlight w:val="none"/>
        </w:rPr>
        <w:t>方案，具有履行合同所必须的供货能力和专业服务能力，配备了相应的商务和技术人员，项目在组织实施、财务保证、人力安排、维护维修、培训服务等方面具体做法和保障措施；</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w:t>
      </w:r>
      <w:r>
        <w:rPr>
          <w:rFonts w:hint="eastAsia" w:ascii="楷体" w:hAnsi="楷体" w:cs="楷体"/>
          <w:highlight w:val="none"/>
          <w:lang w:val="en-US" w:eastAsia="zh-CN"/>
        </w:rPr>
        <w:t xml:space="preserve">8 </w:t>
      </w:r>
      <w:r>
        <w:rPr>
          <w:rFonts w:hint="eastAsia" w:ascii="楷体" w:hAnsi="楷体" w:cs="楷体"/>
          <w:highlight w:val="none"/>
        </w:rPr>
        <w:t>供应商提供</w:t>
      </w:r>
      <w:r>
        <w:rPr>
          <w:rFonts w:hint="eastAsia" w:ascii="楷体" w:hAnsi="楷体" w:cs="楷体"/>
          <w:highlight w:val="none"/>
          <w:lang w:val="en-US" w:eastAsia="zh-CN"/>
        </w:rPr>
        <w:t>的其他材料（</w:t>
      </w:r>
      <w:r>
        <w:rPr>
          <w:rFonts w:hint="eastAsia" w:ascii="楷体" w:hAnsi="楷体" w:cs="楷体"/>
          <w:highlight w:val="none"/>
        </w:rPr>
        <w:t>相应业绩，证明其服务经验及能力</w:t>
      </w:r>
      <w:r>
        <w:rPr>
          <w:rFonts w:hint="eastAsia" w:ascii="楷体" w:hAnsi="楷体" w:cs="楷体"/>
          <w:highlight w:val="none"/>
          <w:lang w:val="en-US" w:eastAsia="zh-CN"/>
        </w:rPr>
        <w:t>）</w:t>
      </w:r>
      <w:r>
        <w:rPr>
          <w:rFonts w:hint="eastAsia" w:ascii="楷体" w:hAnsi="楷体" w:cs="楷体"/>
          <w:highlight w:val="none"/>
        </w:rPr>
        <w:t>；</w:t>
      </w:r>
    </w:p>
    <w:p>
      <w:pPr>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、响应文件密封</w:t>
      </w:r>
    </w:p>
    <w:p>
      <w:pPr>
        <w:ind w:firstLine="480"/>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-1</w:t>
      </w:r>
      <w:r>
        <w:rPr>
          <w:rFonts w:hint="eastAsia" w:ascii="楷体" w:hAnsi="楷体" w:cs="楷体"/>
          <w:highlight w:val="none"/>
          <w:lang w:val="en-US" w:eastAsia="zh-CN"/>
        </w:rPr>
        <w:t xml:space="preserve"> </w:t>
      </w:r>
      <w:r>
        <w:rPr>
          <w:rFonts w:hint="eastAsia" w:ascii="楷体" w:hAnsi="楷体" w:cs="楷体"/>
          <w:highlight w:val="none"/>
        </w:rPr>
        <w:t>供应商应将响应文件正本、副本</w:t>
      </w:r>
      <w:r>
        <w:rPr>
          <w:rFonts w:hint="eastAsia" w:ascii="楷体" w:hAnsi="楷体" w:cs="楷体"/>
          <w:highlight w:val="none"/>
          <w:lang w:eastAsia="zh-CN"/>
        </w:rPr>
        <w:t>、</w:t>
      </w:r>
      <w:r>
        <w:rPr>
          <w:rFonts w:hint="eastAsia" w:ascii="楷体" w:hAnsi="楷体" w:cs="楷体"/>
          <w:highlight w:val="none"/>
          <w:lang w:val="en-US" w:eastAsia="zh-CN"/>
        </w:rPr>
        <w:t>电子版</w:t>
      </w:r>
      <w:r>
        <w:rPr>
          <w:rFonts w:hint="eastAsia" w:ascii="楷体" w:hAnsi="楷体" w:cs="楷体"/>
          <w:highlight w:val="none"/>
        </w:rPr>
        <w:t>分别密封完好，在封套上标明采购项目编号、项目名称，供应商全称（公章）及“正本”、“副本”</w:t>
      </w:r>
      <w:r>
        <w:rPr>
          <w:rFonts w:hint="eastAsia" w:ascii="楷体" w:hAnsi="楷体" w:cs="楷体"/>
          <w:highlight w:val="none"/>
          <w:lang w:eastAsia="zh-CN"/>
        </w:rPr>
        <w:t>、</w:t>
      </w:r>
      <w:r>
        <w:rPr>
          <w:rFonts w:hint="eastAsia" w:ascii="楷体" w:hAnsi="楷体" w:cs="楷体"/>
          <w:highlight w:val="none"/>
        </w:rPr>
        <w:t>“电子版</w:t>
      </w:r>
      <w:r>
        <w:rPr>
          <w:rFonts w:hint="eastAsia" w:ascii="楷体" w:hAnsi="楷体" w:cs="楷体"/>
          <w:highlight w:val="none"/>
          <w:lang w:val="en-US" w:eastAsia="zh-CN"/>
        </w:rPr>
        <w:t>响应</w:t>
      </w:r>
      <w:r>
        <w:rPr>
          <w:rFonts w:hint="eastAsia" w:ascii="楷体" w:hAnsi="楷体" w:cs="楷体"/>
          <w:highlight w:val="none"/>
          <w:lang w:eastAsia="zh-CN"/>
        </w:rPr>
        <w:t>文件</w:t>
      </w:r>
      <w:r>
        <w:rPr>
          <w:rFonts w:hint="eastAsia" w:ascii="楷体" w:hAnsi="楷体" w:cs="楷体"/>
          <w:highlight w:val="none"/>
        </w:rPr>
        <w:t>” 等内容。再加封条密封，在封线处加盖供应商公章（骑缝章）和法定代表人（或其授权代表）签字</w:t>
      </w:r>
      <w:r>
        <w:rPr>
          <w:rFonts w:hint="eastAsia" w:ascii="楷体" w:hAnsi="楷体" w:cs="楷体"/>
          <w:highlight w:val="none"/>
          <w:lang w:val="en-US" w:eastAsia="zh-CN"/>
        </w:rPr>
        <w:t>或盖章</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-2</w:t>
      </w:r>
      <w:r>
        <w:rPr>
          <w:rFonts w:hint="eastAsia" w:ascii="楷体" w:hAnsi="楷体" w:cs="楷体"/>
          <w:highlight w:val="none"/>
          <w:lang w:val="en-US" w:eastAsia="zh-CN"/>
        </w:rPr>
        <w:t xml:space="preserve"> </w:t>
      </w:r>
      <w:r>
        <w:rPr>
          <w:rFonts w:hint="eastAsia" w:ascii="楷体" w:hAnsi="楷体" w:cs="楷体"/>
          <w:highlight w:val="none"/>
        </w:rPr>
        <w:t>对于需提供资格证明文件/业绩证明材料等原件的采购项目，供应商应将其内容单独密封，并标明所提供原件的明细表。</w:t>
      </w:r>
    </w:p>
    <w:p>
      <w:pPr>
        <w:ind w:firstLine="480"/>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-3</w:t>
      </w:r>
      <w:r>
        <w:rPr>
          <w:rFonts w:hint="eastAsia" w:ascii="楷体" w:hAnsi="楷体" w:cs="楷体"/>
          <w:highlight w:val="none"/>
          <w:lang w:val="en-US" w:eastAsia="zh-CN"/>
        </w:rPr>
        <w:t xml:space="preserve"> </w:t>
      </w:r>
      <w:r>
        <w:rPr>
          <w:rFonts w:hint="eastAsia" w:ascii="楷体" w:hAnsi="楷体" w:cs="楷体"/>
          <w:highlight w:val="none"/>
        </w:rPr>
        <w:t>响应文件未按要求密封或加写标记，采购代理机构对误投或过早启封的响应文件概不负责。</w:t>
      </w:r>
    </w:p>
    <w:p>
      <w:pPr>
        <w:ind w:firstLine="480"/>
        <w:rPr>
          <w:rFonts w:ascii="楷体" w:hAnsi="楷体" w:cs="楷体"/>
          <w:highlight w:val="none"/>
        </w:rPr>
      </w:pPr>
      <w:r>
        <w:rPr>
          <w:rFonts w:hint="eastAsia" w:ascii="楷体" w:hAnsi="楷体" w:cs="楷体"/>
          <w:highlight w:val="none"/>
          <w:lang w:val="en-US" w:eastAsia="zh-CN"/>
        </w:rPr>
        <w:t>12</w:t>
      </w:r>
      <w:r>
        <w:rPr>
          <w:rFonts w:hint="eastAsia" w:ascii="楷体" w:hAnsi="楷体" w:cs="楷体"/>
          <w:highlight w:val="none"/>
        </w:rPr>
        <w:t>、响应文件提交</w:t>
      </w:r>
    </w:p>
    <w:p>
      <w:pPr>
        <w:ind w:firstLine="480"/>
        <w:rPr>
          <w:rFonts w:ascii="楷体" w:hAnsi="楷体"/>
          <w:highlight w:val="none"/>
        </w:rPr>
      </w:pPr>
      <w:r>
        <w:rPr>
          <w:rFonts w:hint="eastAsia" w:ascii="楷体" w:hAnsi="楷体" w:cs="楷体"/>
          <w:highlight w:val="none"/>
          <w:lang w:val="en-US" w:eastAsia="zh-CN"/>
        </w:rPr>
        <w:t>12</w:t>
      </w:r>
      <w:r>
        <w:rPr>
          <w:rFonts w:hint="eastAsia" w:ascii="楷体" w:hAnsi="楷体" w:cs="楷体"/>
          <w:highlight w:val="none"/>
        </w:rPr>
        <w:t>-1</w:t>
      </w:r>
      <w:r>
        <w:rPr>
          <w:rFonts w:hint="eastAsia" w:ascii="楷体" w:hAnsi="楷体" w:cs="楷体"/>
          <w:highlight w:val="none"/>
          <w:lang w:val="en-US" w:eastAsia="zh-CN"/>
        </w:rPr>
        <w:t xml:space="preserve"> </w:t>
      </w:r>
      <w:r>
        <w:rPr>
          <w:rFonts w:hint="eastAsia" w:ascii="楷体" w:hAnsi="楷体" w:cs="楷体"/>
          <w:highlight w:val="none"/>
        </w:rPr>
        <w:t>供应商应当在</w:t>
      </w:r>
      <w:r>
        <w:rPr>
          <w:rFonts w:hint="eastAsia" w:ascii="楷体" w:hAnsi="楷体" w:cs="楷体"/>
          <w:highlight w:val="none"/>
          <w:lang w:eastAsia="zh-CN"/>
        </w:rPr>
        <w:t>谈判</w:t>
      </w:r>
      <w:r>
        <w:rPr>
          <w:rFonts w:hint="eastAsia" w:ascii="楷体" w:hAnsi="楷体" w:cs="楷体"/>
          <w:highlight w:val="none"/>
        </w:rPr>
        <w:t>文件要求提交响应文件的截止时间前，将响应文件密封送达响应地点。在截止时间后送达的响应文件为无效文件，采购人、采购代理机构或者</w:t>
      </w:r>
      <w:r>
        <w:rPr>
          <w:rFonts w:hint="eastAsia" w:ascii="楷体" w:hAnsi="楷体" w:cs="楷体"/>
          <w:highlight w:val="none"/>
          <w:lang w:eastAsia="zh-CN"/>
        </w:rPr>
        <w:t>谈判</w:t>
      </w:r>
      <w:r>
        <w:rPr>
          <w:rFonts w:hint="eastAsia" w:ascii="楷体" w:hAnsi="楷体" w:cs="楷体"/>
          <w:highlight w:val="none"/>
        </w:rPr>
        <w:t>小组拒收。</w:t>
      </w:r>
    </w:p>
    <w:p>
      <w:pPr>
        <w:ind w:firstLine="480"/>
        <w:rPr>
          <w:rFonts w:ascii="楷体" w:hAnsi="楷体" w:cs="楷体"/>
          <w:highlight w:val="none"/>
        </w:rPr>
      </w:pPr>
      <w:r>
        <w:rPr>
          <w:rFonts w:hint="eastAsia" w:ascii="楷体" w:hAnsi="楷体" w:cs="楷体"/>
          <w:highlight w:val="none"/>
          <w:lang w:val="en-US" w:eastAsia="zh-CN"/>
        </w:rPr>
        <w:t>12</w:t>
      </w:r>
      <w:r>
        <w:rPr>
          <w:rFonts w:hint="eastAsia" w:ascii="楷体" w:hAnsi="楷体" w:cs="楷体"/>
          <w:highlight w:val="none"/>
        </w:rPr>
        <w:t>-2</w:t>
      </w:r>
      <w:r>
        <w:rPr>
          <w:rFonts w:hint="eastAsia" w:ascii="楷体" w:hAnsi="楷体" w:cs="楷体"/>
          <w:highlight w:val="none"/>
          <w:lang w:val="en-US" w:eastAsia="zh-CN"/>
        </w:rPr>
        <w:t xml:space="preserve"> </w:t>
      </w:r>
      <w:r>
        <w:rPr>
          <w:rFonts w:hint="eastAsia" w:ascii="楷体" w:hAnsi="楷体" w:cs="楷体"/>
          <w:highlight w:val="none"/>
        </w:rPr>
        <w:t>供应商在提交响应文件截止时间前，可以对所提交的响应文件进行补充、修改或者撤回，并书面通知采购人、采购代理机构。补充、修改的内容应当按</w:t>
      </w:r>
      <w:r>
        <w:rPr>
          <w:rFonts w:hint="eastAsia" w:ascii="楷体" w:hAnsi="楷体" w:cs="楷体"/>
          <w:highlight w:val="none"/>
          <w:lang w:eastAsia="zh-CN"/>
        </w:rPr>
        <w:t>谈判</w:t>
      </w:r>
      <w:r>
        <w:rPr>
          <w:rFonts w:hint="eastAsia" w:ascii="楷体" w:hAnsi="楷体" w:cs="楷体"/>
          <w:highlight w:val="none"/>
        </w:rPr>
        <w:t>文件要求签署、盖章，并作为响应文件的组成部分。补充、修改的内容与响应文件不一致的，以补充、修改的内容为准。</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、响应活动中，有下列情形之一的，视为供应商串通响应，其响应无效：</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-1</w:t>
      </w:r>
      <w:r>
        <w:rPr>
          <w:rFonts w:hint="eastAsia" w:ascii="楷体" w:hAnsi="楷体" w:cs="楷体"/>
          <w:highlight w:val="none"/>
          <w:lang w:val="en-US" w:eastAsia="zh-CN"/>
        </w:rPr>
        <w:t xml:space="preserve"> </w:t>
      </w:r>
      <w:r>
        <w:rPr>
          <w:rFonts w:hint="eastAsia" w:ascii="楷体" w:hAnsi="楷体" w:cs="楷体"/>
          <w:highlight w:val="none"/>
        </w:rPr>
        <w:t>不同供应商的响应文件由同一单位或者个人编制；</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-2</w:t>
      </w:r>
      <w:r>
        <w:rPr>
          <w:rFonts w:hint="eastAsia" w:ascii="楷体" w:hAnsi="楷体" w:cs="楷体"/>
          <w:highlight w:val="none"/>
          <w:lang w:val="en-US" w:eastAsia="zh-CN"/>
        </w:rPr>
        <w:t xml:space="preserve"> </w:t>
      </w:r>
      <w:r>
        <w:rPr>
          <w:rFonts w:hint="eastAsia" w:ascii="楷体" w:hAnsi="楷体" w:cs="楷体"/>
          <w:highlight w:val="none"/>
        </w:rPr>
        <w:t>不同供应商委托同一单位或者个人办理响应事宜；</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-3</w:t>
      </w:r>
      <w:r>
        <w:rPr>
          <w:rFonts w:hint="eastAsia" w:ascii="楷体" w:hAnsi="楷体" w:cs="楷体"/>
          <w:highlight w:val="none"/>
          <w:lang w:val="en-US" w:eastAsia="zh-CN"/>
        </w:rPr>
        <w:t xml:space="preserve"> </w:t>
      </w:r>
      <w:r>
        <w:rPr>
          <w:rFonts w:hint="eastAsia" w:ascii="楷体" w:hAnsi="楷体" w:cs="楷体"/>
          <w:highlight w:val="none"/>
        </w:rPr>
        <w:t>不同供应商的响应文件载明的项目管理成员或者联系人员为同一人；</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-4</w:t>
      </w:r>
      <w:r>
        <w:rPr>
          <w:rFonts w:hint="eastAsia" w:ascii="楷体" w:hAnsi="楷体" w:cs="楷体"/>
          <w:highlight w:val="none"/>
          <w:lang w:val="en-US" w:eastAsia="zh-CN"/>
        </w:rPr>
        <w:t xml:space="preserve"> </w:t>
      </w:r>
      <w:r>
        <w:rPr>
          <w:rFonts w:hint="eastAsia" w:ascii="楷体" w:hAnsi="楷体" w:cs="楷体"/>
          <w:highlight w:val="none"/>
        </w:rPr>
        <w:t>不同供应商的响应文件异常一致或者</w:t>
      </w:r>
      <w:r>
        <w:rPr>
          <w:rFonts w:hint="eastAsia" w:ascii="楷体" w:hAnsi="楷体" w:cs="楷体"/>
          <w:highlight w:val="none"/>
          <w:lang w:eastAsia="zh-CN"/>
        </w:rPr>
        <w:t>谈判</w:t>
      </w:r>
      <w:r>
        <w:rPr>
          <w:rFonts w:hint="eastAsia" w:ascii="楷体" w:hAnsi="楷体" w:cs="楷体"/>
          <w:highlight w:val="none"/>
        </w:rPr>
        <w:t>报价呈规律性差异；</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-5</w:t>
      </w:r>
      <w:r>
        <w:rPr>
          <w:rFonts w:hint="eastAsia" w:ascii="楷体" w:hAnsi="楷体" w:cs="楷体"/>
          <w:highlight w:val="none"/>
          <w:lang w:val="en-US" w:eastAsia="zh-CN"/>
        </w:rPr>
        <w:t xml:space="preserve"> </w:t>
      </w:r>
      <w:r>
        <w:rPr>
          <w:rFonts w:hint="eastAsia" w:ascii="楷体" w:hAnsi="楷体" w:cs="楷体"/>
          <w:highlight w:val="none"/>
        </w:rPr>
        <w:t>不同供应商的响应文件相互混装。</w:t>
      </w:r>
    </w:p>
    <w:p>
      <w:pPr>
        <w:ind w:firstLine="480"/>
        <w:rPr>
          <w:rFonts w:ascii="楷体" w:hAnsi="楷体"/>
          <w:highlight w:val="none"/>
        </w:rPr>
      </w:pPr>
      <w:r>
        <w:rPr>
          <w:rFonts w:hint="eastAsia" w:ascii="楷体" w:hAnsi="楷体" w:cs="楷体"/>
          <w:highlight w:val="none"/>
          <w:lang w:val="en-US" w:eastAsia="zh-CN"/>
        </w:rPr>
        <w:t>14</w:t>
      </w:r>
      <w:r>
        <w:rPr>
          <w:rFonts w:hint="eastAsia" w:ascii="楷体" w:hAnsi="楷体" w:cs="楷体"/>
          <w:highlight w:val="none"/>
        </w:rPr>
        <w:t>、响应文件中提供虚假证明，开具虚假资质，出现虚假应答或故意隐瞒行为，按无效响应处理。</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报价</w:t>
      </w:r>
    </w:p>
    <w:p>
      <w:pPr>
        <w:ind w:firstLine="480"/>
        <w:rPr>
          <w:rFonts w:hint="eastAsia"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 xml:space="preserve">1 </w:t>
      </w:r>
      <w:r>
        <w:rPr>
          <w:rFonts w:hint="eastAsia" w:ascii="楷体" w:hAnsi="楷体" w:cs="楷体"/>
          <w:highlight w:val="none"/>
        </w:rPr>
        <w:t>供应商应按照</w:t>
      </w:r>
      <w:r>
        <w:rPr>
          <w:rFonts w:hint="eastAsia" w:ascii="楷体" w:hAnsi="楷体" w:cs="楷体"/>
          <w:highlight w:val="none"/>
          <w:lang w:eastAsia="zh-CN"/>
        </w:rPr>
        <w:t>谈判</w:t>
      </w:r>
      <w:r>
        <w:rPr>
          <w:rFonts w:hint="eastAsia" w:ascii="楷体" w:hAnsi="楷体" w:cs="楷体"/>
          <w:highlight w:val="none"/>
        </w:rPr>
        <w:t>文件规定的</w:t>
      </w:r>
      <w:r>
        <w:rPr>
          <w:rFonts w:hint="eastAsia" w:ascii="楷体" w:hAnsi="楷体" w:cs="楷体"/>
          <w:highlight w:val="none"/>
          <w:lang w:val="en-US" w:eastAsia="zh-CN"/>
        </w:rPr>
        <w:t>技术</w:t>
      </w:r>
      <w:r>
        <w:rPr>
          <w:rFonts w:hint="eastAsia" w:ascii="楷体" w:hAnsi="楷体" w:cs="楷体"/>
          <w:highlight w:val="none"/>
        </w:rPr>
        <w:t>要求，责任范围和合同条件进行报价，在响应文件中的</w:t>
      </w:r>
      <w:r>
        <w:rPr>
          <w:rFonts w:hint="eastAsia" w:ascii="楷体" w:hAnsi="楷体" w:cs="楷体"/>
          <w:highlight w:val="none"/>
          <w:lang w:eastAsia="zh-CN"/>
        </w:rPr>
        <w:t>谈判</w:t>
      </w:r>
      <w:r>
        <w:rPr>
          <w:rFonts w:hint="eastAsia" w:ascii="楷体" w:hAnsi="楷体" w:cs="楷体"/>
          <w:highlight w:val="none"/>
        </w:rPr>
        <w:t>报价一览表上按要求标明</w:t>
      </w:r>
      <w:r>
        <w:rPr>
          <w:rFonts w:hint="eastAsia" w:ascii="楷体" w:hAnsi="楷体" w:cs="楷体"/>
          <w:highlight w:val="none"/>
          <w:lang w:eastAsia="zh-CN"/>
        </w:rPr>
        <w:t>谈判</w:t>
      </w:r>
      <w:r>
        <w:rPr>
          <w:rFonts w:hint="eastAsia" w:ascii="楷体" w:hAnsi="楷体" w:cs="楷体"/>
          <w:highlight w:val="none"/>
        </w:rPr>
        <w:t>报价、</w:t>
      </w:r>
      <w:r>
        <w:rPr>
          <w:rFonts w:hint="eastAsia" w:ascii="楷体" w:hAnsi="楷体" w:cs="楷体"/>
          <w:highlight w:val="none"/>
          <w:lang w:val="en-US" w:eastAsia="zh-CN"/>
        </w:rPr>
        <w:t>交货期、质保期</w:t>
      </w:r>
      <w:r>
        <w:rPr>
          <w:rFonts w:hint="eastAsia" w:ascii="楷体" w:hAnsi="楷体" w:cs="楷体"/>
          <w:highlight w:val="none"/>
        </w:rPr>
        <w:t>等项，任何有选择的报价采购代理机构不予接受。</w:t>
      </w:r>
    </w:p>
    <w:p>
      <w:pPr>
        <w:ind w:firstLine="480"/>
        <w:rPr>
          <w:rFonts w:hint="eastAsia" w:ascii="楷体" w:hAnsi="楷体" w:cs="楷体"/>
          <w:highlight w:val="none"/>
          <w:lang w:val="zh-CN"/>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 xml:space="preserve">2 </w:t>
      </w:r>
      <w:r>
        <w:rPr>
          <w:rFonts w:hint="eastAsia" w:ascii="楷体" w:hAnsi="楷体" w:cs="楷体"/>
          <w:highlight w:val="none"/>
          <w:lang w:val="zh-CN"/>
        </w:rPr>
        <w:t>谈判报价是完成合同约定</w:t>
      </w:r>
      <w:r>
        <w:rPr>
          <w:rFonts w:hint="eastAsia" w:ascii="楷体" w:hAnsi="楷体" w:cs="楷体"/>
          <w:highlight w:val="none"/>
          <w:lang w:val="zh-CN" w:eastAsia="zh-CN"/>
        </w:rPr>
        <w:t>供货</w:t>
      </w:r>
      <w:r>
        <w:rPr>
          <w:rFonts w:hint="eastAsia" w:ascii="楷体" w:hAnsi="楷体" w:cs="楷体"/>
          <w:highlight w:val="none"/>
          <w:lang w:val="zh-CN"/>
        </w:rPr>
        <w:t>期内全部供货和服务内容可能发生的全部费用。包含但不仅限于：货物的采购、包装、运输、各种保险、利润、采购代理服务费及其它相关的一切费用，同时还应充分考虑为完成本项目所需的一切成本、利润、税金和风险。</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 xml:space="preserve">3 </w:t>
      </w:r>
      <w:r>
        <w:rPr>
          <w:rFonts w:hint="eastAsia" w:ascii="楷体" w:hAnsi="楷体" w:cs="楷体"/>
          <w:highlight w:val="none"/>
        </w:rPr>
        <w:t>首次</w:t>
      </w:r>
      <w:r>
        <w:rPr>
          <w:rFonts w:hint="eastAsia" w:ascii="楷体" w:hAnsi="楷体" w:cs="楷体"/>
          <w:highlight w:val="none"/>
          <w:lang w:eastAsia="zh-CN"/>
        </w:rPr>
        <w:t>谈判</w:t>
      </w:r>
      <w:r>
        <w:rPr>
          <w:rFonts w:hint="eastAsia" w:ascii="楷体" w:hAnsi="楷体" w:cs="楷体"/>
          <w:highlight w:val="none"/>
        </w:rPr>
        <w:t>报价随响应文件提交；最后</w:t>
      </w:r>
      <w:r>
        <w:rPr>
          <w:rFonts w:hint="eastAsia" w:ascii="楷体" w:hAnsi="楷体" w:cs="楷体"/>
          <w:highlight w:val="none"/>
          <w:lang w:eastAsia="zh-CN"/>
        </w:rPr>
        <w:t>谈判</w:t>
      </w:r>
      <w:r>
        <w:rPr>
          <w:rFonts w:hint="eastAsia" w:ascii="楷体" w:hAnsi="楷体" w:cs="楷体"/>
          <w:highlight w:val="none"/>
        </w:rPr>
        <w:t>报价在</w:t>
      </w:r>
      <w:r>
        <w:rPr>
          <w:rFonts w:hint="eastAsia" w:ascii="楷体" w:hAnsi="楷体" w:cs="楷体"/>
          <w:highlight w:val="none"/>
          <w:lang w:eastAsia="zh-CN"/>
        </w:rPr>
        <w:t>谈判</w:t>
      </w:r>
      <w:r>
        <w:rPr>
          <w:rFonts w:hint="eastAsia" w:ascii="楷体" w:hAnsi="楷体" w:cs="楷体"/>
          <w:highlight w:val="none"/>
        </w:rPr>
        <w:t>过程中提交，各供应商最后</w:t>
      </w:r>
      <w:r>
        <w:rPr>
          <w:rFonts w:hint="eastAsia" w:ascii="楷体" w:hAnsi="楷体" w:cs="楷体"/>
          <w:highlight w:val="none"/>
          <w:lang w:eastAsia="zh-CN"/>
        </w:rPr>
        <w:t>谈判</w:t>
      </w:r>
      <w:r>
        <w:rPr>
          <w:rFonts w:hint="eastAsia" w:ascii="楷体" w:hAnsi="楷体" w:cs="楷体"/>
          <w:highlight w:val="none"/>
        </w:rPr>
        <w:t>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lang w:val="en-US" w:eastAsia="zh-CN"/>
        </w:rPr>
        <w:t>15</w:t>
      </w:r>
      <w:r>
        <w:rPr>
          <w:rFonts w:hint="eastAsia" w:ascii="楷体" w:hAnsi="楷体" w:cs="楷体"/>
          <w:color w:val="auto"/>
          <w:highlight w:val="none"/>
        </w:rPr>
        <w:t>-</w:t>
      </w:r>
      <w:r>
        <w:rPr>
          <w:rFonts w:hint="eastAsia" w:ascii="楷体" w:hAnsi="楷体" w:cs="楷体"/>
          <w:color w:val="auto"/>
          <w:highlight w:val="none"/>
          <w:lang w:val="en-US" w:eastAsia="zh-CN"/>
        </w:rPr>
        <w:t xml:space="preserve">4 </w:t>
      </w:r>
      <w:r>
        <w:rPr>
          <w:rFonts w:hint="eastAsia" w:ascii="楷体" w:hAnsi="楷体" w:cs="楷体"/>
          <w:color w:val="auto"/>
          <w:highlight w:val="none"/>
        </w:rPr>
        <w:t>最后</w:t>
      </w:r>
      <w:r>
        <w:rPr>
          <w:rFonts w:hint="eastAsia" w:ascii="楷体" w:hAnsi="楷体" w:cs="楷体"/>
          <w:color w:val="auto"/>
          <w:highlight w:val="none"/>
          <w:lang w:eastAsia="zh-CN"/>
        </w:rPr>
        <w:t>谈判</w:t>
      </w:r>
      <w:r>
        <w:rPr>
          <w:rFonts w:hint="eastAsia" w:ascii="楷体" w:hAnsi="楷体" w:cs="楷体"/>
          <w:color w:val="auto"/>
          <w:highlight w:val="none"/>
        </w:rPr>
        <w:t>报价，在采购内容无实质性变更下，不得高于首次</w:t>
      </w:r>
      <w:r>
        <w:rPr>
          <w:rFonts w:hint="eastAsia" w:ascii="楷体" w:hAnsi="楷体" w:cs="楷体"/>
          <w:color w:val="auto"/>
          <w:highlight w:val="none"/>
          <w:lang w:eastAsia="zh-CN"/>
        </w:rPr>
        <w:t>谈判</w:t>
      </w:r>
      <w:r>
        <w:rPr>
          <w:rFonts w:hint="eastAsia" w:ascii="楷体" w:hAnsi="楷体" w:cs="楷体"/>
          <w:color w:val="auto"/>
          <w:highlight w:val="none"/>
        </w:rPr>
        <w:t>报价。对于差异较大的报价，须作出明确的说明。</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 xml:space="preserve">5 </w:t>
      </w:r>
      <w:r>
        <w:rPr>
          <w:rFonts w:hint="eastAsia" w:ascii="楷体" w:hAnsi="楷体" w:cs="楷体"/>
          <w:highlight w:val="none"/>
          <w:lang w:eastAsia="zh-CN"/>
        </w:rPr>
        <w:t>谈判</w:t>
      </w:r>
      <w:r>
        <w:rPr>
          <w:rFonts w:hint="eastAsia" w:ascii="楷体" w:hAnsi="楷体" w:cs="楷体"/>
          <w:highlight w:val="none"/>
        </w:rPr>
        <w:t>报价超出采购预算的供应商不进入</w:t>
      </w:r>
      <w:r>
        <w:rPr>
          <w:rFonts w:hint="eastAsia" w:ascii="楷体" w:hAnsi="楷体" w:cs="楷体"/>
          <w:highlight w:val="none"/>
          <w:lang w:eastAsia="zh-CN"/>
        </w:rPr>
        <w:t>谈判</w:t>
      </w:r>
      <w:r>
        <w:rPr>
          <w:rFonts w:hint="eastAsia" w:ascii="楷体" w:hAnsi="楷体" w:cs="楷体"/>
          <w:highlight w:val="none"/>
        </w:rPr>
        <w:t>程序。</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 xml:space="preserve">6 </w:t>
      </w:r>
      <w:r>
        <w:rPr>
          <w:rFonts w:hint="eastAsia" w:ascii="楷体" w:hAnsi="楷体" w:cs="楷体"/>
          <w:highlight w:val="none"/>
          <w:lang w:eastAsia="zh-CN"/>
        </w:rPr>
        <w:t>谈判</w:t>
      </w:r>
      <w:r>
        <w:rPr>
          <w:rFonts w:hint="eastAsia" w:ascii="楷体" w:hAnsi="楷体" w:cs="楷体"/>
          <w:highlight w:val="none"/>
        </w:rPr>
        <w:t>最终报价表中标明的价格为合同最终价格，在合同执行过程中，不得以任何理由变更。</w:t>
      </w:r>
    </w:p>
    <w:p>
      <w:pPr>
        <w:ind w:firstLine="480"/>
        <w:rPr>
          <w:rFonts w:ascii="楷体" w:hAnsi="楷体" w:cs="楷体"/>
          <w:highlight w:val="none"/>
        </w:rPr>
      </w:pPr>
      <w:r>
        <w:rPr>
          <w:rFonts w:hint="eastAsia" w:ascii="楷体" w:hAnsi="楷体" w:cs="楷体"/>
          <w:highlight w:val="none"/>
          <w:lang w:val="en-US" w:eastAsia="zh-CN"/>
        </w:rPr>
        <w:t>16</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过程中所产生的一切费用应由供应商自行承担。</w:t>
      </w:r>
    </w:p>
    <w:p>
      <w:pPr>
        <w:ind w:firstLine="480"/>
        <w:rPr>
          <w:rFonts w:ascii="楷体" w:hAnsi="楷体" w:cs="楷体"/>
          <w:highlight w:val="none"/>
        </w:rPr>
      </w:pPr>
      <w:r>
        <w:rPr>
          <w:rFonts w:hint="eastAsia" w:ascii="楷体" w:hAnsi="楷体" w:cs="楷体"/>
          <w:highlight w:val="none"/>
          <w:lang w:val="en-US" w:eastAsia="zh-CN"/>
        </w:rPr>
        <w:t>17</w:t>
      </w:r>
      <w:r>
        <w:rPr>
          <w:rFonts w:hint="eastAsia" w:ascii="楷体" w:hAnsi="楷体" w:cs="楷体"/>
          <w:highlight w:val="none"/>
        </w:rPr>
        <w:t>、凡因供应商对</w:t>
      </w:r>
      <w:r>
        <w:rPr>
          <w:rFonts w:hint="eastAsia" w:ascii="楷体" w:hAnsi="楷体" w:cs="楷体"/>
          <w:highlight w:val="none"/>
          <w:lang w:eastAsia="zh-CN"/>
        </w:rPr>
        <w:t>谈判</w:t>
      </w:r>
      <w:r>
        <w:rPr>
          <w:rFonts w:hint="eastAsia" w:ascii="楷体" w:hAnsi="楷体" w:cs="楷体"/>
          <w:highlight w:val="none"/>
        </w:rPr>
        <w:t>文件阅读不深、理解不透、误解、疏漏、或因市场行情了解不清造成的后果和风险均由供应商自行负责。</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-1</w:t>
      </w:r>
      <w:r>
        <w:rPr>
          <w:rFonts w:hint="eastAsia" w:ascii="楷体" w:hAnsi="楷体" w:cs="楷体"/>
          <w:highlight w:val="none"/>
          <w:lang w:val="en-US" w:eastAsia="zh-CN"/>
        </w:rPr>
        <w:t xml:space="preserve"> </w:t>
      </w:r>
      <w:r>
        <w:rPr>
          <w:rFonts w:hint="eastAsia" w:ascii="楷体" w:hAnsi="楷体" w:cs="楷体"/>
          <w:highlight w:val="none"/>
        </w:rPr>
        <w:t>供应商在提交响应文件截止时间后撤回响应文件的；</w:t>
      </w:r>
    </w:p>
    <w:p>
      <w:pPr>
        <w:ind w:firstLine="480"/>
        <w:rPr>
          <w:rFonts w:ascii="楷体" w:hAnsi="楷体" w:cs="楷体"/>
          <w:highlight w:val="lightGray"/>
        </w:rPr>
      </w:pPr>
      <w:r>
        <w:rPr>
          <w:rFonts w:hint="eastAsia" w:ascii="楷体" w:hAnsi="楷体" w:cs="楷体"/>
          <w:highlight w:val="none"/>
          <w:lang w:val="en-US" w:eastAsia="zh-CN"/>
        </w:rPr>
        <w:t>18</w:t>
      </w:r>
      <w:r>
        <w:rPr>
          <w:rFonts w:hint="eastAsia" w:ascii="楷体" w:hAnsi="楷体" w:cs="楷体"/>
          <w:highlight w:val="none"/>
        </w:rPr>
        <w:t>-2</w:t>
      </w:r>
      <w:r>
        <w:rPr>
          <w:rFonts w:hint="eastAsia" w:ascii="楷体" w:hAnsi="楷体" w:cs="楷体"/>
          <w:highlight w:val="none"/>
          <w:lang w:val="en-US" w:eastAsia="zh-CN"/>
        </w:rPr>
        <w:t xml:space="preserve"> </w:t>
      </w:r>
      <w:r>
        <w:rPr>
          <w:rFonts w:hint="eastAsia" w:ascii="楷体" w:hAnsi="楷体" w:cs="楷体"/>
          <w:highlight w:val="none"/>
        </w:rPr>
        <w:t>供应商在响应文件中提供虚假材料的；</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-3</w:t>
      </w:r>
      <w:r>
        <w:rPr>
          <w:rFonts w:hint="eastAsia" w:ascii="楷体" w:hAnsi="楷体" w:cs="楷体"/>
          <w:highlight w:val="none"/>
          <w:lang w:val="en-US" w:eastAsia="zh-CN"/>
        </w:rPr>
        <w:t xml:space="preserve"> </w:t>
      </w:r>
      <w:r>
        <w:rPr>
          <w:rFonts w:hint="eastAsia" w:ascii="楷体" w:hAnsi="楷体" w:cs="楷体"/>
          <w:highlight w:val="none"/>
        </w:rPr>
        <w:t>供应商与采购人、其他供应商或者采购代理机构恶意串通的；或向</w:t>
      </w:r>
      <w:r>
        <w:rPr>
          <w:rFonts w:hint="eastAsia" w:ascii="楷体" w:hAnsi="楷体" w:cs="楷体"/>
          <w:highlight w:val="none"/>
          <w:lang w:eastAsia="zh-CN"/>
        </w:rPr>
        <w:t>谈判</w:t>
      </w:r>
      <w:r>
        <w:rPr>
          <w:rFonts w:hint="eastAsia" w:ascii="楷体" w:hAnsi="楷体" w:cs="楷体"/>
          <w:highlight w:val="none"/>
        </w:rPr>
        <w:t>小组成员行贿或者提供其他不正当利益；</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-4</w:t>
      </w:r>
      <w:r>
        <w:rPr>
          <w:rFonts w:hint="eastAsia" w:ascii="楷体" w:hAnsi="楷体" w:cs="楷体"/>
          <w:highlight w:val="none"/>
          <w:lang w:val="en-US" w:eastAsia="zh-CN"/>
        </w:rPr>
        <w:t xml:space="preserve"> </w:t>
      </w:r>
      <w:r>
        <w:rPr>
          <w:rFonts w:hint="eastAsia" w:ascii="楷体" w:hAnsi="楷体" w:cs="楷体"/>
          <w:highlight w:val="none"/>
        </w:rPr>
        <w:t>除因不可抗力或</w:t>
      </w:r>
      <w:r>
        <w:rPr>
          <w:rFonts w:hint="eastAsia" w:ascii="楷体" w:hAnsi="楷体" w:cs="楷体"/>
          <w:highlight w:val="none"/>
          <w:lang w:eastAsia="zh-CN"/>
        </w:rPr>
        <w:t>谈判</w:t>
      </w:r>
      <w:r>
        <w:rPr>
          <w:rFonts w:hint="eastAsia" w:ascii="楷体" w:hAnsi="楷体" w:cs="楷体"/>
          <w:highlight w:val="none"/>
        </w:rPr>
        <w:t>文件认可的情形以外，成交供应商不与采购人签订合同的；或未按照采购文件确定的事项签订政府采购合同；</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-5</w:t>
      </w:r>
      <w:r>
        <w:rPr>
          <w:rFonts w:hint="eastAsia" w:ascii="楷体" w:hAnsi="楷体" w:cs="楷体"/>
          <w:highlight w:val="none"/>
          <w:lang w:val="en-US" w:eastAsia="zh-CN"/>
        </w:rPr>
        <w:t xml:space="preserve"> </w:t>
      </w:r>
      <w:r>
        <w:rPr>
          <w:rFonts w:hint="eastAsia" w:ascii="楷体" w:hAnsi="楷体" w:cs="楷体"/>
          <w:highlight w:val="none"/>
        </w:rPr>
        <w:t>成交供应商将政府采购合同转包；或者在响应文件中未说明，且未经采购人同意，将成交项目分包给他人的；</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-6</w:t>
      </w:r>
      <w:r>
        <w:rPr>
          <w:rFonts w:hint="eastAsia" w:ascii="楷体" w:hAnsi="楷体" w:cs="楷体"/>
          <w:highlight w:val="none"/>
          <w:lang w:val="en-US" w:eastAsia="zh-CN"/>
        </w:rPr>
        <w:t xml:space="preserve"> </w:t>
      </w:r>
      <w:r>
        <w:rPr>
          <w:rFonts w:hint="eastAsia" w:ascii="楷体" w:hAnsi="楷体" w:cs="楷体"/>
          <w:highlight w:val="none"/>
        </w:rPr>
        <w:t>成交供应商拒绝履行合同义务的；或提供假冒伪劣产品；</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-7</w:t>
      </w:r>
      <w:r>
        <w:rPr>
          <w:rFonts w:hint="eastAsia" w:ascii="楷体" w:hAnsi="楷体" w:cs="楷体"/>
          <w:highlight w:val="none"/>
          <w:lang w:val="en-US" w:eastAsia="zh-CN"/>
        </w:rPr>
        <w:t xml:space="preserve"> </w:t>
      </w:r>
      <w:r>
        <w:rPr>
          <w:rFonts w:hint="eastAsia" w:ascii="楷体" w:hAnsi="楷体" w:cs="楷体"/>
          <w:highlight w:val="none"/>
        </w:rPr>
        <w:t>成交供应商擅自变更、中止或者终止政府采购合同。</w:t>
      </w:r>
    </w:p>
    <w:p>
      <w:pPr>
        <w:widowControl/>
        <w:ind w:firstLine="480"/>
        <w:jc w:val="left"/>
        <w:rPr>
          <w:rFonts w:ascii="楷体" w:hAnsi="楷体" w:cs="楷体"/>
          <w:highlight w:val="none"/>
        </w:rPr>
      </w:pPr>
      <w:r>
        <w:rPr>
          <w:rFonts w:hint="eastAsia" w:ascii="楷体" w:hAnsi="楷体" w:cs="楷体"/>
          <w:highlight w:val="none"/>
          <w:lang w:val="en-US" w:eastAsia="zh-CN"/>
        </w:rPr>
        <w:t>19</w:t>
      </w:r>
      <w:r>
        <w:rPr>
          <w:rFonts w:hint="eastAsia" w:ascii="楷体" w:hAnsi="楷体" w:cs="楷体"/>
          <w:highlight w:val="none"/>
        </w:rPr>
        <w:t>、响应有效期</w:t>
      </w:r>
    </w:p>
    <w:p>
      <w:pPr>
        <w:ind w:firstLine="480"/>
        <w:rPr>
          <w:rFonts w:ascii="楷体" w:hAnsi="楷体" w:cs="楷体"/>
          <w:highlight w:val="none"/>
        </w:rPr>
      </w:pPr>
      <w:r>
        <w:rPr>
          <w:rFonts w:hint="eastAsia" w:ascii="楷体" w:hAnsi="楷体" w:cs="楷体"/>
          <w:highlight w:val="none"/>
          <w:lang w:val="en-US" w:eastAsia="zh-CN"/>
        </w:rPr>
        <w:t>19</w:t>
      </w:r>
      <w:r>
        <w:rPr>
          <w:rFonts w:hint="eastAsia" w:ascii="楷体" w:hAnsi="楷体" w:cs="楷体"/>
          <w:highlight w:val="none"/>
        </w:rPr>
        <w:t>-1</w:t>
      </w:r>
      <w:r>
        <w:rPr>
          <w:rFonts w:hint="eastAsia" w:ascii="楷体" w:hAnsi="楷体" w:cs="楷体"/>
          <w:highlight w:val="none"/>
          <w:lang w:val="en-US" w:eastAsia="zh-CN"/>
        </w:rPr>
        <w:t xml:space="preserve"> </w:t>
      </w:r>
      <w:r>
        <w:rPr>
          <w:rFonts w:hint="eastAsia" w:ascii="楷体" w:hAnsi="楷体" w:cs="楷体"/>
          <w:highlight w:val="none"/>
        </w:rPr>
        <w:t>响应有效期从提交响应文件的截止之日起</w:t>
      </w:r>
      <w:r>
        <w:rPr>
          <w:rFonts w:hint="eastAsia" w:ascii="楷体" w:hAnsi="楷体" w:cs="楷体"/>
          <w:highlight w:val="none"/>
          <w:lang w:val="en-US" w:eastAsia="zh-CN"/>
        </w:rPr>
        <w:t>九十</w:t>
      </w:r>
      <w:r>
        <w:rPr>
          <w:rFonts w:hint="eastAsia" w:ascii="楷体" w:hAnsi="楷体" w:cs="楷体"/>
          <w:highlight w:val="none"/>
        </w:rPr>
        <w:t>（</w:t>
      </w:r>
      <w:r>
        <w:rPr>
          <w:rFonts w:hint="eastAsia" w:ascii="楷体" w:hAnsi="楷体" w:cs="楷体"/>
          <w:highlight w:val="none"/>
          <w:lang w:val="en-US" w:eastAsia="zh-CN"/>
        </w:rPr>
        <w:t>90</w:t>
      </w:r>
      <w:r>
        <w:rPr>
          <w:rFonts w:hint="eastAsia" w:ascii="楷体" w:hAnsi="楷体" w:cs="楷体"/>
          <w:highlight w:val="none"/>
        </w:rPr>
        <w:t>）个日历日。在有效期内，响应文件对供应商具有法律约束力，</w:t>
      </w:r>
      <w:r>
        <w:rPr>
          <w:rFonts w:hint="eastAsia" w:ascii="楷体" w:hAnsi="楷体" w:cs="楷体"/>
          <w:highlight w:val="none"/>
          <w:lang w:val="zh-CN"/>
        </w:rPr>
        <w:t>以保证采购人完成评审、确定成交供应商以及合同签订事项。</w:t>
      </w:r>
      <w:r>
        <w:rPr>
          <w:rFonts w:hint="eastAsia" w:ascii="楷体" w:hAnsi="楷体" w:cs="楷体"/>
          <w:highlight w:val="none"/>
        </w:rPr>
        <w:t>成交供应商的响应文件有效期自动延长至合同执行完毕。</w:t>
      </w:r>
    </w:p>
    <w:p>
      <w:pPr>
        <w:ind w:firstLine="480"/>
        <w:rPr>
          <w:rFonts w:ascii="楷体" w:hAnsi="楷体" w:cs="楷体"/>
          <w:highlight w:val="none"/>
        </w:rPr>
      </w:pPr>
      <w:r>
        <w:rPr>
          <w:rFonts w:hint="eastAsia" w:ascii="楷体" w:hAnsi="楷体" w:cs="楷体"/>
          <w:highlight w:val="none"/>
          <w:lang w:val="en-US" w:eastAsia="zh-CN"/>
        </w:rPr>
        <w:t>19</w:t>
      </w:r>
      <w:r>
        <w:rPr>
          <w:rFonts w:hint="eastAsia" w:ascii="楷体" w:hAnsi="楷体" w:cs="楷体"/>
          <w:highlight w:val="none"/>
        </w:rPr>
        <w:t>-2</w:t>
      </w:r>
      <w:r>
        <w:rPr>
          <w:rFonts w:hint="eastAsia" w:ascii="楷体" w:hAnsi="楷体" w:cs="楷体"/>
          <w:highlight w:val="none"/>
          <w:lang w:val="en-US" w:eastAsia="zh-CN"/>
        </w:rPr>
        <w:t xml:space="preserve"> </w:t>
      </w:r>
      <w:r>
        <w:rPr>
          <w:rFonts w:hint="eastAsia" w:ascii="楷体" w:hAnsi="楷体" w:cs="楷体"/>
          <w:highlight w:val="none"/>
        </w:rPr>
        <w:t>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w:t>
      </w:r>
      <w:r>
        <w:rPr>
          <w:rFonts w:hint="eastAsia" w:ascii="楷体" w:hAnsi="楷体" w:cs="楷体"/>
          <w:highlight w:val="none"/>
          <w:lang w:val="en-US" w:eastAsia="zh-CN"/>
        </w:rPr>
        <w:t>其响应继续有效</w:t>
      </w:r>
      <w:r>
        <w:rPr>
          <w:rFonts w:hint="eastAsia" w:ascii="楷体" w:hAnsi="楷体" w:cs="楷体"/>
          <w:highlight w:val="none"/>
        </w:rPr>
        <w:t>应，但不允许修改或撤回响应文件。</w:t>
      </w:r>
    </w:p>
    <w:p>
      <w:pPr>
        <w:pStyle w:val="4"/>
        <w:spacing w:line="360" w:lineRule="auto"/>
        <w:ind w:left="573"/>
        <w:rPr>
          <w:rFonts w:ascii="楷体" w:hAnsi="楷体"/>
        </w:rPr>
      </w:pPr>
      <w:r>
        <w:rPr>
          <w:rFonts w:hint="eastAsia" w:ascii="楷体" w:hAnsi="楷体"/>
        </w:rPr>
        <w:t>谈判小组</w:t>
      </w:r>
      <w:bookmarkEnd w:id="10"/>
    </w:p>
    <w:p>
      <w:pPr>
        <w:ind w:firstLine="480"/>
        <w:rPr>
          <w:rFonts w:ascii="楷体" w:hAnsi="楷体" w:cs="楷体"/>
        </w:rPr>
      </w:pPr>
      <w:r>
        <w:rPr>
          <w:rFonts w:hint="eastAsia" w:ascii="楷体" w:hAnsi="楷体" w:cs="楷体"/>
        </w:rPr>
        <w:t>1、采购代理机构负责组织谈判工作。</w:t>
      </w:r>
    </w:p>
    <w:p>
      <w:pPr>
        <w:ind w:firstLine="480"/>
        <w:rPr>
          <w:rFonts w:ascii="楷体" w:hAnsi="楷体" w:cs="楷体"/>
        </w:rPr>
      </w:pPr>
      <w:r>
        <w:rPr>
          <w:rFonts w:hint="eastAsia" w:ascii="楷体" w:hAnsi="楷体" w:cs="楷体"/>
        </w:rPr>
        <w:t>2、采购人或采购代理机构依法组建谈判小组，谈判小组由评审专家和采购人代表组成。</w:t>
      </w:r>
    </w:p>
    <w:p>
      <w:pPr>
        <w:ind w:firstLine="480"/>
        <w:rPr>
          <w:rFonts w:ascii="楷体" w:hAnsi="楷体" w:cs="楷体"/>
        </w:rPr>
      </w:pPr>
      <w:r>
        <w:rPr>
          <w:rFonts w:hint="eastAsia" w:ascii="楷体" w:hAnsi="楷体" w:cs="楷体"/>
        </w:rPr>
        <w:t>3、谈判小组负责具体谈判事务，并独立履行下列职责：</w:t>
      </w:r>
    </w:p>
    <w:p>
      <w:pPr>
        <w:ind w:firstLine="480"/>
        <w:rPr>
          <w:rFonts w:ascii="楷体" w:hAnsi="楷体" w:cs="楷体"/>
        </w:rPr>
      </w:pPr>
      <w:r>
        <w:rPr>
          <w:rFonts w:hint="eastAsia" w:ascii="楷体" w:hAnsi="楷体" w:cs="楷体"/>
        </w:rPr>
        <w:t>3-1确认谈判文件；</w:t>
      </w:r>
    </w:p>
    <w:p>
      <w:pPr>
        <w:ind w:firstLine="480"/>
        <w:rPr>
          <w:rFonts w:ascii="楷体" w:hAnsi="楷体" w:cs="楷体"/>
        </w:rPr>
      </w:pPr>
      <w:r>
        <w:rPr>
          <w:rFonts w:hint="eastAsia" w:ascii="楷体" w:hAnsi="楷体" w:cs="楷体"/>
        </w:rPr>
        <w:t>3-2确定符合资质条件的供应商参加谈判；</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3-4集中与单一供应商分别进行谈判；</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谈判会议</w:t>
      </w:r>
      <w:bookmarkEnd w:id="11"/>
    </w:p>
    <w:p>
      <w:pPr>
        <w:numPr>
          <w:ilvl w:val="0"/>
          <w:numId w:val="7"/>
        </w:numPr>
        <w:ind w:firstLine="480"/>
        <w:rPr>
          <w:rFonts w:ascii="楷体" w:hAnsi="楷体" w:cs="楷体"/>
        </w:rPr>
      </w:pPr>
      <w:r>
        <w:rPr>
          <w:rFonts w:hint="eastAsia" w:ascii="楷体" w:hAnsi="楷体" w:cs="楷体"/>
        </w:rPr>
        <w:t>在谈判文件规定的谈判时间和谈判地点，由采购代理机构主持谈判会议，供应商须委派代表参加，签名报到以证明其出席。</w:t>
      </w:r>
    </w:p>
    <w:p>
      <w:pPr>
        <w:numPr>
          <w:ilvl w:val="0"/>
          <w:numId w:val="7"/>
        </w:numPr>
        <w:ind w:firstLine="480"/>
        <w:rPr>
          <w:rFonts w:ascii="楷体" w:hAnsi="楷体" w:cs="楷体"/>
        </w:rPr>
      </w:pPr>
      <w:r>
        <w:rPr>
          <w:rFonts w:hint="eastAsia" w:ascii="楷体" w:hAnsi="楷体" w:cs="楷体"/>
        </w:rPr>
        <w:t>参加谈判会议的供应商的法定代表人或其授权代表应携带本人身份证原件、供应商资格要求相关材料的原件以备审核。</w:t>
      </w:r>
    </w:p>
    <w:p>
      <w:pPr>
        <w:numPr>
          <w:ilvl w:val="0"/>
          <w:numId w:val="7"/>
        </w:numPr>
        <w:ind w:firstLine="480"/>
        <w:rPr>
          <w:rFonts w:ascii="楷体" w:hAnsi="楷体" w:cs="楷体"/>
        </w:rPr>
      </w:pPr>
      <w:r>
        <w:rPr>
          <w:rFonts w:hint="eastAsia" w:ascii="楷体" w:hAnsi="楷体" w:cs="楷体"/>
        </w:rPr>
        <w:t>谈判时，由供应商或其推荐的代表与监督人共同检查响应文件的密封情况。</w:t>
      </w:r>
    </w:p>
    <w:p>
      <w:pPr>
        <w:numPr>
          <w:ilvl w:val="0"/>
          <w:numId w:val="7"/>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7"/>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7"/>
        </w:numPr>
        <w:ind w:firstLine="480"/>
        <w:rPr>
          <w:rFonts w:ascii="楷体" w:hAnsi="楷体" w:cs="楷体"/>
        </w:rPr>
      </w:pPr>
      <w:r>
        <w:rPr>
          <w:rFonts w:hint="eastAsia" w:ascii="楷体" w:hAnsi="楷体" w:cs="楷体"/>
        </w:rPr>
        <w:t>供应商对谈判会议过程若有异议，以及认为采购人、采购代理机构相关工作人员有需要回避的情形的，应当场提出询问或者回避申请。采购人、采购代理机构对供应商代表提出的询问或者回避申请及时处理。</w:t>
      </w:r>
    </w:p>
    <w:p>
      <w:pPr>
        <w:ind w:firstLine="480"/>
        <w:rPr>
          <w:rFonts w:ascii="楷体" w:hAnsi="楷体" w:cs="楷体"/>
        </w:rPr>
      </w:pPr>
      <w:r>
        <w:rPr>
          <w:rFonts w:hint="eastAsia" w:ascii="楷体" w:hAnsi="楷体" w:cs="楷体"/>
        </w:rPr>
        <w:t>7、供应商未参加谈判会议的，视同认可谈判结果。</w:t>
      </w:r>
    </w:p>
    <w:p>
      <w:pPr>
        <w:ind w:firstLine="480"/>
        <w:rPr>
          <w:rFonts w:ascii="楷体" w:hAnsi="楷体" w:cs="楷体"/>
        </w:rPr>
      </w:pPr>
      <w:r>
        <w:rPr>
          <w:rFonts w:hint="eastAsia" w:ascii="楷体" w:hAnsi="楷体" w:cs="楷体"/>
        </w:rPr>
        <w:t>8、采购人依法对供应商的资格进行审查。</w:t>
      </w:r>
    </w:p>
    <w:p>
      <w:pPr>
        <w:ind w:firstLine="480"/>
        <w:rPr>
          <w:rFonts w:ascii="楷体" w:hAnsi="楷体" w:cs="楷体"/>
        </w:rPr>
      </w:pPr>
      <w:r>
        <w:rPr>
          <w:rFonts w:hint="eastAsia" w:ascii="楷体" w:hAnsi="楷体" w:cs="楷体"/>
        </w:rPr>
        <w:t>8-1 响应文件中的资格证明文件出现下列情况者（但不限于），按无效响应处理：</w:t>
      </w:r>
    </w:p>
    <w:p>
      <w:pPr>
        <w:ind w:firstLine="480"/>
        <w:rPr>
          <w:rFonts w:ascii="楷体" w:hAnsi="楷体" w:cs="楷体"/>
        </w:rPr>
      </w:pPr>
      <w:r>
        <w:rPr>
          <w:rFonts w:hint="eastAsia" w:ascii="楷体" w:hAnsi="楷体" w:cs="楷体"/>
        </w:rPr>
        <w:t>8-1-1 供应商的名称与登记领取谈判文件单位的名称不符;</w:t>
      </w:r>
    </w:p>
    <w:p>
      <w:pPr>
        <w:ind w:firstLine="480"/>
        <w:rPr>
          <w:rFonts w:ascii="楷体" w:hAnsi="楷体" w:cs="楷体"/>
        </w:rPr>
      </w:pPr>
      <w:r>
        <w:rPr>
          <w:rFonts w:hint="eastAsia" w:ascii="楷体" w:hAnsi="楷体" w:cs="楷体"/>
        </w:rPr>
        <w:t>8-1-2 供应商承诺书的有效性或符合性不符合要求的;</w:t>
      </w:r>
    </w:p>
    <w:p>
      <w:pPr>
        <w:ind w:firstLine="480"/>
        <w:rPr>
          <w:rFonts w:ascii="楷体" w:hAnsi="楷体" w:cs="楷体"/>
        </w:rPr>
      </w:pPr>
      <w:r>
        <w:rPr>
          <w:rFonts w:hint="eastAsia" w:ascii="楷体" w:hAnsi="楷体" w:cs="楷体"/>
        </w:rPr>
        <w:t>8-1-3 谈判文件要求提交原件，而供应商未按要求提交的;</w:t>
      </w:r>
    </w:p>
    <w:p>
      <w:pPr>
        <w:ind w:firstLine="480"/>
        <w:rPr>
          <w:rFonts w:ascii="楷体" w:hAnsi="楷体" w:cs="楷体"/>
        </w:rPr>
      </w:pPr>
      <w:r>
        <w:rPr>
          <w:rFonts w:hint="eastAsia" w:ascii="楷体" w:hAnsi="楷体" w:cs="楷体"/>
        </w:rPr>
        <w:t>8-1-4 供应商资格证明文件的完整性、有效性或符合性不符合要求的。</w:t>
      </w:r>
    </w:p>
    <w:p>
      <w:pPr>
        <w:pStyle w:val="4"/>
        <w:spacing w:line="360" w:lineRule="auto"/>
        <w:ind w:left="573"/>
        <w:rPr>
          <w:rFonts w:ascii="楷体" w:hAnsi="楷体"/>
        </w:rPr>
      </w:pPr>
      <w:r>
        <w:rPr>
          <w:rFonts w:hint="eastAsia" w:ascii="楷体" w:hAnsi="楷体"/>
        </w:rPr>
        <w:t>谈判</w:t>
      </w:r>
    </w:p>
    <w:p>
      <w:pPr>
        <w:numPr>
          <w:ilvl w:val="0"/>
          <w:numId w:val="8"/>
        </w:numPr>
        <w:ind w:firstLine="480"/>
        <w:rPr>
          <w:rFonts w:ascii="楷体" w:hAnsi="楷体" w:cs="楷体"/>
        </w:rPr>
      </w:pPr>
      <w:r>
        <w:rPr>
          <w:rFonts w:hint="eastAsia" w:ascii="楷体" w:hAnsi="楷体" w:cs="楷体"/>
        </w:rPr>
        <w:t>依据谈判文件的规定，谈判小组对资格审查合格的响应文件的有效性、完整性和对谈判文件的响应程度进行审查，以确定是否对谈判文件的实质性内容作出响应。</w:t>
      </w:r>
    </w:p>
    <w:p>
      <w:pPr>
        <w:ind w:firstLine="480"/>
        <w:rPr>
          <w:rFonts w:ascii="楷体" w:hAnsi="楷体" w:cs="楷体"/>
        </w:rPr>
      </w:pPr>
      <w:r>
        <w:rPr>
          <w:rFonts w:hint="eastAsia" w:ascii="楷体" w:hAnsi="楷体" w:cs="楷体"/>
          <w:lang w:val="en-US" w:eastAsia="zh-CN"/>
        </w:rPr>
        <w:t>1</w:t>
      </w:r>
      <w:r>
        <w:rPr>
          <w:rFonts w:hint="eastAsia" w:ascii="楷体" w:hAnsi="楷体" w:cs="楷体"/>
        </w:rPr>
        <w:t>-1响应文件的符合性出现下列情况者（但不限于），按无效响应处理：</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-1-1响应文件未按谈判文件要求填写、签署、盖章的;</w:t>
      </w:r>
    </w:p>
    <w:p>
      <w:pPr>
        <w:ind w:firstLine="480"/>
        <w:rPr>
          <w:rFonts w:hint="default" w:ascii="楷体" w:hAnsi="楷体" w:cs="楷体"/>
          <w:b/>
          <w:bCs/>
          <w:highlight w:val="none"/>
          <w:lang w:val="en-US" w:eastAsia="zh-CN"/>
        </w:rPr>
      </w:pPr>
      <w:r>
        <w:rPr>
          <w:rFonts w:hint="eastAsia" w:ascii="楷体" w:hAnsi="楷体" w:cs="楷体"/>
          <w:lang w:val="en-US" w:eastAsia="zh-CN"/>
        </w:rPr>
        <w:t>1-1-2</w:t>
      </w:r>
      <w:r>
        <w:rPr>
          <w:rFonts w:hint="eastAsia" w:ascii="楷体" w:hAnsi="楷体" w:cs="楷体"/>
          <w:b w:val="0"/>
          <w:bCs w:val="0"/>
          <w:lang w:val="en-US" w:eastAsia="zh-CN"/>
        </w:rPr>
        <w:t>响应</w:t>
      </w:r>
      <w:r>
        <w:rPr>
          <w:rFonts w:hint="eastAsia" w:ascii="楷体" w:hAnsi="楷体" w:cs="楷体"/>
          <w:b w:val="0"/>
          <w:bCs w:val="0"/>
          <w:highlight w:val="none"/>
          <w:lang w:val="en-US" w:eastAsia="zh-CN"/>
        </w:rPr>
        <w:t>文件谈判报价超出采购预算或最高限价的;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3</w:t>
      </w:r>
      <w:r>
        <w:rPr>
          <w:rFonts w:hint="eastAsia" w:ascii="楷体" w:hAnsi="楷体" w:cs="楷体"/>
          <w:highlight w:val="none"/>
        </w:rPr>
        <w:t>供应商的报价</w:t>
      </w:r>
      <w:r>
        <w:rPr>
          <w:rFonts w:hint="eastAsia" w:ascii="楷体" w:hAnsi="楷体" w:cs="楷体"/>
          <w:highlight w:val="none"/>
          <w:lang w:val="zh-CN"/>
        </w:rPr>
        <w:t>与市场价偏离较大，低于成本，形成不正当竞争</w:t>
      </w:r>
      <w:r>
        <w:rPr>
          <w:rFonts w:hint="eastAsia" w:ascii="楷体" w:hAnsi="楷体" w:cs="楷体"/>
          <w:highlight w:val="none"/>
        </w:rPr>
        <w:t>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4</w:t>
      </w:r>
      <w:r>
        <w:rPr>
          <w:rFonts w:hint="eastAsia" w:ascii="楷体" w:hAnsi="楷体" w:cs="楷体"/>
          <w:highlight w:val="none"/>
        </w:rPr>
        <w:t>无响应有效期或有效期达不到谈判文件的要求；</w:t>
      </w:r>
    </w:p>
    <w:p>
      <w:pPr>
        <w:ind w:firstLine="480"/>
        <w:rPr>
          <w:rFonts w:ascii="楷体" w:hAnsi="楷体" w:cs="楷体"/>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5</w:t>
      </w:r>
      <w:r>
        <w:rPr>
          <w:rFonts w:hint="eastAsia" w:ascii="楷体" w:hAnsi="楷体" w:cs="楷体"/>
          <w:highlight w:val="none"/>
        </w:rPr>
        <w:t>响应文件的</w:t>
      </w:r>
      <w:r>
        <w:rPr>
          <w:rFonts w:hint="eastAsia" w:ascii="楷体" w:hAnsi="楷体" w:cs="楷体"/>
          <w:highlight w:val="none"/>
          <w:lang w:val="en-US" w:eastAsia="zh-CN"/>
        </w:rPr>
        <w:t>交货期、质保期、付款形式及要求、验收、售后服务等</w:t>
      </w:r>
      <w:r>
        <w:rPr>
          <w:rFonts w:hint="eastAsia" w:ascii="楷体" w:hAnsi="楷体" w:cs="楷体"/>
          <w:highlight w:val="none"/>
        </w:rPr>
        <w:t>，没有响应</w:t>
      </w:r>
      <w:r>
        <w:rPr>
          <w:rFonts w:hint="eastAsia" w:ascii="楷体" w:hAnsi="楷体" w:cs="楷体"/>
        </w:rPr>
        <w:t>谈判文件；</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w:t>
      </w:r>
      <w:r>
        <w:rPr>
          <w:rFonts w:hint="eastAsia" w:ascii="楷体" w:hAnsi="楷体" w:cs="楷体"/>
          <w:lang w:val="en-US" w:eastAsia="zh-CN"/>
        </w:rPr>
        <w:t>6</w:t>
      </w:r>
      <w:r>
        <w:rPr>
          <w:rFonts w:hint="eastAsia" w:ascii="楷体" w:hAnsi="楷体" w:cs="楷体"/>
        </w:rPr>
        <w:t>响应内容出现漏项或与采购要求不符，出现重大负偏差。</w:t>
      </w:r>
    </w:p>
    <w:p>
      <w:pPr>
        <w:pStyle w:val="2"/>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1-1-7 法律、法规和谈判文件规定的其他无效情形。</w:t>
      </w:r>
    </w:p>
    <w:p>
      <w:pPr>
        <w:ind w:firstLine="480"/>
        <w:rPr>
          <w:rFonts w:ascii="楷体" w:hAnsi="楷体" w:cs="楷体"/>
        </w:rPr>
      </w:pPr>
      <w:r>
        <w:rPr>
          <w:rFonts w:hint="eastAsia" w:ascii="楷体" w:hAnsi="楷体" w:cs="楷体"/>
          <w:lang w:val="en-US" w:eastAsia="zh-CN"/>
        </w:rPr>
        <w:t>2</w:t>
      </w:r>
      <w:r>
        <w:rPr>
          <w:rFonts w:hint="eastAsia" w:ascii="楷体" w:hAnsi="楷体" w:cs="楷体"/>
        </w:rPr>
        <w:t>、响应文件的澄清</w:t>
      </w:r>
    </w:p>
    <w:p>
      <w:pPr>
        <w:ind w:firstLine="480"/>
        <w:rPr>
          <w:rFonts w:ascii="楷体" w:hAnsi="楷体" w:cs="楷体"/>
        </w:rPr>
      </w:pPr>
      <w:r>
        <w:rPr>
          <w:rFonts w:hint="eastAsia" w:ascii="楷体" w:hAnsi="楷体" w:cs="楷体"/>
          <w:lang w:val="en-US" w:eastAsia="zh-CN"/>
        </w:rPr>
        <w:t>2</w:t>
      </w:r>
      <w:r>
        <w:rPr>
          <w:rFonts w:hint="eastAsia" w:ascii="楷体" w:hAnsi="楷体" w:cs="楷体"/>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lang w:val="en-US" w:eastAsia="zh-CN"/>
        </w:rPr>
        <w:t>2</w:t>
      </w:r>
      <w:r>
        <w:rPr>
          <w:rFonts w:hint="eastAsia" w:ascii="楷体" w:hAnsi="楷体" w:cs="楷体"/>
        </w:rPr>
        <w:t>-2谈判小组要求供应商澄清、说明或者更正响应文件应当以书面形式作出。供应商的澄清、说明或者更正应当由法定代表人或其授权代表签字或者加盖公章。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lang w:val="en-US" w:eastAsia="zh-CN"/>
        </w:rPr>
        <w:t>3</w:t>
      </w:r>
      <w:r>
        <w:rPr>
          <w:rFonts w:hint="eastAsia" w:ascii="楷体" w:hAnsi="楷体" w:cs="楷体"/>
        </w:rPr>
        <w:t>、谈判小组所有成员应当集中与单一供应商分别进行谈判，并给予所有参加谈判的供应商平等的谈判机会。</w:t>
      </w:r>
    </w:p>
    <w:p>
      <w:pPr>
        <w:ind w:firstLine="480"/>
        <w:rPr>
          <w:rFonts w:ascii="楷体" w:hAnsi="楷体" w:cs="楷体"/>
        </w:rPr>
      </w:pPr>
      <w:r>
        <w:rPr>
          <w:rFonts w:hint="eastAsia" w:ascii="楷体" w:hAnsi="楷体" w:cs="楷体"/>
          <w:lang w:val="en-US" w:eastAsia="zh-CN"/>
        </w:rPr>
        <w:t>4</w:t>
      </w:r>
      <w:r>
        <w:rPr>
          <w:rFonts w:hint="eastAsia" w:ascii="楷体" w:hAnsi="楷体" w:cs="楷体"/>
        </w:rPr>
        <w:t>、在谈判过程中，谈判小组可以根据谈判文件和谈判情况实质性变动采购需求中的技术、服务要求以及合同草案条款，但不得变动谈判文件中的其他内容。实质性变动的内容，须经采购人代表确认。</w:t>
      </w:r>
    </w:p>
    <w:p>
      <w:pPr>
        <w:ind w:firstLine="480"/>
        <w:rPr>
          <w:rFonts w:ascii="楷体" w:hAnsi="楷体" w:cs="楷体"/>
        </w:rPr>
      </w:pPr>
      <w:r>
        <w:rPr>
          <w:rFonts w:hint="eastAsia" w:ascii="楷体" w:hAnsi="楷体" w:cs="楷体"/>
          <w:lang w:val="en-US" w:eastAsia="zh-CN"/>
        </w:rPr>
        <w:t>5</w:t>
      </w:r>
      <w:r>
        <w:rPr>
          <w:rFonts w:hint="eastAsia" w:ascii="楷体" w:hAnsi="楷体" w:cs="楷体"/>
        </w:rPr>
        <w:t>、已提交响应文件的供应商，在提交最后报价之前，可以根据谈判情况退出谈判。</w:t>
      </w:r>
    </w:p>
    <w:p>
      <w:pPr>
        <w:ind w:firstLine="480"/>
        <w:rPr>
          <w:rFonts w:ascii="楷体" w:hAnsi="楷体" w:cs="楷体"/>
        </w:rPr>
      </w:pPr>
      <w:r>
        <w:rPr>
          <w:rFonts w:hint="eastAsia" w:ascii="楷体" w:hAnsi="楷体" w:cs="楷体"/>
          <w:lang w:val="en-US" w:eastAsia="zh-CN"/>
        </w:rPr>
        <w:t>6</w:t>
      </w:r>
      <w:r>
        <w:rPr>
          <w:rFonts w:hint="eastAsia" w:ascii="楷体" w:hAnsi="楷体" w:cs="楷体"/>
        </w:rPr>
        <w:t>、谈判结束后谈判小组应当要求所有实质性响应且继续参加谈判的供应商在规定时间内提交最后报价，该报价不予公开，提交最后报价的供应商不得少于3家。</w:t>
      </w:r>
    </w:p>
    <w:p>
      <w:pPr>
        <w:ind w:firstLine="480"/>
        <w:rPr>
          <w:rFonts w:ascii="楷体" w:hAnsi="楷体" w:cs="楷体"/>
        </w:rPr>
      </w:pPr>
      <w:r>
        <w:rPr>
          <w:rFonts w:hint="eastAsia" w:ascii="楷体" w:hAnsi="楷体" w:cs="楷体"/>
          <w:lang w:val="en-US" w:eastAsia="zh-CN"/>
        </w:rPr>
        <w:t>7</w:t>
      </w:r>
      <w:r>
        <w:rPr>
          <w:rFonts w:hint="eastAsia" w:ascii="楷体" w:hAnsi="楷体" w:cs="楷体"/>
        </w:rPr>
        <w:t>、经谈判确定最终采购需求和提交最后报价的供应商后，由谈判小组从质量和服务均能满足采购文件实质性响应要求的供应商中，按照最后报价由低到高的顺序提出3名成交候选供应商。</w:t>
      </w:r>
    </w:p>
    <w:p>
      <w:pPr>
        <w:ind w:firstLine="480"/>
        <w:rPr>
          <w:rFonts w:ascii="楷体" w:hAnsi="楷体" w:cs="楷体"/>
        </w:rPr>
      </w:pPr>
      <w:r>
        <w:rPr>
          <w:rFonts w:hint="eastAsia" w:ascii="楷体" w:hAnsi="楷体" w:cs="楷体"/>
          <w:lang w:val="en-US" w:eastAsia="zh-CN"/>
        </w:rPr>
        <w:t>8</w:t>
      </w:r>
      <w:r>
        <w:rPr>
          <w:rFonts w:hint="eastAsia" w:ascii="楷体" w:hAnsi="楷体" w:cs="楷体"/>
        </w:rPr>
        <w:t>、谈判小组在评审过程中，发现响应文件出现下列情况之一者，按以下原则修正，修正后的报价经供应商确认后产生约束力，供应商不确认的，其响应无效。</w:t>
      </w:r>
    </w:p>
    <w:p>
      <w:pPr>
        <w:ind w:firstLine="480"/>
        <w:rPr>
          <w:rFonts w:hint="eastAsia" w:ascii="楷体" w:hAnsi="楷体" w:cs="楷体"/>
          <w:lang w:val="en-US" w:eastAsia="zh-CN"/>
        </w:rPr>
      </w:pPr>
      <w:r>
        <w:rPr>
          <w:rFonts w:hint="eastAsia" w:ascii="楷体" w:hAnsi="楷体" w:cs="楷体"/>
          <w:lang w:val="en-US" w:eastAsia="zh-CN"/>
        </w:rPr>
        <w:t>8-1大写金额和小写金额不一致的，以大写金额为准；</w:t>
      </w:r>
    </w:p>
    <w:p>
      <w:pPr>
        <w:ind w:firstLine="480"/>
        <w:rPr>
          <w:rFonts w:hint="eastAsia" w:ascii="楷体" w:hAnsi="楷体" w:cs="楷体"/>
          <w:lang w:val="en-US" w:eastAsia="zh-CN"/>
        </w:rPr>
      </w:pPr>
      <w:r>
        <w:rPr>
          <w:rFonts w:hint="eastAsia" w:ascii="楷体" w:hAnsi="楷体" w:cs="楷体"/>
          <w:lang w:val="en-US" w:eastAsia="zh-CN"/>
        </w:rPr>
        <w:t>8-2单价金额小数点或者百分比有明显错位的，以总价为准，并修改单价；</w:t>
      </w:r>
    </w:p>
    <w:p>
      <w:pPr>
        <w:ind w:firstLine="480"/>
        <w:rPr>
          <w:rFonts w:hint="eastAsia" w:ascii="楷体" w:hAnsi="楷体" w:cs="楷体"/>
          <w:lang w:val="en-US" w:eastAsia="zh-CN"/>
        </w:rPr>
      </w:pPr>
      <w:r>
        <w:rPr>
          <w:rFonts w:hint="eastAsia" w:ascii="楷体" w:hAnsi="楷体" w:cs="楷体"/>
          <w:lang w:val="en-US" w:eastAsia="zh-CN"/>
        </w:rPr>
        <w:t>8-3总价金额与按单价汇总金额不一致的，以单价金额计算结果为准；</w:t>
      </w:r>
    </w:p>
    <w:p>
      <w:pPr>
        <w:ind w:firstLine="480"/>
        <w:rPr>
          <w:rFonts w:hint="eastAsia" w:ascii="楷体" w:hAnsi="楷体" w:cs="楷体"/>
          <w:lang w:val="en-US" w:eastAsia="zh-CN"/>
        </w:rPr>
      </w:pPr>
      <w:r>
        <w:rPr>
          <w:rFonts w:hint="eastAsia" w:ascii="楷体" w:hAnsi="楷体" w:cs="楷体"/>
          <w:lang w:val="en-US" w:eastAsia="zh-CN"/>
        </w:rPr>
        <w:t>8-4对不同文字文本响应文件的解释发生异议的，以中文文本为准；</w:t>
      </w:r>
    </w:p>
    <w:p>
      <w:pPr>
        <w:ind w:firstLine="480"/>
        <w:rPr>
          <w:rFonts w:hint="eastAsia" w:ascii="楷体" w:hAnsi="楷体" w:cs="楷体"/>
          <w:lang w:val="en-US" w:eastAsia="zh-CN"/>
        </w:rPr>
      </w:pPr>
      <w:r>
        <w:rPr>
          <w:rFonts w:hint="eastAsia" w:ascii="楷体" w:hAnsi="楷体" w:cs="楷体"/>
          <w:lang w:val="en-US" w:eastAsia="zh-CN"/>
        </w:rPr>
        <w:t>8-5文字与图表不一致的，以文字为准；</w:t>
      </w:r>
    </w:p>
    <w:p>
      <w:pPr>
        <w:ind w:firstLine="480"/>
        <w:rPr>
          <w:rFonts w:ascii="楷体" w:hAnsi="楷体" w:cs="楷体"/>
        </w:rPr>
      </w:pPr>
      <w:r>
        <w:rPr>
          <w:rFonts w:hint="eastAsia" w:ascii="楷体" w:hAnsi="楷体" w:cs="楷体"/>
          <w:lang w:val="en-US" w:eastAsia="zh-CN"/>
        </w:rPr>
        <w:t>8-6正本与副本不一致的，以正本为准。</w:t>
      </w:r>
    </w:p>
    <w:p>
      <w:pPr>
        <w:ind w:firstLine="480"/>
        <w:rPr>
          <w:rFonts w:ascii="楷体" w:hAnsi="楷体" w:cs="楷体"/>
        </w:rPr>
      </w:pPr>
      <w:r>
        <w:rPr>
          <w:rFonts w:hint="eastAsia" w:ascii="楷体" w:hAnsi="楷体" w:cs="楷体"/>
          <w:lang w:val="en-US" w:eastAsia="zh-CN"/>
        </w:rPr>
        <w:t>9</w:t>
      </w:r>
      <w:r>
        <w:rPr>
          <w:rFonts w:hint="eastAsia" w:ascii="楷体" w:hAnsi="楷体" w:cs="楷体"/>
        </w:rPr>
        <w:t>、比较与评价</w:t>
      </w:r>
    </w:p>
    <w:p>
      <w:pPr>
        <w:ind w:firstLine="480"/>
        <w:rPr>
          <w:rFonts w:ascii="楷体" w:hAnsi="楷体" w:cs="楷体"/>
        </w:rPr>
      </w:pPr>
      <w:r>
        <w:rPr>
          <w:rFonts w:hint="eastAsia" w:ascii="楷体" w:hAnsi="楷体" w:cs="楷体"/>
          <w:lang w:val="en-US" w:eastAsia="zh-CN"/>
        </w:rPr>
        <w:t>9</w:t>
      </w:r>
      <w:r>
        <w:rPr>
          <w:rFonts w:hint="eastAsia" w:ascii="楷体" w:hAnsi="楷体" w:cs="楷体"/>
        </w:rPr>
        <w:t>-1评审时，按照谈判文件规定的评审方法和标准，对资格性审查和符合性审查合格的文件进行商务和技术评审，实质性满足采购要求的最后报价作为成交的唯一条件。</w:t>
      </w:r>
    </w:p>
    <w:p>
      <w:pPr>
        <w:ind w:firstLine="480"/>
        <w:rPr>
          <w:rFonts w:ascii="楷体" w:hAnsi="楷体" w:cs="楷体"/>
        </w:rPr>
      </w:pPr>
      <w:r>
        <w:rPr>
          <w:rFonts w:hint="eastAsia" w:ascii="楷体" w:hAnsi="楷体" w:cs="楷体"/>
          <w:lang w:val="en-US" w:eastAsia="zh-CN"/>
        </w:rPr>
        <w:t>9</w:t>
      </w:r>
      <w:r>
        <w:rPr>
          <w:rFonts w:hint="eastAsia" w:ascii="楷体" w:hAnsi="楷体" w:cs="楷体"/>
        </w:rPr>
        <w:t>-2采取逐项分步评审方式，每一步评审不符合者，不进入下一步评审，全部评审合格的供应商按最后报价由低到高的排序，推荐成交候选供应商。</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、需要落实的政府采购政策</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1</w:t>
      </w:r>
      <w:r>
        <w:rPr>
          <w:rFonts w:hint="eastAsia" w:ascii="楷体" w:hAnsi="楷体" w:cs="楷体"/>
          <w:color w:val="000000" w:themeColor="text1"/>
          <w:lang w:val="en-US" w:eastAsia="zh-CN"/>
          <w14:textFill>
            <w14:solidFill>
              <w14:schemeClr w14:val="tx1"/>
            </w14:solidFill>
          </w14:textFill>
        </w:rPr>
        <w:t>0</w:t>
      </w:r>
      <w:r>
        <w:rPr>
          <w:rFonts w:hint="eastAsia" w:ascii="楷体" w:hAnsi="楷体" w:cs="楷体"/>
          <w:color w:val="000000" w:themeColor="text1"/>
          <w14:textFill>
            <w14:solidFill>
              <w14:schemeClr w14:val="tx1"/>
            </w14:solidFill>
          </w14:textFill>
        </w:rPr>
        <w:t>-1 响应企业政府采购政策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-1-1中小企业落实政府采购政策</w:t>
      </w:r>
    </w:p>
    <w:p>
      <w:pPr>
        <w:ind w:firstLine="480"/>
        <w:rPr>
          <w:rFonts w:ascii="楷体" w:hAnsi="楷体" w:cs="楷体"/>
        </w:rPr>
      </w:pPr>
      <w:r>
        <w:rPr>
          <w:rFonts w:hint="eastAsia" w:ascii="楷体" w:hAnsi="楷体" w:cs="楷体"/>
        </w:rPr>
        <w:t>（1）中小企业应符合</w:t>
      </w:r>
      <w:bookmarkStart w:id="12" w:name="OLE_LINK6"/>
      <w:r>
        <w:rPr>
          <w:rFonts w:hint="eastAsia" w:ascii="楷体" w:hAnsi="楷体" w:cs="楷体"/>
        </w:rPr>
        <w:t>工信部联企业[2011]300号</w:t>
      </w:r>
      <w:bookmarkEnd w:id="12"/>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2"/>
        <w:ind w:left="0" w:leftChars="0" w:firstLine="482"/>
        <w:rPr>
          <w:b/>
          <w:bCs/>
        </w:rPr>
      </w:pPr>
      <w:r>
        <w:rPr>
          <w:rFonts w:hint="eastAsia" w:ascii="楷体" w:hAnsi="楷体" w:cs="楷体"/>
          <w:b/>
          <w:bCs/>
        </w:rPr>
        <w:t>本项目采购标的对应的中小</w:t>
      </w:r>
      <w:r>
        <w:rPr>
          <w:rFonts w:hint="eastAsia" w:ascii="楷体" w:hAnsi="楷体" w:cs="楷体"/>
          <w:b/>
          <w:bCs/>
          <w:highlight w:val="none"/>
        </w:rPr>
        <w:t>企业划分标准所属行业为：工业。</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hint="eastAsia" w:ascii="楷体" w:hAnsi="楷体" w:cs="楷体"/>
          <w:b w:val="0"/>
          <w:bCs w:val="0"/>
        </w:rPr>
      </w:pPr>
      <w:r>
        <w:rPr>
          <w:rFonts w:hint="eastAsia" w:ascii="楷体" w:hAnsi="楷体" w:cs="楷体"/>
          <w:b w:val="0"/>
          <w:bCs w:val="0"/>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以上要求由谈判小组审定，符合条件的供应商享受政府采购政策。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highlight w:val="none"/>
        </w:rPr>
      </w:pPr>
      <w:r>
        <w:rPr>
          <w:rFonts w:hint="eastAsia" w:ascii="楷体" w:hAnsi="楷体" w:cs="楷体"/>
        </w:rPr>
        <w:t>1</w:t>
      </w:r>
      <w:r>
        <w:rPr>
          <w:rFonts w:hint="eastAsia" w:ascii="楷体" w:hAnsi="楷体" w:cs="楷体"/>
          <w:highlight w:val="none"/>
          <w:lang w:val="en-US" w:eastAsia="zh-CN"/>
        </w:rPr>
        <w:t>0</w:t>
      </w:r>
      <w:r>
        <w:rPr>
          <w:rFonts w:hint="eastAsia" w:ascii="楷体" w:hAnsi="楷体" w:cs="楷体"/>
          <w:highlight w:val="none"/>
        </w:rPr>
        <w:t>-1-4</w:t>
      </w:r>
      <w:r>
        <w:rPr>
          <w:rFonts w:hint="eastAsia" w:ascii="楷体" w:hAnsi="楷体" w:cs="楷体"/>
          <w:b/>
          <w:bCs/>
          <w:highlight w:val="none"/>
        </w:rPr>
        <w:t>符合谈判文件规定的小微企业、监狱企业、残疾人企业优惠条件的供应商，价格给予10%的扣除，用扣除后的价格参与评审。</w:t>
      </w:r>
      <w:r>
        <w:rPr>
          <w:rFonts w:hint="eastAsia" w:ascii="楷体" w:hAnsi="楷体" w:cs="楷体"/>
          <w:b/>
          <w:bCs/>
          <w:highlight w:val="none"/>
          <w:lang w:val="en-US" w:eastAsia="zh-CN"/>
        </w:rPr>
        <w:t>监狱企业、</w:t>
      </w:r>
      <w:r>
        <w:rPr>
          <w:rFonts w:hint="eastAsia" w:ascii="楷体" w:hAnsi="楷体" w:cs="楷体"/>
          <w:b/>
          <w:bCs/>
          <w:highlight w:val="none"/>
        </w:rPr>
        <w:t>残疾人福利性单位属于小型、微型企业的，不重复享受政策。</w:t>
      </w:r>
    </w:p>
    <w:p>
      <w:pPr>
        <w:ind w:firstLine="480"/>
        <w:rPr>
          <w:rFonts w:ascii="楷体" w:hAnsi="楷体" w:cs="楷体"/>
        </w:rPr>
      </w:pPr>
      <w:r>
        <w:rPr>
          <w:rFonts w:hint="eastAsia" w:ascii="楷体" w:hAnsi="楷体" w:cs="楷体"/>
          <w:highlight w:val="none"/>
        </w:rPr>
        <w:t>1</w:t>
      </w:r>
      <w:r>
        <w:rPr>
          <w:rFonts w:hint="eastAsia" w:ascii="楷体" w:hAnsi="楷体" w:cs="楷体"/>
          <w:highlight w:val="none"/>
          <w:lang w:val="en-US" w:eastAsia="zh-CN"/>
        </w:rPr>
        <w:t>0</w:t>
      </w:r>
      <w:r>
        <w:rPr>
          <w:rFonts w:hint="eastAsia" w:ascii="楷体" w:hAnsi="楷体" w:cs="楷体"/>
          <w:highlight w:val="none"/>
        </w:rPr>
        <w:t>-2响应产</w:t>
      </w:r>
      <w:r>
        <w:rPr>
          <w:rFonts w:hint="eastAsia" w:ascii="楷体" w:hAnsi="楷体" w:cs="楷体"/>
        </w:rPr>
        <w:t>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pStyle w:val="27"/>
        <w:ind w:firstLine="480"/>
        <w:rPr>
          <w:rFonts w:ascii="楷体" w:hAnsi="楷体" w:cs="楷体"/>
          <w:sz w:val="24"/>
        </w:rPr>
      </w:pPr>
      <w:r>
        <w:rPr>
          <w:rFonts w:hint="eastAsia" w:ascii="楷体" w:hAnsi="楷体" w:cs="楷体"/>
          <w:sz w:val="24"/>
        </w:rPr>
        <w:t>1</w:t>
      </w:r>
      <w:r>
        <w:rPr>
          <w:rFonts w:hint="eastAsia" w:ascii="楷体" w:hAnsi="楷体" w:cs="楷体"/>
          <w:sz w:val="24"/>
          <w:lang w:val="en-US" w:eastAsia="zh-CN"/>
        </w:rPr>
        <w:t>0</w:t>
      </w:r>
      <w:r>
        <w:rPr>
          <w:rFonts w:hint="eastAsia" w:ascii="楷体" w:hAnsi="楷体" w:cs="楷体"/>
          <w:sz w:val="24"/>
        </w:rPr>
        <w:t>-3《关于运用政府采购政策支持乡村产业振兴的通知》（财库[2021]19号）</w:t>
      </w:r>
    </w:p>
    <w:p>
      <w:pPr>
        <w:pStyle w:val="27"/>
        <w:ind w:firstLine="480"/>
        <w:rPr>
          <w:rFonts w:ascii="楷体" w:hAnsi="楷体" w:cs="楷体"/>
          <w:sz w:val="24"/>
          <w:lang w:val="zh-CN"/>
        </w:rPr>
      </w:pPr>
      <w:r>
        <w:rPr>
          <w:rFonts w:hint="eastAsia" w:ascii="楷体" w:hAnsi="楷体" w:cs="楷体"/>
          <w:sz w:val="24"/>
        </w:rPr>
        <w:t>1</w:t>
      </w:r>
      <w:r>
        <w:rPr>
          <w:rFonts w:hint="eastAsia" w:ascii="楷体" w:hAnsi="楷体" w:cs="楷体"/>
          <w:sz w:val="24"/>
          <w:lang w:val="en-US" w:eastAsia="zh-CN"/>
        </w:rPr>
        <w:t>0</w:t>
      </w:r>
      <w:r>
        <w:rPr>
          <w:rFonts w:hint="eastAsia" w:ascii="楷体" w:hAnsi="楷体" w:cs="楷体"/>
          <w:sz w:val="24"/>
        </w:rPr>
        <w:t>-4《关于印发《商品包装政府采购需求标准（试行）》、 《快递包装政府采购需求标准（试行）》的通知</w:t>
      </w:r>
      <w:r>
        <w:rPr>
          <w:rFonts w:hint="eastAsia" w:ascii="楷体" w:hAnsi="楷体" w:cs="楷体"/>
          <w:sz w:val="24"/>
          <w:lang w:val="zh-CN"/>
        </w:rPr>
        <w:t>--财办库〔2020〕123号</w:t>
      </w:r>
    </w:p>
    <w:p>
      <w:pPr>
        <w:pStyle w:val="42"/>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cs="楷体"/>
        </w:rPr>
      </w:pPr>
      <w:r>
        <w:rPr>
          <w:rFonts w:hint="eastAsia" w:ascii="楷体" w:cs="楷体"/>
        </w:rPr>
        <w:t>1</w:t>
      </w:r>
      <w:r>
        <w:rPr>
          <w:rFonts w:hint="eastAsia" w:ascii="楷体" w:cs="楷体"/>
          <w:lang w:val="en-US" w:eastAsia="zh-CN"/>
        </w:rPr>
        <w:t>0</w:t>
      </w:r>
      <w:r>
        <w:rPr>
          <w:rFonts w:hint="eastAsia" w:ascii="楷体" w:cs="楷体"/>
        </w:rPr>
        <w:t>-5 陕西省财政厅关于印发《陕西省中小企业政府采购信用融资办法》（陕财办采〔2018〕23号）。</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w:t>
      </w:r>
      <w:r>
        <w:rPr>
          <w:rFonts w:hint="eastAsia" w:ascii="楷体" w:hAnsi="楷体" w:cs="楷体"/>
          <w:lang w:val="en-US" w:eastAsia="zh-CN"/>
        </w:rPr>
        <w:t>6</w:t>
      </w:r>
      <w:r>
        <w:rPr>
          <w:rFonts w:hint="eastAsia" w:ascii="楷体" w:hAnsi="楷体" w:cs="楷体"/>
        </w:rPr>
        <w:t xml:space="preserve"> 《关于进一步加强政府绿色采购有关问题的通知》（陕财办采〔2021〕29号）</w:t>
      </w:r>
    </w:p>
    <w:p>
      <w:pPr>
        <w:ind w:firstLine="480"/>
        <w:rPr>
          <w:rFonts w:hint="eastAsia" w:ascii="楷体" w:hAnsi="楷体" w:cs="楷体"/>
        </w:rPr>
      </w:pPr>
      <w:r>
        <w:rPr>
          <w:rFonts w:hint="eastAsia" w:ascii="楷体" w:hAnsi="楷体" w:cs="楷体"/>
          <w:lang w:val="en-US" w:eastAsia="zh-CN"/>
        </w:rPr>
        <w:t xml:space="preserve">10-7 </w:t>
      </w:r>
      <w:r>
        <w:rPr>
          <w:rFonts w:hint="eastAsia" w:ascii="楷体" w:hAnsi="楷体" w:cs="楷体"/>
        </w:rPr>
        <w:t>供应商应如实提供以上证明文件，如存在虚假响应，将取消其响应资格。</w:t>
      </w:r>
    </w:p>
    <w:p>
      <w:pPr>
        <w:ind w:firstLine="480"/>
        <w:rPr>
          <w:rFonts w:hint="eastAsia" w:ascii="楷体" w:cs="楷体"/>
        </w:rPr>
      </w:pPr>
      <w:r>
        <w:rPr>
          <w:rFonts w:hint="eastAsia" w:ascii="楷体" w:cs="楷体"/>
        </w:rPr>
        <w:t>1</w:t>
      </w:r>
      <w:r>
        <w:rPr>
          <w:rFonts w:hint="eastAsia" w:ascii="楷体" w:cs="楷体"/>
          <w:lang w:val="en-US" w:eastAsia="zh-CN"/>
        </w:rPr>
        <w:t>1</w:t>
      </w:r>
      <w:r>
        <w:rPr>
          <w:rFonts w:hint="eastAsia" w:ascii="楷体" w:cs="楷体"/>
        </w:rPr>
        <w:t>、</w:t>
      </w:r>
      <w:r>
        <w:rPr>
          <w:rFonts w:hint="eastAsia" w:ascii="楷体" w:cs="楷体"/>
          <w:lang w:val="en-US" w:eastAsia="zh-CN"/>
        </w:rPr>
        <w:t>提供相同品牌产品（或核心产品全部相同）且通过资格审查、符合性审查的不同供应商参加同一合同项下谈判的，按一家供应商计算，最终报价最低的同品牌供应商获得成交供应商推荐资格，其他同品牌供应商不作为成交候选供应商。</w:t>
      </w:r>
    </w:p>
    <w:p>
      <w:pPr>
        <w:pStyle w:val="27"/>
        <w:rPr>
          <w:rFonts w:ascii="楷体" w:hAnsi="楷体" w:cs="楷体"/>
        </w:rPr>
      </w:pPr>
      <w:r>
        <w:rPr>
          <w:rFonts w:hint="eastAsia" w:ascii="楷体" w:hAnsi="楷体" w:cs="楷体"/>
          <w:kern w:val="2"/>
          <w:sz w:val="24"/>
          <w:szCs w:val="24"/>
          <w:lang w:val="en-US" w:eastAsia="zh-CN" w:bidi="ar-SA"/>
        </w:rPr>
        <w:t>12、</w:t>
      </w:r>
      <w:r>
        <w:rPr>
          <w:rFonts w:hint="eastAsia" w:ascii="楷体" w:hAnsi="楷体" w:eastAsia="楷体" w:cs="楷体"/>
          <w:kern w:val="2"/>
          <w:sz w:val="24"/>
          <w:szCs w:val="24"/>
          <w:lang w:val="en-US" w:eastAsia="zh-CN" w:bidi="ar-SA"/>
        </w:rPr>
        <w:t>推荐成交候选供应商名单：谈判小组应当从质量和服务均能满足谈判文件实质性响应要求的供应商中，按照最后报价由低到高的顺序提出3名以上成交候选供应商（如最后报价相同则优先采购节能产品或环境标志产品），并编写评审报告。</w:t>
      </w:r>
    </w:p>
    <w:p>
      <w:pPr>
        <w:pStyle w:val="4"/>
        <w:spacing w:line="360" w:lineRule="auto"/>
        <w:ind w:left="573"/>
        <w:rPr>
          <w:rFonts w:ascii="楷体" w:hAnsi="楷体"/>
        </w:rPr>
      </w:pPr>
      <w:bookmarkStart w:id="13" w:name="_Toc3752_WPSOffice_Level2"/>
      <w:r>
        <w:rPr>
          <w:rFonts w:hint="eastAsia" w:ascii="楷体" w:hAnsi="楷体"/>
        </w:rPr>
        <w:t>确定候选供应商</w:t>
      </w:r>
      <w:bookmarkEnd w:id="13"/>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4" w:name="_Toc16653_WPSOffice_Level2"/>
      <w:bookmarkStart w:id="15" w:name="_Toc18697_WPSOffice_Level2"/>
      <w:r>
        <w:rPr>
          <w:rFonts w:hint="eastAsia" w:ascii="楷体" w:hAnsi="楷体"/>
        </w:rPr>
        <w:t>质疑</w:t>
      </w:r>
      <w:bookmarkEnd w:id="14"/>
      <w:bookmarkEnd w:id="15"/>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1、提出质疑的供应商应是参与所质疑项目采购活动的供应商。</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ascii="楷体" w:hAnsi="楷体" w:cs="楷体"/>
        </w:rPr>
      </w:pPr>
      <w:r>
        <w:rPr>
          <w:rFonts w:hint="eastAsia" w:ascii="楷体" w:hAnsi="楷体" w:cs="楷体"/>
          <w:color w:val="000000" w:themeColor="text1"/>
          <w14:textFill>
            <w14:solidFill>
              <w14:schemeClr w14:val="tx1"/>
            </w14:solidFill>
          </w14:textFill>
        </w:rPr>
        <w:t>3、供应商提出质疑时须提交质疑函和必要的证明材料。</w:t>
      </w:r>
      <w:r>
        <w:rPr>
          <w:rFonts w:hint="eastAsia" w:ascii="楷体" w:hAnsi="楷体" w:cs="楷体"/>
        </w:rPr>
        <w:t>质疑函应当包括下列内容：</w:t>
      </w:r>
    </w:p>
    <w:p>
      <w:pPr>
        <w:ind w:firstLine="480"/>
        <w:rPr>
          <w:rFonts w:ascii="楷体" w:hAnsi="楷体" w:cs="楷体"/>
        </w:rPr>
      </w:pPr>
      <w:r>
        <w:rPr>
          <w:rFonts w:hint="eastAsia" w:ascii="楷体" w:hAnsi="楷体" w:cs="楷体"/>
        </w:rPr>
        <w:t>　（1）</w:t>
      </w:r>
      <w:r>
        <w:rPr>
          <w:rFonts w:hint="eastAsia" w:ascii="楷体" w:hAnsi="楷体" w:cs="楷体"/>
          <w:color w:val="000000" w:themeColor="text1"/>
          <w14:textFill>
            <w14:solidFill>
              <w14:schemeClr w14:val="tx1"/>
            </w14:solidFill>
          </w14:textFill>
        </w:rPr>
        <w:t>供应商</w:t>
      </w:r>
      <w:r>
        <w:rPr>
          <w:rFonts w:hint="eastAsia" w:ascii="楷体" w:hAnsi="楷体" w:cs="楷体"/>
        </w:rPr>
        <w:t>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为自然人的，应当由本人签字；</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为法人或者其他组织的，应当由法定代表人、主要负责人，或者授权委托代理人签字或者盖章，并加盖公章。</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可以委托代理人进行质疑，委托代理人质疑的，应当提交</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签署的授权委托书，其授权委托书应当载明代理人的姓名或者名称、代理事项、具体权限、期限和相关事项。</w:t>
      </w:r>
    </w:p>
    <w:p>
      <w:pPr>
        <w:ind w:firstLine="480"/>
        <w:rPr>
          <w:rFonts w:ascii="楷体" w:hAnsi="楷体" w:cs="楷体"/>
          <w:color w:val="000000" w:themeColor="text1"/>
          <w14:textFill>
            <w14:solidFill>
              <w14:schemeClr w14:val="tx1"/>
            </w14:solidFill>
          </w14:textFill>
        </w:rPr>
      </w:pPr>
      <w:r>
        <w:rPr>
          <w:rFonts w:hint="eastAsia" w:ascii="楷体" w:hAnsi="楷体" w:cs="楷体"/>
          <w:lang w:val="zh-CN"/>
        </w:rPr>
        <w:t>质疑函应采用财政部颁布的《政府采购供应商质疑函范本》。</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4、供应商捏造事实、提供虚假材料或者以非法手段取得证明材料进行质疑的，采购代理机构将提供相关资料报监督机构，按其情况进行相应处理。</w:t>
      </w:r>
    </w:p>
    <w:p>
      <w:pPr>
        <w:ind w:right="276" w:rightChars="115" w:firstLine="480"/>
        <w:rPr>
          <w:rFonts w:ascii="楷体" w:hAnsi="楷体" w:cs="楷体"/>
        </w:rPr>
      </w:pPr>
      <w:r>
        <w:rPr>
          <w:rFonts w:hint="eastAsia" w:ascii="楷体" w:hAnsi="楷体" w:cs="楷体"/>
          <w:color w:val="000000" w:themeColor="text1"/>
          <w14:textFill>
            <w14:solidFill>
              <w14:schemeClr w14:val="tx1"/>
            </w14:solidFill>
          </w14:textFill>
        </w:rPr>
        <w:t>5、供应商在法定质疑期内提交的符合要求的质疑，采购代理机构将予以受理并答复，联系电话：029-89284433，联系人：</w:t>
      </w:r>
      <w:r>
        <w:rPr>
          <w:rFonts w:hint="eastAsia" w:ascii="楷体" w:hAnsi="楷体" w:cs="楷体"/>
          <w:color w:val="000000" w:themeColor="text1"/>
          <w:lang w:val="en-US" w:eastAsia="zh-CN"/>
          <w14:textFill>
            <w14:solidFill>
              <w14:schemeClr w14:val="tx1"/>
            </w14:solidFill>
          </w14:textFill>
        </w:rPr>
        <w:t>李亚容</w:t>
      </w:r>
      <w:r>
        <w:rPr>
          <w:rFonts w:hint="eastAsia" w:ascii="楷体" w:hAnsi="楷体" w:cs="楷体"/>
          <w:color w:val="000000" w:themeColor="text1"/>
          <w14:textFill>
            <w14:solidFill>
              <w14:schemeClr w14:val="tx1"/>
            </w14:solidFill>
          </w14:textFill>
        </w:rPr>
        <w:t>。</w:t>
      </w:r>
    </w:p>
    <w:p>
      <w:pPr>
        <w:pStyle w:val="4"/>
        <w:spacing w:line="360" w:lineRule="auto"/>
        <w:ind w:left="573"/>
        <w:rPr>
          <w:rFonts w:ascii="楷体" w:hAnsi="楷体"/>
        </w:rPr>
      </w:pPr>
      <w:bookmarkStart w:id="16" w:name="_Toc10289_WPSOffice_Level2"/>
      <w:bookmarkStart w:id="17" w:name="_Toc18733_WPSOffice_Level2"/>
      <w:r>
        <w:rPr>
          <w:rFonts w:hint="eastAsia" w:ascii="楷体" w:hAnsi="楷体"/>
        </w:rPr>
        <w:t>签订合同</w:t>
      </w:r>
      <w:bookmarkEnd w:id="16"/>
      <w:bookmarkEnd w:id="17"/>
    </w:p>
    <w:p>
      <w:pPr>
        <w:ind w:firstLine="480"/>
        <w:rPr>
          <w:rFonts w:ascii="楷体" w:hAnsi="楷体" w:cs="楷体"/>
        </w:rPr>
      </w:pPr>
      <w:r>
        <w:rPr>
          <w:rFonts w:hint="eastAsia" w:ascii="楷体" w:hAnsi="楷体" w:cs="楷体"/>
        </w:rPr>
        <w:t>1、自成交通知书发出之日起</w:t>
      </w:r>
      <w:r>
        <w:rPr>
          <w:rFonts w:hint="eastAsia" w:ascii="楷体" w:hAnsi="楷体" w:cs="楷体"/>
          <w:lang w:val="en-US" w:eastAsia="zh-CN"/>
        </w:rPr>
        <w:t>二十五</w:t>
      </w:r>
      <w:r>
        <w:rPr>
          <w:rFonts w:hint="eastAsia" w:ascii="楷体" w:hAnsi="楷体" w:cs="楷体"/>
        </w:rPr>
        <w:t>日内，根据谈判文件的规定和成交供应商响应文件，采购人与成交供应商签订政府采购合同。谈判文件及成交供应商的响应文件均作为合同的组成部分。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谈判。采购人将取消其成交资格，同时报请监督机构备案。</w:t>
      </w:r>
    </w:p>
    <w:p>
      <w:pPr>
        <w:pStyle w:val="4"/>
        <w:spacing w:line="360" w:lineRule="auto"/>
        <w:ind w:left="573"/>
        <w:rPr>
          <w:rFonts w:ascii="楷体" w:hAnsi="楷体"/>
        </w:rPr>
      </w:pPr>
      <w:bookmarkStart w:id="18" w:name="_Toc27538_WPSOffice_Level2"/>
      <w:bookmarkStart w:id="19" w:name="_Toc6155_WPSOffice_Level2"/>
      <w:r>
        <w:rPr>
          <w:rFonts w:hint="eastAsia" w:ascii="楷体" w:hAnsi="楷体"/>
        </w:rPr>
        <w:t>成交服务费</w:t>
      </w:r>
      <w:bookmarkEnd w:id="18"/>
      <w:bookmarkEnd w:id="19"/>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1、成交供应商在领取成交通知书前，须向采购代理机构支付采购代理服务费，采购代理服务费计入谈判报价但不单独列明。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cs="楷体"/>
        </w:rPr>
      </w:pPr>
      <w:r>
        <w:rPr>
          <w:rFonts w:hint="eastAsia" w:ascii="楷体" w:hAnsi="楷体" w:cs="楷体"/>
        </w:rPr>
        <w:t xml:space="preserve">联系人：方淑丽  </w:t>
      </w:r>
      <w:r>
        <w:rPr>
          <w:rFonts w:hint="eastAsia" w:ascii="楷体" w:hAnsi="楷体" w:cs="楷体"/>
          <w:lang w:val="en-US" w:eastAsia="zh-CN"/>
        </w:rPr>
        <w:t>蔡月茹</w:t>
      </w:r>
      <w:r>
        <w:rPr>
          <w:rFonts w:hint="eastAsia" w:ascii="楷体" w:hAnsi="楷体" w:cs="楷体"/>
        </w:rPr>
        <w:t xml:space="preserve">   </w:t>
      </w:r>
    </w:p>
    <w:p>
      <w:pPr>
        <w:ind w:firstLine="480"/>
        <w:rPr>
          <w:rFonts w:ascii="楷体" w:hAnsi="楷体" w:cs="楷体"/>
        </w:rPr>
      </w:pPr>
      <w:r>
        <w:rPr>
          <w:rFonts w:hint="eastAsia" w:ascii="楷体" w:hAnsi="楷体" w:cs="楷体"/>
        </w:rPr>
        <w:t xml:space="preserve">联系电话：029-89284433 </w:t>
      </w:r>
    </w:p>
    <w:p>
      <w:pPr>
        <w:ind w:firstLine="480"/>
        <w:rPr>
          <w:rFonts w:ascii="楷体" w:hAnsi="楷体" w:cs="楷体"/>
        </w:rPr>
      </w:pPr>
      <w:r>
        <w:rPr>
          <w:rFonts w:hint="eastAsia" w:ascii="楷体" w:hAnsi="楷体" w:cs="楷体"/>
        </w:rPr>
        <w:t>2、采购代理服务费</w:t>
      </w:r>
      <w:r>
        <w:rPr>
          <w:rFonts w:hint="eastAsia" w:ascii="楷体" w:hAnsi="楷体" w:cs="楷体"/>
          <w:lang w:val="en-US" w:eastAsia="zh-CN"/>
        </w:rPr>
        <w:t>参</w:t>
      </w:r>
      <w:r>
        <w:rPr>
          <w:rFonts w:hint="eastAsia" w:ascii="楷体" w:hAnsi="楷体" w:cs="楷体"/>
        </w:rPr>
        <w:t>照《国家计委关于印发&lt;招标代理服务收费管理暂行办法&gt;的通知》（计价格[2002]1980号）和（发改办价格[2011]534号）规定</w:t>
      </w:r>
      <w:r>
        <w:rPr>
          <w:rFonts w:hint="eastAsia" w:ascii="楷体" w:hAnsi="楷体" w:cs="楷体"/>
          <w:lang w:val="en-US" w:eastAsia="zh-CN"/>
        </w:rPr>
        <w:t>标准收取</w:t>
      </w:r>
      <w:r>
        <w:rPr>
          <w:rFonts w:hint="eastAsia" w:ascii="楷体" w:hAnsi="楷体" w:cs="楷体"/>
          <w:highlight w:val="none"/>
        </w:rPr>
        <w:t xml:space="preserve">。  </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0" w:name="_Toc15348_WPSOffice_Level2"/>
      <w:bookmarkStart w:id="21" w:name="_Toc23917_WPSOffice_Level2"/>
      <w:r>
        <w:rPr>
          <w:rFonts w:hint="eastAsia" w:ascii="楷体" w:hAnsi="楷体"/>
        </w:rPr>
        <w:t>其他</w:t>
      </w:r>
      <w:bookmarkEnd w:id="20"/>
      <w:bookmarkEnd w:id="21"/>
    </w:p>
    <w:p>
      <w:pPr>
        <w:ind w:firstLine="480"/>
        <w:rPr>
          <w:rFonts w:ascii="楷体" w:hAnsi="楷体" w:cs="楷体"/>
        </w:rPr>
      </w:pPr>
      <w:r>
        <w:rPr>
          <w:rFonts w:hint="eastAsia" w:ascii="楷体" w:hAnsi="楷体" w:cs="楷体"/>
        </w:rPr>
        <w:t>出现下列情形之一的，采购人或者采购代理机构应当终止竞争性谈判采购活动，发布项目终止公告并说明原因，重新开展采购活动：</w:t>
      </w:r>
    </w:p>
    <w:p>
      <w:pPr>
        <w:numPr>
          <w:ilvl w:val="0"/>
          <w:numId w:val="9"/>
        </w:numPr>
        <w:ind w:firstLine="480"/>
        <w:rPr>
          <w:rFonts w:ascii="楷体" w:hAnsi="楷体" w:cs="楷体"/>
        </w:rPr>
      </w:pPr>
      <w:r>
        <w:rPr>
          <w:rFonts w:hint="eastAsia" w:ascii="楷体" w:hAnsi="楷体" w:cs="楷体"/>
        </w:rPr>
        <w:t>因情况变化，不再符合规定的竞争性谈判采购方式适用情形的；</w:t>
      </w:r>
    </w:p>
    <w:p>
      <w:pPr>
        <w:numPr>
          <w:ilvl w:val="0"/>
          <w:numId w:val="9"/>
        </w:numPr>
        <w:ind w:firstLine="480"/>
        <w:rPr>
          <w:rFonts w:ascii="楷体" w:hAnsi="楷体" w:cs="楷体"/>
          <w:lang w:val="zh-CN"/>
        </w:rPr>
      </w:pPr>
      <w:r>
        <w:rPr>
          <w:rFonts w:hint="eastAsia" w:ascii="楷体" w:hAnsi="楷体" w:cs="楷体"/>
        </w:rPr>
        <w:t>出现影响采购公正的违法、违规行为的；</w:t>
      </w:r>
    </w:p>
    <w:p>
      <w:pPr>
        <w:numPr>
          <w:ilvl w:val="0"/>
          <w:numId w:val="9"/>
        </w:numPr>
        <w:ind w:firstLine="480"/>
        <w:rPr>
          <w:rFonts w:ascii="楷体" w:hAnsi="楷体" w:cs="楷体"/>
          <w:lang w:val="zh-CN"/>
        </w:rPr>
      </w:pPr>
      <w:r>
        <w:rPr>
          <w:rFonts w:hint="eastAsia" w:ascii="楷体" w:hAnsi="楷体" w:cs="楷体"/>
          <w:lang w:val="zh-CN"/>
        </w:rPr>
        <w:t>在采购过程中符合竞争要求的供应商</w:t>
      </w:r>
      <w:r>
        <w:rPr>
          <w:rFonts w:hint="eastAsia" w:ascii="楷体" w:hAnsi="楷体" w:cs="楷体"/>
        </w:rPr>
        <w:t>或者报价未超过采购预算的供应商</w:t>
      </w:r>
      <w:r>
        <w:rPr>
          <w:rFonts w:hint="eastAsia" w:ascii="楷体" w:hAnsi="楷体" w:cs="楷体"/>
          <w:lang w:val="zh-CN"/>
        </w:rPr>
        <w:t>不足3家的，</w:t>
      </w:r>
      <w:r>
        <w:rPr>
          <w:rFonts w:hint="eastAsia" w:ascii="楷体" w:hAnsi="楷体" w:cs="楷体"/>
        </w:rPr>
        <w:t>除因项目技术复杂或者性质特殊，不能确定详细规格或者具体要求</w:t>
      </w:r>
      <w:r>
        <w:rPr>
          <w:rFonts w:hint="eastAsia" w:ascii="楷体" w:hAnsi="楷体" w:cs="楷体"/>
          <w:lang w:val="zh-CN"/>
        </w:rPr>
        <w:t>。</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sectPr>
          <w:footerReference r:id="rId11" w:type="default"/>
          <w:pgSz w:w="11906" w:h="16838"/>
          <w:pgMar w:top="1418" w:right="1270" w:bottom="1418" w:left="1516" w:header="851" w:footer="992" w:gutter="0"/>
          <w:pgNumType w:start="1"/>
          <w:cols w:space="720" w:num="1"/>
          <w:docGrid w:linePitch="312" w:charSpace="0"/>
        </w:sectPr>
      </w:pPr>
      <w:r>
        <w:rPr>
          <w:rFonts w:hint="eastAsia" w:ascii="楷体" w:hAnsi="楷体" w:cs="楷体"/>
          <w:lang w:val="zh-CN"/>
        </w:rPr>
        <w:t>详见《陕西省财政厅关于印发&lt;陕西省中小企业政府采购信用融资办法&gt;的通知》（陕财办采〔2018〕23号）相关政策、业务流程、办理平台（http://www.ccgp-shaanxi.gov.cn/zcdservice/zcd/shanxi/）。</w:t>
      </w:r>
    </w:p>
    <w:p>
      <w:pPr>
        <w:pStyle w:val="3"/>
        <w:ind w:firstLine="883"/>
        <w:rPr>
          <w:rFonts w:ascii="楷体" w:hAnsi="楷体" w:cs="楷体"/>
        </w:rPr>
      </w:pPr>
      <w:bookmarkStart w:id="22" w:name="_Toc3520"/>
      <w:r>
        <w:rPr>
          <w:rFonts w:hint="eastAsia" w:ascii="楷体" w:hAnsi="楷体" w:cs="楷体"/>
        </w:rPr>
        <w:t>采购内容及</w:t>
      </w:r>
      <w:r>
        <w:rPr>
          <w:rFonts w:hint="eastAsia" w:ascii="楷体" w:hAnsi="楷体" w:cs="楷体"/>
          <w:lang w:val="en-US" w:eastAsia="zh-CN"/>
        </w:rPr>
        <w:t>需求</w:t>
      </w:r>
      <w:bookmarkEnd w:id="22"/>
    </w:p>
    <w:p>
      <w:pPr>
        <w:widowControl w:val="0"/>
        <w:pBdr>
          <w:top w:val="none" w:color="auto" w:sz="0" w:space="1"/>
          <w:left w:val="none" w:color="auto" w:sz="0" w:space="4"/>
          <w:bottom w:val="none" w:color="auto" w:sz="0" w:space="1"/>
          <w:right w:val="none" w:color="auto" w:sz="0" w:space="4"/>
        </w:pBdr>
        <w:tabs>
          <w:tab w:val="left" w:pos="1027"/>
        </w:tabs>
        <w:spacing w:after="140" w:line="400" w:lineRule="exact"/>
        <w:ind w:left="0" w:firstLine="460"/>
        <w:jc w:val="both"/>
        <w:rPr>
          <w:rFonts w:ascii="楷体" w:hAnsi="楷体" w:eastAsia="楷体" w:cs="楷体"/>
          <w:kern w:val="2"/>
          <w:sz w:val="28"/>
          <w:szCs w:val="28"/>
          <w:lang w:val="zh-TW" w:eastAsia="zh-TW" w:bidi="zh-TW"/>
        </w:rPr>
      </w:pPr>
      <w:bookmarkStart w:id="23" w:name="_Toc5907_WPSOffice_Level1"/>
      <w:r>
        <w:rPr>
          <w:rFonts w:hint="eastAsia" w:ascii="楷体" w:hAnsi="楷体" w:eastAsia="楷体" w:cs="楷体"/>
          <w:color w:val="000000"/>
          <w:kern w:val="2"/>
          <w:sz w:val="28"/>
          <w:szCs w:val="28"/>
          <w:lang w:val="zh-TW" w:eastAsia="zh-TW" w:bidi="zh-TW"/>
        </w:rPr>
        <w:t>一、</w:t>
      </w:r>
      <w:r>
        <w:rPr>
          <w:rFonts w:hint="eastAsia" w:ascii="楷体" w:hAnsi="楷体" w:eastAsia="楷体" w:cs="楷体"/>
          <w:color w:val="000000"/>
          <w:kern w:val="2"/>
          <w:sz w:val="28"/>
          <w:szCs w:val="28"/>
          <w:lang w:val="zh-TW" w:eastAsia="zh-TW" w:bidi="zh-TW"/>
        </w:rPr>
        <w:tab/>
      </w:r>
      <w:r>
        <w:rPr>
          <w:rFonts w:hint="eastAsia" w:ascii="楷体" w:hAnsi="楷体" w:eastAsia="楷体" w:cs="楷体"/>
          <w:b/>
          <w:bCs/>
          <w:color w:val="000000"/>
          <w:kern w:val="2"/>
          <w:sz w:val="28"/>
          <w:szCs w:val="28"/>
          <w:lang w:val="zh-TW" w:eastAsia="zh-TW" w:bidi="zh-TW"/>
        </w:rPr>
        <w:t>项目概况</w:t>
      </w:r>
    </w:p>
    <w:p>
      <w:pPr>
        <w:keepNext/>
        <w:keepLines/>
        <w:widowControl w:val="0"/>
        <w:pBdr>
          <w:top w:val="none" w:color="auto" w:sz="0" w:space="1"/>
          <w:left w:val="none" w:color="auto" w:sz="0" w:space="4"/>
          <w:bottom w:val="none" w:color="auto" w:sz="0" w:space="1"/>
          <w:right w:val="none" w:color="auto" w:sz="0" w:space="4"/>
        </w:pBdr>
        <w:tabs>
          <w:tab w:val="left" w:pos="1027"/>
        </w:tabs>
        <w:spacing w:after="140" w:line="360" w:lineRule="auto"/>
        <w:ind w:firstLine="893" w:firstLineChars="319"/>
        <w:jc w:val="left"/>
        <w:outlineLvl w:val="3"/>
        <w:rPr>
          <w:rFonts w:hint="eastAsia" w:ascii="楷体" w:hAnsi="楷体" w:eastAsia="楷体" w:cs="楷体"/>
          <w:b w:val="0"/>
          <w:bCs w:val="0"/>
          <w:color w:val="000000"/>
          <w:kern w:val="2"/>
          <w:sz w:val="28"/>
          <w:szCs w:val="28"/>
          <w:lang w:val="zh-TW" w:eastAsia="zh-TW" w:bidi="zh-TW"/>
        </w:rPr>
      </w:pPr>
      <w:r>
        <w:rPr>
          <w:rFonts w:hint="eastAsia" w:ascii="楷体" w:hAnsi="楷体" w:eastAsia="楷体" w:cs="楷体"/>
          <w:b w:val="0"/>
          <w:bCs w:val="0"/>
          <w:color w:val="000000"/>
          <w:kern w:val="2"/>
          <w:sz w:val="28"/>
          <w:szCs w:val="28"/>
          <w:lang w:val="en-US" w:eastAsia="zh-CN" w:bidi="zh-TW"/>
        </w:rPr>
        <w:t>1、为</w:t>
      </w:r>
      <w:r>
        <w:rPr>
          <w:rFonts w:hint="eastAsia" w:ascii="楷体" w:hAnsi="楷体" w:eastAsia="楷体" w:cs="楷体"/>
          <w:b w:val="0"/>
          <w:bCs w:val="0"/>
          <w:color w:val="000000"/>
          <w:kern w:val="2"/>
          <w:sz w:val="28"/>
          <w:szCs w:val="28"/>
          <w:lang w:val="zh-TW" w:eastAsia="zh-TW" w:bidi="zh-TW"/>
        </w:rPr>
        <w:t>完善校园内监控系统的建设，进一步加强</w:t>
      </w:r>
      <w:r>
        <w:rPr>
          <w:rFonts w:hint="eastAsia" w:ascii="楷体" w:hAnsi="楷体" w:eastAsia="楷体" w:cs="楷体"/>
          <w:b w:val="0"/>
          <w:bCs w:val="0"/>
          <w:color w:val="000000"/>
          <w:kern w:val="2"/>
          <w:sz w:val="28"/>
          <w:szCs w:val="28"/>
          <w:lang w:val="en-US" w:eastAsia="zh-CN" w:bidi="zh-TW"/>
        </w:rPr>
        <w:t>校园</w:t>
      </w:r>
      <w:r>
        <w:rPr>
          <w:rFonts w:hint="eastAsia" w:ascii="楷体" w:hAnsi="楷体" w:eastAsia="楷体" w:cs="楷体"/>
          <w:b w:val="0"/>
          <w:bCs w:val="0"/>
          <w:color w:val="000000"/>
          <w:kern w:val="2"/>
          <w:sz w:val="28"/>
          <w:szCs w:val="28"/>
          <w:lang w:val="zh-TW" w:eastAsia="zh-TW" w:bidi="zh-TW"/>
        </w:rPr>
        <w:t>的安全建设工作</w:t>
      </w:r>
      <w:r>
        <w:rPr>
          <w:rFonts w:hint="eastAsia" w:ascii="楷体" w:hAnsi="楷体" w:eastAsia="楷体" w:cs="楷体"/>
          <w:b w:val="0"/>
          <w:bCs w:val="0"/>
          <w:color w:val="000000"/>
          <w:kern w:val="2"/>
          <w:sz w:val="28"/>
          <w:szCs w:val="28"/>
          <w:lang w:val="zh-TW" w:eastAsia="zh-CN" w:bidi="zh-TW"/>
        </w:rPr>
        <w:t>，</w:t>
      </w:r>
      <w:r>
        <w:rPr>
          <w:rFonts w:hint="eastAsia" w:ascii="楷体" w:hAnsi="楷体" w:eastAsia="楷体" w:cs="楷体"/>
          <w:b w:val="0"/>
          <w:bCs w:val="0"/>
          <w:color w:val="000000"/>
          <w:kern w:val="2"/>
          <w:sz w:val="28"/>
          <w:szCs w:val="28"/>
          <w:lang w:val="en-US" w:eastAsia="zh-CN" w:bidi="zh-TW"/>
        </w:rPr>
        <w:t>现采购一批设备</w:t>
      </w:r>
      <w:r>
        <w:rPr>
          <w:rFonts w:hint="eastAsia" w:ascii="楷体" w:hAnsi="楷体" w:eastAsia="楷体" w:cs="楷体"/>
          <w:b w:val="0"/>
          <w:bCs w:val="0"/>
          <w:color w:val="000000"/>
          <w:kern w:val="2"/>
          <w:sz w:val="28"/>
          <w:szCs w:val="28"/>
          <w:lang w:val="zh-TW" w:eastAsia="zh-TW" w:bidi="zh-TW"/>
        </w:rPr>
        <w:t>。</w:t>
      </w:r>
    </w:p>
    <w:p>
      <w:pPr>
        <w:keepNext/>
        <w:keepLines/>
        <w:widowControl w:val="0"/>
        <w:pBdr>
          <w:top w:val="none" w:color="auto" w:sz="0" w:space="1"/>
          <w:left w:val="none" w:color="auto" w:sz="0" w:space="4"/>
          <w:bottom w:val="none" w:color="auto" w:sz="0" w:space="1"/>
          <w:right w:val="none" w:color="auto" w:sz="0" w:space="4"/>
        </w:pBdr>
        <w:tabs>
          <w:tab w:val="left" w:pos="1027"/>
        </w:tabs>
        <w:spacing w:after="140" w:line="360" w:lineRule="auto"/>
        <w:ind w:firstLine="897" w:firstLineChars="319"/>
        <w:jc w:val="left"/>
        <w:outlineLvl w:val="3"/>
        <w:rPr>
          <w:rFonts w:hint="eastAsia" w:ascii="楷体" w:hAnsi="楷体" w:eastAsia="楷体" w:cs="楷体"/>
          <w:b w:val="0"/>
          <w:bCs w:val="0"/>
          <w:color w:val="000000"/>
          <w:kern w:val="2"/>
          <w:sz w:val="28"/>
          <w:szCs w:val="28"/>
          <w:highlight w:val="none"/>
          <w:lang w:val="zh-TW" w:eastAsia="zh-CN" w:bidi="zh-TW"/>
        </w:rPr>
      </w:pPr>
      <w:r>
        <w:rPr>
          <w:rFonts w:hint="eastAsia" w:ascii="楷体" w:hAnsi="楷体" w:eastAsia="楷体" w:cs="楷体"/>
          <w:b/>
          <w:bCs/>
          <w:color w:val="000000"/>
          <w:kern w:val="2"/>
          <w:sz w:val="28"/>
          <w:szCs w:val="28"/>
          <w:highlight w:val="none"/>
          <w:lang w:val="zh-TW" w:eastAsia="zh-TW" w:bidi="zh-TW"/>
        </w:rPr>
        <w:t>2、核心产品：</w:t>
      </w:r>
      <w:r>
        <w:rPr>
          <w:rFonts w:hint="eastAsia" w:ascii="楷体" w:hAnsi="楷体" w:eastAsia="楷体" w:cs="楷体"/>
          <w:b w:val="0"/>
          <w:bCs w:val="0"/>
          <w:color w:val="000000"/>
          <w:kern w:val="2"/>
          <w:sz w:val="28"/>
          <w:szCs w:val="28"/>
          <w:highlight w:val="none"/>
          <w:lang w:val="en-US" w:eastAsia="zh-CN" w:bidi="zh-TW"/>
        </w:rPr>
        <w:t>高清定向拾音器、音频管理服务软硬一体机。</w:t>
      </w:r>
    </w:p>
    <w:p>
      <w:pPr>
        <w:keepNext/>
        <w:keepLines/>
        <w:widowControl w:val="0"/>
        <w:pBdr>
          <w:top w:val="none" w:color="auto" w:sz="0" w:space="1"/>
          <w:left w:val="none" w:color="auto" w:sz="0" w:space="4"/>
          <w:bottom w:val="none" w:color="auto" w:sz="0" w:space="1"/>
          <w:right w:val="none" w:color="auto" w:sz="0" w:space="4"/>
        </w:pBdr>
        <w:tabs>
          <w:tab w:val="left" w:pos="1027"/>
        </w:tabs>
        <w:spacing w:after="140" w:line="400" w:lineRule="exact"/>
        <w:ind w:firstLine="460"/>
        <w:jc w:val="left"/>
        <w:outlineLvl w:val="3"/>
        <w:rPr>
          <w:rFonts w:ascii="楷体" w:hAnsi="楷体" w:eastAsia="楷体" w:cs="楷体"/>
          <w:b/>
          <w:bCs/>
          <w:kern w:val="2"/>
          <w:sz w:val="28"/>
          <w:szCs w:val="28"/>
          <w:lang w:val="zh-TW" w:eastAsia="zh-TW" w:bidi="zh-TW"/>
        </w:rPr>
      </w:pPr>
      <w:r>
        <w:rPr>
          <w:rFonts w:hint="eastAsia" w:ascii="楷体" w:hAnsi="楷体" w:eastAsia="楷体" w:cs="楷体"/>
          <w:b/>
          <w:bCs/>
          <w:color w:val="000000"/>
          <w:kern w:val="2"/>
          <w:sz w:val="28"/>
          <w:szCs w:val="28"/>
          <w:lang w:val="zh-TW" w:eastAsia="zh-TW" w:bidi="zh-TW"/>
        </w:rPr>
        <w:t>二、</w:t>
      </w:r>
      <w:r>
        <w:rPr>
          <w:rFonts w:hint="eastAsia" w:ascii="楷体" w:hAnsi="楷体" w:eastAsia="楷体" w:cs="楷体"/>
          <w:b/>
          <w:bCs/>
          <w:color w:val="000000"/>
          <w:kern w:val="2"/>
          <w:sz w:val="28"/>
          <w:szCs w:val="28"/>
          <w:lang w:val="zh-TW" w:eastAsia="zh-TW" w:bidi="zh-TW"/>
        </w:rPr>
        <w:tab/>
      </w:r>
      <w:r>
        <w:rPr>
          <w:rFonts w:hint="eastAsia" w:ascii="楷体" w:hAnsi="楷体" w:eastAsia="楷体" w:cs="楷体"/>
          <w:b/>
          <w:bCs/>
          <w:color w:val="000000"/>
          <w:kern w:val="2"/>
          <w:sz w:val="28"/>
          <w:szCs w:val="28"/>
          <w:lang w:val="zh-TW" w:eastAsia="zh-TW" w:bidi="zh-TW"/>
        </w:rPr>
        <w:t>采购内容</w:t>
      </w:r>
    </w:p>
    <w:tbl>
      <w:tblPr>
        <w:tblStyle w:val="44"/>
        <w:tblpPr w:leftFromText="180" w:rightFromText="180" w:vertAnchor="text" w:tblpXSpec="center" w:tblpY="12"/>
        <w:tblOverlap w:val="never"/>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636"/>
        <w:gridCol w:w="2376"/>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Align w:val="center"/>
          </w:tcPr>
          <w:p>
            <w:pPr>
              <w:widowControl/>
              <w:spacing w:line="360" w:lineRule="auto"/>
              <w:ind w:firstLine="0" w:firstLineChars="0"/>
              <w:jc w:val="center"/>
              <w:textAlignment w:val="center"/>
              <w:rPr>
                <w:rFonts w:ascii="楷体" w:hAnsi="楷体" w:eastAsia="楷体" w:cs="楷体"/>
                <w:color w:val="000000"/>
                <w:sz w:val="24"/>
              </w:rPr>
            </w:pPr>
            <w:bookmarkStart w:id="24" w:name="bookmark44"/>
            <w:r>
              <w:rPr>
                <w:rFonts w:hint="eastAsia" w:ascii="楷体" w:hAnsi="楷体" w:eastAsia="楷体" w:cs="楷体"/>
                <w:color w:val="000000"/>
                <w:kern w:val="0"/>
                <w:sz w:val="24"/>
                <w:lang w:bidi="ar"/>
              </w:rPr>
              <w:t>序号</w:t>
            </w:r>
          </w:p>
        </w:tc>
        <w:tc>
          <w:tcPr>
            <w:tcW w:w="363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产品名称</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数量</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w:t>
            </w:r>
          </w:p>
        </w:tc>
        <w:tc>
          <w:tcPr>
            <w:tcW w:w="363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高清定向拾音器</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149</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vMerge w:val="restart"/>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2</w:t>
            </w:r>
          </w:p>
        </w:tc>
        <w:tc>
          <w:tcPr>
            <w:tcW w:w="363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音频管理服务软硬一体机</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Merge w:val="continue"/>
            <w:vAlign w:val="center"/>
          </w:tcPr>
          <w:p>
            <w:pPr>
              <w:keepNext/>
              <w:keepLines/>
              <w:widowControl w:val="0"/>
              <w:spacing w:after="140" w:line="360" w:lineRule="auto"/>
              <w:ind w:firstLine="480"/>
              <w:jc w:val="center"/>
              <w:outlineLvl w:val="3"/>
              <w:rPr>
                <w:rFonts w:ascii="楷体" w:hAnsi="楷体" w:eastAsia="楷体" w:cs="楷体"/>
                <w:b/>
                <w:bCs/>
                <w:color w:val="000000"/>
                <w:kern w:val="2"/>
                <w:sz w:val="24"/>
                <w:szCs w:val="24"/>
                <w:lang w:val="zh-TW" w:eastAsia="zh-TW" w:bidi="zh-TW"/>
              </w:rPr>
            </w:pPr>
          </w:p>
        </w:tc>
        <w:tc>
          <w:tcPr>
            <w:tcW w:w="363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筒式摄像机</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Merge w:val="continue"/>
            <w:vAlign w:val="center"/>
          </w:tcPr>
          <w:p>
            <w:pPr>
              <w:spacing w:line="360" w:lineRule="auto"/>
              <w:ind w:firstLine="0" w:firstLineChars="0"/>
              <w:jc w:val="center"/>
              <w:rPr>
                <w:rFonts w:ascii="楷体" w:hAnsi="楷体" w:eastAsia="楷体" w:cs="楷体"/>
                <w:color w:val="000000"/>
                <w:sz w:val="24"/>
              </w:rPr>
            </w:pPr>
          </w:p>
        </w:tc>
        <w:tc>
          <w:tcPr>
            <w:tcW w:w="363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红外网络球机</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3</w:t>
            </w:r>
          </w:p>
        </w:tc>
        <w:tc>
          <w:tcPr>
            <w:tcW w:w="363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系统建设</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151</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Align w:val="center"/>
          </w:tcPr>
          <w:p>
            <w:pPr>
              <w:widowControl/>
              <w:spacing w:line="360" w:lineRule="auto"/>
              <w:ind w:firstLine="0" w:firstLineChars="0"/>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4</w:t>
            </w:r>
          </w:p>
        </w:tc>
        <w:tc>
          <w:tcPr>
            <w:tcW w:w="3636" w:type="dxa"/>
            <w:vAlign w:val="center"/>
          </w:tcPr>
          <w:p>
            <w:pPr>
              <w:widowControl/>
              <w:spacing w:line="360" w:lineRule="auto"/>
              <w:ind w:firstLine="0" w:firstLineChars="0"/>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高清定向拾音器</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54</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66" w:type="dxa"/>
            <w:vAlign w:val="center"/>
          </w:tcPr>
          <w:p>
            <w:pPr>
              <w:widowControl/>
              <w:spacing w:line="360" w:lineRule="auto"/>
              <w:ind w:firstLine="0" w:firstLineChars="0"/>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5</w:t>
            </w:r>
          </w:p>
        </w:tc>
        <w:tc>
          <w:tcPr>
            <w:tcW w:w="3636" w:type="dxa"/>
            <w:vAlign w:val="center"/>
          </w:tcPr>
          <w:p>
            <w:pPr>
              <w:widowControl/>
              <w:spacing w:line="360" w:lineRule="auto"/>
              <w:ind w:firstLine="0" w:firstLineChars="0"/>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系统建设</w:t>
            </w:r>
          </w:p>
        </w:tc>
        <w:tc>
          <w:tcPr>
            <w:tcW w:w="2376"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54</w:t>
            </w:r>
          </w:p>
        </w:tc>
        <w:tc>
          <w:tcPr>
            <w:tcW w:w="2822" w:type="dxa"/>
            <w:vAlign w:val="center"/>
          </w:tcPr>
          <w:p>
            <w:pPr>
              <w:widowControl/>
              <w:spacing w:line="360" w:lineRule="auto"/>
              <w:ind w:firstLine="0" w:firstLineChars="0"/>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项</w:t>
            </w:r>
          </w:p>
        </w:tc>
      </w:tr>
    </w:tbl>
    <w:p>
      <w:pPr>
        <w:keepNext/>
        <w:keepLines/>
        <w:widowControl w:val="0"/>
        <w:pBdr>
          <w:top w:val="none" w:color="auto" w:sz="0" w:space="1"/>
          <w:left w:val="none" w:color="auto" w:sz="0" w:space="4"/>
          <w:right w:val="none" w:color="auto" w:sz="0" w:space="4"/>
        </w:pBdr>
        <w:spacing w:after="140" w:line="401" w:lineRule="exact"/>
        <w:ind w:firstLine="500"/>
        <w:jc w:val="left"/>
        <w:outlineLvl w:val="3"/>
        <w:rPr>
          <w:rFonts w:ascii="楷体" w:hAnsi="楷体" w:eastAsia="楷体" w:cs="楷体"/>
          <w:b/>
          <w:bCs/>
          <w:kern w:val="2"/>
          <w:sz w:val="28"/>
          <w:szCs w:val="28"/>
          <w:lang w:val="zh-TW" w:eastAsia="zh-TW" w:bidi="zh-TW"/>
        </w:rPr>
      </w:pPr>
      <w:r>
        <w:rPr>
          <w:rFonts w:hint="eastAsia" w:ascii="楷体" w:hAnsi="楷体" w:eastAsia="楷体" w:cs="楷体"/>
          <w:b/>
          <w:bCs/>
          <w:color w:val="000000"/>
          <w:kern w:val="2"/>
          <w:sz w:val="28"/>
          <w:szCs w:val="28"/>
          <w:lang w:val="zh-TW" w:eastAsia="zh-TW" w:bidi="zh-TW"/>
        </w:rPr>
        <w:t>三、技术要求</w:t>
      </w:r>
      <w:bookmarkEnd w:id="24"/>
    </w:p>
    <w:tbl>
      <w:tblPr>
        <w:tblStyle w:val="43"/>
        <w:tblW w:w="4998" w:type="pct"/>
        <w:tblInd w:w="0" w:type="dxa"/>
        <w:tblLayout w:type="autofit"/>
        <w:tblCellMar>
          <w:top w:w="0" w:type="dxa"/>
          <w:left w:w="108" w:type="dxa"/>
          <w:bottom w:w="0" w:type="dxa"/>
          <w:right w:w="108" w:type="dxa"/>
        </w:tblCellMar>
      </w:tblPr>
      <w:tblGrid>
        <w:gridCol w:w="706"/>
        <w:gridCol w:w="2856"/>
        <w:gridCol w:w="4858"/>
        <w:gridCol w:w="696"/>
        <w:gridCol w:w="696"/>
      </w:tblGrid>
      <w:tr>
        <w:tblPrEx>
          <w:tblCellMar>
            <w:top w:w="0" w:type="dxa"/>
            <w:left w:w="108" w:type="dxa"/>
            <w:bottom w:w="0" w:type="dxa"/>
            <w:right w:w="108" w:type="dxa"/>
          </w:tblCellMar>
        </w:tblPrEx>
        <w:trPr>
          <w:trHeight w:val="510" w:hRule="atLeast"/>
        </w:trPr>
        <w:tc>
          <w:tcPr>
            <w:tcW w:w="66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bookmarkStart w:id="25" w:name="bookmark48"/>
            <w:bookmarkStart w:id="26" w:name="bookmark51"/>
            <w:bookmarkStart w:id="27" w:name="bookmark49"/>
            <w:r>
              <w:rPr>
                <w:rFonts w:hint="eastAsia" w:ascii="楷体" w:hAnsi="楷体" w:eastAsia="楷体" w:cs="楷体"/>
                <w:sz w:val="24"/>
              </w:rPr>
              <w:t>序号</w:t>
            </w:r>
          </w:p>
        </w:tc>
        <w:tc>
          <w:tcPr>
            <w:tcW w:w="72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名称</w:t>
            </w:r>
          </w:p>
        </w:tc>
        <w:tc>
          <w:tcPr>
            <w:tcW w:w="277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规格要求</w:t>
            </w:r>
          </w:p>
        </w:tc>
        <w:tc>
          <w:tcPr>
            <w:tcW w:w="40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数量</w:t>
            </w:r>
          </w:p>
        </w:tc>
        <w:tc>
          <w:tcPr>
            <w:tcW w:w="43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单位</w:t>
            </w:r>
          </w:p>
        </w:tc>
      </w:tr>
      <w:tr>
        <w:tblPrEx>
          <w:tblCellMar>
            <w:top w:w="0" w:type="dxa"/>
            <w:left w:w="108" w:type="dxa"/>
            <w:bottom w:w="0" w:type="dxa"/>
            <w:right w:w="108" w:type="dxa"/>
          </w:tblCellMar>
        </w:tblPrEx>
        <w:trPr>
          <w:trHeight w:val="90" w:hRule="atLeast"/>
        </w:trPr>
        <w:tc>
          <w:tcPr>
            <w:tcW w:w="6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1</w:t>
            </w:r>
          </w:p>
        </w:tc>
        <w:tc>
          <w:tcPr>
            <w:tcW w:w="72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highlight w:val="none"/>
              </w:rPr>
            </w:pPr>
            <w:r>
              <w:rPr>
                <w:rFonts w:hint="eastAsia" w:ascii="楷体" w:hAnsi="楷体" w:eastAsia="楷体" w:cs="楷体"/>
                <w:sz w:val="24"/>
                <w:highlight w:val="none"/>
              </w:rPr>
              <w:t>高清定向拾音器</w:t>
            </w:r>
          </w:p>
        </w:tc>
        <w:tc>
          <w:tcPr>
            <w:tcW w:w="2775"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0"/>
              </w:numPr>
              <w:spacing w:line="240" w:lineRule="auto"/>
              <w:ind w:firstLine="0" w:firstLineChars="0"/>
              <w:rPr>
                <w:rFonts w:ascii="楷体" w:hAnsi="楷体" w:eastAsia="楷体" w:cs="楷体"/>
                <w:sz w:val="24"/>
                <w:highlight w:val="none"/>
              </w:rPr>
            </w:pPr>
            <w:r>
              <w:rPr>
                <w:rFonts w:hint="eastAsia" w:ascii="楷体" w:hAnsi="楷体" w:eastAsia="楷体" w:cs="楷体"/>
                <w:sz w:val="24"/>
                <w:highlight w:val="none"/>
              </w:rPr>
              <w:t>拾音器需采用麦克风阵列方案，且麦克风数量≥8个，每个麦克风的灵敏度不低于-27dB，信噪比不低于78dB，采样位数不低于24位，采样率不低于48KHz(提供相关证明文件，包括但不限于检测报告，官网功能截图等)；</w:t>
            </w:r>
            <w:r>
              <w:rPr>
                <w:rFonts w:hint="eastAsia" w:ascii="楷体" w:hAnsi="楷体" w:eastAsia="楷体" w:cs="楷体"/>
                <w:sz w:val="24"/>
                <w:highlight w:val="none"/>
              </w:rPr>
              <w:br w:type="textWrapping"/>
            </w:r>
            <w:r>
              <w:rPr>
                <w:rFonts w:hint="eastAsia" w:ascii="楷体" w:hAnsi="楷体" w:eastAsia="楷体" w:cs="楷体"/>
                <w:sz w:val="24"/>
                <w:highlight w:val="none"/>
              </w:rPr>
              <w:t>2.拾音器需配备高速语音DSP处理器，运算能力≥3000MIPS(提供相关证明文件，包括但不限于检测报告，官网功能截图等)；</w:t>
            </w:r>
            <w:r>
              <w:rPr>
                <w:rFonts w:hint="eastAsia" w:ascii="楷体" w:hAnsi="楷体" w:eastAsia="楷体" w:cs="楷体"/>
                <w:sz w:val="24"/>
                <w:highlight w:val="none"/>
              </w:rPr>
              <w:br w:type="textWrapping"/>
            </w:r>
            <w:r>
              <w:rPr>
                <w:rFonts w:hint="eastAsia" w:ascii="楷体" w:hAnsi="楷体" w:eastAsia="楷体" w:cs="楷体"/>
                <w:sz w:val="24"/>
                <w:highlight w:val="none"/>
              </w:rPr>
              <w:t>3.拾音器需内置自动增益调节（AGC）功能电路；</w:t>
            </w:r>
            <w:r>
              <w:rPr>
                <w:rFonts w:hint="eastAsia" w:ascii="楷体" w:hAnsi="楷体" w:eastAsia="楷体" w:cs="楷体"/>
                <w:sz w:val="24"/>
                <w:highlight w:val="none"/>
              </w:rPr>
              <w:br w:type="textWrapping"/>
            </w:r>
            <w:r>
              <w:rPr>
                <w:rFonts w:hint="eastAsia" w:ascii="楷体" w:hAnsi="楷体" w:eastAsia="楷体" w:cs="楷体"/>
                <w:sz w:val="24"/>
                <w:highlight w:val="none"/>
              </w:rPr>
              <w:t>4.拾音距离：30米【自由场噪声环境下（噪声级65dB），拾音器能清晰拾取人正常讲话（声压级65dB）的距离）】；</w:t>
            </w:r>
            <w:r>
              <w:rPr>
                <w:rFonts w:hint="eastAsia" w:ascii="楷体" w:hAnsi="楷体" w:eastAsia="楷体" w:cs="楷体"/>
                <w:sz w:val="24"/>
                <w:highlight w:val="none"/>
              </w:rPr>
              <w:br w:type="textWrapping"/>
            </w:r>
            <w:r>
              <w:rPr>
                <w:rFonts w:hint="eastAsia" w:ascii="楷体" w:hAnsi="楷体" w:eastAsia="楷体" w:cs="楷体"/>
                <w:sz w:val="24"/>
                <w:highlight w:val="none"/>
              </w:rPr>
              <w:t>5.电源类型：至少应支持POE 供电；</w:t>
            </w:r>
            <w:r>
              <w:rPr>
                <w:rFonts w:hint="eastAsia" w:ascii="楷体" w:hAnsi="楷体" w:eastAsia="楷体" w:cs="楷体"/>
                <w:sz w:val="24"/>
                <w:highlight w:val="none"/>
              </w:rPr>
              <w:br w:type="textWrapping"/>
            </w:r>
            <w:r>
              <w:rPr>
                <w:rFonts w:hint="eastAsia" w:ascii="楷体" w:hAnsi="楷体" w:eastAsia="楷体" w:cs="楷体"/>
                <w:sz w:val="24"/>
                <w:highlight w:val="none"/>
              </w:rPr>
              <w:t>6.可靠性：防水防尘等级≥IP65 (提供相关证明文件，包括但不限于检测报告，官网功能截图等)；</w:t>
            </w:r>
            <w:r>
              <w:rPr>
                <w:rFonts w:hint="eastAsia" w:ascii="楷体" w:hAnsi="楷体" w:eastAsia="楷体" w:cs="楷体"/>
                <w:sz w:val="24"/>
                <w:highlight w:val="none"/>
              </w:rPr>
              <w:br w:type="textWrapping"/>
            </w:r>
            <w:r>
              <w:rPr>
                <w:rFonts w:hint="eastAsia" w:ascii="楷体" w:hAnsi="楷体" w:eastAsia="楷体" w:cs="楷体"/>
                <w:sz w:val="24"/>
                <w:highlight w:val="none"/>
              </w:rPr>
              <w:t>7.抗风噪能力≥5米/秒；</w:t>
            </w:r>
            <w:r>
              <w:rPr>
                <w:rFonts w:hint="eastAsia" w:ascii="楷体" w:hAnsi="楷体" w:eastAsia="楷体" w:cs="楷体"/>
                <w:sz w:val="24"/>
                <w:highlight w:val="none"/>
              </w:rPr>
              <w:br w:type="textWrapping"/>
            </w:r>
            <w:r>
              <w:rPr>
                <w:rFonts w:hint="eastAsia" w:ascii="楷体" w:hAnsi="楷体" w:eastAsia="楷体" w:cs="楷体"/>
                <w:sz w:val="24"/>
                <w:highlight w:val="none"/>
              </w:rPr>
              <w:t>8.安全要求：V0或其他材料的同级别阻燃能力，并具备防爆能，满足环境高低温下正常工作(本项提供相关证明文件，包括但不限于检测报告，官网功能截图等)；</w:t>
            </w:r>
          </w:p>
          <w:p>
            <w:pPr>
              <w:spacing w:line="240" w:lineRule="auto"/>
              <w:ind w:firstLine="0" w:firstLineChars="0"/>
              <w:rPr>
                <w:rFonts w:ascii="楷体" w:hAnsi="楷体" w:eastAsia="楷体" w:cs="楷体"/>
                <w:sz w:val="24"/>
                <w:highlight w:val="none"/>
              </w:rPr>
            </w:pPr>
            <w:r>
              <w:rPr>
                <w:rFonts w:hint="eastAsia" w:ascii="楷体" w:hAnsi="楷体" w:eastAsia="楷体" w:cs="楷体"/>
                <w:sz w:val="24"/>
                <w:highlight w:val="none"/>
              </w:rPr>
              <w:t>9.至少需具备标准POE网口、3.5mm标准音频口两种接口。</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149</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台</w:t>
            </w:r>
          </w:p>
        </w:tc>
      </w:tr>
      <w:tr>
        <w:tblPrEx>
          <w:tblCellMar>
            <w:top w:w="0" w:type="dxa"/>
            <w:left w:w="108" w:type="dxa"/>
            <w:bottom w:w="0" w:type="dxa"/>
            <w:right w:w="108" w:type="dxa"/>
          </w:tblCellMar>
        </w:tblPrEx>
        <w:trPr>
          <w:trHeight w:val="7477" w:hRule="atLeast"/>
        </w:trPr>
        <w:tc>
          <w:tcPr>
            <w:tcW w:w="660"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2</w:t>
            </w:r>
          </w:p>
        </w:tc>
        <w:tc>
          <w:tcPr>
            <w:tcW w:w="723" w:type="pct"/>
            <w:tcBorders>
              <w:top w:val="single" w:color="auto" w:sz="4" w:space="0"/>
              <w:left w:val="single" w:color="000000"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音频管理服务软硬一体机</w:t>
            </w:r>
          </w:p>
        </w:tc>
        <w:tc>
          <w:tcPr>
            <w:tcW w:w="2775"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rPr>
                <w:rFonts w:ascii="楷体" w:hAnsi="楷体" w:eastAsia="楷体" w:cs="楷体"/>
                <w:color w:val="auto"/>
                <w:sz w:val="24"/>
              </w:rPr>
            </w:pPr>
            <w:r>
              <w:rPr>
                <w:rFonts w:hint="eastAsia" w:ascii="楷体" w:hAnsi="楷体" w:eastAsia="楷体" w:cs="楷体"/>
                <w:sz w:val="24"/>
              </w:rPr>
              <w:t>系统功能：</w:t>
            </w:r>
            <w:r>
              <w:rPr>
                <w:rFonts w:hint="eastAsia" w:ascii="楷体" w:hAnsi="楷体" w:eastAsia="楷体" w:cs="楷体"/>
                <w:sz w:val="24"/>
              </w:rPr>
              <w:br w:type="textWrapping"/>
            </w:r>
            <w:r>
              <w:rPr>
                <w:rFonts w:hint="eastAsia" w:ascii="楷体" w:hAnsi="楷体" w:eastAsia="楷体" w:cs="楷体"/>
                <w:sz w:val="24"/>
              </w:rPr>
              <w:t>1.要求基于网络化、便于管理。</w:t>
            </w:r>
            <w:r>
              <w:rPr>
                <w:rFonts w:hint="eastAsia" w:ascii="楷体" w:hAnsi="楷体" w:eastAsia="楷体" w:cs="楷体"/>
                <w:sz w:val="24"/>
              </w:rPr>
              <w:br w:type="textWrapping"/>
            </w:r>
            <w:r>
              <w:rPr>
                <w:rFonts w:hint="eastAsia" w:ascii="楷体" w:hAnsi="楷体" w:eastAsia="楷体" w:cs="楷体"/>
                <w:sz w:val="24"/>
              </w:rPr>
              <w:t>2.要求具备校园异常声音检测报警功能，具体要求如下：</w:t>
            </w:r>
            <w:r>
              <w:rPr>
                <w:rFonts w:hint="eastAsia" w:ascii="楷体" w:hAnsi="楷体" w:eastAsia="楷体" w:cs="楷体"/>
                <w:sz w:val="24"/>
              </w:rPr>
              <w:br w:type="textWrapping"/>
            </w:r>
            <w:r>
              <w:rPr>
                <w:rFonts w:hint="eastAsia" w:ascii="楷体" w:hAnsi="楷体" w:eastAsia="楷体" w:cs="楷体"/>
                <w:sz w:val="24"/>
              </w:rPr>
              <w:t>①可以实时检测异常声音，对突发事件快速响应；</w:t>
            </w:r>
            <w:r>
              <w:rPr>
                <w:rFonts w:hint="eastAsia" w:ascii="楷体" w:hAnsi="楷体" w:eastAsia="楷体" w:cs="楷体"/>
                <w:sz w:val="24"/>
              </w:rPr>
              <w:br w:type="textWrapping"/>
            </w:r>
            <w:r>
              <w:rPr>
                <w:rFonts w:hint="eastAsia" w:ascii="楷体" w:hAnsi="楷体" w:eastAsia="楷体" w:cs="楷体"/>
                <w:sz w:val="24"/>
              </w:rPr>
              <w:t>②支持多路并发检测报警，对多个点位区域进行布控；</w:t>
            </w:r>
            <w:r>
              <w:rPr>
                <w:rFonts w:hint="eastAsia" w:ascii="楷体" w:hAnsi="楷体" w:eastAsia="楷体" w:cs="楷体"/>
                <w:sz w:val="24"/>
              </w:rPr>
              <w:br w:type="textWrapping"/>
            </w:r>
            <w:r>
              <w:rPr>
                <w:rFonts w:hint="eastAsia" w:ascii="楷体" w:hAnsi="楷体" w:eastAsia="楷体" w:cs="楷体"/>
                <w:sz w:val="24"/>
              </w:rPr>
              <w:t>③支持个性化配置，根据不同环境自定义设置检测参数；</w:t>
            </w:r>
            <w:r>
              <w:rPr>
                <w:rFonts w:hint="eastAsia" w:ascii="楷体" w:hAnsi="楷体" w:eastAsia="楷体" w:cs="楷体"/>
                <w:sz w:val="24"/>
              </w:rPr>
              <w:br w:type="textWrapping"/>
            </w:r>
            <w:r>
              <w:rPr>
                <w:rFonts w:hint="eastAsia" w:ascii="楷体" w:hAnsi="楷体" w:eastAsia="楷体" w:cs="楷体"/>
                <w:sz w:val="24"/>
              </w:rPr>
              <w:t>④可对报警信息系统级实时推送；</w:t>
            </w:r>
            <w:r>
              <w:rPr>
                <w:rFonts w:hint="eastAsia" w:ascii="楷体" w:hAnsi="楷体" w:eastAsia="楷体" w:cs="楷体"/>
                <w:sz w:val="24"/>
              </w:rPr>
              <w:br w:type="textWrapping"/>
            </w:r>
            <w:r>
              <w:rPr>
                <w:rFonts w:hint="eastAsia" w:ascii="楷体" w:hAnsi="楷体" w:eastAsia="楷体" w:cs="楷体"/>
                <w:sz w:val="24"/>
              </w:rPr>
              <w:t>⑤可对报警内容点击一键直达详细页面。</w:t>
            </w:r>
            <w:r>
              <w:rPr>
                <w:rFonts w:hint="eastAsia" w:ascii="楷体" w:hAnsi="楷体" w:eastAsia="楷体" w:cs="楷体"/>
                <w:sz w:val="24"/>
              </w:rPr>
              <w:br w:type="textWrapping"/>
            </w:r>
            <w:r>
              <w:rPr>
                <w:rFonts w:hint="eastAsia" w:ascii="楷体" w:hAnsi="楷体" w:eastAsia="楷体" w:cs="楷体"/>
                <w:sz w:val="24"/>
              </w:rPr>
              <w:t>3.要求具备校园定时监测功能：</w:t>
            </w:r>
            <w:r>
              <w:rPr>
                <w:rFonts w:hint="eastAsia" w:ascii="楷体" w:hAnsi="楷体" w:eastAsia="楷体" w:cs="楷体"/>
                <w:sz w:val="24"/>
              </w:rPr>
              <w:br w:type="textWrapping"/>
            </w:r>
            <w:r>
              <w:rPr>
                <w:rFonts w:hint="eastAsia" w:ascii="楷体" w:hAnsi="楷体" w:eastAsia="楷体" w:cs="楷体"/>
                <w:sz w:val="24"/>
              </w:rPr>
              <w:t>①要求支持全时段监测和自定义监测两种模式；</w:t>
            </w:r>
            <w:r>
              <w:rPr>
                <w:rFonts w:hint="eastAsia" w:ascii="楷体" w:hAnsi="楷体" w:eastAsia="楷体" w:cs="楷体"/>
                <w:sz w:val="24"/>
              </w:rPr>
              <w:br w:type="textWrapping"/>
            </w:r>
            <w:r>
              <w:rPr>
                <w:rFonts w:hint="eastAsia" w:ascii="楷体" w:hAnsi="楷体" w:eastAsia="楷体" w:cs="楷体"/>
                <w:sz w:val="24"/>
              </w:rPr>
              <w:t>②自定义监测模式，需要可设定开启关闭时间段，需要支持夜间自动布控监测；</w:t>
            </w:r>
            <w:r>
              <w:rPr>
                <w:rFonts w:hint="eastAsia" w:ascii="楷体" w:hAnsi="楷体" w:eastAsia="楷体" w:cs="楷体"/>
                <w:sz w:val="24"/>
              </w:rPr>
              <w:br w:type="textWrapping"/>
            </w:r>
            <w:r>
              <w:rPr>
                <w:rFonts w:hint="eastAsia" w:ascii="楷体" w:hAnsi="楷体" w:eastAsia="楷体" w:cs="楷体"/>
                <w:sz w:val="24"/>
              </w:rPr>
              <w:t>③要求针对不同环境需求，可以设置不同监测模式。</w:t>
            </w:r>
            <w:r>
              <w:rPr>
                <w:rFonts w:hint="eastAsia" w:ascii="楷体" w:hAnsi="楷体" w:eastAsia="楷体" w:cs="楷体"/>
                <w:sz w:val="24"/>
              </w:rPr>
              <w:br w:type="textWrapping"/>
            </w:r>
            <w:r>
              <w:rPr>
                <w:rFonts w:hint="eastAsia" w:ascii="楷体" w:hAnsi="楷体" w:eastAsia="楷体" w:cs="楷体"/>
                <w:sz w:val="24"/>
              </w:rPr>
              <w:t>4.要求具备历史事件回溯功能：</w:t>
            </w:r>
            <w:r>
              <w:rPr>
                <w:rFonts w:hint="eastAsia" w:ascii="楷体" w:hAnsi="楷体" w:eastAsia="楷体" w:cs="楷体"/>
                <w:sz w:val="24"/>
              </w:rPr>
              <w:br w:type="textWrapping"/>
            </w:r>
            <w:r>
              <w:rPr>
                <w:rFonts w:hint="eastAsia" w:ascii="楷体" w:hAnsi="楷体" w:eastAsia="楷体" w:cs="楷体"/>
                <w:sz w:val="24"/>
              </w:rPr>
              <w:t>①要求满足30天内历史事件详情回溯调查。单次历史事件提供报警时间、地点、事件音频相关信息；</w:t>
            </w:r>
            <w:r>
              <w:rPr>
                <w:rFonts w:hint="eastAsia" w:ascii="楷体" w:hAnsi="楷体" w:eastAsia="楷体" w:cs="楷体"/>
                <w:sz w:val="24"/>
              </w:rPr>
              <w:br w:type="textWrapping"/>
            </w:r>
            <w:r>
              <w:rPr>
                <w:rFonts w:hint="eastAsia" w:ascii="楷体" w:hAnsi="楷体" w:eastAsia="楷体" w:cs="楷体"/>
                <w:sz w:val="24"/>
              </w:rPr>
              <w:t>②要求满足一年内历史事件概要回溯调查，单次历史事件提供报警时间、地点相关信息。</w:t>
            </w:r>
            <w:r>
              <w:rPr>
                <w:rFonts w:hint="eastAsia" w:ascii="楷体" w:hAnsi="楷体" w:eastAsia="楷体" w:cs="楷体"/>
                <w:sz w:val="24"/>
              </w:rPr>
              <w:br w:type="textWrapping"/>
            </w:r>
            <w:r>
              <w:rPr>
                <w:rFonts w:hint="eastAsia" w:ascii="楷体" w:hAnsi="楷体" w:eastAsia="楷体" w:cs="楷体"/>
                <w:sz w:val="24"/>
              </w:rPr>
              <w:t>5.要求具备校园安全形势分析统计功能：</w:t>
            </w:r>
            <w:r>
              <w:rPr>
                <w:rFonts w:hint="eastAsia" w:ascii="楷体" w:hAnsi="楷体" w:eastAsia="楷体" w:cs="楷体"/>
                <w:sz w:val="24"/>
              </w:rPr>
              <w:br w:type="textWrapping"/>
            </w:r>
            <w:r>
              <w:rPr>
                <w:rFonts w:hint="eastAsia" w:ascii="楷体" w:hAnsi="楷体" w:eastAsia="楷体" w:cs="楷体"/>
                <w:sz w:val="24"/>
              </w:rPr>
              <w:t>①需要支持周、月、年度检测结果统计、报表生成；</w:t>
            </w:r>
            <w:r>
              <w:rPr>
                <w:rFonts w:hint="eastAsia" w:ascii="楷体" w:hAnsi="楷体" w:eastAsia="楷体" w:cs="楷体"/>
                <w:sz w:val="24"/>
              </w:rPr>
              <w:br w:type="textWrapping"/>
            </w:r>
            <w:r>
              <w:rPr>
                <w:rFonts w:hint="eastAsia" w:ascii="楷体" w:hAnsi="楷体" w:eastAsia="楷体" w:cs="楷体"/>
                <w:sz w:val="24"/>
              </w:rPr>
              <w:t>②要求可以根据时间段进行选择统计，并导出EXCEL。</w:t>
            </w:r>
            <w:r>
              <w:rPr>
                <w:rFonts w:hint="eastAsia" w:ascii="楷体" w:hAnsi="楷体" w:eastAsia="楷体" w:cs="楷体"/>
                <w:sz w:val="24"/>
              </w:rPr>
              <w:br w:type="textWrapping"/>
            </w:r>
            <w:r>
              <w:rPr>
                <w:rFonts w:hint="eastAsia" w:ascii="楷体" w:hAnsi="楷体" w:eastAsia="楷体" w:cs="楷体"/>
                <w:sz w:val="24"/>
              </w:rPr>
              <w:t>6.要求需具备数据可视化功能：</w:t>
            </w:r>
            <w:r>
              <w:rPr>
                <w:rFonts w:hint="eastAsia" w:ascii="楷体" w:hAnsi="楷体" w:eastAsia="楷体" w:cs="楷体"/>
                <w:sz w:val="24"/>
              </w:rPr>
              <w:br w:type="textWrapping"/>
            </w:r>
            <w:r>
              <w:rPr>
                <w:rFonts w:hint="eastAsia" w:ascii="楷体" w:hAnsi="楷体" w:eastAsia="楷体" w:cs="楷体"/>
                <w:sz w:val="24"/>
              </w:rPr>
              <w:t>①要求实现音频数据可视化，首页预览支持多窗口实时预览，单击任一窗口进入实时监听页面；</w:t>
            </w:r>
            <w:r>
              <w:rPr>
                <w:rFonts w:hint="eastAsia" w:ascii="楷体" w:hAnsi="楷体" w:eastAsia="楷体" w:cs="楷体"/>
                <w:sz w:val="24"/>
              </w:rPr>
              <w:br w:type="textWrapping"/>
            </w:r>
            <w:r>
              <w:rPr>
                <w:rFonts w:hint="eastAsia" w:ascii="楷体" w:hAnsi="楷体" w:eastAsia="楷体" w:cs="楷体"/>
                <w:sz w:val="24"/>
              </w:rPr>
              <w:t>②要求实现统计数据可视化。</w:t>
            </w:r>
            <w:r>
              <w:rPr>
                <w:rFonts w:hint="eastAsia" w:ascii="楷体" w:hAnsi="楷体" w:eastAsia="楷体" w:cs="楷体"/>
                <w:sz w:val="24"/>
              </w:rPr>
              <w:br w:type="textWrapping"/>
            </w:r>
            <w:r>
              <w:rPr>
                <w:rFonts w:hint="eastAsia" w:ascii="楷体" w:hAnsi="楷体" w:eastAsia="楷体" w:cs="楷体"/>
                <w:sz w:val="24"/>
              </w:rPr>
              <w:t>7.音频监控系统需具备数据存储功能：</w:t>
            </w:r>
            <w:r>
              <w:rPr>
                <w:rFonts w:hint="eastAsia" w:ascii="楷体" w:hAnsi="楷体" w:eastAsia="楷体" w:cs="楷体"/>
                <w:sz w:val="24"/>
              </w:rPr>
              <w:br w:type="textWrapping"/>
            </w:r>
            <w:r>
              <w:rPr>
                <w:rFonts w:hint="eastAsia" w:ascii="楷体" w:hAnsi="楷体" w:eastAsia="楷体" w:cs="楷体"/>
                <w:sz w:val="24"/>
              </w:rPr>
              <w:t>①要求支持至少30天高清音频数据存储；</w:t>
            </w:r>
            <w:r>
              <w:rPr>
                <w:rFonts w:hint="eastAsia" w:ascii="楷体" w:hAnsi="楷体" w:eastAsia="楷体" w:cs="楷体"/>
                <w:sz w:val="24"/>
              </w:rPr>
              <w:br w:type="textWrapping"/>
            </w:r>
            <w:r>
              <w:rPr>
                <w:rFonts w:hint="eastAsia" w:ascii="楷体" w:hAnsi="楷体" w:eastAsia="楷体" w:cs="楷体"/>
                <w:sz w:val="24"/>
              </w:rPr>
              <w:t>②要求支持数据分段打包存储，每2小时存储一次；</w:t>
            </w:r>
            <w:r>
              <w:rPr>
                <w:rFonts w:hint="eastAsia" w:ascii="楷体" w:hAnsi="楷体" w:eastAsia="楷体" w:cs="楷体"/>
                <w:sz w:val="24"/>
              </w:rPr>
              <w:br w:type="textWrapping"/>
            </w:r>
            <w:r>
              <w:rPr>
                <w:rFonts w:hint="eastAsia" w:ascii="楷体" w:hAnsi="楷体" w:eastAsia="楷体" w:cs="楷体"/>
                <w:sz w:val="24"/>
              </w:rPr>
              <w:t>③要求支持数据快速检索，自定义检索时间段；</w:t>
            </w:r>
            <w:r>
              <w:rPr>
                <w:rFonts w:hint="eastAsia" w:ascii="楷体" w:hAnsi="楷体" w:eastAsia="楷体" w:cs="楷体"/>
                <w:sz w:val="24"/>
              </w:rPr>
              <w:br w:type="textWrapping"/>
            </w:r>
            <w:r>
              <w:rPr>
                <w:rFonts w:hint="eastAsia" w:ascii="楷体" w:hAnsi="楷体" w:eastAsia="楷体" w:cs="楷体"/>
                <w:sz w:val="24"/>
              </w:rPr>
              <w:t>④要求支持数据快速导出，自定义导出时间段。</w:t>
            </w:r>
            <w:r>
              <w:rPr>
                <w:rFonts w:hint="eastAsia" w:ascii="楷体" w:hAnsi="楷体" w:eastAsia="楷体" w:cs="楷体"/>
                <w:sz w:val="24"/>
              </w:rPr>
              <w:br w:type="textWrapping"/>
            </w:r>
            <w:r>
              <w:rPr>
                <w:rFonts w:hint="eastAsia" w:ascii="楷体" w:hAnsi="楷体" w:eastAsia="楷体" w:cs="楷体"/>
                <w:sz w:val="24"/>
              </w:rPr>
              <w:t>8.音频监控系统需具备自动化运维功能：</w:t>
            </w:r>
            <w:r>
              <w:rPr>
                <w:rFonts w:hint="eastAsia" w:ascii="楷体" w:hAnsi="楷体" w:eastAsia="楷体" w:cs="楷体"/>
                <w:sz w:val="24"/>
              </w:rPr>
              <w:br w:type="textWrapping"/>
            </w:r>
            <w:r>
              <w:rPr>
                <w:rFonts w:hint="eastAsia" w:ascii="楷体" w:hAnsi="楷体" w:eastAsia="楷体" w:cs="楷体"/>
                <w:sz w:val="24"/>
              </w:rPr>
              <w:t>①要求实现设备分组管理，根据需求自主调整；</w:t>
            </w:r>
            <w:r>
              <w:rPr>
                <w:rFonts w:hint="eastAsia" w:ascii="楷体" w:hAnsi="楷体" w:eastAsia="楷体" w:cs="楷体"/>
                <w:sz w:val="24"/>
              </w:rPr>
              <w:br w:type="textWrapping"/>
            </w:r>
            <w:r>
              <w:rPr>
                <w:rFonts w:hint="eastAsia" w:ascii="楷体" w:hAnsi="楷体" w:eastAsia="楷体" w:cs="楷体"/>
                <w:sz w:val="24"/>
              </w:rPr>
              <w:t>②要求实现设备运行多色状态展示，如红色异常、绿色正常；</w:t>
            </w:r>
            <w:r>
              <w:rPr>
                <w:rFonts w:hint="eastAsia" w:ascii="楷体" w:hAnsi="楷体" w:eastAsia="楷体" w:cs="楷体"/>
                <w:sz w:val="24"/>
              </w:rPr>
              <w:br w:type="textWrapping"/>
            </w:r>
            <w:r>
              <w:rPr>
                <w:rFonts w:hint="eastAsia" w:ascii="楷体" w:hAnsi="楷体" w:eastAsia="楷体" w:cs="楷体"/>
                <w:sz w:val="24"/>
              </w:rPr>
              <w:t>③要求实现设备在线、离线状态统计；</w:t>
            </w:r>
            <w:r>
              <w:rPr>
                <w:rFonts w:hint="eastAsia" w:ascii="楷体" w:hAnsi="楷体" w:eastAsia="楷体" w:cs="楷体"/>
                <w:sz w:val="24"/>
              </w:rPr>
              <w:br w:type="textWrapping"/>
            </w:r>
            <w:r>
              <w:rPr>
                <w:rFonts w:hint="eastAsia" w:ascii="楷体" w:hAnsi="楷体" w:eastAsia="楷体" w:cs="楷体"/>
                <w:sz w:val="24"/>
              </w:rPr>
              <w:t>④要求实现设备故障报警；</w:t>
            </w:r>
            <w:r>
              <w:rPr>
                <w:rFonts w:hint="eastAsia" w:ascii="楷体" w:hAnsi="楷体" w:eastAsia="楷体" w:cs="楷体"/>
                <w:sz w:val="24"/>
              </w:rPr>
              <w:br w:type="textWrapping"/>
            </w:r>
            <w:r>
              <w:rPr>
                <w:rFonts w:hint="eastAsia" w:ascii="楷体" w:hAnsi="楷体" w:eastAsia="楷体" w:cs="楷体"/>
                <w:sz w:val="24"/>
              </w:rPr>
              <w:t>⑤要求实现管理员权限灵活分配管理；</w:t>
            </w:r>
            <w:r>
              <w:rPr>
                <w:rFonts w:hint="eastAsia" w:ascii="楷体" w:hAnsi="楷体" w:eastAsia="楷体" w:cs="楷体"/>
                <w:sz w:val="24"/>
              </w:rPr>
              <w:br w:type="textWrapping"/>
            </w:r>
            <w:r>
              <w:rPr>
                <w:rFonts w:hint="eastAsia" w:ascii="楷体" w:hAnsi="楷体" w:eastAsia="楷体" w:cs="楷体"/>
                <w:sz w:val="24"/>
              </w:rPr>
              <w:t>⑥要求实现系统异常推送报警，并满足日志分类可筛选。</w:t>
            </w:r>
            <w:r>
              <w:rPr>
                <w:rFonts w:hint="eastAsia" w:ascii="楷体" w:hAnsi="楷体" w:eastAsia="楷体" w:cs="楷体"/>
                <w:sz w:val="24"/>
              </w:rPr>
              <w:br w:type="textWrapping"/>
            </w:r>
            <w:r>
              <w:rPr>
                <w:rFonts w:hint="eastAsia" w:ascii="楷体" w:hAnsi="楷体" w:eastAsia="楷体" w:cs="楷体"/>
                <w:sz w:val="24"/>
              </w:rPr>
              <w:t>服务器:</w:t>
            </w:r>
            <w:r>
              <w:rPr>
                <w:rFonts w:hint="eastAsia" w:ascii="楷体" w:hAnsi="楷体" w:eastAsia="楷体" w:cs="楷体"/>
                <w:sz w:val="24"/>
              </w:rPr>
              <w:br w:type="textWrapping"/>
            </w:r>
            <w:r>
              <w:rPr>
                <w:rFonts w:hint="eastAsia" w:ascii="楷体" w:hAnsi="楷体" w:eastAsia="楷体" w:cs="楷体"/>
                <w:sz w:val="24"/>
              </w:rPr>
              <w:t>1.C</w:t>
            </w:r>
            <w:r>
              <w:rPr>
                <w:rFonts w:hint="eastAsia" w:ascii="楷体" w:hAnsi="楷体" w:eastAsia="楷体" w:cs="楷体"/>
                <w:color w:val="auto"/>
                <w:sz w:val="24"/>
              </w:rPr>
              <w:t>PU</w:t>
            </w:r>
            <w:r>
              <w:rPr>
                <w:rFonts w:hint="eastAsia" w:ascii="楷体" w:hAnsi="楷体" w:eastAsia="楷体" w:cs="楷体"/>
                <w:color w:val="auto"/>
                <w:sz w:val="24"/>
                <w:highlight w:val="none"/>
              </w:rPr>
              <w:t>：≥4核，≥3.5GHz</w:t>
            </w:r>
            <w:r>
              <w:rPr>
                <w:rFonts w:hint="eastAsia" w:ascii="楷体" w:hAnsi="楷体" w:eastAsia="楷体" w:cs="楷体"/>
                <w:sz w:val="24"/>
              </w:rPr>
              <w:br w:type="textWrapping"/>
            </w:r>
            <w:r>
              <w:rPr>
                <w:rFonts w:hint="eastAsia" w:ascii="楷体" w:hAnsi="楷体" w:eastAsia="楷体" w:cs="楷体"/>
                <w:sz w:val="24"/>
              </w:rPr>
              <w:t>2.内存：≥8G DDR4，4根内存插槽</w:t>
            </w:r>
            <w:r>
              <w:rPr>
                <w:rFonts w:hint="eastAsia" w:ascii="楷体" w:hAnsi="楷体" w:eastAsia="楷体" w:cs="楷体"/>
                <w:sz w:val="24"/>
              </w:rPr>
              <w:br w:type="textWrapping"/>
            </w:r>
            <w:r>
              <w:rPr>
                <w:rFonts w:hint="eastAsia" w:ascii="楷体" w:hAnsi="楷体" w:eastAsia="楷体" w:cs="楷体"/>
                <w:sz w:val="24"/>
              </w:rPr>
              <w:t>3.硬盘：存储容量≥17T，硬盘插槽≥3个，单槽位最大支持8T</w:t>
            </w:r>
            <w:r>
              <w:rPr>
                <w:rFonts w:hint="eastAsia" w:ascii="楷体" w:hAnsi="楷体" w:eastAsia="楷体" w:cs="楷体"/>
                <w:sz w:val="24"/>
              </w:rPr>
              <w:br w:type="textWrapping"/>
            </w:r>
            <w:r>
              <w:rPr>
                <w:rFonts w:hint="eastAsia" w:ascii="楷体" w:hAnsi="楷体" w:eastAsia="楷体" w:cs="楷体"/>
                <w:sz w:val="24"/>
              </w:rPr>
              <w:t>4.PCIE扩展：≥3个PCIE扩展插槽</w:t>
            </w:r>
            <w:r>
              <w:rPr>
                <w:rFonts w:hint="eastAsia" w:ascii="楷体" w:hAnsi="楷体" w:eastAsia="楷体" w:cs="楷体"/>
                <w:sz w:val="24"/>
              </w:rPr>
              <w:br w:type="textWrapping"/>
            </w:r>
            <w:r>
              <w:rPr>
                <w:rFonts w:hint="eastAsia" w:ascii="楷体" w:hAnsi="楷体" w:eastAsia="楷体" w:cs="楷体"/>
                <w:color w:val="auto"/>
                <w:sz w:val="24"/>
              </w:rPr>
              <w:t>5.接口：≥1个千兆口，6个USB接口</w:t>
            </w:r>
            <w:r>
              <w:rPr>
                <w:rFonts w:hint="eastAsia" w:ascii="楷体" w:hAnsi="楷体" w:eastAsia="楷体" w:cs="楷体"/>
                <w:color w:val="auto"/>
                <w:sz w:val="24"/>
              </w:rPr>
              <w:br w:type="textWrapping"/>
            </w:r>
            <w:r>
              <w:rPr>
                <w:rFonts w:hint="eastAsia" w:ascii="楷体" w:hAnsi="楷体" w:eastAsia="楷体" w:cs="楷体"/>
                <w:color w:val="auto"/>
                <w:sz w:val="24"/>
              </w:rPr>
              <w:t>6.音频存储格式：WAVE</w:t>
            </w:r>
          </w:p>
          <w:p>
            <w:pPr>
              <w:spacing w:line="240" w:lineRule="auto"/>
              <w:ind w:firstLine="0" w:firstLineChars="0"/>
              <w:rPr>
                <w:rFonts w:ascii="楷体" w:hAnsi="楷体" w:eastAsia="楷体" w:cs="楷体"/>
                <w:sz w:val="24"/>
              </w:rPr>
            </w:pPr>
            <w:r>
              <w:rPr>
                <w:rFonts w:hint="eastAsia" w:ascii="楷体" w:hAnsi="楷体" w:eastAsia="楷体" w:cs="楷体"/>
                <w:color w:val="auto"/>
                <w:sz w:val="24"/>
              </w:rPr>
              <w:t>7</w:t>
            </w:r>
            <w:r>
              <w:rPr>
                <w:rFonts w:ascii="楷体" w:hAnsi="楷体" w:eastAsia="楷体" w:cs="楷体"/>
                <w:color w:val="auto"/>
                <w:sz w:val="24"/>
              </w:rPr>
              <w:t>.</w:t>
            </w:r>
            <w:r>
              <w:rPr>
                <w:rFonts w:hint="eastAsia" w:ascii="楷体" w:hAnsi="楷体" w:eastAsia="楷体" w:cs="楷体"/>
                <w:color w:val="auto"/>
                <w:sz w:val="24"/>
              </w:rPr>
              <w:t>音频质量：采样率≥</w:t>
            </w:r>
            <w:r>
              <w:rPr>
                <w:rFonts w:ascii="楷体" w:hAnsi="楷体" w:eastAsia="楷体" w:cs="楷体"/>
                <w:color w:val="auto"/>
                <w:sz w:val="24"/>
              </w:rPr>
              <w:t>16KH</w:t>
            </w:r>
            <w:r>
              <w:rPr>
                <w:rFonts w:hint="eastAsia" w:ascii="楷体" w:hAnsi="楷体" w:eastAsia="楷体" w:cs="楷体"/>
                <w:color w:val="auto"/>
                <w:sz w:val="24"/>
              </w:rPr>
              <w:t>z，采样位数≥2</w:t>
            </w:r>
            <w:r>
              <w:rPr>
                <w:rFonts w:ascii="楷体" w:hAnsi="楷体" w:eastAsia="楷体" w:cs="楷体"/>
                <w:color w:val="auto"/>
                <w:sz w:val="24"/>
              </w:rPr>
              <w:t>4</w:t>
            </w:r>
            <w:r>
              <w:rPr>
                <w:rFonts w:hint="eastAsia" w:ascii="楷体" w:hAnsi="楷体" w:eastAsia="楷体" w:cs="楷体"/>
                <w:color w:val="auto"/>
                <w:sz w:val="24"/>
              </w:rPr>
              <w:t>位</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套</w:t>
            </w:r>
          </w:p>
        </w:tc>
      </w:tr>
      <w:tr>
        <w:tblPrEx>
          <w:tblCellMar>
            <w:top w:w="0" w:type="dxa"/>
            <w:left w:w="108" w:type="dxa"/>
            <w:bottom w:w="0" w:type="dxa"/>
            <w:right w:w="108" w:type="dxa"/>
          </w:tblCellMar>
        </w:tblPrEx>
        <w:trPr>
          <w:trHeight w:val="2085" w:hRule="atLeast"/>
        </w:trPr>
        <w:tc>
          <w:tcPr>
            <w:tcW w:w="660" w:type="pct"/>
            <w:vMerge w:val="continue"/>
            <w:tcBorders>
              <w:top w:val="single" w:color="auto" w:sz="4" w:space="0"/>
              <w:left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p>
        </w:tc>
        <w:tc>
          <w:tcPr>
            <w:tcW w:w="723"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筒式摄像机</w:t>
            </w:r>
          </w:p>
        </w:tc>
        <w:tc>
          <w:tcPr>
            <w:tcW w:w="2775" w:type="pct"/>
            <w:tcBorders>
              <w:top w:val="nil"/>
              <w:left w:val="single" w:color="000000" w:sz="4" w:space="0"/>
              <w:bottom w:val="single" w:color="auto" w:sz="4" w:space="0"/>
              <w:right w:val="single" w:color="000000" w:sz="4" w:space="0"/>
            </w:tcBorders>
            <w:shd w:val="clear" w:color="auto" w:fill="auto"/>
            <w:vAlign w:val="center"/>
          </w:tcPr>
          <w:p>
            <w:pPr>
              <w:spacing w:line="240" w:lineRule="auto"/>
              <w:ind w:firstLine="0" w:firstLineChars="0"/>
              <w:rPr>
                <w:rFonts w:ascii="楷体" w:hAnsi="楷体" w:eastAsia="楷体" w:cs="楷体"/>
                <w:color w:val="auto"/>
                <w:sz w:val="24"/>
              </w:rPr>
            </w:pPr>
            <w:r>
              <w:rPr>
                <w:rFonts w:hint="eastAsia" w:ascii="楷体" w:hAnsi="楷体" w:eastAsia="楷体" w:cs="楷体"/>
                <w:color w:val="auto"/>
                <w:sz w:val="24"/>
              </w:rPr>
              <w:t>像素：≥400万</w:t>
            </w:r>
            <w:r>
              <w:rPr>
                <w:rFonts w:hint="eastAsia" w:ascii="楷体" w:hAnsi="楷体" w:eastAsia="楷体" w:cs="楷体"/>
                <w:color w:val="auto"/>
                <w:sz w:val="24"/>
              </w:rPr>
              <w:br w:type="textWrapping"/>
            </w:r>
            <w:r>
              <w:rPr>
                <w:rFonts w:hint="eastAsia" w:ascii="楷体" w:hAnsi="楷体" w:eastAsia="楷体" w:cs="楷体"/>
                <w:color w:val="auto"/>
                <w:sz w:val="24"/>
              </w:rPr>
              <w:t>供电方式：poe供电</w:t>
            </w:r>
            <w:r>
              <w:rPr>
                <w:rFonts w:hint="eastAsia" w:ascii="楷体" w:hAnsi="楷体" w:eastAsia="楷体" w:cs="楷体"/>
                <w:color w:val="auto"/>
                <w:sz w:val="24"/>
              </w:rPr>
              <w:br w:type="textWrapping"/>
            </w:r>
            <w:r>
              <w:rPr>
                <w:rFonts w:hint="eastAsia" w:ascii="楷体" w:hAnsi="楷体" w:eastAsia="楷体" w:cs="楷体"/>
                <w:color w:val="auto"/>
                <w:sz w:val="24"/>
              </w:rPr>
              <w:t>防水等级：IP67及以上</w:t>
            </w:r>
            <w:r>
              <w:rPr>
                <w:rFonts w:hint="eastAsia" w:ascii="楷体" w:hAnsi="楷体" w:eastAsia="楷体" w:cs="楷体"/>
                <w:color w:val="auto"/>
                <w:sz w:val="24"/>
              </w:rPr>
              <w:br w:type="textWrapping"/>
            </w:r>
            <w:r>
              <w:rPr>
                <w:rFonts w:hint="eastAsia" w:ascii="楷体" w:hAnsi="楷体" w:eastAsia="楷体" w:cs="楷体"/>
                <w:color w:val="auto"/>
                <w:sz w:val="24"/>
              </w:rPr>
              <w:t>夜视类型：红外夜视</w:t>
            </w:r>
            <w:r>
              <w:rPr>
                <w:rFonts w:hint="eastAsia" w:ascii="楷体" w:hAnsi="楷体" w:eastAsia="楷体" w:cs="楷体"/>
                <w:color w:val="auto"/>
                <w:sz w:val="24"/>
              </w:rPr>
              <w:br w:type="textWrapping"/>
            </w:r>
            <w:r>
              <w:rPr>
                <w:rFonts w:hint="eastAsia" w:ascii="楷体" w:hAnsi="楷体" w:eastAsia="楷体" w:cs="楷体"/>
                <w:color w:val="auto"/>
                <w:sz w:val="24"/>
              </w:rPr>
              <w:t>存储编码：H.264，H.265，SmartH.265</w:t>
            </w:r>
            <w:r>
              <w:rPr>
                <w:rFonts w:hint="eastAsia" w:ascii="楷体" w:hAnsi="楷体" w:eastAsia="楷体" w:cs="楷体"/>
                <w:color w:val="auto"/>
                <w:sz w:val="24"/>
              </w:rPr>
              <w:br w:type="textWrapping"/>
            </w:r>
            <w:r>
              <w:rPr>
                <w:rFonts w:hint="eastAsia" w:ascii="楷体" w:hAnsi="楷体" w:eastAsia="楷体" w:cs="楷体"/>
                <w:color w:val="auto"/>
                <w:sz w:val="24"/>
              </w:rPr>
              <w:t>焦距：3.</w:t>
            </w:r>
            <w:r>
              <w:rPr>
                <w:rFonts w:ascii="楷体" w:hAnsi="楷体" w:eastAsia="楷体" w:cs="楷体"/>
                <w:color w:val="auto"/>
                <w:sz w:val="24"/>
              </w:rPr>
              <w:t>5</w:t>
            </w:r>
            <w:r>
              <w:rPr>
                <w:rFonts w:hint="eastAsia" w:ascii="楷体" w:hAnsi="楷体" w:eastAsia="楷体" w:cs="楷体"/>
                <w:color w:val="auto"/>
                <w:sz w:val="24"/>
              </w:rPr>
              <w:t>mm-8mm</w:t>
            </w:r>
            <w:r>
              <w:rPr>
                <w:rFonts w:hint="eastAsia" w:ascii="楷体" w:hAnsi="楷体" w:eastAsia="楷体" w:cs="楷体"/>
                <w:color w:val="auto"/>
                <w:sz w:val="24"/>
              </w:rPr>
              <w:br w:type="textWrapping"/>
            </w:r>
            <w:r>
              <w:rPr>
                <w:rFonts w:hint="eastAsia" w:ascii="楷体" w:hAnsi="楷体" w:eastAsia="楷体" w:cs="楷体"/>
                <w:color w:val="auto"/>
                <w:sz w:val="24"/>
              </w:rPr>
              <w:t>存储方式：云存+硬盘</w:t>
            </w:r>
            <w:r>
              <w:rPr>
                <w:rFonts w:hint="eastAsia" w:ascii="楷体" w:hAnsi="楷体" w:eastAsia="楷体" w:cs="楷体"/>
                <w:color w:val="auto"/>
                <w:sz w:val="24"/>
              </w:rPr>
              <w:br w:type="textWrapping"/>
            </w:r>
            <w:r>
              <w:rPr>
                <w:rFonts w:hint="eastAsia" w:ascii="楷体" w:hAnsi="楷体" w:eastAsia="楷体" w:cs="楷体"/>
                <w:color w:val="auto"/>
                <w:sz w:val="24"/>
              </w:rPr>
              <w:t>夜视距离：≥30m</w:t>
            </w:r>
          </w:p>
        </w:tc>
        <w:tc>
          <w:tcPr>
            <w:tcW w:w="407" w:type="pct"/>
            <w:tcBorders>
              <w:top w:val="nil"/>
              <w:left w:val="single" w:color="000000"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1</w:t>
            </w:r>
          </w:p>
        </w:tc>
        <w:tc>
          <w:tcPr>
            <w:tcW w:w="433" w:type="pct"/>
            <w:tcBorders>
              <w:top w:val="nil"/>
              <w:left w:val="single" w:color="000000"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台</w:t>
            </w:r>
          </w:p>
        </w:tc>
      </w:tr>
      <w:tr>
        <w:tblPrEx>
          <w:tblCellMar>
            <w:top w:w="0" w:type="dxa"/>
            <w:left w:w="108" w:type="dxa"/>
            <w:bottom w:w="0" w:type="dxa"/>
            <w:right w:w="108" w:type="dxa"/>
          </w:tblCellMar>
        </w:tblPrEx>
        <w:trPr>
          <w:trHeight w:val="2295" w:hRule="atLeast"/>
        </w:trPr>
        <w:tc>
          <w:tcPr>
            <w:tcW w:w="660" w:type="pct"/>
            <w:vMerge w:val="continue"/>
            <w:tcBorders>
              <w:left w:val="single" w:color="auto" w:sz="4" w:space="0"/>
              <w:bottom w:val="single" w:color="000000" w:sz="4" w:space="0"/>
              <w:right w:val="single" w:color="auto" w:sz="4" w:space="0"/>
            </w:tcBorders>
            <w:shd w:val="clear" w:color="auto" w:fill="auto"/>
            <w:noWrap/>
            <w:vAlign w:val="center"/>
          </w:tcPr>
          <w:p>
            <w:pPr>
              <w:spacing w:line="240" w:lineRule="auto"/>
              <w:ind w:firstLine="0" w:firstLineChars="0"/>
              <w:jc w:val="center"/>
              <w:rPr>
                <w:rFonts w:ascii="楷体" w:hAnsi="楷体" w:eastAsia="楷体" w:cs="楷体"/>
                <w:sz w:val="24"/>
              </w:rPr>
            </w:pPr>
          </w:p>
        </w:tc>
        <w:tc>
          <w:tcPr>
            <w:tcW w:w="723" w:type="pc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红外网络球机</w:t>
            </w:r>
          </w:p>
        </w:tc>
        <w:tc>
          <w:tcPr>
            <w:tcW w:w="2775"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firstLine="0" w:firstLineChars="0"/>
              <w:rPr>
                <w:rFonts w:ascii="楷体" w:hAnsi="楷体" w:eastAsia="楷体" w:cs="楷体"/>
                <w:color w:val="auto"/>
                <w:sz w:val="24"/>
              </w:rPr>
            </w:pPr>
            <w:r>
              <w:rPr>
                <w:rFonts w:hint="eastAsia" w:ascii="楷体" w:hAnsi="楷体" w:eastAsia="楷体" w:cs="楷体"/>
                <w:color w:val="auto"/>
                <w:sz w:val="24"/>
              </w:rPr>
              <w:t>像素：≥400万</w:t>
            </w:r>
            <w:r>
              <w:rPr>
                <w:rFonts w:hint="eastAsia" w:ascii="楷体" w:hAnsi="楷体" w:eastAsia="楷体" w:cs="楷体"/>
                <w:color w:val="auto"/>
                <w:sz w:val="24"/>
              </w:rPr>
              <w:br w:type="textWrapping"/>
            </w:r>
            <w:r>
              <w:rPr>
                <w:rFonts w:hint="eastAsia" w:ascii="楷体" w:hAnsi="楷体" w:eastAsia="楷体" w:cs="楷体"/>
                <w:color w:val="auto"/>
                <w:sz w:val="24"/>
              </w:rPr>
              <w:t>供电方式：电源供电</w:t>
            </w:r>
            <w:r>
              <w:rPr>
                <w:rFonts w:hint="eastAsia" w:ascii="楷体" w:hAnsi="楷体" w:eastAsia="楷体" w:cs="楷体"/>
                <w:color w:val="auto"/>
                <w:sz w:val="24"/>
              </w:rPr>
              <w:br w:type="textWrapping"/>
            </w:r>
            <w:r>
              <w:rPr>
                <w:rFonts w:hint="eastAsia" w:ascii="楷体" w:hAnsi="楷体" w:eastAsia="楷体" w:cs="楷体"/>
                <w:color w:val="auto"/>
                <w:sz w:val="24"/>
              </w:rPr>
              <w:t>防水等级：IP66及以上</w:t>
            </w:r>
            <w:r>
              <w:rPr>
                <w:rFonts w:hint="eastAsia" w:ascii="楷体" w:hAnsi="楷体" w:eastAsia="楷体" w:cs="楷体"/>
                <w:color w:val="auto"/>
                <w:sz w:val="24"/>
              </w:rPr>
              <w:br w:type="textWrapping"/>
            </w:r>
            <w:r>
              <w:rPr>
                <w:rFonts w:hint="eastAsia" w:ascii="楷体" w:hAnsi="楷体" w:eastAsia="楷体" w:cs="楷体"/>
                <w:color w:val="auto"/>
                <w:sz w:val="24"/>
              </w:rPr>
              <w:t>夜视类型：双光夜视</w:t>
            </w:r>
            <w:r>
              <w:rPr>
                <w:rFonts w:hint="eastAsia" w:ascii="楷体" w:hAnsi="楷体" w:eastAsia="楷体" w:cs="楷体"/>
                <w:color w:val="auto"/>
                <w:sz w:val="24"/>
              </w:rPr>
              <w:br w:type="textWrapping"/>
            </w:r>
            <w:r>
              <w:rPr>
                <w:rFonts w:hint="eastAsia" w:ascii="楷体" w:hAnsi="楷体" w:eastAsia="楷体" w:cs="楷体"/>
                <w:color w:val="auto"/>
                <w:sz w:val="24"/>
              </w:rPr>
              <w:t>存储编码：H.264，H.265，SmartH.264，SmartH.265</w:t>
            </w:r>
            <w:r>
              <w:rPr>
                <w:rFonts w:hint="eastAsia" w:ascii="楷体" w:hAnsi="楷体" w:eastAsia="楷体" w:cs="楷体"/>
                <w:color w:val="auto"/>
                <w:sz w:val="24"/>
              </w:rPr>
              <w:br w:type="textWrapping"/>
            </w:r>
            <w:r>
              <w:rPr>
                <w:rFonts w:hint="eastAsia" w:ascii="楷体" w:hAnsi="楷体" w:eastAsia="楷体" w:cs="楷体"/>
                <w:color w:val="auto"/>
                <w:sz w:val="24"/>
              </w:rPr>
              <w:t>变倍变焦：数字+光学</w:t>
            </w:r>
            <w:r>
              <w:rPr>
                <w:rFonts w:hint="eastAsia" w:ascii="楷体" w:hAnsi="楷体" w:eastAsia="楷体" w:cs="楷体"/>
                <w:color w:val="auto"/>
                <w:sz w:val="24"/>
              </w:rPr>
              <w:br w:type="textWrapping"/>
            </w:r>
            <w:r>
              <w:rPr>
                <w:rFonts w:hint="eastAsia" w:ascii="楷体" w:hAnsi="楷体" w:eastAsia="楷体" w:cs="楷体"/>
                <w:color w:val="auto"/>
                <w:sz w:val="24"/>
              </w:rPr>
              <w:t>球机尺寸：6寸</w:t>
            </w:r>
            <w:r>
              <w:rPr>
                <w:rFonts w:hint="eastAsia" w:ascii="楷体" w:hAnsi="楷体" w:eastAsia="楷体" w:cs="楷体"/>
                <w:color w:val="auto"/>
                <w:sz w:val="24"/>
              </w:rPr>
              <w:br w:type="textWrapping"/>
            </w:r>
            <w:r>
              <w:rPr>
                <w:rFonts w:hint="eastAsia" w:ascii="楷体" w:hAnsi="楷体" w:eastAsia="楷体" w:cs="楷体"/>
                <w:color w:val="auto"/>
                <w:sz w:val="24"/>
              </w:rPr>
              <w:t>存储方式：云存+硬盘</w:t>
            </w:r>
            <w:r>
              <w:rPr>
                <w:rFonts w:hint="eastAsia" w:ascii="楷体" w:hAnsi="楷体" w:eastAsia="楷体" w:cs="楷体"/>
                <w:color w:val="auto"/>
                <w:sz w:val="24"/>
              </w:rPr>
              <w:br w:type="textWrapping"/>
            </w:r>
            <w:r>
              <w:rPr>
                <w:rFonts w:hint="eastAsia" w:ascii="楷体" w:hAnsi="楷体" w:eastAsia="楷体" w:cs="楷体"/>
                <w:color w:val="auto"/>
                <w:sz w:val="24"/>
              </w:rPr>
              <w:t>夜视距离：100m以上</w:t>
            </w:r>
          </w:p>
        </w:tc>
        <w:tc>
          <w:tcPr>
            <w:tcW w:w="407"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1</w:t>
            </w:r>
          </w:p>
        </w:tc>
        <w:tc>
          <w:tcPr>
            <w:tcW w:w="433" w:type="pct"/>
            <w:tcBorders>
              <w:top w:val="single" w:color="auto" w:sz="4" w:space="0"/>
              <w:left w:val="single" w:color="000000"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台</w:t>
            </w:r>
          </w:p>
        </w:tc>
      </w:tr>
      <w:tr>
        <w:tblPrEx>
          <w:tblCellMar>
            <w:top w:w="0" w:type="dxa"/>
            <w:left w:w="108" w:type="dxa"/>
            <w:bottom w:w="0" w:type="dxa"/>
            <w:right w:w="108" w:type="dxa"/>
          </w:tblCellMar>
        </w:tblPrEx>
        <w:trPr>
          <w:trHeight w:val="1169"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3</w:t>
            </w:r>
          </w:p>
        </w:tc>
        <w:tc>
          <w:tcPr>
            <w:tcW w:w="72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系统建设</w:t>
            </w:r>
          </w:p>
        </w:tc>
        <w:tc>
          <w:tcPr>
            <w:tcW w:w="2775" w:type="pct"/>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楷体" w:hAnsi="楷体" w:eastAsia="楷体" w:cs="楷体"/>
                <w:sz w:val="24"/>
              </w:rPr>
            </w:pPr>
            <w:r>
              <w:rPr>
                <w:rFonts w:hint="eastAsia" w:ascii="楷体" w:hAnsi="楷体" w:eastAsia="楷体" w:cs="楷体"/>
                <w:sz w:val="24"/>
              </w:rPr>
              <w:t>1.线路敷设：所有线路需穿管隐蔽铺设，室内采用现有桥架、穿PVC管铺设；线路根据场地实际情况合理铺设，不在吊顶内随意布线，顶拆除及恢复不能影响正常工作的开展，施工过程中不得影响和破坏原有弱电线路和设施，必须保证吊顶、桥架、电井内的原有设施完好，做到成品保护。</w:t>
            </w:r>
            <w:r>
              <w:rPr>
                <w:rFonts w:hint="eastAsia" w:ascii="楷体" w:hAnsi="楷体" w:eastAsia="楷体" w:cs="楷体"/>
                <w:sz w:val="24"/>
              </w:rPr>
              <w:br w:type="textWrapping"/>
            </w:r>
            <w:r>
              <w:rPr>
                <w:rFonts w:hint="eastAsia" w:ascii="楷体" w:hAnsi="楷体" w:eastAsia="楷体" w:cs="楷体"/>
                <w:sz w:val="24"/>
              </w:rPr>
              <w:t>2.所有线路严禁中间接头，必须首尾一条完整的线路，降低后期故障率，提升系统的稳定性，降低现场安全隐患。</w:t>
            </w:r>
            <w:r>
              <w:rPr>
                <w:rFonts w:hint="eastAsia" w:ascii="楷体" w:hAnsi="楷体" w:eastAsia="楷体" w:cs="楷体"/>
                <w:sz w:val="24"/>
              </w:rPr>
              <w:br w:type="textWrapping"/>
            </w:r>
            <w:r>
              <w:rPr>
                <w:rFonts w:hint="eastAsia" w:ascii="楷体" w:hAnsi="楷体" w:eastAsia="楷体" w:cs="楷体"/>
                <w:sz w:val="24"/>
              </w:rPr>
              <w:t>3.对所有新铺设的线路在放线前做通断、绝缘电器特性测试，并核对线材规格，避免后期返工和埋下隐患，确保系统稳定。</w:t>
            </w:r>
          </w:p>
        </w:tc>
        <w:tc>
          <w:tcPr>
            <w:tcW w:w="40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151</w:t>
            </w:r>
          </w:p>
        </w:tc>
        <w:tc>
          <w:tcPr>
            <w:tcW w:w="43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项</w:t>
            </w:r>
          </w:p>
        </w:tc>
      </w:tr>
      <w:tr>
        <w:tblPrEx>
          <w:tblCellMar>
            <w:top w:w="0" w:type="dxa"/>
            <w:left w:w="108" w:type="dxa"/>
            <w:bottom w:w="0" w:type="dxa"/>
            <w:right w:w="108" w:type="dxa"/>
          </w:tblCellMar>
        </w:tblPrEx>
        <w:trPr>
          <w:trHeight w:val="1351"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hint="eastAsia" w:ascii="楷体" w:hAnsi="楷体" w:eastAsia="楷体" w:cs="楷体"/>
                <w:sz w:val="24"/>
                <w:lang w:val="en-US" w:eastAsia="zh-CN"/>
              </w:rPr>
            </w:pPr>
            <w:r>
              <w:rPr>
                <w:rFonts w:hint="eastAsia" w:ascii="楷体" w:hAnsi="楷体" w:eastAsia="楷体" w:cs="楷体"/>
                <w:sz w:val="24"/>
                <w:lang w:val="en-US" w:eastAsia="zh-CN"/>
              </w:rPr>
              <w:t>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高清定向拾音器</w:t>
            </w:r>
          </w:p>
        </w:tc>
        <w:tc>
          <w:tcPr>
            <w:tcW w:w="27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楷体" w:hAnsi="楷体" w:eastAsia="楷体" w:cs="楷体"/>
                <w:sz w:val="24"/>
              </w:rPr>
            </w:pPr>
            <w:r>
              <w:rPr>
                <w:rFonts w:hint="eastAsia" w:ascii="楷体" w:hAnsi="楷体" w:eastAsia="楷体" w:cs="楷体"/>
                <w:sz w:val="24"/>
              </w:rPr>
              <w:t>1.拾音器需采用麦克风阵列方案，且麦克风数量≥8个，每个麦克风的灵敏度不低于-27dB，信噪比不低于78dB，采样位数不低于24位，采样率不低于48KH</w:t>
            </w:r>
            <w:r>
              <w:rPr>
                <w:rFonts w:hint="eastAsia" w:ascii="楷体" w:hAnsi="楷体" w:eastAsia="楷体" w:cs="楷体"/>
                <w:sz w:val="24"/>
                <w:highlight w:val="none"/>
              </w:rPr>
              <w:t>z(提供相关证明文件，包括但不限于检测报告，官网功能截图等)；</w:t>
            </w:r>
            <w:r>
              <w:rPr>
                <w:rFonts w:hint="eastAsia" w:ascii="楷体" w:hAnsi="楷体" w:eastAsia="楷体" w:cs="楷体"/>
                <w:sz w:val="24"/>
                <w:highlight w:val="none"/>
              </w:rPr>
              <w:br w:type="textWrapping"/>
            </w:r>
            <w:r>
              <w:rPr>
                <w:rFonts w:hint="eastAsia" w:ascii="楷体" w:hAnsi="楷体" w:eastAsia="楷体" w:cs="楷体"/>
                <w:sz w:val="24"/>
                <w:highlight w:val="none"/>
              </w:rPr>
              <w:t>2.拾音器需配备高速语音DSP处理器，运算能力≥3000MIPS(提供相关证明文件，包括但不限于检测报告，官网功能截图等)；</w:t>
            </w:r>
            <w:r>
              <w:rPr>
                <w:rFonts w:hint="eastAsia" w:ascii="楷体" w:hAnsi="楷体" w:eastAsia="楷体" w:cs="楷体"/>
                <w:sz w:val="24"/>
                <w:highlight w:val="none"/>
              </w:rPr>
              <w:br w:type="textWrapping"/>
            </w:r>
            <w:r>
              <w:rPr>
                <w:rFonts w:hint="eastAsia" w:ascii="楷体" w:hAnsi="楷体" w:eastAsia="楷体" w:cs="楷体"/>
                <w:sz w:val="24"/>
                <w:highlight w:val="none"/>
              </w:rPr>
              <w:t>3.拾音器需内置自动增益调节（AGC）功能电路；</w:t>
            </w:r>
            <w:r>
              <w:rPr>
                <w:rFonts w:hint="eastAsia" w:ascii="楷体" w:hAnsi="楷体" w:eastAsia="楷体" w:cs="楷体"/>
                <w:sz w:val="24"/>
                <w:highlight w:val="none"/>
              </w:rPr>
              <w:br w:type="textWrapping"/>
            </w:r>
            <w:r>
              <w:rPr>
                <w:rFonts w:hint="eastAsia" w:ascii="楷体" w:hAnsi="楷体" w:eastAsia="楷体" w:cs="楷体"/>
                <w:sz w:val="24"/>
                <w:highlight w:val="none"/>
              </w:rPr>
              <w:t>4.拾音距离：30米【自由场噪声环境下（噪声级65dB），拾音器能清晰拾取人正常讲话（声压级65dB）的距离）】；</w:t>
            </w:r>
            <w:r>
              <w:rPr>
                <w:rFonts w:hint="eastAsia" w:ascii="楷体" w:hAnsi="楷体" w:eastAsia="楷体" w:cs="楷体"/>
                <w:sz w:val="24"/>
                <w:highlight w:val="none"/>
              </w:rPr>
              <w:br w:type="textWrapping"/>
            </w:r>
            <w:r>
              <w:rPr>
                <w:rFonts w:hint="eastAsia" w:ascii="楷体" w:hAnsi="楷体" w:eastAsia="楷体" w:cs="楷体"/>
                <w:sz w:val="24"/>
                <w:highlight w:val="none"/>
              </w:rPr>
              <w:t>5.电源类型：至少应支持POE 供电；</w:t>
            </w:r>
            <w:r>
              <w:rPr>
                <w:rFonts w:hint="eastAsia" w:ascii="楷体" w:hAnsi="楷体" w:eastAsia="楷体" w:cs="楷体"/>
                <w:sz w:val="24"/>
                <w:highlight w:val="none"/>
              </w:rPr>
              <w:br w:type="textWrapping"/>
            </w:r>
            <w:r>
              <w:rPr>
                <w:rFonts w:hint="eastAsia" w:ascii="楷体" w:hAnsi="楷体" w:eastAsia="楷体" w:cs="楷体"/>
                <w:sz w:val="24"/>
                <w:highlight w:val="none"/>
              </w:rPr>
              <w:t>6.可靠性：防水防尘等级≥IP65 (提供相关证明文件，包括但不限于检测报告，官网功能截图等)；</w:t>
            </w:r>
            <w:r>
              <w:rPr>
                <w:rFonts w:hint="eastAsia" w:ascii="楷体" w:hAnsi="楷体" w:eastAsia="楷体" w:cs="楷体"/>
                <w:sz w:val="24"/>
                <w:highlight w:val="none"/>
              </w:rPr>
              <w:br w:type="textWrapping"/>
            </w:r>
            <w:r>
              <w:rPr>
                <w:rFonts w:hint="eastAsia" w:ascii="楷体" w:hAnsi="楷体" w:eastAsia="楷体" w:cs="楷体"/>
                <w:sz w:val="24"/>
                <w:highlight w:val="none"/>
              </w:rPr>
              <w:t>7.抗风噪能力≥5米/秒；</w:t>
            </w:r>
            <w:r>
              <w:rPr>
                <w:rFonts w:hint="eastAsia" w:ascii="楷体" w:hAnsi="楷体" w:eastAsia="楷体" w:cs="楷体"/>
                <w:sz w:val="24"/>
                <w:highlight w:val="none"/>
              </w:rPr>
              <w:br w:type="textWrapping"/>
            </w:r>
            <w:r>
              <w:rPr>
                <w:rFonts w:hint="eastAsia" w:ascii="楷体" w:hAnsi="楷体" w:eastAsia="楷体" w:cs="楷体"/>
                <w:sz w:val="24"/>
                <w:highlight w:val="none"/>
              </w:rPr>
              <w:t>8.安全要求：V0或其他材料的同级别阻燃能力，并具备防爆能，满足环境高低温下正常工作(本项提供相关证明文件，包括但不限于检测报告，官网功能截图等)；</w:t>
            </w:r>
          </w:p>
          <w:p>
            <w:pPr>
              <w:spacing w:line="240" w:lineRule="auto"/>
              <w:ind w:firstLine="0" w:firstLineChars="0"/>
              <w:rPr>
                <w:rFonts w:ascii="楷体" w:hAnsi="楷体" w:eastAsia="楷体" w:cs="楷体"/>
                <w:sz w:val="24"/>
              </w:rPr>
            </w:pPr>
            <w:r>
              <w:rPr>
                <w:rFonts w:hint="eastAsia" w:ascii="楷体" w:hAnsi="楷体" w:eastAsia="楷体" w:cs="楷体"/>
                <w:sz w:val="24"/>
              </w:rPr>
              <w:t>9.至少需具备标准POE网口、3.5mm标准音频口两种接口。</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54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台</w:t>
            </w:r>
          </w:p>
        </w:tc>
      </w:tr>
      <w:tr>
        <w:tblPrEx>
          <w:tblCellMar>
            <w:top w:w="0" w:type="dxa"/>
            <w:left w:w="108" w:type="dxa"/>
            <w:bottom w:w="0" w:type="dxa"/>
            <w:right w:w="108" w:type="dxa"/>
          </w:tblCellMar>
        </w:tblPrEx>
        <w:trPr>
          <w:trHeight w:val="879"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hint="eastAsia" w:ascii="楷体" w:hAnsi="楷体" w:eastAsia="楷体" w:cs="楷体"/>
                <w:sz w:val="24"/>
                <w:lang w:val="en-US" w:eastAsia="zh-CN"/>
              </w:rPr>
            </w:pPr>
            <w:r>
              <w:rPr>
                <w:rFonts w:hint="eastAsia" w:ascii="楷体" w:hAnsi="楷体" w:eastAsia="楷体" w:cs="楷体"/>
                <w:sz w:val="24"/>
                <w:lang w:val="en-US" w:eastAsia="zh-CN"/>
              </w:rPr>
              <w:t>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系统建设</w:t>
            </w:r>
          </w:p>
        </w:tc>
        <w:tc>
          <w:tcPr>
            <w:tcW w:w="27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楷体" w:hAnsi="楷体" w:eastAsia="楷体" w:cs="楷体"/>
                <w:sz w:val="24"/>
              </w:rPr>
            </w:pPr>
            <w:r>
              <w:rPr>
                <w:rFonts w:hint="eastAsia" w:ascii="楷体" w:hAnsi="楷体" w:eastAsia="楷体" w:cs="楷体"/>
                <w:sz w:val="24"/>
              </w:rPr>
              <w:t>1.线路敷设：所有线路需穿管隐蔽铺设，室内采用现有桥架、穿PVC管铺设；线路根据场地实际情况合理铺设，不在吊顶内随意布线，顶拆除及恢复不能影响正常工作的开展，施工过程中不得影响和破坏原有弱电线路和设施，必须保证吊顶、桥架、电井内的原有设施完好，做到成品保护。</w:t>
            </w:r>
            <w:r>
              <w:rPr>
                <w:rFonts w:hint="eastAsia" w:ascii="楷体" w:hAnsi="楷体" w:eastAsia="楷体" w:cs="楷体"/>
                <w:sz w:val="24"/>
              </w:rPr>
              <w:br w:type="textWrapping"/>
            </w:r>
            <w:r>
              <w:rPr>
                <w:rFonts w:hint="eastAsia" w:ascii="楷体" w:hAnsi="楷体" w:eastAsia="楷体" w:cs="楷体"/>
                <w:sz w:val="24"/>
              </w:rPr>
              <w:t>2.所有线路严禁中间接头，必须首尾一条完整的线路，降低后期故障率，提升系统的稳定性，降低现场安全隐患。</w:t>
            </w:r>
            <w:r>
              <w:rPr>
                <w:rFonts w:hint="eastAsia" w:ascii="楷体" w:hAnsi="楷体" w:eastAsia="楷体" w:cs="楷体"/>
                <w:sz w:val="24"/>
              </w:rPr>
              <w:br w:type="textWrapping"/>
            </w:r>
            <w:r>
              <w:rPr>
                <w:rFonts w:hint="eastAsia" w:ascii="楷体" w:hAnsi="楷体" w:eastAsia="楷体" w:cs="楷体"/>
                <w:sz w:val="24"/>
              </w:rPr>
              <w:t>3.对所有新铺设的线路在放线前做通断、绝缘电器特性测试，并核对线材规格，避免后期返工和埋下隐患，确保系统稳定。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54</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center"/>
              <w:rPr>
                <w:rFonts w:ascii="楷体" w:hAnsi="楷体" w:eastAsia="楷体" w:cs="楷体"/>
                <w:sz w:val="24"/>
              </w:rPr>
            </w:pPr>
            <w:r>
              <w:rPr>
                <w:rFonts w:hint="eastAsia" w:ascii="楷体" w:hAnsi="楷体" w:eastAsia="楷体" w:cs="楷体"/>
                <w:sz w:val="24"/>
              </w:rPr>
              <w:t>项</w:t>
            </w:r>
          </w:p>
        </w:tc>
      </w:tr>
      <w:bookmarkEnd w:id="25"/>
      <w:bookmarkEnd w:id="26"/>
      <w:bookmarkEnd w:id="27"/>
    </w:tbl>
    <w:p>
      <w:pPr>
        <w:keepNext/>
        <w:keepLines/>
        <w:widowControl w:val="0"/>
        <w:spacing w:after="140" w:line="392" w:lineRule="exact"/>
        <w:ind w:firstLine="480"/>
        <w:jc w:val="both"/>
        <w:outlineLvl w:val="3"/>
        <w:rPr>
          <w:rFonts w:ascii="楷体" w:hAnsi="楷体" w:eastAsia="楷体" w:cs="楷体"/>
          <w:b/>
          <w:bCs/>
          <w:kern w:val="2"/>
          <w:sz w:val="28"/>
          <w:szCs w:val="28"/>
          <w:lang w:val="zh-TW" w:eastAsia="zh-TW" w:bidi="zh-TW"/>
        </w:rPr>
      </w:pPr>
      <w:bookmarkStart w:id="28" w:name="bookmark52"/>
      <w:r>
        <w:rPr>
          <w:rFonts w:hint="eastAsia" w:ascii="楷体" w:hAnsi="楷体" w:eastAsia="楷体" w:cs="楷体"/>
          <w:b/>
          <w:bCs/>
          <w:color w:val="000000"/>
          <w:kern w:val="2"/>
          <w:sz w:val="28"/>
          <w:szCs w:val="28"/>
          <w:lang w:val="en-US" w:eastAsia="zh-CN" w:bidi="zh-TW"/>
        </w:rPr>
        <w:t>四</w:t>
      </w:r>
      <w:r>
        <w:rPr>
          <w:rFonts w:hint="eastAsia" w:ascii="楷体" w:hAnsi="楷体" w:eastAsia="楷体" w:cs="楷体"/>
          <w:b/>
          <w:bCs/>
          <w:color w:val="000000"/>
          <w:kern w:val="2"/>
          <w:sz w:val="28"/>
          <w:szCs w:val="28"/>
          <w:lang w:val="zh-TW" w:eastAsia="zh-TW" w:bidi="zh-TW"/>
        </w:rPr>
        <w:t>、商务要求</w:t>
      </w:r>
      <w:bookmarkEnd w:id="28"/>
    </w:p>
    <w:p>
      <w:pPr>
        <w:widowControl w:val="0"/>
        <w:spacing w:after="0" w:line="360" w:lineRule="auto"/>
        <w:ind w:left="0" w:firstLine="480" w:firstLineChars="200"/>
        <w:jc w:val="both"/>
        <w:rPr>
          <w:rFonts w:ascii="楷体" w:hAnsi="楷体" w:eastAsia="楷体" w:cs="楷体"/>
          <w:color w:val="000000"/>
          <w:kern w:val="2"/>
          <w:sz w:val="24"/>
          <w:szCs w:val="24"/>
          <w:highlight w:val="none"/>
          <w:lang w:val="en-US" w:eastAsia="zh-CN" w:bidi="zh-TW"/>
        </w:rPr>
      </w:pPr>
      <w:bookmarkStart w:id="29" w:name="bookmark64"/>
      <w:r>
        <w:rPr>
          <w:rFonts w:hint="eastAsia" w:ascii="楷体" w:hAnsi="楷体" w:eastAsia="楷体" w:cs="楷体"/>
          <w:color w:val="000000"/>
          <w:kern w:val="2"/>
          <w:sz w:val="24"/>
          <w:szCs w:val="24"/>
          <w:highlight w:val="none"/>
          <w:lang w:val="en-US" w:eastAsia="zh-CN" w:bidi="zh-TW"/>
        </w:rPr>
        <w:t>1、交货期：自合同签订之日起20日历日内交货。</w:t>
      </w:r>
    </w:p>
    <w:p>
      <w:pPr>
        <w:spacing w:line="360" w:lineRule="auto"/>
        <w:ind w:firstLine="480" w:firstLineChars="200"/>
        <w:rPr>
          <w:rFonts w:ascii="楷体" w:hAnsi="楷体" w:eastAsia="楷体" w:cs="楷体"/>
          <w:color w:val="000000"/>
          <w:sz w:val="24"/>
          <w:highlight w:val="none"/>
          <w:lang w:bidi="zh-TW"/>
        </w:rPr>
      </w:pPr>
      <w:r>
        <w:rPr>
          <w:rFonts w:hint="eastAsia" w:ascii="楷体" w:hAnsi="楷体" w:eastAsia="楷体" w:cs="楷体"/>
          <w:color w:val="000000"/>
          <w:sz w:val="24"/>
          <w:highlight w:val="none"/>
          <w:lang w:bidi="zh-TW"/>
        </w:rPr>
        <w:t>2、质保期：质保一年。</w:t>
      </w:r>
    </w:p>
    <w:p>
      <w:pPr>
        <w:spacing w:line="360" w:lineRule="auto"/>
        <w:ind w:firstLine="480" w:firstLineChars="200"/>
        <w:rPr>
          <w:rFonts w:ascii="楷体" w:hAnsi="楷体" w:eastAsia="楷体" w:cs="楷体"/>
          <w:color w:val="000000"/>
          <w:sz w:val="24"/>
          <w:highlight w:val="none"/>
          <w:lang w:bidi="zh-TW"/>
        </w:rPr>
      </w:pPr>
      <w:r>
        <w:rPr>
          <w:rFonts w:hint="eastAsia" w:ascii="楷体" w:hAnsi="楷体" w:eastAsia="楷体" w:cs="楷体"/>
          <w:color w:val="000000"/>
          <w:sz w:val="24"/>
          <w:highlight w:val="none"/>
          <w:lang w:bidi="zh-TW"/>
        </w:rPr>
        <w:t>3、交货地点：采购人指定地点。</w:t>
      </w:r>
    </w:p>
    <w:p>
      <w:pPr>
        <w:spacing w:line="360" w:lineRule="auto"/>
        <w:ind w:firstLine="480" w:firstLineChars="200"/>
        <w:rPr>
          <w:rFonts w:ascii="楷体" w:hAnsi="楷体" w:eastAsia="楷体" w:cs="楷体"/>
          <w:color w:val="000000"/>
          <w:sz w:val="24"/>
          <w:highlight w:val="none"/>
          <w:lang w:bidi="zh-TW"/>
        </w:rPr>
      </w:pPr>
      <w:r>
        <w:rPr>
          <w:rFonts w:hint="eastAsia" w:ascii="楷体" w:hAnsi="楷体" w:eastAsia="楷体" w:cs="楷体"/>
          <w:color w:val="000000"/>
          <w:sz w:val="24"/>
          <w:highlight w:val="none"/>
          <w:lang w:bidi="zh-TW"/>
        </w:rPr>
        <w:t>4、付款方式：合同签订后10个工作日内支付预付款40%，到货并验收合格并完成培训后支付剩余60%。</w:t>
      </w:r>
    </w:p>
    <w:p>
      <w:pPr>
        <w:keepNext/>
        <w:keepLines/>
        <w:widowControl w:val="0"/>
        <w:pBdr>
          <w:top w:val="none" w:color="auto" w:sz="0" w:space="1"/>
          <w:left w:val="none" w:color="auto" w:sz="0" w:space="4"/>
          <w:right w:val="none" w:color="auto" w:sz="0" w:space="4"/>
        </w:pBdr>
        <w:spacing w:after="260" w:line="240" w:lineRule="auto"/>
        <w:ind w:firstLine="480"/>
        <w:jc w:val="both"/>
        <w:outlineLvl w:val="3"/>
        <w:rPr>
          <w:rFonts w:hint="eastAsia" w:ascii="楷体" w:hAnsi="楷体" w:eastAsia="楷体" w:cs="楷体"/>
          <w:b/>
          <w:bCs/>
          <w:kern w:val="2"/>
          <w:sz w:val="28"/>
          <w:szCs w:val="28"/>
          <w:lang w:val="en-US" w:eastAsia="zh-CN" w:bidi="zh-TW"/>
        </w:rPr>
      </w:pPr>
      <w:r>
        <w:rPr>
          <w:rFonts w:hint="eastAsia" w:ascii="楷体" w:hAnsi="楷体" w:eastAsia="楷体" w:cs="楷体"/>
          <w:b/>
          <w:bCs/>
          <w:color w:val="000000"/>
          <w:kern w:val="2"/>
          <w:sz w:val="28"/>
          <w:szCs w:val="28"/>
          <w:lang w:val="en-US" w:eastAsia="zh-CN" w:bidi="zh-TW"/>
        </w:rPr>
        <w:t>五</w:t>
      </w:r>
      <w:r>
        <w:rPr>
          <w:rFonts w:hint="eastAsia" w:ascii="楷体" w:hAnsi="楷体" w:eastAsia="楷体" w:cs="楷体"/>
          <w:b/>
          <w:bCs/>
          <w:color w:val="000000"/>
          <w:kern w:val="2"/>
          <w:sz w:val="28"/>
          <w:szCs w:val="28"/>
          <w:lang w:val="zh-TW" w:eastAsia="zh-TW" w:bidi="zh-TW"/>
        </w:rPr>
        <w:t>、其他</w:t>
      </w:r>
      <w:bookmarkEnd w:id="29"/>
      <w:r>
        <w:rPr>
          <w:rFonts w:hint="eastAsia" w:ascii="楷体" w:hAnsi="楷体" w:cs="楷体"/>
          <w:b/>
          <w:bCs/>
          <w:color w:val="000000"/>
          <w:kern w:val="2"/>
          <w:sz w:val="28"/>
          <w:szCs w:val="28"/>
          <w:lang w:val="en-US" w:eastAsia="zh-CN" w:bidi="zh-TW"/>
        </w:rPr>
        <w:t>要求</w:t>
      </w:r>
    </w:p>
    <w:p>
      <w:pPr>
        <w:spacing w:line="360" w:lineRule="auto"/>
        <w:ind w:firstLine="480" w:firstLineChars="200"/>
        <w:rPr>
          <w:rFonts w:ascii="楷体" w:hAnsi="楷体" w:eastAsia="楷体" w:cs="楷体"/>
          <w:color w:val="000000"/>
          <w:sz w:val="24"/>
          <w:highlight w:val="none"/>
          <w:lang w:bidi="zh-TW"/>
        </w:rPr>
      </w:pPr>
      <w:r>
        <w:rPr>
          <w:rFonts w:hint="eastAsia" w:ascii="楷体" w:hAnsi="楷体" w:eastAsia="楷体" w:cs="楷体"/>
          <w:color w:val="000000"/>
          <w:sz w:val="24"/>
          <w:highlight w:val="none"/>
          <w:lang w:bidi="zh-TW"/>
        </w:rPr>
        <w:t>1、所选设备必须保证安全环保、质量可靠、进货渠道正常，符合国家相关标准，满足质量要求。</w:t>
      </w:r>
    </w:p>
    <w:p>
      <w:pPr>
        <w:spacing w:line="360" w:lineRule="auto"/>
        <w:ind w:firstLine="480" w:firstLineChars="200"/>
        <w:rPr>
          <w:rFonts w:ascii="楷体" w:hAnsi="楷体" w:eastAsia="楷体" w:cs="楷体"/>
          <w:color w:val="000000"/>
          <w:sz w:val="24"/>
          <w:highlight w:val="none"/>
          <w:lang w:bidi="zh-TW"/>
        </w:rPr>
      </w:pPr>
      <w:r>
        <w:rPr>
          <w:rFonts w:hint="eastAsia" w:ascii="楷体" w:hAnsi="楷体" w:eastAsia="楷体" w:cs="楷体"/>
          <w:color w:val="000000"/>
          <w:sz w:val="24"/>
          <w:highlight w:val="none"/>
          <w:lang w:bidi="zh-TW"/>
        </w:rPr>
        <w:t>2、整个项目涉及到的安装调试验收工作均需符合国家有关规范，确保质量合格。</w:t>
      </w:r>
    </w:p>
    <w:p>
      <w:pPr>
        <w:spacing w:line="360" w:lineRule="auto"/>
        <w:ind w:firstLine="480" w:firstLineChars="200"/>
        <w:rPr>
          <w:rFonts w:hint="eastAsia" w:ascii="楷体" w:hAnsi="楷体" w:eastAsia="楷体" w:cs="楷体"/>
          <w:color w:val="000000"/>
          <w:sz w:val="24"/>
          <w:highlight w:val="none"/>
          <w:lang w:bidi="zh-TW"/>
        </w:rPr>
      </w:pPr>
      <w:r>
        <w:rPr>
          <w:rFonts w:hint="eastAsia" w:ascii="楷体" w:hAnsi="楷体" w:eastAsia="楷体" w:cs="楷体"/>
          <w:color w:val="000000"/>
          <w:sz w:val="24"/>
          <w:highlight w:val="none"/>
          <w:lang w:bidi="zh-TW"/>
        </w:rPr>
        <w:t>3、质保期满足采购人要求，按国家行业有关规定执行。</w:t>
      </w:r>
    </w:p>
    <w:p>
      <w:pPr>
        <w:pStyle w:val="2"/>
        <w:rPr>
          <w:rFonts w:hint="eastAsia" w:ascii="楷体" w:hAnsi="楷体" w:cs="楷体"/>
          <w:color w:val="000000"/>
          <w:sz w:val="30"/>
          <w:szCs w:val="30"/>
          <w:highlight w:val="none"/>
          <w:lang w:val="en-US" w:eastAsia="zh-CN" w:bidi="zh-TW"/>
        </w:rPr>
      </w:pPr>
      <w:r>
        <w:rPr>
          <w:rFonts w:hint="eastAsia" w:ascii="楷体" w:hAnsi="楷体" w:cs="楷体"/>
          <w:b/>
          <w:bCs/>
          <w:color w:val="000000"/>
          <w:sz w:val="30"/>
          <w:szCs w:val="30"/>
          <w:highlight w:val="none"/>
          <w:lang w:val="en-US" w:eastAsia="zh-CN" w:bidi="zh-TW"/>
        </w:rPr>
        <w:t>4、为保证产品质量，供应商应提供所投产品的来源渠道合法证明材料（包括但不限于销售协议、代理协议、原厂授权等），未提供按无效文件处理。</w:t>
      </w:r>
    </w:p>
    <w:p>
      <w:pPr>
        <w:pStyle w:val="2"/>
        <w:rPr>
          <w:rFonts w:hint="default" w:eastAsia="楷体"/>
          <w:lang w:val="en-US" w:eastAsia="zh-CN"/>
        </w:rPr>
      </w:pPr>
    </w:p>
    <w:p>
      <w:pPr>
        <w:spacing w:line="240" w:lineRule="auto"/>
        <w:ind w:firstLine="0" w:firstLineChars="0"/>
        <w:rPr>
          <w:rFonts w:ascii="楷体" w:hAnsi="楷体" w:eastAsia="楷体" w:cs="楷体"/>
          <w:sz w:val="21"/>
        </w:rPr>
      </w:pPr>
    </w:p>
    <w:p>
      <w:pPr>
        <w:ind w:left="0" w:leftChars="0" w:firstLine="0" w:firstLineChars="0"/>
        <w:rPr>
          <w:rFonts w:hint="eastAsia"/>
        </w:rPr>
      </w:pPr>
    </w:p>
    <w:p>
      <w:pPr>
        <w:pStyle w:val="3"/>
        <w:rPr>
          <w:rFonts w:ascii="楷体" w:hAnsi="楷体" w:cs="楷体"/>
        </w:rPr>
      </w:pPr>
      <w:bookmarkStart w:id="30" w:name="_Toc2854"/>
      <w:r>
        <w:rPr>
          <w:rFonts w:hint="eastAsia" w:ascii="楷体" w:hAnsi="楷体" w:cs="楷体"/>
        </w:rPr>
        <w:t>拟签订的合同文本</w:t>
      </w:r>
      <w:bookmarkEnd w:id="23"/>
      <w:bookmarkEnd w:id="30"/>
    </w:p>
    <w:p>
      <w:pPr>
        <w:ind w:firstLine="0" w:firstLineChars="0"/>
        <w:rPr>
          <w:b/>
          <w:bCs/>
        </w:rPr>
      </w:pPr>
      <w:r>
        <w:rPr>
          <w:rFonts w:hint="eastAsia" w:ascii="楷体" w:hAnsi="楷体" w:cs="楷体"/>
          <w:b/>
          <w:bCs/>
        </w:rPr>
        <w:t>（本格式条款供双方签订合同参考，采购人可根据项目的实际情况增减条款和内容）</w:t>
      </w:r>
    </w:p>
    <w:p>
      <w:pPr>
        <w:ind w:firstLine="480"/>
      </w:pPr>
    </w:p>
    <w:p>
      <w:pPr>
        <w:ind w:firstLine="480"/>
        <w:rPr>
          <w:rFonts w:ascii="楷体" w:hAnsi="楷体" w:cs="楷体"/>
        </w:rPr>
      </w:pPr>
      <w:r>
        <w:rPr>
          <w:rFonts w:hint="eastAsia" w:ascii="楷体" w:hAnsi="楷体" w:cs="楷体"/>
        </w:rPr>
        <w:br w:type="page"/>
      </w: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b/>
          <w:bCs/>
          <w:color w:val="000000"/>
          <w:spacing w:val="0"/>
          <w:w w:val="100"/>
          <w:kern w:val="0"/>
          <w:position w:val="0"/>
          <w:sz w:val="28"/>
          <w:szCs w:val="28"/>
          <w:shd w:val="clear" w:color="auto" w:fill="auto"/>
          <w:lang w:val="en-US" w:eastAsia="zh-CN" w:bidi="en-US"/>
        </w:rPr>
      </w:pP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b/>
          <w:bCs/>
          <w:color w:val="000000"/>
          <w:spacing w:val="0"/>
          <w:w w:val="100"/>
          <w:kern w:val="0"/>
          <w:position w:val="0"/>
          <w:sz w:val="28"/>
          <w:szCs w:val="28"/>
          <w:shd w:val="clear" w:color="auto" w:fill="auto"/>
          <w:lang w:val="en-US" w:eastAsia="zh-CN" w:bidi="en-US"/>
        </w:rPr>
      </w:pPr>
    </w:p>
    <w:p>
      <w:pPr>
        <w:keepNext w:val="0"/>
        <w:keepLines w:val="0"/>
        <w:shd w:val="clear" w:color="auto" w:fill="auto"/>
        <w:bidi w:val="0"/>
        <w:spacing w:before="0" w:after="0" w:line="240" w:lineRule="auto"/>
        <w:ind w:left="0" w:right="0" w:firstLine="0" w:firstLineChars="0"/>
        <w:jc w:val="left"/>
        <w:rPr>
          <w:rFonts w:hint="default" w:ascii="楷体" w:hAnsi="楷体" w:eastAsia="楷体" w:cs="楷体"/>
          <w:color w:val="000000"/>
          <w:spacing w:val="0"/>
          <w:w w:val="100"/>
          <w:kern w:val="0"/>
          <w:position w:val="0"/>
          <w:sz w:val="28"/>
          <w:szCs w:val="28"/>
          <w:shd w:val="clear" w:color="auto" w:fill="auto"/>
          <w:lang w:val="en-US" w:eastAsia="zh-CN" w:bidi="en-US"/>
        </w:rPr>
      </w:pPr>
      <w:r>
        <w:rPr>
          <w:rFonts w:hint="eastAsia" w:ascii="楷体" w:hAnsi="楷体" w:eastAsia="楷体" w:cs="楷体"/>
          <w:b/>
          <w:bCs/>
          <w:color w:val="000000"/>
          <w:spacing w:val="0"/>
          <w:w w:val="100"/>
          <w:kern w:val="0"/>
          <w:position w:val="0"/>
          <w:sz w:val="28"/>
          <w:szCs w:val="28"/>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cs="楷体"/>
          <w:color w:val="000000"/>
          <w:spacing w:val="0"/>
          <w:w w:val="100"/>
          <w:kern w:val="0"/>
          <w:position w:val="0"/>
          <w:sz w:val="28"/>
          <w:szCs w:val="28"/>
          <w:shd w:val="clear" w:color="auto" w:fill="auto"/>
          <w:lang w:val="en-US" w:eastAsia="zh-CN" w:bidi="en-US"/>
        </w:rPr>
        <w:t xml:space="preserve">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cs="楷体"/>
          <w:b/>
          <w:bCs/>
          <w:color w:val="000000"/>
          <w:spacing w:val="0"/>
          <w:w w:val="100"/>
          <w:kern w:val="0"/>
          <w:position w:val="0"/>
          <w:sz w:val="28"/>
          <w:szCs w:val="28"/>
          <w:bdr w:val="single" w:color="000000" w:sz="4" w:space="0"/>
          <w:shd w:val="clear" w:color="auto" w:fill="auto"/>
          <w:lang w:val="en-US" w:eastAsia="zh-CN" w:bidi="en-US"/>
        </w:rPr>
        <w:t>竞争性谈判</w:t>
      </w:r>
    </w:p>
    <w:p>
      <w:pPr>
        <w:ind w:firstLine="482"/>
        <w:jc w:val="right"/>
        <w:rPr>
          <w:rFonts w:ascii="楷体" w:hAnsi="楷体" w:cs="楷体"/>
          <w:b/>
        </w:rPr>
      </w:pPr>
    </w:p>
    <w:p>
      <w:pPr>
        <w:keepNext/>
        <w:keepLines/>
        <w:widowControl w:val="0"/>
        <w:shd w:val="clear" w:color="auto" w:fill="auto"/>
        <w:bidi w:val="0"/>
        <w:spacing w:before="0" w:after="120" w:line="1133" w:lineRule="exact"/>
        <w:ind w:left="0" w:leftChars="0" w:right="0" w:firstLine="0" w:firstLineChars="0"/>
        <w:jc w:val="both"/>
        <w:outlineLvl w:val="0"/>
        <w:rPr>
          <w:rFonts w:hint="eastAsia" w:ascii="楷体" w:hAnsi="楷体" w:eastAsia="楷体" w:cs="楷体"/>
          <w:b/>
          <w:bCs/>
          <w:color w:val="auto"/>
          <w:spacing w:val="0"/>
          <w:w w:val="100"/>
          <w:position w:val="0"/>
          <w:sz w:val="52"/>
          <w:szCs w:val="52"/>
          <w:u w:val="none"/>
          <w:shd w:val="clear" w:color="auto" w:fill="auto"/>
          <w:lang w:val="en-US" w:eastAsia="en-US" w:bidi="en-US"/>
        </w:rPr>
      </w:pPr>
      <w:bookmarkStart w:id="31" w:name="bookmark2"/>
      <w:bookmarkStart w:id="32" w:name="bookmark1"/>
      <w:bookmarkStart w:id="33" w:name="bookmark0"/>
    </w:p>
    <w:p>
      <w:pPr>
        <w:keepNext/>
        <w:keepLines/>
        <w:widowControl w:val="0"/>
        <w:shd w:val="clear" w:color="auto" w:fill="auto"/>
        <w:bidi w:val="0"/>
        <w:spacing w:before="0" w:after="120" w:line="1133" w:lineRule="exact"/>
        <w:ind w:left="0" w:leftChars="0" w:right="0" w:firstLine="0" w:firstLineChars="0"/>
        <w:jc w:val="center"/>
        <w:outlineLvl w:val="0"/>
        <w:rPr>
          <w:rFonts w:hint="eastAsia" w:ascii="楷体" w:hAnsi="楷体" w:cs="楷体"/>
          <w:b/>
          <w:bCs/>
          <w:color w:val="auto"/>
          <w:spacing w:val="0"/>
          <w:w w:val="100"/>
          <w:position w:val="0"/>
          <w:sz w:val="52"/>
          <w:szCs w:val="52"/>
          <w:u w:val="none"/>
          <w:shd w:val="clear" w:color="auto" w:fill="auto"/>
          <w:lang w:val="en-US" w:eastAsia="zh-CN" w:bidi="en-US"/>
        </w:rPr>
      </w:pPr>
      <w:r>
        <w:rPr>
          <w:rFonts w:hint="eastAsia" w:ascii="楷体" w:hAnsi="楷体" w:cs="楷体"/>
          <w:b/>
          <w:bCs/>
          <w:color w:val="auto"/>
          <w:spacing w:val="0"/>
          <w:w w:val="100"/>
          <w:position w:val="0"/>
          <w:sz w:val="52"/>
          <w:szCs w:val="52"/>
          <w:u w:val="none"/>
          <w:shd w:val="clear" w:color="auto" w:fill="auto"/>
          <w:lang w:val="en-US" w:eastAsia="zh-CN" w:bidi="en-US"/>
        </w:rPr>
        <w:t>西安市碑林区朱雀大街小学</w:t>
      </w:r>
    </w:p>
    <w:p>
      <w:pPr>
        <w:keepNext/>
        <w:keepLines/>
        <w:widowControl w:val="0"/>
        <w:shd w:val="clear" w:color="auto" w:fill="auto"/>
        <w:bidi w:val="0"/>
        <w:spacing w:before="0" w:after="120" w:line="1133" w:lineRule="exact"/>
        <w:ind w:left="0" w:leftChars="0" w:right="0" w:firstLine="0" w:firstLineChars="0"/>
        <w:jc w:val="center"/>
        <w:outlineLvl w:val="0"/>
        <w:rPr>
          <w:rFonts w:hint="eastAsia" w:ascii="楷体" w:hAnsi="楷体" w:eastAsia="楷体" w:cs="楷体"/>
          <w:b/>
          <w:bCs/>
          <w:color w:val="auto"/>
          <w:spacing w:val="0"/>
          <w:w w:val="100"/>
          <w:position w:val="0"/>
          <w:sz w:val="52"/>
          <w:szCs w:val="52"/>
          <w:u w:val="none"/>
          <w:shd w:val="clear" w:color="auto" w:fill="auto"/>
          <w:lang w:val="en-US" w:eastAsia="zh-CN" w:bidi="en-US"/>
        </w:rPr>
      </w:pPr>
      <w:r>
        <w:rPr>
          <w:rFonts w:hint="eastAsia" w:ascii="楷体" w:hAnsi="楷体" w:cs="楷体"/>
          <w:b/>
          <w:bCs/>
          <w:color w:val="auto"/>
          <w:spacing w:val="0"/>
          <w:w w:val="100"/>
          <w:position w:val="0"/>
          <w:sz w:val="52"/>
          <w:szCs w:val="52"/>
          <w:u w:val="none"/>
          <w:shd w:val="clear" w:color="auto" w:fill="auto"/>
          <w:lang w:val="en-US" w:eastAsia="zh-CN" w:bidi="en-US"/>
        </w:rPr>
        <w:t>智慧音频监控项目</w:t>
      </w:r>
    </w:p>
    <w:p>
      <w:pPr>
        <w:keepNext/>
        <w:keepLines/>
        <w:widowControl w:val="0"/>
        <w:shd w:val="clear" w:color="auto" w:fill="auto"/>
        <w:bidi w:val="0"/>
        <w:spacing w:before="0" w:after="120" w:line="1133" w:lineRule="exact"/>
        <w:ind w:left="0" w:leftChars="0" w:right="0" w:firstLine="0" w:firstLineChars="0"/>
        <w:jc w:val="center"/>
        <w:outlineLvl w:val="0"/>
        <w:rPr>
          <w:rFonts w:hint="eastAsia" w:ascii="楷体" w:hAnsi="楷体" w:eastAsia="楷体" w:cs="楷体"/>
          <w:b/>
          <w:bCs/>
          <w:color w:val="auto"/>
          <w:spacing w:val="0"/>
          <w:w w:val="100"/>
          <w:position w:val="0"/>
          <w:sz w:val="52"/>
          <w:szCs w:val="52"/>
          <w:u w:val="none"/>
          <w:shd w:val="clear" w:color="auto" w:fill="auto"/>
          <w:lang w:val="en-US" w:eastAsia="zh-CN" w:bidi="en-US"/>
        </w:rPr>
      </w:pPr>
    </w:p>
    <w:p>
      <w:pPr>
        <w:keepNext/>
        <w:keepLines/>
        <w:widowControl w:val="0"/>
        <w:shd w:val="clear" w:color="auto" w:fill="auto"/>
        <w:bidi w:val="0"/>
        <w:spacing w:before="0" w:after="120" w:line="1133" w:lineRule="exact"/>
        <w:ind w:left="0" w:right="0" w:firstLine="3654" w:firstLineChars="700"/>
        <w:jc w:val="both"/>
        <w:outlineLvl w:val="0"/>
        <w:rPr>
          <w:rFonts w:hint="eastAsia" w:ascii="楷体" w:hAnsi="楷体" w:eastAsia="楷体" w:cs="楷体"/>
          <w:b/>
          <w:bCs/>
          <w:color w:val="auto"/>
          <w:spacing w:val="0"/>
          <w:w w:val="100"/>
          <w:position w:val="0"/>
          <w:sz w:val="52"/>
          <w:szCs w:val="52"/>
          <w:u w:val="none"/>
          <w:shd w:val="clear" w:color="auto" w:fill="auto"/>
          <w:lang w:val="zh-TW" w:eastAsia="zh-TW" w:bidi="zh-TW"/>
        </w:rPr>
      </w:pPr>
      <w:r>
        <w:rPr>
          <w:rFonts w:hint="eastAsia" w:ascii="楷体" w:hAnsi="楷体" w:eastAsia="楷体" w:cs="楷体"/>
          <w:b/>
          <w:bCs/>
          <w:color w:val="auto"/>
          <w:spacing w:val="0"/>
          <w:w w:val="100"/>
          <w:position w:val="0"/>
          <w:sz w:val="52"/>
          <w:szCs w:val="52"/>
          <w:u w:val="none"/>
          <w:shd w:val="clear" w:color="auto" w:fill="auto"/>
          <w:lang w:val="zh-TW" w:eastAsia="zh-TW" w:bidi="zh-TW"/>
        </w:rPr>
        <w:t>供货合同</w:t>
      </w:r>
      <w:bookmarkEnd w:id="31"/>
      <w:bookmarkEnd w:id="32"/>
      <w:bookmarkEnd w:id="33"/>
    </w:p>
    <w:p>
      <w:pPr>
        <w:keepNext w:val="0"/>
        <w:keepLines w:val="0"/>
        <w:widowControl w:val="0"/>
        <w:shd w:val="clear" w:color="auto" w:fill="auto"/>
        <w:bidi w:val="0"/>
        <w:spacing w:before="0" w:after="120" w:line="240" w:lineRule="auto"/>
        <w:ind w:left="0" w:right="0" w:firstLine="2700" w:firstLineChars="900"/>
        <w:jc w:val="both"/>
        <w:rPr>
          <w:rFonts w:hint="eastAsia"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（编号：</w:t>
      </w:r>
      <w:r>
        <w:rPr>
          <w:rFonts w:hint="eastAsia" w:ascii="楷体" w:hAnsi="楷体" w:cs="楷体"/>
          <w:color w:val="auto"/>
          <w:spacing w:val="0"/>
          <w:w w:val="100"/>
          <w:position w:val="0"/>
          <w:sz w:val="30"/>
          <w:szCs w:val="30"/>
          <w:u w:val="none"/>
          <w:shd w:val="clear" w:color="auto" w:fill="auto"/>
          <w:lang w:val="en-US" w:eastAsia="zh-CN" w:bidi="en-US"/>
        </w:rPr>
        <w:t>HYTH-202306051</w:t>
      </w:r>
      <w:r>
        <w:rPr>
          <w:rFonts w:hint="eastAsia" w:ascii="楷体" w:hAnsi="楷体" w:eastAsia="楷体" w:cs="楷体"/>
          <w:color w:val="auto"/>
          <w:spacing w:val="0"/>
          <w:w w:val="100"/>
          <w:position w:val="0"/>
          <w:sz w:val="30"/>
          <w:szCs w:val="30"/>
          <w:u w:val="none"/>
          <w:shd w:val="clear" w:color="auto" w:fill="auto"/>
          <w:lang w:val="en-US" w:eastAsia="en-US" w:bidi="en-US"/>
        </w:rPr>
        <w:t>）</w:t>
      </w:r>
    </w:p>
    <w:p>
      <w:pPr>
        <w:keepNext w:val="0"/>
        <w:keepLines w:val="0"/>
        <w:widowControl w:val="0"/>
        <w:shd w:val="clear" w:color="auto" w:fill="auto"/>
        <w:bidi w:val="0"/>
        <w:spacing w:before="0" w:after="0" w:line="499" w:lineRule="exact"/>
        <w:ind w:left="0" w:right="0" w:firstLine="0"/>
        <w:jc w:val="both"/>
        <w:rPr>
          <w:rFonts w:hint="eastAsia" w:ascii="楷体" w:hAnsi="楷体" w:eastAsia="楷体" w:cs="楷体"/>
          <w:color w:val="auto"/>
          <w:spacing w:val="0"/>
          <w:w w:val="100"/>
          <w:position w:val="0"/>
          <w:sz w:val="30"/>
          <w:szCs w:val="30"/>
          <w:u w:val="none"/>
          <w:shd w:val="clear" w:color="auto" w:fill="auto"/>
          <w:lang w:val="zh-TW" w:eastAsia="zh-TW" w:bidi="zh-TW"/>
        </w:rPr>
      </w:pPr>
    </w:p>
    <w:p>
      <w:pPr>
        <w:keepNext w:val="0"/>
        <w:keepLines w:val="0"/>
        <w:widowControl w:val="0"/>
        <w:shd w:val="clear" w:color="auto" w:fill="auto"/>
        <w:bidi w:val="0"/>
        <w:spacing w:before="0" w:after="0" w:line="499" w:lineRule="exact"/>
        <w:ind w:left="0" w:leftChars="0" w:right="0" w:firstLine="0" w:firstLineChars="0"/>
        <w:jc w:val="both"/>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p>
    <w:p>
      <w:pPr>
        <w:keepNext w:val="0"/>
        <w:keepLines w:val="0"/>
        <w:widowControl w:val="0"/>
        <w:shd w:val="clear" w:color="auto" w:fill="auto"/>
        <w:bidi w:val="0"/>
        <w:spacing w:before="0" w:after="0" w:line="499" w:lineRule="exact"/>
        <w:ind w:left="0" w:right="0" w:firstLine="0"/>
        <w:jc w:val="both"/>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p>
    <w:p>
      <w:pPr>
        <w:keepNext w:val="0"/>
        <w:keepLines w:val="0"/>
        <w:widowControl w:val="0"/>
        <w:shd w:val="clear" w:color="auto" w:fill="auto"/>
        <w:bidi w:val="0"/>
        <w:spacing w:before="0" w:after="0" w:line="499" w:lineRule="exact"/>
        <w:ind w:left="3294" w:leftChars="700" w:right="0" w:hanging="1614" w:hangingChars="538"/>
        <w:jc w:val="both"/>
        <w:rPr>
          <w:rFonts w:hint="eastAsia" w:ascii="楷体" w:hAnsi="楷体" w:eastAsia="楷体" w:cs="楷体"/>
          <w:color w:val="auto"/>
          <w:spacing w:val="0"/>
          <w:w w:val="100"/>
          <w:position w:val="0"/>
          <w:sz w:val="30"/>
          <w:szCs w:val="30"/>
          <w:highlight w:val="none"/>
          <w:u w:val="none"/>
          <w:shd w:val="clear" w:color="auto" w:fill="auto"/>
          <w:lang w:val="en-US" w:eastAsia="zh-CN" w:bidi="en-US"/>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甲方：</w:t>
      </w:r>
      <w:r>
        <w:rPr>
          <w:rFonts w:hint="eastAsia" w:ascii="楷体" w:hAnsi="楷体" w:eastAsia="楷体" w:cs="楷体"/>
          <w:color w:val="auto"/>
          <w:spacing w:val="0"/>
          <w:w w:val="100"/>
          <w:position w:val="0"/>
          <w:sz w:val="30"/>
          <w:szCs w:val="30"/>
          <w:highlight w:val="none"/>
          <w:u w:val="none"/>
          <w:shd w:val="clear" w:color="auto" w:fill="auto"/>
          <w:lang w:val="en-US" w:eastAsia="en-US" w:bidi="en-US"/>
        </w:rPr>
        <w:t>西安市碑林区朱雀大街小学</w:t>
      </w:r>
    </w:p>
    <w:p>
      <w:pPr>
        <w:keepNext w:val="0"/>
        <w:keepLines w:val="0"/>
        <w:widowControl w:val="0"/>
        <w:shd w:val="clear" w:color="auto" w:fill="auto"/>
        <w:bidi w:val="0"/>
        <w:spacing w:before="0" w:after="0" w:line="499" w:lineRule="exact"/>
        <w:ind w:left="3294" w:leftChars="700" w:right="0" w:hanging="1614" w:hangingChars="538"/>
        <w:jc w:val="both"/>
        <w:rPr>
          <w:rFonts w:hint="default" w:ascii="楷体" w:hAnsi="楷体" w:eastAsia="楷体" w:cs="楷体"/>
          <w:color w:val="auto"/>
          <w:spacing w:val="0"/>
          <w:w w:val="100"/>
          <w:position w:val="0"/>
          <w:sz w:val="30"/>
          <w:szCs w:val="30"/>
          <w:highlight w:val="none"/>
          <w:u w:val="none"/>
          <w:shd w:val="clear" w:color="auto" w:fill="auto"/>
          <w:lang w:val="en-US" w:eastAsia="zh-CN" w:bidi="en-US"/>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乙方:</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 xml:space="preserve">                                 </w:t>
      </w:r>
    </w:p>
    <w:p>
      <w:pPr>
        <w:keepNext w:val="0"/>
        <w:keepLines w:val="0"/>
        <w:widowControl w:val="0"/>
        <w:shd w:val="clear" w:color="auto" w:fill="auto"/>
        <w:bidi w:val="0"/>
        <w:spacing w:before="0" w:after="660" w:line="499" w:lineRule="exact"/>
        <w:ind w:left="3294" w:leftChars="700" w:right="0" w:hanging="1614" w:hangingChars="538"/>
        <w:jc w:val="left"/>
        <w:rPr>
          <w:rFonts w:hint="eastAsia" w:ascii="楷体" w:hAnsi="楷体" w:eastAsia="楷体" w:cs="楷体"/>
          <w:color w:val="auto"/>
          <w:spacing w:val="0"/>
          <w:w w:val="100"/>
          <w:position w:val="0"/>
          <w:sz w:val="30"/>
          <w:szCs w:val="30"/>
          <w:highlight w:val="none"/>
          <w:u w:val="none"/>
          <w:shd w:val="clear" w:color="auto" w:fill="auto"/>
          <w:lang w:val="en-US" w:eastAsia="en-US" w:bidi="en-US"/>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鉴证方：陕西四方衡裕项目管理有限公司</w:t>
      </w:r>
    </w:p>
    <w:p>
      <w:pPr>
        <w:keepNext w:val="0"/>
        <w:keepLines w:val="0"/>
        <w:widowControl w:val="0"/>
        <w:shd w:val="clear" w:color="auto" w:fill="auto"/>
        <w:bidi w:val="0"/>
        <w:spacing w:before="0" w:after="0" w:line="348" w:lineRule="auto"/>
        <w:ind w:left="0" w:right="0" w:firstLine="0"/>
        <w:jc w:val="center"/>
        <w:rPr>
          <w:rFonts w:hint="eastAsia" w:ascii="楷体" w:hAnsi="楷体" w:eastAsia="楷体" w:cs="楷体"/>
          <w:color w:val="auto"/>
          <w:spacing w:val="0"/>
          <w:w w:val="100"/>
          <w:position w:val="0"/>
          <w:sz w:val="30"/>
          <w:szCs w:val="30"/>
          <w:highlight w:val="none"/>
          <w:u w:val="none"/>
          <w:shd w:val="clear" w:color="auto" w:fill="auto"/>
          <w:lang w:val="en-US" w:eastAsia="en-US" w:bidi="en-US"/>
        </w:rPr>
      </w:pPr>
      <w:r>
        <w:rPr>
          <w:rFonts w:hint="eastAsia" w:ascii="楷体" w:hAnsi="楷体" w:eastAsia="楷体" w:cs="楷体"/>
          <w:color w:val="auto"/>
          <w:spacing w:val="0"/>
          <w:w w:val="100"/>
          <w:position w:val="0"/>
          <w:sz w:val="30"/>
          <w:szCs w:val="30"/>
          <w:highlight w:val="none"/>
          <w:u w:val="none"/>
          <w:shd w:val="clear" w:color="auto" w:fill="auto"/>
          <w:lang w:val="en-US" w:eastAsia="en-US" w:bidi="en-US"/>
        </w:rPr>
        <w:t>202</w:t>
      </w:r>
      <w:r>
        <w:rPr>
          <w:rFonts w:hint="eastAsia" w:ascii="楷体" w:hAnsi="楷体" w:cs="楷体"/>
          <w:color w:val="auto"/>
          <w:spacing w:val="0"/>
          <w:w w:val="100"/>
          <w:position w:val="0"/>
          <w:sz w:val="30"/>
          <w:szCs w:val="30"/>
          <w:highlight w:val="none"/>
          <w:u w:val="none"/>
          <w:shd w:val="clear" w:color="auto" w:fill="auto"/>
          <w:lang w:val="en-US" w:eastAsia="zh-CN" w:bidi="en-US"/>
        </w:rPr>
        <w:t>3</w:t>
      </w: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年</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月</w:t>
      </w:r>
    </w:p>
    <w:p>
      <w:pPr>
        <w:keepNext w:val="0"/>
        <w:keepLines w:val="0"/>
        <w:widowControl w:val="0"/>
        <w:shd w:val="clear" w:color="auto" w:fill="auto"/>
        <w:bidi w:val="0"/>
        <w:spacing w:before="0" w:after="0" w:line="499" w:lineRule="exact"/>
        <w:ind w:left="0" w:right="0" w:firstLine="0"/>
        <w:jc w:val="center"/>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中国西安</w:t>
      </w: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highlight w:val="none"/>
          <w:shd w:val="clear" w:color="auto" w:fill="auto"/>
          <w:lang w:eastAsia="en-US" w:bidi="en-US"/>
        </w:rPr>
      </w:pPr>
      <w:bookmarkStart w:id="34" w:name="bookmark4"/>
      <w:bookmarkStart w:id="35" w:name="bookmark3"/>
      <w:bookmarkStart w:id="36" w:name="bookmark5"/>
      <w:r>
        <w:rPr>
          <w:rFonts w:hint="eastAsia" w:ascii="楷体" w:hAnsi="楷体" w:eastAsia="楷体" w:cs="楷体"/>
          <w:color w:val="auto"/>
          <w:spacing w:val="0"/>
          <w:w w:val="100"/>
          <w:kern w:val="0"/>
          <w:position w:val="0"/>
          <w:highlight w:val="none"/>
          <w:shd w:val="clear" w:color="auto" w:fill="auto"/>
          <w:lang w:eastAsia="en-US" w:bidi="en-US"/>
        </w:rPr>
        <w:br w:type="page"/>
      </w:r>
    </w:p>
    <w:p>
      <w:pPr>
        <w:keepNext/>
        <w:keepLines/>
        <w:widowControl w:val="0"/>
        <w:shd w:val="clear" w:color="auto" w:fill="auto"/>
        <w:bidi w:val="0"/>
        <w:spacing w:before="0" w:after="380" w:line="240" w:lineRule="auto"/>
        <w:ind w:left="0" w:right="0" w:firstLine="0"/>
        <w:jc w:val="center"/>
        <w:outlineLvl w:val="1"/>
        <w:rPr>
          <w:rFonts w:hint="eastAsia" w:ascii="楷体" w:hAnsi="楷体" w:eastAsia="楷体" w:cs="楷体"/>
          <w:color w:val="auto"/>
          <w:spacing w:val="0"/>
          <w:w w:val="100"/>
          <w:position w:val="0"/>
          <w:sz w:val="36"/>
          <w:szCs w:val="36"/>
          <w:highlight w:val="none"/>
          <w:u w:val="none"/>
          <w:shd w:val="clear" w:color="auto" w:fill="auto"/>
          <w:lang w:val="zh-TW" w:eastAsia="zh-TW" w:bidi="zh-TW"/>
        </w:rPr>
      </w:pPr>
      <w:r>
        <w:rPr>
          <w:rFonts w:hint="eastAsia" w:ascii="楷体" w:hAnsi="楷体" w:eastAsia="楷体" w:cs="楷体"/>
          <w:color w:val="auto"/>
          <w:spacing w:val="0"/>
          <w:w w:val="100"/>
          <w:position w:val="0"/>
          <w:sz w:val="36"/>
          <w:szCs w:val="36"/>
          <w:highlight w:val="none"/>
          <w:u w:val="none"/>
          <w:shd w:val="clear" w:color="auto" w:fill="auto"/>
          <w:lang w:val="zh-TW" w:eastAsia="zh-TW" w:bidi="zh-TW"/>
        </w:rPr>
        <w:t>供货合同</w:t>
      </w:r>
      <w:bookmarkEnd w:id="34"/>
      <w:bookmarkEnd w:id="35"/>
      <w:bookmarkEnd w:id="36"/>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购人名称全称）</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西安市碑林区朱雀大街小学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（供应商名称全称）</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陕西四方衡裕项目管理有限公司</w:t>
      </w:r>
    </w:p>
    <w:p>
      <w:pPr>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鉴证方就甲方所需货物，在西安市碑林区财政局的监督管理下，按照政府</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购程序组织竞争性谈判，确定乙方为</w:t>
      </w:r>
      <w:r>
        <w:rPr>
          <w:rFonts w:hint="eastAsia" w:ascii="楷体" w:hAnsi="楷体" w:cs="楷体"/>
          <w:color w:val="auto"/>
          <w:spacing w:val="0"/>
          <w:w w:val="100"/>
          <w:position w:val="0"/>
          <w:sz w:val="24"/>
          <w:szCs w:val="24"/>
          <w:highlight w:val="none"/>
          <w:u w:val="single"/>
          <w:shd w:val="clear" w:color="auto" w:fill="auto"/>
          <w:lang w:val="zh-TW" w:eastAsia="zh-CN" w:bidi="zh-TW"/>
        </w:rPr>
        <w:t>西安市碑林区朱雀大街小学智慧音频监控项目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（项目编号：</w:t>
      </w:r>
      <w:r>
        <w:rPr>
          <w:rFonts w:hint="eastAsia" w:ascii="楷体" w:hAnsi="楷体" w:cs="楷体"/>
          <w:color w:val="auto"/>
          <w:spacing w:val="0"/>
          <w:w w:val="100"/>
          <w:position w:val="0"/>
          <w:sz w:val="24"/>
          <w:szCs w:val="24"/>
          <w:highlight w:val="none"/>
          <w:u w:val="single"/>
          <w:shd w:val="clear" w:color="auto" w:fill="auto"/>
          <w:lang w:val="en-US" w:eastAsia="zh-CN" w:bidi="zh-TW"/>
        </w:rPr>
        <w:t>HYTH-202306051</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成交供应商。</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据《中华人民共和国政府采购法》、《中华人民共和国民法典》以及</w:t>
      </w:r>
      <w:r>
        <w:rPr>
          <w:rFonts w:hint="eastAsia" w:ascii="楷体" w:hAnsi="楷体" w:cs="楷体"/>
          <w:color w:val="auto"/>
          <w:spacing w:val="0"/>
          <w:w w:val="100"/>
          <w:position w:val="0"/>
          <w:sz w:val="24"/>
          <w:szCs w:val="24"/>
          <w:highlight w:val="none"/>
          <w:u w:val="none"/>
          <w:shd w:val="clear" w:color="auto" w:fill="auto"/>
          <w:lang w:val="en-US" w:eastAsia="zh-CN" w:bidi="zh-TW"/>
        </w:rPr>
        <w:t>陕西四方衡裕项目管理有限公司</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竞争性谈判文件、成交通知书，经甲、乙双方协商，鉴证方确认，达成如下合同条款。</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37" w:name="bookmark6"/>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一</w:t>
      </w:r>
      <w:bookmarkEnd w:id="37"/>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、合同标的物内容（以响应文件正本和澄清表〈函〉为准）</w:t>
      </w:r>
    </w:p>
    <w:tbl>
      <w:tblPr>
        <w:tblStyle w:val="43"/>
        <w:tblW w:w="9102" w:type="dxa"/>
        <w:jc w:val="center"/>
        <w:tblLayout w:type="fixed"/>
        <w:tblCellMar>
          <w:top w:w="0" w:type="dxa"/>
          <w:left w:w="10" w:type="dxa"/>
          <w:bottom w:w="0" w:type="dxa"/>
          <w:right w:w="10" w:type="dxa"/>
        </w:tblCellMar>
      </w:tblPr>
      <w:tblGrid>
        <w:gridCol w:w="768"/>
        <w:gridCol w:w="1661"/>
        <w:gridCol w:w="1661"/>
        <w:gridCol w:w="1661"/>
        <w:gridCol w:w="1661"/>
        <w:gridCol w:w="1690"/>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序号</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货物名称</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规格型号</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单价（元）</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4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数量</w:t>
            </w: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40" w:after="0" w:line="240" w:lineRule="auto"/>
              <w:ind w:left="0" w:right="320" w:firstLine="0" w:firstLineChars="0"/>
              <w:jc w:val="righ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总价（元）</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4</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5</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合计</w:t>
            </w:r>
          </w:p>
        </w:tc>
        <w:tc>
          <w:tcPr>
            <w:gridSpan w:val="5"/>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备注</w:t>
            </w:r>
          </w:p>
        </w:tc>
        <w:tc>
          <w:tcPr>
            <w:gridSpan w:val="5"/>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bl>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（技术</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参数可附附件</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或详见响应文件，需说明清楚，表格可根据实际情况调整）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CN" w:bidi="zh-TW"/>
        </w:rPr>
      </w:pPr>
      <w:bookmarkStart w:id="38" w:name="bookmark7"/>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二</w:t>
      </w:r>
      <w:bookmarkEnd w:id="38"/>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cs="楷体"/>
          <w:b/>
          <w:bCs/>
          <w:color w:val="auto"/>
          <w:spacing w:val="0"/>
          <w:w w:val="100"/>
          <w:position w:val="0"/>
          <w:sz w:val="24"/>
          <w:szCs w:val="24"/>
          <w:highlight w:val="none"/>
          <w:u w:val="none"/>
          <w:shd w:val="clear" w:color="auto" w:fill="auto"/>
          <w:lang w:val="en-US" w:eastAsia="zh-CN" w:bidi="zh-TW"/>
        </w:rPr>
        <w:t>交货</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条件：</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490" w:lineRule="exact"/>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39" w:name="bookmark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w:t>
      </w:r>
      <w:r>
        <w:rPr>
          <w:rFonts w:hint="eastAsia" w:ascii="楷体" w:hAnsi="楷体" w:cs="楷体"/>
          <w:color w:val="auto"/>
          <w:spacing w:val="0"/>
          <w:w w:val="100"/>
          <w:position w:val="0"/>
          <w:sz w:val="24"/>
          <w:szCs w:val="24"/>
          <w:highlight w:val="none"/>
          <w:u w:val="none"/>
          <w:shd w:val="clear" w:color="auto" w:fill="auto"/>
          <w:lang w:val="en-US" w:eastAsia="zh-CN" w:bidi="zh-TW"/>
        </w:rPr>
        <w:t>交货</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地点：甲方指定地点。</w:t>
      </w:r>
    </w:p>
    <w:p>
      <w:pPr>
        <w:keepNext w:val="0"/>
        <w:keepLines w:val="0"/>
        <w:pageBreakBefore w:val="0"/>
        <w:widowControl w:val="0"/>
        <w:shd w:val="clear" w:color="auto" w:fill="auto"/>
        <w:tabs>
          <w:tab w:val="left" w:pos="1390"/>
        </w:tabs>
        <w:kinsoku/>
        <w:wordWrap/>
        <w:overflowPunct/>
        <w:topLinePunct w:val="0"/>
        <w:autoSpaceDE/>
        <w:autoSpaceDN/>
        <w:bidi w:val="0"/>
        <w:adjustRightInd/>
        <w:snapToGrid/>
        <w:spacing w:before="0" w:after="0" w:line="403" w:lineRule="exact"/>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0" w:name="bookmark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二）交货期：</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499"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41" w:name="bookmark10"/>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三</w:t>
      </w:r>
      <w:bookmarkEnd w:id="41"/>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合同价款</w:t>
      </w:r>
    </w:p>
    <w:p>
      <w:pPr>
        <w:keepNext w:val="0"/>
        <w:keepLines w:val="0"/>
        <w:pageBreakBefore w:val="0"/>
        <w:widowControl w:val="0"/>
        <w:shd w:val="clear" w:color="auto" w:fill="auto"/>
        <w:tabs>
          <w:tab w:val="left" w:pos="6715"/>
          <w:tab w:val="left" w:pos="8117"/>
        </w:tabs>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合同总价款为人民币</w:t>
      </w:r>
      <w:r>
        <w:rPr>
          <w:rFonts w:hint="eastAsia" w:ascii="楷体" w:hAnsi="楷体" w:eastAsia="楷体" w:cs="楷体"/>
          <w:i w:val="0"/>
          <w:iCs w:val="0"/>
          <w:color w:val="auto"/>
          <w:spacing w:val="0"/>
          <w:w w:val="100"/>
          <w:position w:val="0"/>
          <w:sz w:val="24"/>
          <w:szCs w:val="24"/>
          <w:highlight w:val="none"/>
          <w:u w:val="none"/>
          <w:shd w:val="clear" w:color="auto" w:fill="auto"/>
          <w:lang w:val="zh-TW" w:eastAsia="zh-TW" w:bidi="zh-TW"/>
        </w:rPr>
        <w:t>（大写）</w:t>
      </w:r>
      <w:r>
        <w:rPr>
          <w:rFonts w:hint="eastAsia" w:ascii="楷体" w:hAnsi="楷体" w:eastAsia="楷体" w:cs="楷体"/>
          <w:i/>
          <w:i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i/>
          <w:iCs/>
          <w:color w:val="auto"/>
          <w:spacing w:val="0"/>
          <w:w w:val="100"/>
          <w:position w:val="0"/>
          <w:sz w:val="24"/>
          <w:szCs w:val="24"/>
          <w:highlight w:val="none"/>
          <w:u w:val="none"/>
          <w:shd w:val="clear" w:color="auto" w:fill="auto"/>
          <w:lang w:val="en-US" w:eastAsia="zh-CN" w:bidi="zh-TW"/>
        </w:rPr>
        <w:t xml:space="preserve"> </w:t>
      </w:r>
      <w:r>
        <w:rPr>
          <w:rFonts w:hint="eastAsia" w:ascii="楷体" w:hAnsi="楷体" w:eastAsia="楷体" w:cs="楷体"/>
          <w:i/>
          <w:i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ab/>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元。</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490" w:lineRule="exact"/>
        <w:ind w:left="0" w:right="0" w:firstLine="4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CN" w:eastAsia="zh-TW" w:bidi="zh-TW"/>
        </w:rPr>
      </w:pPr>
      <w:bookmarkStart w:id="42" w:name="bookmark1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二）合同总包括：</w:t>
      </w:r>
      <w:r>
        <w:rPr>
          <w:rFonts w:hint="eastAsia" w:ascii="楷体" w:hAnsi="楷体" w:cs="楷体"/>
          <w:color w:val="auto"/>
          <w:spacing w:val="0"/>
          <w:w w:val="100"/>
          <w:position w:val="0"/>
          <w:sz w:val="24"/>
          <w:szCs w:val="24"/>
          <w:highlight w:val="none"/>
          <w:u w:val="none"/>
          <w:shd w:val="clear" w:color="auto" w:fill="auto"/>
          <w:lang w:val="en-US" w:eastAsia="zh-CN" w:bidi="zh-TW"/>
        </w:rPr>
        <w:t>供货</w:t>
      </w:r>
      <w:r>
        <w:rPr>
          <w:rFonts w:hint="eastAsia" w:ascii="楷体" w:hAnsi="楷体" w:eastAsia="楷体" w:cs="楷体"/>
          <w:color w:val="auto"/>
          <w:spacing w:val="0"/>
          <w:w w:val="100"/>
          <w:position w:val="0"/>
          <w:sz w:val="24"/>
          <w:szCs w:val="24"/>
          <w:highlight w:val="none"/>
          <w:u w:val="none"/>
          <w:shd w:val="clear" w:color="auto" w:fill="auto"/>
          <w:lang w:val="zh-CN" w:eastAsia="zh-TW" w:bidi="zh-TW"/>
        </w:rPr>
        <w:t>期内全部供货和服务内容可能发生的全部费用。</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3" w:name="bookmark1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三）合同总价一次性包死，不受市场价格变化因素的影响。</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509"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44" w:name="bookmark13"/>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四</w:t>
      </w:r>
      <w:bookmarkEnd w:id="44"/>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、款项结算</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bookmarkStart w:id="45" w:name="bookmark17"/>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款项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的支付：合同签订后10个工作日内支付预付款40%，到货验收合格并完成培训后支付剩余60%。</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5"/>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）供应商应按采购人要求提供符合税务要求的正式税务发票</w:t>
      </w:r>
      <w:r>
        <w:rPr>
          <w:rFonts w:hint="eastAsia" w:ascii="楷体" w:hAnsi="楷体" w:cs="楷体"/>
          <w:color w:val="auto"/>
          <w:spacing w:val="0"/>
          <w:w w:val="100"/>
          <w:position w:val="0"/>
          <w:sz w:val="24"/>
          <w:szCs w:val="24"/>
          <w:highlight w:val="none"/>
          <w:u w:val="none"/>
          <w:shd w:val="clear" w:color="auto" w:fill="auto"/>
          <w:lang w:val="zh-TW" w:eastAsia="zh-CN" w:bidi="zh-TW"/>
        </w:rPr>
        <w:t>。</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三</w:t>
      </w:r>
      <w:r>
        <w:rPr>
          <w:rFonts w:hint="eastAsia" w:ascii="楷体" w:hAnsi="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支付方式：银行转账。</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413"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46" w:name="bookmark19"/>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五</w:t>
      </w:r>
      <w:bookmarkEnd w:id="46"/>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双方的权利和义务</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7" w:name="bookmark2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甲方的权利和义务</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CN" w:bidi="zh-TW"/>
        </w:rPr>
      </w:pPr>
      <w:bookmarkStart w:id="48" w:name="bookmark21"/>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甲方在收到货物通知后，应按</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谈判</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文件的需求</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及成交供应商响应文件响应内容</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进行核实，如发现不符合合同规定，及时提出</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CN" w:bidi="zh-TW"/>
        </w:rPr>
        <w:t>。</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甲方在收到货后，组织人员按提供的技术参数指标进行验收。</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w:t>
      </w:r>
      <w:bookmarkEnd w:id="48"/>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二）</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乙方的权利和义务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乙方在合同约定的时间内交付产品，并负责产品的检验。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2、乙方所提供的产品必须保证原厂生产，符合采购技术需求，运输全过程中的安全由乙方负责。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3、乙方应积极配合甲方，最终完成产品的检验工作。</w:t>
      </w:r>
    </w:p>
    <w:p>
      <w:pPr>
        <w:keepNext w:val="0"/>
        <w:keepLines w:val="0"/>
        <w:pageBreakBefore w:val="0"/>
        <w:widowControl w:val="0"/>
        <w:shd w:val="clear" w:color="auto" w:fill="auto"/>
        <w:tabs>
          <w:tab w:val="left" w:pos="996"/>
        </w:tabs>
        <w:kinsoku/>
        <w:wordWrap/>
        <w:overflowPunct/>
        <w:topLinePunct w:val="0"/>
        <w:autoSpaceDE/>
        <w:autoSpaceDN/>
        <w:bidi w:val="0"/>
        <w:adjustRightInd/>
        <w:snapToGrid/>
        <w:spacing w:before="0" w:after="0" w:line="494"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49" w:name="bookmark22"/>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六</w:t>
      </w:r>
      <w:bookmarkEnd w:id="49"/>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质量保证</w:t>
      </w:r>
    </w:p>
    <w:p>
      <w:pPr>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360" w:lineRule="auto"/>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必须执行下列条款：</w:t>
      </w:r>
    </w:p>
    <w:p>
      <w:pPr>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360" w:lineRule="auto"/>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0" w:name="bookmark2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技术指标先进、质量性能可靠、配置合理、进货渠道正规，全面满足竞争性谈判文件要求，是全新、未使用过的、完整的、安全可靠的产品。严禁提供旧货翻新或假冒伪劣产品或次品、残品，并完全符合强制性的国家技术质量规范和</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竞争性谈判</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文件规定的质量、规格、性能和技术规范等的要求。并能按期交付。在交付甲方前发生的风险均由乙方负责。</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1" w:name="bookmark2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在装卸、运输和仓储过程中有足够的包装保护，防止产品/设备受潮、锈蚀、遭受冲撞及其他不可预见的损坏。</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2" w:name="bookmark2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具有良好的外观，适合各种安装场所的使用要求，确保达到最佳运行状态。</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3" w:name="bookmark2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五）乙方所供产品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因侵权而产生的一切后果由乙方负责，甲方保留索赔权。</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4" w:name="bookmark2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六）乙方提供的货物经正确安装、正常运转和保养，在其使用寿命期内须具有符合质量要求和产品说明书的性能。在货物免费质保期之内，乙方须对由于设计、工艺或材料的缺陷而发生的任何不足或故障负责。</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日内应免费维修或更换有缺陷的货物或部件。如果乙方在收到通知后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日内没有弥补缺陷，甲方可采取必要的补救措施，但由此引发的风险和费用将由乙方承担。</w:t>
      </w:r>
    </w:p>
    <w:p>
      <w:pPr>
        <w:pStyle w:val="41"/>
        <w:spacing w:line="360" w:lineRule="auto"/>
        <w:rPr>
          <w:rFonts w:hint="default" w:eastAsia="楷体"/>
          <w:lang w:val="en-US" w:eastAsia="zh-CN"/>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cs="楷体"/>
          <w:color w:val="auto"/>
          <w:spacing w:val="0"/>
          <w:w w:val="100"/>
          <w:position w:val="0"/>
          <w:sz w:val="24"/>
          <w:szCs w:val="24"/>
          <w:highlight w:val="none"/>
          <w:u w:val="none"/>
          <w:shd w:val="clear" w:color="auto" w:fill="auto"/>
          <w:lang w:val="en-US" w:eastAsia="zh-CN" w:bidi="zh-TW"/>
        </w:rPr>
        <w:t>需保证</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提供的货物</w:t>
      </w:r>
      <w:r>
        <w:rPr>
          <w:rFonts w:hint="eastAsia" w:ascii="楷体" w:hAnsi="楷体" w:cs="楷体"/>
          <w:color w:val="auto"/>
          <w:spacing w:val="0"/>
          <w:w w:val="100"/>
          <w:position w:val="0"/>
          <w:sz w:val="24"/>
          <w:szCs w:val="24"/>
          <w:highlight w:val="none"/>
          <w:u w:val="none"/>
          <w:shd w:val="clear" w:color="auto" w:fill="auto"/>
          <w:lang w:val="en-US" w:eastAsia="zh-CN" w:bidi="zh-TW"/>
        </w:rPr>
        <w:t>来源渠道合法，不会有任何第三方向甲方主张任何权利。</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bookmarkStart w:id="55" w:name="bookmark30"/>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七</w:t>
      </w:r>
      <w:bookmarkEnd w:id="55"/>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包装和储存</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6" w:name="bookmark3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及其备附件的包装应为出厂时的原包装，包装内应附有详细的装箱清单、出厂合格证明及其他相关资料。</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7" w:name="bookmark3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二）运输由乙方负责，运杂费已包含在合同总价内，包括从产品/设备供应地点运送至交付地点所含的运输费、装卸费、仓储费、保险费等。</w:t>
      </w:r>
    </w:p>
    <w:p>
      <w:pPr>
        <w:keepNext w:val="0"/>
        <w:keepLines w:val="0"/>
        <w:pageBreakBefore w:val="0"/>
        <w:widowControl w:val="0"/>
        <w:shd w:val="clear" w:color="auto" w:fill="auto"/>
        <w:tabs>
          <w:tab w:val="left" w:pos="140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8" w:name="bookmark3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三）运输方式由乙方自行选择，但必须保证按期交付。</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9" w:name="bookmark3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及其备附件到达甲方指定地点后，乙方应按有关技术规程和甲方要求进行存放和保管。</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0" w:name="bookmark3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五）乙方在货物发运前对其进行满足运输距离、防潮、防震、防锈和防破损装卸等要求包装，以保证货物安全运达甲方指定地点。</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 xml:space="preserve"> 乙方负责所有产品的运输。确保产品安全、完整到达使用地点，运杂费用包含在总价内，包括产品从供货地点到使用地点的运输费、保险费、搬运费、装卸费、仓储费等。</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使用说明书、质量检验证明书、随配附件和工具以及清单一并附于货物内。</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乙方在货物发运手续办理完毕后24小时内或货到甲方48小时前通知甲方，以准备接货。</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九</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货物在交付甲方前发生的风险均由乙方负责。</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货物在规定的交付期限内由乙方送达甲方指定的地点视为交付，乙方同时需通知甲方货物已送达。</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61" w:name="bookmark36"/>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八</w:t>
      </w:r>
      <w:bookmarkEnd w:id="61"/>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验收</w:t>
      </w:r>
    </w:p>
    <w:p>
      <w:pPr>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（一）外观验收：产品及其备附件到达甲方指定地点后，甲方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根据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合同要求，在乙方和甲方相关负责人双方同时在场的情况下，进行外观</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验收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，确认产地、规格、型号和数量。</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2" w:name="bookmark3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二）安装调试：乙方应配合甲方的要求，负责在现场对产品进行安装、调试和试运行。</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3" w:name="bookmark3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三）最终验收：产品安装调试和运行后，由乙方向甲方递交产</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品</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安装调试记录和验收文件，并列出交货清单，作为甲方收货验收和使用的技术条件依据，检验的结果应随货物交甲方。经甲方确认后，组织乙方进行系统</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验收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（必要时甲方可委托具有相关资质的第三方检测机构/技术专家对产品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进行系统验收，由此产生的相关费用由乙方承担，需要国家法定检验部门进行检验或验收的由乙方负责联系）。验收合格后，填写政府</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购项目覆约验收单（一式伍份）作为对产品/设备的最终认可。政府采购项目履约</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验收单</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（原件）送采购代理机构一份。</w:t>
      </w:r>
    </w:p>
    <w:p>
      <w:pPr>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bookmarkStart w:id="64" w:name="bookmark39"/>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w:t>
      </w:r>
      <w:bookmarkEnd w:id="64"/>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四）验收</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据</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5" w:name="bookmark4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6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、竞争性谈判文件、响应文件、澄清表（函）；</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6" w:name="bookmark4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6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、本合同及附件文本；</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7" w:name="bookmark4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6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、合同签订时国家及行业现行的标准和技术规范。</w:t>
      </w:r>
    </w:p>
    <w:p>
      <w:pPr>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8" w:name="bookmark4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五）乙方应向甲方提交项目实施过程中的所有资料，以便甲方日后管理和维护。</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必须符合</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竞争性谈判</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文件、采购合同以及国家规定的质量标准。</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基本要求</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1）货物为全新产品，无污染，无侵权行为、表面无划损、无任何缺陷隐患，在中国境内可依规安全合法使用。</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2）交付验收基本标准</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次序对照适用标准为：①符合中华人民共和国国家安全质量标准、环保标准或行业标准；②符合采购文件和响应承诺中甲方认可的合理最佳配置、参数及各项要求；③货物来源国官方标准。上述标准必须是有关官方机构发布的最新版本的标准。</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3）验收由甲乙双方及相关人员依国家有关标准、合同及有关附件要求进行。乙方须为验收提供必需的相关条件及一切费用。</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4）技术资料</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begin"/>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instrText xml:space="preserve"> = 1 \* GB3 </w:instrTex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separate"/>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①</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end"/>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交货时，乙方应同时交付产品使用手册、质量检验证书（合格证）等相关资料。</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begin"/>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instrText xml:space="preserve"> = 2 \* GB3 </w:instrTex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separate"/>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②</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end"/>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验收后，乙方应向甲方提供验收报告。</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乙方必须保证提供全新的、完整的、安全可靠的产品。严禁提供旧货翻新或假冒伪劣产品或次品、残品。并且全部货物没有设计、材料或工艺上的缺陷。须提供厂家出具的合格证书、国家实行生产许可的应提交生产许可证，国家实行强制认证的应提交强制认证证书，国家实行计量检测认证的应提交计量检测体系合格证书。货物的技术参数及配置情况必须由乙方提供国家相关检测机构出具的检验报告、生产厂家公开发布的印刷资料等技术资料予以支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九、售后服务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乙方提供以下售后服务：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质保期：</w:t>
      </w:r>
      <w:r>
        <w:rPr>
          <w:rFonts w:hint="eastAsia" w:ascii="楷体" w:hAnsi="楷体" w:eastAsia="楷体" w:cs="楷体"/>
          <w:color w:val="auto"/>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，若该质量保证期小于国家标准，则以国家标准为准。产品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终身维修。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质保期内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售后服务必须有保障，在规定或承诺时间范围内排除故障并解决问题，在节假日期间、售后放假休息时间、工休等期间需提前告知甲方或制定应急预案，但无论何种因素，乙方均必须保证售后服务及时，确保货物在免费质保期内正常使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凡</w:t>
      </w:r>
      <w:r>
        <w:rPr>
          <w:rFonts w:hint="eastAsia" w:ascii="楷体" w:hAnsi="楷体" w:cs="楷体"/>
          <w:color w:val="auto"/>
          <w:spacing w:val="0"/>
          <w:w w:val="100"/>
          <w:position w:val="0"/>
          <w:sz w:val="24"/>
          <w:szCs w:val="24"/>
          <w:highlight w:val="none"/>
          <w:u w:val="none"/>
          <w:shd w:val="clear" w:color="auto" w:fill="auto"/>
          <w:lang w:val="en-US" w:eastAsia="zh-CN"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发生质量问题或出现其他故障，接到甲方通知后，服务响应时间不超过</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小时内派专业维修人员到达现场，</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小时内排除故障。排除故障的期限最长不得超过两个工作日，若不能按期排除故障，乙方应能够提供</w:t>
      </w:r>
      <w:r>
        <w:rPr>
          <w:rFonts w:hint="eastAsia" w:ascii="楷体" w:hAnsi="楷体" w:cs="楷体"/>
          <w:color w:val="auto"/>
          <w:spacing w:val="0"/>
          <w:w w:val="100"/>
          <w:position w:val="0"/>
          <w:sz w:val="24"/>
          <w:szCs w:val="24"/>
          <w:highlight w:val="none"/>
          <w:u w:val="none"/>
          <w:shd w:val="clear" w:color="auto" w:fill="auto"/>
          <w:lang w:val="en-US" w:eastAsia="zh-CN" w:bidi="zh-TW"/>
        </w:rPr>
        <w:t>其他设备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代用，不得因此影响甲方正常工作。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免费提供每周</w:t>
      </w:r>
      <w:r>
        <w:rPr>
          <w:rFonts w:hint="eastAsia" w:ascii="楷体" w:hAnsi="楷体" w:eastAsia="楷体" w:cs="楷体"/>
          <w:color w:val="auto"/>
          <w:spacing w:val="0"/>
          <w:w w:val="100"/>
          <w:position w:val="0"/>
          <w:sz w:val="24"/>
          <w:szCs w:val="24"/>
          <w:highlight w:val="none"/>
          <w:u w:val="single"/>
          <w:shd w:val="clear" w:color="auto" w:fill="auto"/>
          <w:lang w:val="en-US" w:eastAsia="en-US" w:bidi="zh-TW"/>
        </w:rPr>
        <w:t>7x24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小时不间断的电话支持服务,解答用户在使用过程中遇到的问题，及时提出解决问题的建议和对策。</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3</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、定期派专业维修人员到现场走访，给予检查维护。并向甲方提供巡检单（一式两份，由双方签字确认），内容包含但不限于巡检时间、巡检内容、巡检结果。</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9" w:name="bookmark5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二）质保期满后</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乙方应保证</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货物终身维修，维修时只收取部件成本费（免工时费），当发生故障时，乙方应按质保期内相同的服务标准进行维护处理。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技术</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与服务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0" w:name="bookmark5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一）技术资料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合格证；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1" w:name="bookmark5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7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技术参数；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2" w:name="bookmark5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7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使用维护说明书；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3" w:name="bookmark57"/>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乙方按产生文件规定的时间向甲方提供使用货物的有关技术资料。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没有甲方事先书面同意，乙方不得将由甲方提供的有关合同或任何合同条文、规格、计划、图纸、样品或资料提供给与履行本合同无关的任何其他人。</w:t>
      </w:r>
    </w:p>
    <w:bookmarkEnd w:id="73"/>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、其它资料。</w:t>
      </w:r>
    </w:p>
    <w:p>
      <w:pPr>
        <w:keepNext w:val="0"/>
        <w:keepLines w:val="0"/>
        <w:pageBreakBefore w:val="0"/>
        <w:widowControl w:val="0"/>
        <w:shd w:val="clear" w:color="auto" w:fill="auto"/>
        <w:tabs>
          <w:tab w:val="left" w:pos="140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4" w:name="bookmark5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二）服务承诺</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以响应文件、澄清表（函）、合同和随产品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的相关文件为准。</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5" w:name="bookmark5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三）服务要求</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所有设备均由乙方送货至甲方指定的交货地点并安装调试好，安装调试应以本需求书要求的技术参数指标为标准。</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所有货物交货后的拆箱、安装、调试等项工作(包括其费用)由乙方负责，但必须在用户指定人员的参与下进行。调试的原始记录需经各方签字后作为验收的文件之一。</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乙方应提供包括但不限于满足设备安装、使用和维护的技术文件。</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应按出厂标准及国家有关要求进行包装及运输。</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en-US"/>
        </w:rPr>
        <w:t>十一、违约</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（二）未按合同要求提供产品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或产品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质量不能满足合同要求，甲方应当将乙方违约的情况以及拟采取的措施以书面形式报政府</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购监管部门，根据政府采购监管部门的处理意见，甲方有权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据《民法典》有关条款及合同约定解除合同，乙方应向甲方支付合同总价款</w:t>
      </w:r>
      <w:r>
        <w:rPr>
          <w:rFonts w:hint="eastAsia" w:ascii="楷体" w:hAnsi="楷体" w:eastAsia="楷体" w:cs="楷体"/>
          <w:color w:val="auto"/>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％的违约金。同时，政府采购监管部门有权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据《政府采购法》及相关法律法规对乙方的违法行为进行相应的处罚。</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6" w:name="bookmark6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三）乙方逾期交付产品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的（包括返修、更换、补交等），应当自逾期之日起每日按逾期交付部分价款总额的</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%向甲方支付违约金。若因乙方原因逾期交货超过</w:t>
      </w:r>
    </w:p>
    <w:p>
      <w:pPr>
        <w:keepNext w:val="0"/>
        <w:keepLines w:val="0"/>
        <w:pageBreakBefore w:val="0"/>
        <w:widowControl w:val="0"/>
        <w:shd w:val="clear" w:color="auto" w:fill="auto"/>
        <w:tabs>
          <w:tab w:val="left" w:pos="1448"/>
          <w:tab w:val="left" w:pos="3629"/>
          <w:tab w:val="left" w:pos="614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天的，甲方有权拒收并解除本合同，且乙方应向甲方支付合同总价款</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ab/>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p>
    <w:p>
      <w:pPr>
        <w:keepNext w:val="0"/>
        <w:keepLines w:val="0"/>
        <w:pageBreakBefore w:val="0"/>
        <w:widowControl w:val="0"/>
        <w:shd w:val="clear" w:color="auto" w:fill="auto"/>
        <w:tabs>
          <w:tab w:val="left" w:pos="144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7" w:name="bookmark6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7"/>
      <w:r>
        <w:rPr>
          <w:rFonts w:hint="eastAsia" w:ascii="楷体" w:hAnsi="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）如乙方所交的产品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经甲方验收不符合合同约定或规定标准的，甲方有权拒收，乙方应当在甲方指定期限内更换，由此导致乙方逾期交货的，乙方还应承担逾期交货的违约责任。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8" w:name="bookmark6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8"/>
      <w:r>
        <w:rPr>
          <w:rFonts w:hint="eastAsia" w:ascii="楷体" w:hAnsi="楷体" w:cs="楷体"/>
          <w:color w:val="auto"/>
          <w:spacing w:val="0"/>
          <w:w w:val="100"/>
          <w:position w:val="0"/>
          <w:sz w:val="24"/>
          <w:szCs w:val="24"/>
          <w:highlight w:val="none"/>
          <w:u w:val="none"/>
          <w:shd w:val="clear" w:color="auto" w:fill="auto"/>
          <w:lang w:val="en-US" w:eastAsia="zh-CN" w:bidi="zh-TW"/>
        </w:rPr>
        <w:t>五</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）本合同中各条款约定的违约金可自甲方未支付款项中直接扣除，违约金若不能弥补甲方损失的，乙方还应赔偿甲方损失。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十二、</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争议解决</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9" w:name="bookmark6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一）本合同在履行过程中发生的争议，由甲、乙双方当事人协商解决，协商不成的按下列第</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2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种方式解决：</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0" w:name="bookmark6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8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、提交西安仲裁委员会仲裁；</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1" w:name="bookmark67"/>
      <w:bookmarkEnd w:id="81"/>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法向甲方所在地人民法院起诉。</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2" w:name="bookmark6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二）本条款为独立条款，本合同的无效、变更、解除和终止均不影响本条款的效力。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三</w:t>
      </w:r>
      <w:r>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合同纠纷处理</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因本合同或与本合同有关的一切事项发生争议，由双方友好协商解决。协商不成的，向</w:t>
      </w:r>
      <w:r>
        <w:rPr>
          <w:rFonts w:hint="eastAsia" w:ascii="楷体" w:hAnsi="楷体" w:cs="楷体"/>
          <w:color w:val="auto"/>
          <w:spacing w:val="0"/>
          <w:w w:val="100"/>
          <w:position w:val="0"/>
          <w:sz w:val="24"/>
          <w:szCs w:val="24"/>
          <w:highlight w:val="none"/>
          <w:u w:val="none"/>
          <w:shd w:val="clear" w:color="auto" w:fill="auto"/>
          <w:lang w:val="en-US" w:eastAsia="zh-CN" w:bidi="zh-TW"/>
        </w:rPr>
        <w:t>甲方所在地</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人民法院提起诉讼。</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十四、</w:t>
      </w:r>
      <w:r>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t>违约解除合同</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在乙方违约的情况下，甲方可向乙方发出书面通知，部分或全部终止合同，同时保留向对方追诉的权利。</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乙方未能在合同规定的限期或甲方同意延长的限期内提供全部或部分货物，</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可以解除合同的。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乙方有转让和未经甲方同意的分包行为，可以解除合同的。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乙方未能履行合同规定的其它主要义务的。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在本合同履行过程中有腐败和欺诈行为的。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十五、索赔</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 如果货物的质量、规格、数量、重量等与合同不符，或在质保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在根据合同规定的检验期和质保期内，如果乙方对甲方提出的索赔负有责任，乙方应按照甲方同意的下列一种或多种方式解决索赔事宜：</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根据货物低劣程度、损坏程度以及甲方所遭受损失的数额，经双方商定降低货物的价格，或由有权的部门评估，以降低后的价格或评估价格为准。</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用符合规格、质量和性能要求的新零件、部件或货物来更换有缺陷的部分或修补缺陷部分，乙方承担一切费用和风险并负担甲方所发生的一切直接费用。同时，乙方应相应延长修补或更换件的免费质保期。</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如果在甲方发出索赔通知后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日内，乙方未作答复，上述索赔应视为已被乙方接受。如乙方未能在甲方提出索赔通知后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日内或买方同意的更长时间内，按照本合同规定的任何一种方法解决索赔事宜，甲方将从合同款中扣回索赔金额。如果这些金额不足以补偿索赔金额，甲方有权向乙方提出不足部分的补偿。</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关于送达</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的约定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本合同项下甲乙双方任何一方向对方发出的通知、信件、数据电文等，应当发送至本合同下列约定的地址、联系人和通信终端。</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default"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甲方联系人：</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邮编</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sym w:font="Wingdings 2" w:char="00A3"/>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sym w:font="Wingdings 2" w:char="00A3"/>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移动电话：</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微信号：</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电子邮箱：</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乙方联系人：</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乙方（□同意□不同意）接受电子文件送达，电子终端信息如下：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移动电话：</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微信号：</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电子邮箱：</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（二）各种通讯方式应当按照下列方式确定其送达时间：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3" w:name="bookmark6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8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、面呈之通知在被通知人签收时视为送达，被通知人未签收的不得视为有效的送达。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4" w:name="bookmark7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8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、以邮寄方式进行的通知均应采用邮政挂号快件或特快专递的方式进行，自信件交邮后的第7日视为送达。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5" w:name="bookmark7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8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、发出的短信/传真/微信/电子邮件，自前述电子文件内容在发送方正确填写地址且未被系统退回的情况下，视为进入对方数据电文接收系统即视为送达。若送达日为非工作日，则视为在下一工作日送达。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6" w:name="bookmark7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4</w:t>
      </w:r>
      <w:bookmarkEnd w:id="8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、一方当事人变更名称、地址、联系人或通信终端的，应当在变更后3日内及时书面通知对方当事人，对方当事人实际收到变更通知前的送达仍为有效送达，电子送达与书面送达具有同等法律效力。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生效</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份，甲方持</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份，乙方持</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份，本合同甲、乙各方签字并盖章后生效，合同执行完毕后，自动失效（合同的服务承诺则长期有效）。</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十九、</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其他事项</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7" w:name="bookmark7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一）鉴证方作为</w:t>
      </w:r>
      <w:r>
        <w:rPr>
          <w:rFonts w:hint="eastAsia" w:ascii="楷体" w:hAnsi="楷体" w:cs="楷体"/>
          <w:color w:val="auto"/>
          <w:spacing w:val="0"/>
          <w:w w:val="100"/>
          <w:position w:val="0"/>
          <w:sz w:val="24"/>
          <w:szCs w:val="24"/>
          <w:highlight w:val="none"/>
          <w:u w:val="none"/>
          <w:shd w:val="clear" w:color="auto" w:fill="auto"/>
          <w:lang w:val="en-US" w:eastAsia="zh-CN" w:bidi="zh-TW"/>
        </w:rPr>
        <w:t>社会</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采购代理机构对合同进行确认。</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8" w:name="bookmark7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二）西安市碑林区财政局在合同的履行期间以及履行期后，可以随时检查项目的执行情况，对采购标准、</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购内容进行调查核实，并对发现的问题进行处理。</w:t>
      </w:r>
      <w:bookmarkStart w:id="89" w:name="bookmark75"/>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三）竞争性谈判文件、响应文件、澄清表（函）、成交通知书、合同附件均成为合同不可分割的部分。</w:t>
      </w:r>
    </w:p>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360" w:lineRule="auto"/>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90" w:name="bookmark7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9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四）不可抗力事件处理</w:t>
      </w:r>
    </w:p>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360" w:lineRule="auto"/>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甲乙双方因不可抗力导致本合同全部或部分不能履行时，发生不可抗力的一方应当在不可抗力发生后</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天内书面通知对方，以减轻可能给对方造成的损失。因不可抗力导致本合同全部或部分不能履行时，双方各自承担其因此而造成的损失、损害。</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360" w:lineRule="auto"/>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91" w:name="bookmark7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9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五）合同未尽事宜，由甲、乙双方协商并经鉴证方确认后签订政府采购补充合同，与原合同具有同等法律效力。</w:t>
      </w:r>
    </w:p>
    <w:p>
      <w:pPr>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br w:type="page"/>
      </w:r>
    </w:p>
    <w:p>
      <w:pPr>
        <w:pStyle w:val="41"/>
        <w:rPr>
          <w:rFonts w:hint="eastAsia" w:eastAsia="楷体"/>
          <w:sz w:val="24"/>
          <w:szCs w:val="24"/>
          <w:lang w:val="zh-TW" w:eastAsia="zh-CN"/>
        </w:rPr>
      </w:pPr>
      <w:r>
        <w:rPr>
          <w:rFonts w:hint="eastAsia"/>
          <w:sz w:val="24"/>
          <w:szCs w:val="24"/>
          <w:lang w:val="zh-TW" w:eastAsia="zh-CN"/>
        </w:rPr>
        <w:t>（</w:t>
      </w:r>
      <w:r>
        <w:rPr>
          <w:rFonts w:hint="eastAsia"/>
          <w:sz w:val="24"/>
          <w:szCs w:val="24"/>
          <w:lang w:val="en-US" w:eastAsia="zh-CN"/>
        </w:rPr>
        <w:t>本页无正文</w:t>
      </w:r>
      <w:r>
        <w:rPr>
          <w:rFonts w:hint="eastAsia"/>
          <w:sz w:val="24"/>
          <w:szCs w:val="24"/>
          <w:lang w:val="zh-TW" w:eastAsia="zh-CN"/>
        </w:rPr>
        <w:t>）</w:t>
      </w:r>
    </w:p>
    <w:tbl>
      <w:tblPr>
        <w:tblStyle w:val="43"/>
        <w:tblW w:w="8379" w:type="dxa"/>
        <w:jc w:val="center"/>
        <w:tblLayout w:type="fixed"/>
        <w:tblCellMar>
          <w:top w:w="0" w:type="dxa"/>
          <w:left w:w="10" w:type="dxa"/>
          <w:bottom w:w="0" w:type="dxa"/>
          <w:right w:w="10" w:type="dxa"/>
        </w:tblCellMar>
      </w:tblPr>
      <w:tblGrid>
        <w:gridCol w:w="2688"/>
        <w:gridCol w:w="2700"/>
        <w:gridCol w:w="2991"/>
      </w:tblGrid>
      <w:tr>
        <w:tblPrEx>
          <w:tblCellMar>
            <w:top w:w="0" w:type="dxa"/>
            <w:left w:w="10" w:type="dxa"/>
            <w:bottom w:w="0" w:type="dxa"/>
            <w:right w:w="10" w:type="dxa"/>
          </w:tblCellMar>
        </w:tblPrEx>
        <w:trPr>
          <w:trHeight w:val="535"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960" w:firstLineChars="4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p>
        </w:tc>
        <w:tc>
          <w:tcPr>
            <w:tcW w:w="299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1200" w:firstLineChars="5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w:t>
            </w:r>
          </w:p>
        </w:tc>
      </w:tr>
      <w:tr>
        <w:tblPrEx>
          <w:tblCellMar>
            <w:top w:w="0" w:type="dxa"/>
            <w:left w:w="10" w:type="dxa"/>
            <w:bottom w:w="0" w:type="dxa"/>
            <w:right w:w="10" w:type="dxa"/>
          </w:tblCellMar>
        </w:tblPrEx>
        <w:trPr>
          <w:trHeight w:val="554"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采购人名称</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供应商全称</w:t>
            </w:r>
          </w:p>
        </w:tc>
        <w:tc>
          <w:tcPr>
            <w:tcW w:w="2991" w:type="dxa"/>
            <w:tcBorders>
              <w:top w:val="single" w:color="auto" w:sz="4" w:space="0"/>
              <w:left w:val="single" w:color="auto" w:sz="4" w:space="0"/>
              <w:bottom w:val="nil"/>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720" w:firstLineChars="3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采购代理机构</w:t>
            </w:r>
          </w:p>
        </w:tc>
      </w:tr>
      <w:tr>
        <w:tblPrEx>
          <w:tblCellMar>
            <w:top w:w="0" w:type="dxa"/>
            <w:left w:w="10" w:type="dxa"/>
            <w:bottom w:w="0" w:type="dxa"/>
            <w:right w:w="10" w:type="dxa"/>
          </w:tblCellMar>
        </w:tblPrEx>
        <w:trPr>
          <w:trHeight w:val="859" w:hRule="exact"/>
          <w:jc w:val="center"/>
        </w:trPr>
        <w:tc>
          <w:tcPr>
            <w:tcW w:w="2688"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991" w:type="dxa"/>
            <w:tcBorders>
              <w:top w:val="nil"/>
              <w:left w:val="single" w:color="auto" w:sz="4" w:space="0"/>
              <w:bottom w:val="nil"/>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陕西四方衡裕项目管理有限公司</w:t>
            </w:r>
          </w:p>
        </w:tc>
      </w:tr>
      <w:tr>
        <w:tblPrEx>
          <w:tblCellMar>
            <w:top w:w="0" w:type="dxa"/>
            <w:left w:w="10" w:type="dxa"/>
            <w:bottom w:w="0" w:type="dxa"/>
            <w:right w:w="10" w:type="dxa"/>
          </w:tblCellMar>
        </w:tblPrEx>
        <w:trPr>
          <w:trHeight w:val="432" w:hRule="exact"/>
          <w:jc w:val="center"/>
        </w:trPr>
        <w:tc>
          <w:tcPr>
            <w:tcW w:w="2688"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（盖章）</w:t>
            </w:r>
          </w:p>
        </w:tc>
        <w:tc>
          <w:tcPr>
            <w:tcW w:w="2700"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（盖章）</w:t>
            </w:r>
          </w:p>
        </w:tc>
        <w:tc>
          <w:tcPr>
            <w:tcW w:w="2991" w:type="dxa"/>
            <w:tcBorders>
              <w:top w:val="nil"/>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（盖章）</w:t>
            </w:r>
          </w:p>
        </w:tc>
      </w:tr>
      <w:tr>
        <w:tblPrEx>
          <w:tblCellMar>
            <w:top w:w="0" w:type="dxa"/>
            <w:left w:w="10" w:type="dxa"/>
            <w:bottom w:w="0" w:type="dxa"/>
            <w:right w:w="10" w:type="dxa"/>
          </w:tblCellMar>
        </w:tblPrEx>
        <w:trPr>
          <w:trHeight w:val="930" w:hRule="exact"/>
          <w:jc w:val="center"/>
        </w:trPr>
        <w:tc>
          <w:tcPr>
            <w:tcW w:w="2688"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地址：</w:t>
            </w:r>
          </w:p>
        </w:tc>
        <w:tc>
          <w:tcPr>
            <w:tcW w:w="2700"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地址：</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地址：</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p>
        </w:tc>
        <w:tc>
          <w:tcPr>
            <w:tcW w:w="299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法定代表人：</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法定代表人：</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负责人：</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991" w:type="dxa"/>
            <w:tcBorders>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（签字）</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30"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被授权代表：（签字）</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被授权代表：（签字）</w:t>
            </w:r>
          </w:p>
        </w:tc>
        <w:tc>
          <w:tcPr>
            <w:tcW w:w="299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审核人（签字）:</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电话：</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电话：</w:t>
            </w:r>
          </w:p>
        </w:tc>
        <w:tc>
          <w:tcPr>
            <w:tcW w:w="299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承办人（签字）:</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开户银行：</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帐号：</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r>
      <w:tr>
        <w:tblPrEx>
          <w:tblCellMar>
            <w:top w:w="0" w:type="dxa"/>
            <w:left w:w="10" w:type="dxa"/>
            <w:bottom w:w="0" w:type="dxa"/>
            <w:right w:w="10" w:type="dxa"/>
          </w:tblCellMar>
        </w:tblPrEx>
        <w:trPr>
          <w:trHeight w:val="776" w:hRule="exact"/>
          <w:jc w:val="center"/>
        </w:trPr>
        <w:tc>
          <w:tcPr>
            <w:tcW w:w="26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日期：  年  月   日</w:t>
            </w:r>
          </w:p>
        </w:tc>
        <w:tc>
          <w:tcPr>
            <w:tcW w:w="270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日期：  年  月  日</w:t>
            </w:r>
          </w:p>
        </w:tc>
        <w:tc>
          <w:tcPr>
            <w:tcW w:w="29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日期：    年   月   日</w:t>
            </w:r>
          </w:p>
        </w:tc>
      </w:tr>
    </w:tbl>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highlight w:val="none"/>
          <w:shd w:val="clear" w:color="auto" w:fill="auto"/>
          <w:lang w:eastAsia="en-US" w:bidi="en-US"/>
        </w:rPr>
      </w:pPr>
      <w:r>
        <w:rPr>
          <w:rFonts w:hint="eastAsia" w:ascii="楷体" w:hAnsi="楷体" w:eastAsia="楷体" w:cs="楷体"/>
          <w:color w:val="auto"/>
          <w:spacing w:val="0"/>
          <w:w w:val="100"/>
          <w:kern w:val="0"/>
          <w:position w:val="0"/>
          <w:highlight w:val="none"/>
          <w:shd w:val="clear" w:color="auto" w:fill="auto"/>
          <w:lang w:eastAsia="en-US" w:bidi="en-US"/>
        </w:rPr>
        <w:br w:type="page"/>
      </w:r>
    </w:p>
    <w:p>
      <w:pPr>
        <w:keepNext w:val="0"/>
        <w:keepLines w:val="0"/>
        <w:widowControl w:val="0"/>
        <w:shd w:val="clear" w:color="auto" w:fill="auto"/>
        <w:bidi w:val="0"/>
        <w:spacing w:before="0" w:after="0" w:line="403" w:lineRule="exact"/>
        <w:ind w:left="180" w:right="0" w:firstLine="700"/>
        <w:jc w:val="both"/>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pStyle w:val="3"/>
        <w:rPr>
          <w:rFonts w:ascii="楷体" w:hAnsi="楷体" w:cs="楷体"/>
        </w:rPr>
      </w:pPr>
      <w:bookmarkStart w:id="92" w:name="_Toc12330_WPSOffice_Level1"/>
      <w:bookmarkStart w:id="93" w:name="_Toc24680"/>
      <w:r>
        <w:rPr>
          <w:rFonts w:hint="eastAsia" w:ascii="楷体" w:hAnsi="楷体" w:cs="楷体"/>
        </w:rPr>
        <w:t>响应文件格式</w:t>
      </w:r>
      <w:bookmarkEnd w:id="92"/>
      <w:bookmarkEnd w:id="93"/>
    </w:p>
    <w:p>
      <w:pPr>
        <w:widowControl/>
        <w:ind w:firstLine="562"/>
        <w:rPr>
          <w:rFonts w:ascii="楷体" w:hAnsi="楷体" w:cs="楷体"/>
          <w:b/>
          <w:bCs/>
          <w:kern w:val="0"/>
          <w:sz w:val="28"/>
          <w:szCs w:val="28"/>
          <w:lang w:val="zh-CN"/>
        </w:rPr>
        <w:sectPr>
          <w:headerReference r:id="rId12" w:type="default"/>
          <w:footerReference r:id="rId13" w:type="default"/>
          <w:pgSz w:w="11906" w:h="16838"/>
          <w:pgMar w:top="1418" w:right="1128" w:bottom="1418" w:left="1178" w:header="851" w:footer="992" w:gutter="0"/>
          <w:cols w:space="720" w:num="1"/>
          <w:docGrid w:linePitch="312" w:charSpace="0"/>
        </w:sectPr>
      </w:pPr>
    </w:p>
    <w:p>
      <w:pPr>
        <w:widowControl/>
        <w:ind w:firstLine="562"/>
        <w:outlineLvl w:val="0"/>
        <w:rPr>
          <w:rFonts w:ascii="楷体" w:hAnsi="楷体" w:cs="楷体"/>
          <w:b/>
          <w:bCs/>
          <w:kern w:val="0"/>
          <w:sz w:val="28"/>
          <w:szCs w:val="28"/>
          <w:lang w:val="zh-CN"/>
        </w:rPr>
      </w:pPr>
      <w:bookmarkStart w:id="94" w:name="_Toc6176"/>
      <w:bookmarkStart w:id="95" w:name="_Toc6858_WPSOffice_Level1"/>
      <w:bookmarkStart w:id="96" w:name="_Toc25204"/>
      <w:bookmarkStart w:id="97" w:name="_Toc21872_WPSOffice_Level1"/>
      <w:bookmarkStart w:id="98" w:name="_Toc16405_WPSOffice_Level1"/>
      <w:bookmarkStart w:id="99" w:name="_Toc19016_WPSOffice_Level1"/>
      <w:bookmarkStart w:id="100" w:name="_Toc21095_WPSOffice_Level1"/>
      <w:bookmarkStart w:id="101" w:name="_Toc1349"/>
      <w:bookmarkStart w:id="102" w:name="_Toc15681_WPSOffice_Level1"/>
      <w:bookmarkStart w:id="103" w:name="_Toc25505"/>
      <w:bookmarkStart w:id="104" w:name="_Toc25741"/>
      <w:r>
        <w:rPr>
          <w:rFonts w:hint="eastAsia" w:ascii="楷体" w:hAnsi="楷体" w:cs="楷体"/>
          <w:b/>
          <w:bCs/>
          <w:kern w:val="0"/>
          <w:sz w:val="28"/>
          <w:szCs w:val="28"/>
          <w:lang w:val="zh-CN"/>
        </w:rPr>
        <w:t>正本/副本</w:t>
      </w:r>
      <w:bookmarkEnd w:id="94"/>
      <w:bookmarkEnd w:id="95"/>
      <w:bookmarkEnd w:id="96"/>
      <w:bookmarkEnd w:id="97"/>
      <w:bookmarkEnd w:id="98"/>
      <w:bookmarkEnd w:id="99"/>
      <w:bookmarkEnd w:id="100"/>
      <w:bookmarkEnd w:id="101"/>
      <w:bookmarkEnd w:id="102"/>
      <w:bookmarkEnd w:id="103"/>
      <w:bookmarkEnd w:id="104"/>
    </w:p>
    <w:p>
      <w:pPr>
        <w:widowControl/>
        <w:ind w:firstLine="562"/>
        <w:jc w:val="right"/>
        <w:outlineLvl w:val="0"/>
        <w:rPr>
          <w:rFonts w:ascii="楷体" w:hAnsi="楷体" w:cs="楷体"/>
          <w:b/>
          <w:bCs/>
          <w:kern w:val="0"/>
          <w:sz w:val="28"/>
          <w:szCs w:val="28"/>
          <w:lang w:val="zh-CN"/>
        </w:rPr>
      </w:pPr>
      <w:bookmarkStart w:id="105" w:name="_Toc22602"/>
      <w:bookmarkStart w:id="106" w:name="_Toc18828_WPSOffice_Level1"/>
      <w:bookmarkStart w:id="107" w:name="_Toc2274"/>
      <w:bookmarkStart w:id="108" w:name="_Toc28574"/>
      <w:bookmarkStart w:id="109" w:name="_Toc13152_WPSOffice_Level1"/>
      <w:bookmarkStart w:id="110" w:name="_Toc8685_WPSOffice_Level1"/>
      <w:bookmarkStart w:id="111" w:name="_Toc7837"/>
      <w:bookmarkStart w:id="112" w:name="_Toc10332"/>
      <w:bookmarkStart w:id="113" w:name="_Toc21720_WPSOffice_Level1"/>
      <w:bookmarkStart w:id="114" w:name="_Toc1686_WPSOffice_Level1"/>
      <w:bookmarkStart w:id="115" w:name="_Toc25400_WPSOffice_Level1"/>
      <w:r>
        <w:rPr>
          <w:rFonts w:hint="eastAsia" w:ascii="楷体" w:hAnsi="楷体" w:cs="楷体"/>
          <w:b/>
          <w:bCs/>
          <w:kern w:val="0"/>
          <w:sz w:val="28"/>
          <w:szCs w:val="28"/>
          <w:lang w:val="zh-CN"/>
        </w:rPr>
        <w:t>政府采购项目</w:t>
      </w:r>
      <w:bookmarkEnd w:id="105"/>
      <w:bookmarkEnd w:id="106"/>
      <w:bookmarkEnd w:id="107"/>
      <w:bookmarkEnd w:id="108"/>
      <w:bookmarkEnd w:id="109"/>
      <w:bookmarkEnd w:id="110"/>
      <w:bookmarkEnd w:id="111"/>
      <w:bookmarkEnd w:id="112"/>
      <w:bookmarkEnd w:id="113"/>
      <w:bookmarkEnd w:id="114"/>
      <w:bookmarkEnd w:id="115"/>
    </w:p>
    <w:p>
      <w:pPr>
        <w:pStyle w:val="2"/>
        <w:ind w:left="0" w:leftChars="0" w:firstLine="0" w:firstLineChars="0"/>
        <w:jc w:val="both"/>
        <w:rPr>
          <w:rFonts w:hint="eastAsia" w:ascii="楷体" w:hAnsi="楷体" w:cs="楷体"/>
          <w:b/>
          <w:bCs/>
          <w:kern w:val="0"/>
          <w:sz w:val="48"/>
          <w:szCs w:val="48"/>
          <w:lang w:val="en-US" w:eastAsia="zh-CN"/>
        </w:rPr>
      </w:pPr>
      <w:bookmarkStart w:id="116" w:name="_Toc27024_WPSOffice_Level2"/>
      <w:bookmarkStart w:id="117" w:name="_Toc29276_WPSOffice_Level2"/>
    </w:p>
    <w:p>
      <w:pPr>
        <w:pStyle w:val="2"/>
        <w:ind w:left="0" w:leftChars="0" w:firstLine="0" w:firstLineChars="0"/>
        <w:jc w:val="center"/>
        <w:rPr>
          <w:rFonts w:hint="eastAsia" w:ascii="楷体" w:hAnsi="楷体" w:cs="楷体"/>
          <w:b/>
          <w:bCs/>
          <w:kern w:val="0"/>
          <w:sz w:val="48"/>
          <w:szCs w:val="48"/>
          <w:lang w:val="en-US" w:eastAsia="zh-CN"/>
        </w:rPr>
      </w:pPr>
      <w:r>
        <w:rPr>
          <w:rFonts w:hint="eastAsia" w:ascii="楷体" w:hAnsi="楷体" w:cs="楷体"/>
          <w:b/>
          <w:bCs/>
          <w:kern w:val="0"/>
          <w:sz w:val="48"/>
          <w:szCs w:val="48"/>
          <w:lang w:val="en-US" w:eastAsia="zh-CN"/>
        </w:rPr>
        <w:t>西安市碑林区朱雀大街小学</w:t>
      </w:r>
    </w:p>
    <w:p>
      <w:pPr>
        <w:pStyle w:val="2"/>
        <w:ind w:left="0" w:leftChars="0" w:firstLine="0" w:firstLineChars="0"/>
        <w:jc w:val="center"/>
        <w:rPr>
          <w:rFonts w:hint="eastAsia" w:ascii="楷体" w:hAnsi="楷体" w:cs="楷体"/>
          <w:b/>
          <w:bCs/>
          <w:kern w:val="0"/>
          <w:sz w:val="48"/>
          <w:szCs w:val="48"/>
          <w:lang w:val="en-US" w:eastAsia="zh-CN"/>
        </w:rPr>
      </w:pPr>
      <w:r>
        <w:rPr>
          <w:rFonts w:hint="eastAsia" w:ascii="楷体" w:hAnsi="楷体" w:cs="楷体"/>
          <w:b/>
          <w:bCs/>
          <w:kern w:val="0"/>
          <w:sz w:val="48"/>
          <w:szCs w:val="48"/>
          <w:lang w:val="en-US" w:eastAsia="zh-CN"/>
        </w:rPr>
        <w:t>智慧音频监控项目</w:t>
      </w:r>
    </w:p>
    <w:p>
      <w:pPr>
        <w:pStyle w:val="2"/>
        <w:ind w:left="0" w:leftChars="0" w:firstLine="0" w:firstLineChars="0"/>
        <w:jc w:val="both"/>
        <w:rPr>
          <w:rFonts w:hint="eastAsia" w:ascii="楷体" w:hAnsi="楷体" w:eastAsia="楷体" w:cs="楷体"/>
          <w:b/>
          <w:bCs/>
          <w:kern w:val="0"/>
          <w:sz w:val="44"/>
          <w:szCs w:val="44"/>
          <w:lang w:eastAsia="zh-CN"/>
        </w:rPr>
      </w:pPr>
    </w:p>
    <w:p>
      <w:pPr>
        <w:ind w:firstLine="480"/>
      </w:pPr>
    </w:p>
    <w:p>
      <w:pPr>
        <w:pStyle w:val="41"/>
      </w:pPr>
    </w:p>
    <w:p>
      <w:pPr>
        <w:pStyle w:val="41"/>
      </w:pPr>
    </w:p>
    <w:p>
      <w:pPr>
        <w:pStyle w:val="41"/>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竞争性谈判响应</w:t>
      </w:r>
      <w:r>
        <w:rPr>
          <w:rFonts w:hint="eastAsia" w:ascii="楷体" w:hAnsi="楷体" w:cs="楷体"/>
          <w:b/>
          <w:bCs/>
          <w:kern w:val="0"/>
          <w:sz w:val="52"/>
          <w:szCs w:val="52"/>
          <w:lang w:val="zh-CN"/>
        </w:rPr>
        <w:t>文件</w:t>
      </w:r>
      <w:bookmarkEnd w:id="116"/>
      <w:bookmarkEnd w:id="117"/>
    </w:p>
    <w:p>
      <w:pPr>
        <w:widowControl/>
        <w:ind w:firstLine="562"/>
        <w:jc w:val="center"/>
        <w:rPr>
          <w:rFonts w:ascii="楷体" w:hAnsi="楷体" w:cs="楷体"/>
          <w:b/>
          <w:bCs/>
          <w:kern w:val="0"/>
          <w:sz w:val="28"/>
          <w:szCs w:val="28"/>
        </w:rPr>
      </w:pPr>
    </w:p>
    <w:p>
      <w:pPr>
        <w:widowControl/>
        <w:ind w:left="0" w:leftChars="0" w:firstLine="0" w:firstLineChars="0"/>
        <w:jc w:val="center"/>
        <w:rPr>
          <w:rFonts w:ascii="楷体" w:hAnsi="楷体" w:cs="楷体"/>
          <w:b/>
          <w:bCs/>
          <w:kern w:val="0"/>
          <w:sz w:val="28"/>
          <w:szCs w:val="28"/>
          <w:lang w:val="zh-CN"/>
        </w:rPr>
      </w:pPr>
      <w:r>
        <w:rPr>
          <w:rFonts w:hint="eastAsia" w:ascii="楷体" w:hAnsi="楷体" w:cs="楷体"/>
          <w:b/>
          <w:bCs/>
          <w:kern w:val="0"/>
          <w:sz w:val="28"/>
          <w:szCs w:val="28"/>
          <w:lang w:val="zh-CN"/>
        </w:rPr>
        <w:t>采购项目编号：HYTH-202306051</w:t>
      </w:r>
    </w:p>
    <w:p>
      <w:pPr>
        <w:widowControl/>
        <w:ind w:firstLine="482"/>
        <w:rPr>
          <w:rFonts w:ascii="楷体" w:hAnsi="楷体" w:cs="楷体"/>
          <w:b/>
          <w:bCs/>
          <w:kern w:val="0"/>
        </w:rPr>
      </w:pPr>
    </w:p>
    <w:p>
      <w:pPr>
        <w:widowControl/>
        <w:ind w:firstLine="482"/>
        <w:rPr>
          <w:rFonts w:ascii="楷体" w:hAnsi="楷体" w:cs="楷体"/>
          <w:b/>
          <w:bCs/>
          <w:kern w:val="0"/>
        </w:rPr>
      </w:pPr>
    </w:p>
    <w:p>
      <w:pPr>
        <w:pStyle w:val="2"/>
      </w:pPr>
    </w:p>
    <w:p>
      <w:pPr>
        <w:pStyle w:val="42"/>
        <w:ind w:left="0" w:leftChars="0" w:firstLine="0" w:firstLineChars="0"/>
        <w:rPr>
          <w:rFonts w:ascii="楷体" w:hAnsi="楷体" w:cs="楷体"/>
          <w:b/>
          <w:bCs/>
          <w:kern w:val="0"/>
        </w:rPr>
      </w:pPr>
    </w:p>
    <w:p>
      <w:pPr>
        <w:widowControl/>
        <w:ind w:firstLine="482"/>
        <w:rPr>
          <w:rFonts w:ascii="楷体" w:hAnsi="楷体" w:cs="楷体"/>
          <w:b/>
          <w:bCs/>
          <w:kern w:val="0"/>
        </w:rPr>
      </w:pPr>
      <w:r>
        <w:rPr>
          <w:rFonts w:hint="eastAsia" w:ascii="楷体" w:hAnsi="楷体" w:cs="楷体"/>
          <w:b/>
          <w:bCs/>
          <w:kern w:val="0"/>
        </w:rPr>
        <w:t xml:space="preserve">              </w:t>
      </w:r>
    </w:p>
    <w:p>
      <w:pPr>
        <w:widowControl/>
        <w:ind w:firstLine="2530" w:firstLineChars="900"/>
        <w:outlineLvl w:val="0"/>
        <w:rPr>
          <w:rFonts w:ascii="楷体" w:hAnsi="楷体" w:cs="楷体"/>
          <w:b/>
          <w:bCs/>
          <w:kern w:val="0"/>
          <w:sz w:val="28"/>
          <w:szCs w:val="28"/>
        </w:rPr>
      </w:pPr>
      <w:bookmarkStart w:id="118" w:name="_Toc32411_WPSOffice_Level1"/>
      <w:bookmarkStart w:id="119" w:name="_Toc31078_WPSOffice_Level1"/>
      <w:bookmarkStart w:id="120" w:name="_Toc9130"/>
      <w:bookmarkStart w:id="121" w:name="_Toc11535_WPSOffice_Level1"/>
      <w:bookmarkStart w:id="122" w:name="_Toc23023_WPSOffice_Level1"/>
      <w:bookmarkStart w:id="123" w:name="_Toc7607_WPSOffice_Level1"/>
      <w:bookmarkStart w:id="124" w:name="_Toc24244_WPSOffice_Level1"/>
      <w:bookmarkStart w:id="125" w:name="_Toc10902"/>
      <w:bookmarkStart w:id="126" w:name="_Toc16008"/>
      <w:bookmarkStart w:id="127" w:name="_Toc30829"/>
      <w:bookmarkStart w:id="128" w:name="_Toc23895"/>
      <w:r>
        <w:rPr>
          <w:rFonts w:hint="eastAsia" w:ascii="楷体" w:hAnsi="楷体" w:cs="楷体"/>
          <w:b/>
          <w:bCs/>
          <w:kern w:val="0"/>
          <w:sz w:val="28"/>
          <w:szCs w:val="28"/>
        </w:rPr>
        <w:t xml:space="preserve">供 应 商 </w:t>
      </w:r>
      <w:r>
        <w:rPr>
          <w:rFonts w:hint="eastAsia" w:ascii="楷体" w:hAnsi="楷体" w:cs="楷体"/>
          <w:b/>
          <w:bCs/>
          <w:kern w:val="0"/>
          <w:sz w:val="28"/>
          <w:szCs w:val="28"/>
          <w:lang w:val="zh-CN"/>
        </w:rPr>
        <w:t>：</w:t>
      </w:r>
      <w:bookmarkEnd w:id="118"/>
      <w:bookmarkEnd w:id="119"/>
      <w:bookmarkEnd w:id="120"/>
      <w:bookmarkEnd w:id="121"/>
      <w:bookmarkEnd w:id="122"/>
      <w:bookmarkEnd w:id="123"/>
      <w:bookmarkEnd w:id="124"/>
      <w:bookmarkEnd w:id="125"/>
      <w:r>
        <w:rPr>
          <w:rFonts w:hint="eastAsia" w:ascii="楷体" w:hAnsi="楷体" w:cs="楷体"/>
          <w:b/>
          <w:bCs/>
          <w:kern w:val="0"/>
          <w:sz w:val="28"/>
          <w:szCs w:val="28"/>
          <w:u w:val="single"/>
        </w:rPr>
        <w:t xml:space="preserve">      (公章）</w:t>
      </w:r>
      <w:bookmarkEnd w:id="126"/>
      <w:bookmarkEnd w:id="127"/>
      <w:bookmarkEnd w:id="128"/>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129" w:name="_Toc11689_WPSOffice_Level1"/>
      <w:bookmarkStart w:id="130" w:name="_Toc1030_WPSOffice_Level1"/>
      <w:bookmarkStart w:id="131" w:name="_Toc5864_WPSOffice_Level1"/>
    </w:p>
    <w:p>
      <w:pPr>
        <w:widowControl/>
        <w:ind w:firstLine="2530" w:firstLineChars="900"/>
        <w:outlineLvl w:val="0"/>
        <w:rPr>
          <w:rFonts w:ascii="楷体" w:hAnsi="楷体" w:cs="楷体"/>
          <w:b/>
          <w:bCs/>
          <w:kern w:val="0"/>
          <w:lang w:val="zh-CN"/>
        </w:rPr>
      </w:pPr>
      <w:bookmarkStart w:id="132" w:name="_Toc23670"/>
      <w:bookmarkStart w:id="133" w:name="_Toc2538"/>
      <w:bookmarkStart w:id="134" w:name="_Toc19130_WPSOffice_Level1"/>
      <w:bookmarkStart w:id="135" w:name="_Toc16770"/>
      <w:bookmarkStart w:id="136" w:name="_Toc28776_WPSOffice_Level1"/>
      <w:bookmarkStart w:id="137" w:name="_Toc23182"/>
      <w:bookmarkStart w:id="138" w:name="_Toc23123_WPSOffice_Level1"/>
      <w:bookmarkStart w:id="139" w:name="_Toc27578"/>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129"/>
      <w:bookmarkEnd w:id="130"/>
      <w:bookmarkEnd w:id="131"/>
      <w:bookmarkEnd w:id="132"/>
      <w:bookmarkEnd w:id="133"/>
      <w:bookmarkEnd w:id="134"/>
      <w:bookmarkEnd w:id="135"/>
      <w:bookmarkEnd w:id="136"/>
      <w:bookmarkEnd w:id="137"/>
      <w:bookmarkEnd w:id="138"/>
      <w:bookmarkEnd w:id="139"/>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bookmarkStart w:id="140" w:name="_Toc533610811"/>
    </w:p>
    <w:bookmarkEnd w:id="140"/>
    <w:p>
      <w:pPr>
        <w:pStyle w:val="4"/>
        <w:numPr>
          <w:ilvl w:val="1"/>
          <w:numId w:val="0"/>
        </w:numPr>
        <w:jc w:val="center"/>
        <w:rPr>
          <w:rFonts w:hint="eastAsia"/>
          <w:lang w:val="zh-CN"/>
        </w:rPr>
      </w:pPr>
      <w:bookmarkStart w:id="141" w:name="_Toc26798"/>
      <w:bookmarkStart w:id="142" w:name="_Toc16275_WPSOffice_Level1"/>
      <w:bookmarkStart w:id="143" w:name="_Toc533610812"/>
      <w:bookmarkStart w:id="144" w:name="_Toc21178_WPSOffice_Level1"/>
      <w:bookmarkStart w:id="145" w:name="_Toc4724_WPSOffice_Level1"/>
      <w:bookmarkStart w:id="146" w:name="_Toc3007_WPSOffice_Level1"/>
      <w:bookmarkStart w:id="147" w:name="_Toc2998_WPSOffice_Level1"/>
      <w:bookmarkStart w:id="148" w:name="_Toc15010_WPSOffice_Level1"/>
    </w:p>
    <w:p>
      <w:pPr>
        <w:pStyle w:val="4"/>
        <w:numPr>
          <w:ilvl w:val="1"/>
          <w:numId w:val="0"/>
        </w:numPr>
        <w:jc w:val="center"/>
        <w:rPr>
          <w:lang w:val="zh-CN"/>
        </w:rPr>
      </w:pPr>
      <w:r>
        <w:rPr>
          <w:rFonts w:hint="eastAsia"/>
          <w:lang w:val="zh-CN"/>
        </w:rPr>
        <w:t xml:space="preserve">第一部分  </w:t>
      </w:r>
      <w:r>
        <w:rPr>
          <w:rFonts w:hint="eastAsia"/>
        </w:rPr>
        <w:t>谈判</w:t>
      </w:r>
      <w:r>
        <w:rPr>
          <w:rFonts w:hint="eastAsia"/>
          <w:lang w:val="zh-CN"/>
        </w:rPr>
        <w:t>响应函</w:t>
      </w:r>
      <w:bookmarkEnd w:id="141"/>
      <w:bookmarkEnd w:id="142"/>
      <w:bookmarkEnd w:id="143"/>
      <w:bookmarkEnd w:id="144"/>
      <w:bookmarkEnd w:id="145"/>
      <w:bookmarkEnd w:id="146"/>
      <w:bookmarkEnd w:id="147"/>
      <w:bookmarkEnd w:id="148"/>
    </w:p>
    <w:p>
      <w:pPr>
        <w:widowControl/>
        <w:ind w:firstLine="0" w:firstLineChars="0"/>
        <w:rPr>
          <w:rFonts w:ascii="楷体" w:hAnsi="楷体" w:cs="楷体"/>
          <w:b/>
          <w:bCs/>
          <w:kern w:val="0"/>
        </w:rPr>
      </w:pPr>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谈判文件，经详细研究，我们决定参加本次谈判活动。为此，我方郑重声明以下诸点，并负法律责任。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、愿意按照谈判文件中的一切要求，提供本项目</w:t>
      </w:r>
      <w:r>
        <w:rPr>
          <w:rFonts w:hint="eastAsia" w:ascii="楷体" w:hAnsi="楷体" w:cs="楷体"/>
          <w:kern w:val="0"/>
        </w:rPr>
        <w:t>供货服务</w:t>
      </w:r>
      <w:r>
        <w:rPr>
          <w:rFonts w:hint="eastAsia" w:ascii="楷体" w:hAnsi="楷体" w:cs="楷体"/>
          <w:kern w:val="0"/>
          <w:lang w:val="zh-CN"/>
        </w:rPr>
        <w:t>，完成合同的责任和义务。</w:t>
      </w:r>
    </w:p>
    <w:p>
      <w:pPr>
        <w:widowControl/>
        <w:ind w:firstLine="480"/>
        <w:rPr>
          <w:rFonts w:ascii="楷体" w:hAnsi="楷体" w:cs="楷体"/>
          <w:kern w:val="0"/>
          <w:highlight w:val="none"/>
        </w:rPr>
      </w:pPr>
      <w:r>
        <w:rPr>
          <w:rFonts w:hint="eastAsia" w:ascii="楷体" w:hAnsi="楷体" w:cs="楷体"/>
          <w:kern w:val="0"/>
        </w:rPr>
        <w:t>2</w:t>
      </w:r>
      <w:r>
        <w:rPr>
          <w:rFonts w:hint="eastAsia" w:ascii="楷体" w:hAnsi="楷体" w:cs="楷体"/>
          <w:kern w:val="0"/>
          <w:lang w:val="zh-CN"/>
        </w:rPr>
        <w:t>、按谈判文件的规定，</w:t>
      </w:r>
      <w:r>
        <w:rPr>
          <w:rFonts w:hint="eastAsia" w:ascii="楷体" w:hAnsi="楷体" w:cs="楷体"/>
          <w:kern w:val="0"/>
          <w:highlight w:val="none"/>
          <w:lang w:val="zh-CN"/>
        </w:rPr>
        <w:t>我公司的</w:t>
      </w:r>
      <w:r>
        <w:rPr>
          <w:rFonts w:hint="eastAsia" w:ascii="楷体" w:hAnsi="楷体" w:cs="楷体"/>
          <w:kern w:val="0"/>
          <w:highlight w:val="none"/>
          <w:lang w:eastAsia="zh-CN"/>
        </w:rPr>
        <w:t>谈判</w:t>
      </w:r>
      <w:r>
        <w:rPr>
          <w:rFonts w:hint="eastAsia" w:ascii="楷体" w:hAnsi="楷体" w:cs="楷体"/>
          <w:kern w:val="0"/>
          <w:highlight w:val="none"/>
          <w:lang w:val="zh-CN"/>
        </w:rPr>
        <w:t>总报价为：人民币（大写）：</w:t>
      </w:r>
      <w:r>
        <w:rPr>
          <w:rFonts w:hint="eastAsia" w:ascii="楷体" w:hAnsi="楷体" w:cs="楷体"/>
          <w:kern w:val="0"/>
          <w:highlight w:val="none"/>
          <w:u w:val="single"/>
        </w:rPr>
        <w:t xml:space="preserve">           </w:t>
      </w:r>
      <w:r>
        <w:rPr>
          <w:rFonts w:hint="eastAsia" w:ascii="楷体" w:hAnsi="楷体" w:cs="楷体"/>
          <w:kern w:val="0"/>
          <w:highlight w:val="none"/>
          <w:lang w:val="zh-CN"/>
        </w:rPr>
        <w:t>（</w:t>
      </w:r>
      <w:r>
        <w:rPr>
          <w:rFonts w:hint="eastAsia" w:ascii="楷体" w:hAnsi="楷体" w:cs="楷体"/>
          <w:kern w:val="0"/>
          <w:highlight w:val="none"/>
        </w:rPr>
        <w:t>小写</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w:t>
      </w:r>
      <w:r>
        <w:rPr>
          <w:rFonts w:hint="eastAsia" w:ascii="楷体" w:hAnsi="楷体" w:cs="楷体"/>
          <w:kern w:val="0"/>
          <w:highlight w:val="none"/>
          <w:lang w:val="zh-CN"/>
        </w:rPr>
        <w:t>件正本壹份、副本</w:t>
      </w:r>
      <w:r>
        <w:rPr>
          <w:rFonts w:hint="eastAsia" w:ascii="楷体" w:hAnsi="楷体" w:cs="楷体"/>
          <w:kern w:val="0"/>
          <w:highlight w:val="none"/>
          <w:lang w:val="zh-CN" w:eastAsia="zh-CN"/>
        </w:rPr>
        <w:t>贰</w:t>
      </w:r>
      <w:r>
        <w:rPr>
          <w:rFonts w:hint="eastAsia" w:ascii="楷体" w:hAnsi="楷体" w:cs="楷体"/>
          <w:kern w:val="0"/>
          <w:highlight w:val="none"/>
          <w:lang w:val="zh-CN"/>
        </w:rPr>
        <w:t>份，</w:t>
      </w:r>
      <w:r>
        <w:rPr>
          <w:rFonts w:hint="eastAsia" w:ascii="楷体" w:hAnsi="楷体" w:cs="楷体"/>
          <w:kern w:val="0"/>
          <w:highlight w:val="none"/>
          <w:lang w:val="zh-CN" w:eastAsia="zh-CN"/>
        </w:rPr>
        <w:t>电子版（U盘）壹份</w:t>
      </w:r>
      <w:r>
        <w:rPr>
          <w:rFonts w:hint="eastAsia" w:ascii="楷体" w:hAnsi="楷体" w:cs="楷体"/>
          <w:kern w:val="0"/>
          <w:highlight w:val="none"/>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、已详细阅读了谈判文件，完全理解并放弃提出含糊不清或易形成歧义的表述和资料。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、谈判后在规定的有效期内撤回响应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有效期自谈判之日起90</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地</w:t>
      </w:r>
      <w:r>
        <w:rPr>
          <w:rFonts w:hint="eastAsia" w:ascii="楷体" w:hAnsi="楷体" w:cs="楷体"/>
          <w:kern w:val="0"/>
        </w:rPr>
        <w:t xml:space="preserve">    </w:t>
      </w:r>
      <w:r>
        <w:rPr>
          <w:rFonts w:hint="eastAsia" w:ascii="楷体" w:hAnsi="楷体" w:cs="楷体"/>
          <w:kern w:val="0"/>
          <w:lang w:val="zh-CN"/>
        </w:rPr>
        <w:t>址</w:t>
      </w:r>
      <w:r>
        <w:rPr>
          <w:rFonts w:hint="eastAsia" w:ascii="楷体" w:hAnsi="楷体" w:cs="楷体"/>
          <w:kern w:val="0"/>
        </w:rPr>
        <w:t>：</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w:t>
      </w:r>
      <w:r>
        <w:rPr>
          <w:rFonts w:hint="eastAsia" w:ascii="楷体" w:hAnsi="楷体" w:cs="楷体"/>
          <w:kern w:val="0"/>
        </w:rPr>
        <w:t xml:space="preserve">    </w:t>
      </w:r>
      <w:r>
        <w:rPr>
          <w:rFonts w:hint="eastAsia" w:ascii="楷体" w:hAnsi="楷体" w:cs="楷体"/>
          <w:kern w:val="0"/>
          <w:lang w:val="zh-CN"/>
        </w:rPr>
        <w:t>号：</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w:t>
      </w:r>
      <w:r>
        <w:rPr>
          <w:rFonts w:hint="eastAsia" w:ascii="楷体" w:hAnsi="楷体" w:cs="楷体"/>
          <w:kern w:val="0"/>
        </w:rPr>
        <w:t xml:space="preserve">    </w:t>
      </w:r>
      <w:r>
        <w:rPr>
          <w:rFonts w:hint="eastAsia" w:ascii="楷体" w:hAnsi="楷体" w:cs="楷体"/>
          <w:kern w:val="0"/>
          <w:lang w:val="zh-CN"/>
        </w:rPr>
        <w:t>真：</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sectPr>
          <w:pgSz w:w="11906" w:h="16838"/>
          <w:pgMar w:top="1418" w:right="1213" w:bottom="1418" w:left="1134"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p>
      <w:pPr>
        <w:pStyle w:val="4"/>
        <w:numPr>
          <w:ilvl w:val="1"/>
          <w:numId w:val="0"/>
        </w:numPr>
        <w:ind w:left="480" w:leftChars="200"/>
        <w:jc w:val="center"/>
        <w:rPr>
          <w:lang w:val="zh-CN"/>
        </w:rPr>
      </w:pPr>
      <w:bookmarkStart w:id="149" w:name="_Toc24066_WPSOffice_Level1"/>
      <w:bookmarkStart w:id="150" w:name="_Toc13533"/>
      <w:bookmarkStart w:id="151" w:name="_Toc30984_WPSOffice_Level1"/>
      <w:bookmarkStart w:id="152" w:name="_Toc533610813"/>
      <w:bookmarkStart w:id="153" w:name="_Toc11669_WPSOffice_Level1"/>
      <w:bookmarkStart w:id="154" w:name="_Toc24126_WPSOffice_Level1"/>
      <w:bookmarkStart w:id="155" w:name="_Toc21214_WPSOffice_Level1"/>
      <w:bookmarkStart w:id="156" w:name="_Toc21246_WPSOffice_Level1"/>
      <w:r>
        <w:rPr>
          <w:rFonts w:hint="eastAsia"/>
          <w:lang w:val="zh-CN"/>
        </w:rPr>
        <w:t>第二部分   谈判报价一览表</w:t>
      </w:r>
      <w:bookmarkEnd w:id="149"/>
      <w:bookmarkEnd w:id="150"/>
      <w:bookmarkEnd w:id="151"/>
      <w:bookmarkEnd w:id="152"/>
      <w:bookmarkEnd w:id="153"/>
      <w:bookmarkEnd w:id="154"/>
      <w:bookmarkEnd w:id="155"/>
      <w:bookmarkEnd w:id="156"/>
    </w:p>
    <w:p>
      <w:pPr>
        <w:widowControl/>
        <w:ind w:firstLine="480"/>
        <w:rPr>
          <w:rFonts w:hint="eastAsia" w:ascii="楷体" w:hAnsi="楷体" w:eastAsia="楷体" w:cs="楷体"/>
          <w:kern w:val="0"/>
          <w:lang w:eastAsia="zh-CN"/>
        </w:rPr>
      </w:pPr>
      <w:r>
        <w:rPr>
          <w:rFonts w:hint="eastAsia" w:ascii="楷体" w:hAnsi="楷体" w:cs="楷体"/>
          <w:kern w:val="0"/>
        </w:rPr>
        <w:t xml:space="preserve">                                                         </w:t>
      </w:r>
      <w:r>
        <w:rPr>
          <w:rFonts w:hint="eastAsia" w:ascii="楷体" w:hAnsi="楷体" w:cs="楷体"/>
          <w:kern w:val="0"/>
          <w:lang w:val="zh-CN"/>
        </w:rPr>
        <w:t>单位</w:t>
      </w:r>
      <w:r>
        <w:rPr>
          <w:rFonts w:hint="eastAsia" w:ascii="楷体" w:hAnsi="楷体" w:cs="楷体"/>
          <w:kern w:val="0"/>
        </w:rPr>
        <w:t xml:space="preserve"> </w:t>
      </w:r>
      <w:r>
        <w:rPr>
          <w:rFonts w:hint="eastAsia" w:ascii="楷体" w:hAnsi="楷体" w:cs="楷体"/>
          <w:kern w:val="0"/>
          <w:lang w:val="zh-CN"/>
        </w:rPr>
        <w:t>：元</w:t>
      </w:r>
    </w:p>
    <w:tbl>
      <w:tblPr>
        <w:tblStyle w:val="43"/>
        <w:tblW w:w="8239" w:type="dxa"/>
        <w:jc w:val="center"/>
        <w:tblLayout w:type="fixed"/>
        <w:tblCellMar>
          <w:top w:w="0" w:type="dxa"/>
          <w:left w:w="108" w:type="dxa"/>
          <w:bottom w:w="0" w:type="dxa"/>
          <w:right w:w="108" w:type="dxa"/>
        </w:tblCellMar>
      </w:tblPr>
      <w:tblGrid>
        <w:gridCol w:w="1757"/>
        <w:gridCol w:w="6482"/>
      </w:tblGrid>
      <w:tr>
        <w:tblPrEx>
          <w:tblCellMar>
            <w:top w:w="0" w:type="dxa"/>
            <w:left w:w="108" w:type="dxa"/>
            <w:bottom w:w="0" w:type="dxa"/>
            <w:right w:w="108" w:type="dxa"/>
          </w:tblCellMar>
        </w:tblPrEx>
        <w:trPr>
          <w:trHeight w:val="944" w:hRule="atLeast"/>
          <w:jc w:val="center"/>
        </w:trPr>
        <w:tc>
          <w:tcPr>
            <w:tcW w:w="17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lang w:val="zh-CN"/>
              </w:rPr>
            </w:pPr>
            <w:r>
              <w:rPr>
                <w:rFonts w:hint="eastAsia" w:ascii="楷体" w:hAnsi="楷体" w:cs="楷体"/>
                <w:kern w:val="0"/>
              </w:rPr>
              <w:t>采购项目名称</w:t>
            </w:r>
          </w:p>
        </w:tc>
        <w:tc>
          <w:tcPr>
            <w:tcW w:w="6482"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927" w:hRule="atLeast"/>
          <w:jc w:val="center"/>
        </w:trPr>
        <w:tc>
          <w:tcPr>
            <w:tcW w:w="17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kern w:val="0"/>
              </w:rPr>
              <w:t>采购项目编号</w:t>
            </w:r>
          </w:p>
        </w:tc>
        <w:tc>
          <w:tcPr>
            <w:tcW w:w="6482"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927" w:hRule="atLeast"/>
          <w:jc w:val="center"/>
        </w:trPr>
        <w:tc>
          <w:tcPr>
            <w:tcW w:w="17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default" w:ascii="楷体" w:hAnsi="楷体" w:eastAsia="楷体" w:cs="楷体"/>
                <w:kern w:val="0"/>
                <w:lang w:val="en-US" w:eastAsia="zh-CN"/>
              </w:rPr>
            </w:pPr>
            <w:r>
              <w:rPr>
                <w:rFonts w:hint="eastAsia" w:ascii="楷体" w:hAnsi="楷体" w:cs="楷体"/>
                <w:kern w:val="0"/>
                <w:lang w:val="en-US" w:eastAsia="zh-CN"/>
              </w:rPr>
              <w:t>供应商名称</w:t>
            </w:r>
          </w:p>
        </w:tc>
        <w:tc>
          <w:tcPr>
            <w:tcW w:w="6482"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833" w:hRule="atLeast"/>
          <w:jc w:val="center"/>
        </w:trPr>
        <w:tc>
          <w:tcPr>
            <w:tcW w:w="17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楷体" w:hAnsi="楷体" w:cs="楷体"/>
                <w:kern w:val="0"/>
                <w:lang w:val="zh-CN"/>
              </w:rPr>
            </w:pPr>
            <w:r>
              <w:rPr>
                <w:rFonts w:hint="eastAsia" w:ascii="楷体" w:hAnsi="楷体" w:cs="楷体"/>
                <w:kern w:val="0"/>
              </w:rPr>
              <w:t>谈判报价</w:t>
            </w:r>
          </w:p>
        </w:tc>
        <w:tc>
          <w:tcPr>
            <w:tcW w:w="6482"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highlight w:val="none"/>
                <w:u w:val="single"/>
              </w:rPr>
            </w:pPr>
            <w:r>
              <w:rPr>
                <w:rFonts w:hint="eastAsia"/>
                <w:highlight w:val="none"/>
              </w:rPr>
              <w:t>大写：</w:t>
            </w:r>
            <w:r>
              <w:rPr>
                <w:rFonts w:hint="eastAsia"/>
                <w:highlight w:val="none"/>
                <w:u w:val="single"/>
              </w:rPr>
              <w:t xml:space="preserve">                              </w:t>
            </w:r>
          </w:p>
          <w:p>
            <w:pPr>
              <w:pStyle w:val="36"/>
              <w:ind w:firstLine="0" w:firstLineChars="0"/>
              <w:jc w:val="left"/>
              <w:rPr>
                <w:rFonts w:ascii="楷体" w:hAnsi="楷体" w:cs="楷体"/>
                <w:kern w:val="0"/>
                <w:sz w:val="24"/>
                <w:highlight w:val="none"/>
              </w:rPr>
            </w:pPr>
          </w:p>
          <w:p>
            <w:pPr>
              <w:widowControl/>
              <w:ind w:firstLine="0" w:firstLineChars="0"/>
              <w:jc w:val="left"/>
              <w:rPr>
                <w:u w:val="single"/>
              </w:rPr>
            </w:pPr>
            <w:r>
              <w:rPr>
                <w:rFonts w:hint="eastAsia" w:ascii="楷体" w:hAnsi="楷体" w:cs="楷体"/>
                <w:kern w:val="0"/>
                <w:sz w:val="24"/>
                <w:highlight w:val="none"/>
              </w:rPr>
              <w:t>小写：</w:t>
            </w:r>
            <w:r>
              <w:rPr>
                <w:rFonts w:hint="eastAsia" w:ascii="楷体" w:hAnsi="楷体" w:cs="楷体"/>
                <w:kern w:val="0"/>
                <w:sz w:val="24"/>
                <w:highlight w:val="none"/>
                <w:u w:val="single"/>
              </w:rPr>
              <w:t xml:space="preserve">                              </w:t>
            </w:r>
          </w:p>
        </w:tc>
      </w:tr>
      <w:tr>
        <w:tblPrEx>
          <w:tblCellMar>
            <w:top w:w="0" w:type="dxa"/>
            <w:left w:w="108" w:type="dxa"/>
            <w:bottom w:w="0" w:type="dxa"/>
            <w:right w:w="108" w:type="dxa"/>
          </w:tblCellMar>
        </w:tblPrEx>
        <w:trPr>
          <w:trHeight w:val="899" w:hRule="atLeast"/>
          <w:jc w:val="center"/>
        </w:trPr>
        <w:tc>
          <w:tcPr>
            <w:tcW w:w="17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hint="default" w:ascii="楷体" w:hAnsi="楷体" w:eastAsia="楷体" w:cs="楷体"/>
                <w:kern w:val="0"/>
                <w:lang w:val="en-US" w:eastAsia="zh-CN"/>
              </w:rPr>
            </w:pPr>
            <w:r>
              <w:rPr>
                <w:rFonts w:hint="eastAsia" w:ascii="楷体" w:hAnsi="楷体" w:cs="楷体"/>
                <w:kern w:val="0"/>
                <w:lang w:val="en-US" w:eastAsia="zh-CN"/>
              </w:rPr>
              <w:t>交货期</w:t>
            </w:r>
          </w:p>
        </w:tc>
        <w:tc>
          <w:tcPr>
            <w:tcW w:w="6482"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99" w:hRule="atLeast"/>
          <w:jc w:val="center"/>
        </w:trPr>
        <w:tc>
          <w:tcPr>
            <w:tcW w:w="17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left"/>
              <w:rPr>
                <w:rFonts w:ascii="楷体" w:hAnsi="楷体" w:cs="楷体"/>
                <w:kern w:val="0"/>
              </w:rPr>
            </w:pPr>
            <w:r>
              <w:rPr>
                <w:rFonts w:hint="eastAsia" w:ascii="楷体" w:hAnsi="楷体" w:cs="楷体"/>
              </w:rPr>
              <w:t>质保期</w:t>
            </w:r>
          </w:p>
        </w:tc>
        <w:tc>
          <w:tcPr>
            <w:tcW w:w="6482"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132" w:hRule="atLeast"/>
          <w:jc w:val="center"/>
        </w:trPr>
        <w:tc>
          <w:tcPr>
            <w:tcW w:w="175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b/>
                <w:bCs/>
                <w:kern w:val="0"/>
              </w:rPr>
              <w:t>备注</w:t>
            </w:r>
          </w:p>
        </w:tc>
        <w:tc>
          <w:tcPr>
            <w:tcW w:w="6482"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ascii="楷体" w:hAnsi="楷体" w:cs="楷体"/>
              </w:rPr>
            </w:pPr>
            <w:r>
              <w:rPr>
                <w:rFonts w:hint="eastAsia" w:ascii="楷体" w:hAnsi="楷体" w:cs="楷体"/>
                <w:b/>
                <w:bCs/>
              </w:rPr>
              <w:t>表内报价以元为单位，精确到小数点后两位。</w:t>
            </w: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lang w:val="zh-CN"/>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sectPr>
          <w:pgSz w:w="11906" w:h="16838"/>
          <w:pgMar w:top="1440" w:right="896" w:bottom="1440" w:left="1236" w:header="851" w:footer="992" w:gutter="0"/>
          <w:cols w:space="720" w:num="1"/>
          <w:docGrid w:linePitch="312" w:charSpace="0"/>
        </w:sectPr>
      </w:pPr>
    </w:p>
    <w:p>
      <w:pPr>
        <w:widowControl/>
        <w:ind w:firstLine="562"/>
        <w:jc w:val="center"/>
        <w:rPr>
          <w:rFonts w:hint="eastAsia" w:ascii="楷体" w:hAnsi="楷体" w:cs="楷体"/>
          <w:b/>
          <w:bCs/>
          <w:color w:val="000000" w:themeColor="text1"/>
          <w:kern w:val="0"/>
          <w:sz w:val="28"/>
          <w:szCs w:val="28"/>
          <w14:textFill>
            <w14:solidFill>
              <w14:schemeClr w14:val="tx1"/>
            </w14:solidFill>
          </w14:textFill>
        </w:rPr>
      </w:pPr>
      <w:bookmarkStart w:id="157" w:name="_Toc7087_WPSOffice_Level2"/>
      <w:bookmarkStart w:id="158" w:name="_Toc28774_WPSOffice_Level2"/>
    </w:p>
    <w:p>
      <w:pPr>
        <w:widowControl/>
        <w:ind w:firstLine="0" w:firstLineChars="0"/>
        <w:jc w:val="center"/>
        <w:rPr>
          <w:rFonts w:ascii="楷体" w:hAnsi="楷体" w:cs="楷体"/>
          <w:b/>
          <w:bCs/>
          <w:kern w:val="0"/>
          <w:sz w:val="28"/>
          <w:szCs w:val="28"/>
        </w:rPr>
      </w:pPr>
      <w:r>
        <w:rPr>
          <w:rFonts w:hint="eastAsia" w:ascii="楷体" w:hAnsi="楷体" w:cs="楷体"/>
          <w:b/>
          <w:bCs/>
          <w:kern w:val="0"/>
          <w:sz w:val="28"/>
          <w:szCs w:val="28"/>
          <w:lang w:val="en-US" w:eastAsia="zh-CN"/>
        </w:rPr>
        <w:t>分项报价</w:t>
      </w:r>
      <w:r>
        <w:rPr>
          <w:rFonts w:hint="eastAsia" w:ascii="楷体" w:hAnsi="楷体" w:cs="楷体"/>
          <w:b/>
          <w:bCs/>
          <w:kern w:val="0"/>
          <w:sz w:val="28"/>
          <w:szCs w:val="28"/>
        </w:rPr>
        <w:t>表</w:t>
      </w:r>
    </w:p>
    <w:p>
      <w:pPr>
        <w:widowControl/>
        <w:ind w:firstLine="480"/>
        <w:rPr>
          <w:rFonts w:hint="eastAsia"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02"/>
        <w:gridCol w:w="972"/>
        <w:gridCol w:w="1156"/>
        <w:gridCol w:w="1351"/>
        <w:gridCol w:w="1063"/>
        <w:gridCol w:w="1396"/>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1" w:hRule="atLeast"/>
          <w:jc w:val="center"/>
        </w:trPr>
        <w:tc>
          <w:tcPr>
            <w:tcW w:w="1415"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序号</w:t>
            </w:r>
          </w:p>
        </w:tc>
        <w:tc>
          <w:tcPr>
            <w:tcW w:w="1402"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产品名称</w:t>
            </w:r>
          </w:p>
        </w:tc>
        <w:tc>
          <w:tcPr>
            <w:tcW w:w="972"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品牌</w:t>
            </w:r>
            <w:r>
              <w:rPr>
                <w:rFonts w:hint="eastAsia" w:ascii="Times New Roman" w:hAnsi="Times New Roman" w:cs="Times New Roman"/>
                <w:lang w:val="en-US" w:eastAsia="zh-CN"/>
              </w:rPr>
              <w:t xml:space="preserve"> </w:t>
            </w:r>
          </w:p>
        </w:tc>
        <w:tc>
          <w:tcPr>
            <w:tcW w:w="1156" w:type="dxa"/>
            <w:noWrap w:val="0"/>
            <w:vAlign w:val="center"/>
          </w:tcPr>
          <w:p>
            <w:pPr>
              <w:ind w:firstLine="0" w:firstLineChars="0"/>
              <w:jc w:val="center"/>
              <w:rPr>
                <w:rFonts w:hint="eastAsia" w:ascii="Times New Roman" w:hAnsi="Times New Roman" w:cs="Times New Roman"/>
              </w:rPr>
            </w:pPr>
            <w:r>
              <w:rPr>
                <w:rFonts w:hint="eastAsia" w:ascii="Times New Roman" w:hAnsi="Times New Roman" w:cs="Times New Roman"/>
              </w:rPr>
              <w:t>规格</w:t>
            </w:r>
          </w:p>
          <w:p>
            <w:pPr>
              <w:ind w:firstLine="0" w:firstLineChars="0"/>
              <w:jc w:val="center"/>
              <w:rPr>
                <w:rFonts w:hint="eastAsia" w:ascii="Times New Roman" w:hAnsi="Times New Roman" w:cs="Times New Roman"/>
              </w:rPr>
            </w:pPr>
            <w:r>
              <w:rPr>
                <w:rFonts w:hint="eastAsia" w:ascii="Times New Roman" w:hAnsi="Times New Roman" w:cs="Times New Roman"/>
              </w:rPr>
              <w:t>型号</w:t>
            </w:r>
            <w:r>
              <w:rPr>
                <w:rFonts w:hint="eastAsia" w:ascii="Times New Roman" w:hAnsi="Times New Roman" w:cs="Times New Roman"/>
                <w:lang w:val="en-US" w:eastAsia="zh-CN"/>
              </w:rPr>
              <w:t xml:space="preserve"> </w:t>
            </w:r>
          </w:p>
        </w:tc>
        <w:tc>
          <w:tcPr>
            <w:tcW w:w="1351"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数 量</w:t>
            </w:r>
          </w:p>
        </w:tc>
        <w:tc>
          <w:tcPr>
            <w:tcW w:w="1063"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单 价</w:t>
            </w:r>
          </w:p>
        </w:tc>
        <w:tc>
          <w:tcPr>
            <w:tcW w:w="1396" w:type="dxa"/>
            <w:noWrap w:val="0"/>
            <w:vAlign w:val="center"/>
          </w:tcPr>
          <w:p>
            <w:pPr>
              <w:ind w:firstLine="0" w:firstLineChars="0"/>
              <w:jc w:val="center"/>
              <w:rPr>
                <w:rFonts w:hint="eastAsia" w:ascii="Times New Roman" w:hAnsi="Times New Roman" w:cs="Times New Roman"/>
              </w:rPr>
            </w:pPr>
            <w:r>
              <w:rPr>
                <w:rFonts w:hint="eastAsia" w:ascii="Times New Roman" w:hAnsi="Times New Roman" w:cs="Times New Roman"/>
              </w:rPr>
              <w:t>合 计</w:t>
            </w:r>
          </w:p>
        </w:tc>
        <w:tc>
          <w:tcPr>
            <w:tcW w:w="1169" w:type="dxa"/>
            <w:noWrap w:val="0"/>
            <w:vAlign w:val="center"/>
          </w:tcPr>
          <w:p>
            <w:pPr>
              <w:ind w:firstLine="0" w:firstLineChars="0"/>
              <w:jc w:val="center"/>
              <w:rPr>
                <w:rFonts w:hint="eastAsia" w:ascii="Times New Roman" w:hAnsi="Times New Roman" w:cs="Times New Roman"/>
              </w:rPr>
            </w:pPr>
            <w:r>
              <w:rPr>
                <w:rFonts w:hint="eastAsia"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415"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1</w:t>
            </w:r>
          </w:p>
        </w:tc>
        <w:tc>
          <w:tcPr>
            <w:tcW w:w="1402" w:type="dxa"/>
            <w:noWrap w:val="0"/>
            <w:vAlign w:val="center"/>
          </w:tcPr>
          <w:p>
            <w:pPr>
              <w:ind w:firstLine="480"/>
              <w:rPr>
                <w:rFonts w:ascii="Times New Roman" w:hAnsi="Times New Roman" w:cs="Times New Roman"/>
              </w:rPr>
            </w:pPr>
          </w:p>
        </w:tc>
        <w:tc>
          <w:tcPr>
            <w:tcW w:w="972" w:type="dxa"/>
            <w:noWrap w:val="0"/>
            <w:vAlign w:val="center"/>
          </w:tcPr>
          <w:p>
            <w:pPr>
              <w:ind w:firstLine="480"/>
              <w:rPr>
                <w:rFonts w:ascii="Times New Roman" w:hAnsi="Times New Roman" w:cs="Times New Roman"/>
              </w:rPr>
            </w:pPr>
          </w:p>
        </w:tc>
        <w:tc>
          <w:tcPr>
            <w:tcW w:w="1156"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415" w:type="dxa"/>
            <w:noWrap w:val="0"/>
            <w:vAlign w:val="center"/>
          </w:tcPr>
          <w:p>
            <w:pPr>
              <w:ind w:firstLine="480"/>
              <w:jc w:val="center"/>
              <w:rPr>
                <w:rFonts w:ascii="Times New Roman" w:hAnsi="Times New Roman" w:cs="Times New Roman"/>
              </w:rPr>
            </w:pPr>
          </w:p>
        </w:tc>
        <w:tc>
          <w:tcPr>
            <w:tcW w:w="1402" w:type="dxa"/>
            <w:noWrap w:val="0"/>
            <w:vAlign w:val="center"/>
          </w:tcPr>
          <w:p>
            <w:pPr>
              <w:ind w:firstLine="480"/>
              <w:rPr>
                <w:rFonts w:ascii="Times New Roman" w:hAnsi="Times New Roman" w:cs="Times New Roman"/>
              </w:rPr>
            </w:pPr>
          </w:p>
        </w:tc>
        <w:tc>
          <w:tcPr>
            <w:tcW w:w="972" w:type="dxa"/>
            <w:noWrap w:val="0"/>
            <w:vAlign w:val="center"/>
          </w:tcPr>
          <w:p>
            <w:pPr>
              <w:ind w:firstLine="480"/>
              <w:rPr>
                <w:rFonts w:ascii="Times New Roman" w:hAnsi="Times New Roman" w:cs="Times New Roman"/>
              </w:rPr>
            </w:pPr>
          </w:p>
        </w:tc>
        <w:tc>
          <w:tcPr>
            <w:tcW w:w="1156"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415"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w:t>
            </w:r>
          </w:p>
        </w:tc>
        <w:tc>
          <w:tcPr>
            <w:tcW w:w="1402" w:type="dxa"/>
            <w:noWrap w:val="0"/>
            <w:vAlign w:val="center"/>
          </w:tcPr>
          <w:p>
            <w:pPr>
              <w:ind w:firstLine="480"/>
              <w:rPr>
                <w:rFonts w:ascii="Times New Roman" w:hAnsi="Times New Roman" w:cs="Times New Roman"/>
              </w:rPr>
            </w:pPr>
          </w:p>
        </w:tc>
        <w:tc>
          <w:tcPr>
            <w:tcW w:w="972" w:type="dxa"/>
            <w:noWrap w:val="0"/>
            <w:vAlign w:val="center"/>
          </w:tcPr>
          <w:p>
            <w:pPr>
              <w:ind w:firstLine="480"/>
              <w:rPr>
                <w:rFonts w:ascii="Times New Roman" w:hAnsi="Times New Roman" w:cs="Times New Roman"/>
              </w:rPr>
            </w:pPr>
          </w:p>
        </w:tc>
        <w:tc>
          <w:tcPr>
            <w:tcW w:w="1156"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15" w:type="dxa"/>
            <w:noWrap w:val="0"/>
            <w:vAlign w:val="center"/>
          </w:tcPr>
          <w:p>
            <w:pPr>
              <w:ind w:firstLine="0" w:firstLineChars="0"/>
              <w:jc w:val="center"/>
              <w:rPr>
                <w:rFonts w:ascii="Times New Roman" w:hAnsi="Times New Roman" w:cs="Times New Roman"/>
              </w:rPr>
            </w:pPr>
            <w:r>
              <w:rPr>
                <w:rFonts w:ascii="Times New Roman" w:hAnsi="Times New Roman" w:cs="Times New Roman"/>
              </w:rPr>
              <w:t>N</w:t>
            </w:r>
          </w:p>
        </w:tc>
        <w:tc>
          <w:tcPr>
            <w:tcW w:w="1402" w:type="dxa"/>
            <w:noWrap w:val="0"/>
            <w:vAlign w:val="center"/>
          </w:tcPr>
          <w:p>
            <w:pPr>
              <w:ind w:firstLine="480"/>
              <w:rPr>
                <w:rFonts w:ascii="Times New Roman" w:hAnsi="Times New Roman" w:cs="Times New Roman"/>
              </w:rPr>
            </w:pPr>
          </w:p>
        </w:tc>
        <w:tc>
          <w:tcPr>
            <w:tcW w:w="972" w:type="dxa"/>
            <w:noWrap w:val="0"/>
            <w:vAlign w:val="center"/>
          </w:tcPr>
          <w:p>
            <w:pPr>
              <w:ind w:firstLine="480"/>
              <w:rPr>
                <w:rFonts w:ascii="Times New Roman" w:hAnsi="Times New Roman" w:cs="Times New Roman"/>
              </w:rPr>
            </w:pPr>
          </w:p>
        </w:tc>
        <w:tc>
          <w:tcPr>
            <w:tcW w:w="1156"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15" w:type="dxa"/>
            <w:noWrap w:val="0"/>
            <w:vAlign w:val="center"/>
          </w:tcPr>
          <w:p>
            <w:pPr>
              <w:pStyle w:val="36"/>
              <w:ind w:firstLine="0" w:firstLineChars="0"/>
              <w:rPr>
                <w:rFonts w:ascii="Times New Roman" w:hAnsi="Times New Roman" w:cs="Times New Roman"/>
              </w:rPr>
            </w:pPr>
            <w:r>
              <w:rPr>
                <w:rFonts w:hint="eastAsia" w:ascii="楷体" w:hAnsi="楷体" w:eastAsia="楷体" w:cs="楷体"/>
                <w:kern w:val="0"/>
                <w:sz w:val="24"/>
              </w:rPr>
              <w:t>总价合计：</w:t>
            </w:r>
          </w:p>
        </w:tc>
        <w:tc>
          <w:tcPr>
            <w:tcW w:w="8509" w:type="dxa"/>
            <w:gridSpan w:val="7"/>
            <w:noWrap w:val="0"/>
            <w:vAlign w:val="center"/>
          </w:tcPr>
          <w:p>
            <w:pPr>
              <w:pStyle w:val="36"/>
              <w:ind w:firstLine="0" w:firstLineChars="0"/>
              <w:rPr>
                <w:rFonts w:ascii="Times New Roman" w:hAnsi="Times New Roman" w:cs="Times New Roman"/>
              </w:rPr>
            </w:pPr>
            <w:r>
              <w:rPr>
                <w:rFonts w:hint="eastAsia" w:ascii="楷体" w:hAnsi="楷体" w:eastAsia="楷体" w:cs="楷体"/>
                <w:kern w:val="0"/>
                <w:sz w:val="24"/>
              </w:rPr>
              <w:t>大写</w:t>
            </w:r>
            <w:r>
              <w:rPr>
                <w:rFonts w:hint="eastAsia" w:ascii="楷体" w:hAnsi="楷体" w:eastAsia="楷体" w:cs="楷体"/>
                <w:kern w:val="0"/>
                <w:sz w:val="24"/>
                <w:lang w:eastAsia="zh-CN"/>
              </w:rPr>
              <w:t>：</w:t>
            </w:r>
            <w:r>
              <w:rPr>
                <w:rFonts w:hint="eastAsia" w:ascii="楷体" w:hAnsi="楷体" w:eastAsia="楷体" w:cs="楷体"/>
                <w:kern w:val="0"/>
                <w:sz w:val="24"/>
                <w:u w:val="none"/>
              </w:rPr>
              <w:t xml:space="preserve">               （￥         元）</w:t>
            </w:r>
          </w:p>
        </w:tc>
      </w:tr>
    </w:tbl>
    <w:p>
      <w:pPr>
        <w:widowControl w:val="0"/>
        <w:spacing w:line="360" w:lineRule="auto"/>
        <w:ind w:firstLine="480" w:firstLineChars="200"/>
        <w:jc w:val="both"/>
        <w:rPr>
          <w:rFonts w:ascii="楷体" w:hAnsi="楷体" w:eastAsia="楷体" w:cs="楷体"/>
          <w:kern w:val="0"/>
          <w:sz w:val="24"/>
          <w:szCs w:val="24"/>
          <w:lang w:val="en-US" w:eastAsia="zh-CN" w:bidi="ar-SA"/>
        </w:rPr>
      </w:pPr>
    </w:p>
    <w:p>
      <w:pPr>
        <w:kinsoku w:val="0"/>
        <w:ind w:left="479" w:leftChars="100" w:hanging="239" w:hangingChars="99"/>
        <w:jc w:val="left"/>
        <w:rPr>
          <w:rFonts w:ascii="楷体" w:hAnsi="楷体" w:cs="楷体"/>
        </w:rPr>
      </w:pPr>
      <w:r>
        <w:rPr>
          <w:rFonts w:hint="eastAsia" w:ascii="楷体" w:hAnsi="楷体" w:cs="楷体"/>
          <w:b/>
        </w:rPr>
        <w:t>注：</w:t>
      </w:r>
      <w:r>
        <w:rPr>
          <w:rFonts w:hint="eastAsia" w:ascii="楷体" w:hAnsi="楷体" w:cs="楷体"/>
        </w:rPr>
        <w:t>1、如果不提供详细分项报价将视为没有实质性响应</w:t>
      </w:r>
      <w:r>
        <w:rPr>
          <w:rFonts w:hint="eastAsia" w:ascii="楷体" w:hAnsi="楷体" w:cs="楷体"/>
          <w:lang w:val="en-US" w:eastAsia="zh-CN"/>
        </w:rPr>
        <w:t>采购</w:t>
      </w:r>
      <w:r>
        <w:rPr>
          <w:rFonts w:hint="eastAsia" w:ascii="楷体" w:hAnsi="楷体" w:cs="楷体"/>
        </w:rPr>
        <w:t>文件；</w:t>
      </w:r>
    </w:p>
    <w:p>
      <w:pPr>
        <w:kinsoku w:val="0"/>
        <w:ind w:firstLine="720" w:firstLineChars="300"/>
        <w:jc w:val="left"/>
        <w:rPr>
          <w:rFonts w:ascii="楷体" w:hAnsi="楷体" w:cs="楷体"/>
        </w:rPr>
      </w:pPr>
      <w:r>
        <w:rPr>
          <w:rFonts w:hint="eastAsia" w:ascii="楷体" w:hAnsi="楷体" w:cs="楷体"/>
        </w:rPr>
        <w:t>2、分项报价表列出报价的分项明细，明细合计应与</w:t>
      </w:r>
      <w:r>
        <w:rPr>
          <w:rFonts w:hint="eastAsia" w:ascii="楷体" w:hAnsi="楷体" w:cs="楷体"/>
          <w:lang w:val="zh-CN"/>
        </w:rPr>
        <w:t>谈判报价</w:t>
      </w:r>
      <w:r>
        <w:rPr>
          <w:rFonts w:hint="eastAsia" w:ascii="楷体" w:hAnsi="楷体" w:cs="楷体"/>
        </w:rPr>
        <w:t>一览表一致。</w:t>
      </w:r>
    </w:p>
    <w:p>
      <w:pPr>
        <w:kinsoku w:val="0"/>
        <w:ind w:left="0" w:leftChars="0" w:firstLine="720" w:firstLineChars="300"/>
        <w:jc w:val="left"/>
        <w:rPr>
          <w:rFonts w:hint="eastAsia" w:ascii="楷体" w:hAnsi="楷体" w:cs="楷体"/>
        </w:rPr>
      </w:pPr>
      <w:r>
        <w:rPr>
          <w:rFonts w:hint="eastAsia" w:ascii="楷体" w:hAnsi="楷体" w:cs="楷体"/>
        </w:rPr>
        <w:t>3、所有根据合同或其它原因应由供应商支付的税款和其它应交纳的费用都要包括在供应商提交的</w:t>
      </w:r>
      <w:r>
        <w:rPr>
          <w:rFonts w:hint="eastAsia" w:ascii="楷体" w:hAnsi="楷体" w:cs="楷体"/>
          <w:lang w:val="en-US" w:eastAsia="zh-CN"/>
        </w:rPr>
        <w:t>报价</w:t>
      </w:r>
      <w:r>
        <w:rPr>
          <w:rFonts w:hint="eastAsia" w:ascii="楷体" w:hAnsi="楷体" w:cs="楷体"/>
        </w:rPr>
        <w:t>中；</w:t>
      </w:r>
    </w:p>
    <w:p>
      <w:pPr>
        <w:kinsoku w:val="0"/>
        <w:ind w:left="0" w:leftChars="0" w:firstLine="720" w:firstLineChars="300"/>
        <w:jc w:val="left"/>
        <w:rPr>
          <w:rFonts w:ascii="楷体" w:hAnsi="楷体" w:eastAsia="楷体" w:cs="楷体"/>
          <w:kern w:val="2"/>
          <w:sz w:val="24"/>
          <w:szCs w:val="24"/>
          <w:lang w:val="en-US" w:eastAsia="zh-CN" w:bidi="ar-SA"/>
        </w:rPr>
      </w:pPr>
      <w:r>
        <w:rPr>
          <w:rFonts w:hint="eastAsia" w:ascii="楷体" w:hAnsi="楷体" w:cs="楷体"/>
          <w:lang w:val="en-US" w:eastAsia="zh-CN"/>
        </w:rPr>
        <w:t>4、</w:t>
      </w:r>
      <w:r>
        <w:rPr>
          <w:rFonts w:hint="eastAsia" w:ascii="楷体" w:hAnsi="楷体" w:eastAsia="楷体" w:cs="楷体"/>
          <w:kern w:val="2"/>
          <w:sz w:val="24"/>
          <w:szCs w:val="24"/>
          <w:lang w:val="en-US" w:eastAsia="zh-CN" w:bidi="ar-SA"/>
        </w:rPr>
        <w:t>应包含服务与货物运至最终目的地的运输、保险和伴随服务的其他所有费用。</w:t>
      </w:r>
    </w:p>
    <w:p>
      <w:pPr>
        <w:widowControl w:val="0"/>
        <w:spacing w:after="120" w:line="360" w:lineRule="auto"/>
        <w:ind w:left="480" w:leftChars="200" w:firstLine="480" w:firstLineChars="200"/>
        <w:jc w:val="both"/>
        <w:rPr>
          <w:rFonts w:hint="eastAsia" w:ascii="楷体" w:hAnsi="楷体" w:eastAsia="楷体" w:cs="楷体"/>
          <w:kern w:val="0"/>
          <w:sz w:val="24"/>
          <w:szCs w:val="24"/>
          <w:lang w:val="en-US" w:eastAsia="zh-CN" w:bidi="ar-SA"/>
        </w:rPr>
      </w:pPr>
    </w:p>
    <w:p>
      <w:pPr>
        <w:widowControl w:val="0"/>
        <w:spacing w:line="360" w:lineRule="auto"/>
        <w:ind w:firstLine="482" w:firstLineChars="200"/>
        <w:jc w:val="both"/>
        <w:rPr>
          <w:rFonts w:hint="eastAsia" w:ascii="楷体" w:hAnsi="楷体" w:eastAsia="楷体" w:cs="楷体"/>
          <w:b/>
          <w:kern w:val="2"/>
          <w:sz w:val="24"/>
          <w:szCs w:val="24"/>
          <w:lang w:val="en-US" w:eastAsia="zh-CN" w:bidi="ar-SA"/>
        </w:rPr>
      </w:pPr>
    </w:p>
    <w:p>
      <w:pPr>
        <w:widowControl/>
        <w:ind w:firstLine="480"/>
        <w:rPr>
          <w:rFonts w:hint="eastAsia" w:ascii="楷体" w:hAnsi="楷体" w:cs="楷体"/>
          <w:kern w:val="0"/>
        </w:rPr>
      </w:pPr>
      <w:r>
        <w:rPr>
          <w:rFonts w:hint="eastAsia" w:ascii="楷体" w:hAnsi="楷体" w:cs="楷体"/>
          <w:kern w:val="0"/>
          <w:lang w:val="en-US" w:eastAsia="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hint="eastAsia" w:ascii="楷体" w:hAnsi="楷体" w:cs="楷体"/>
          <w:kern w:val="0"/>
        </w:rPr>
      </w:pPr>
    </w:p>
    <w:p>
      <w:pPr>
        <w:widowControl/>
        <w:ind w:firstLine="480"/>
        <w:rPr>
          <w:rFonts w:hint="eastAsia"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lang w:val="zh-CN"/>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年       月      日</w:t>
      </w:r>
    </w:p>
    <w:p>
      <w:pPr>
        <w:widowControl/>
        <w:ind w:firstLine="562"/>
        <w:jc w:val="center"/>
        <w:rPr>
          <w:rFonts w:hint="eastAsia" w:ascii="楷体" w:hAnsi="楷体" w:cs="楷体"/>
          <w:b/>
          <w:bCs/>
          <w:color w:val="000000" w:themeColor="text1"/>
          <w:kern w:val="0"/>
          <w:sz w:val="28"/>
          <w:szCs w:val="28"/>
          <w14:textFill>
            <w14:solidFill>
              <w14:schemeClr w14:val="tx1"/>
            </w14:solidFill>
          </w14:textFill>
        </w:rPr>
      </w:pPr>
      <w:r>
        <w:rPr>
          <w:rFonts w:hint="eastAsia" w:ascii="楷体" w:hAnsi="楷体" w:cs="楷体"/>
          <w:b/>
          <w:bCs/>
          <w:kern w:val="0"/>
        </w:rPr>
        <w:br w:type="page"/>
      </w:r>
    </w:p>
    <w:bookmarkEnd w:id="157"/>
    <w:p>
      <w:pPr>
        <w:widowControl/>
        <w:ind w:firstLine="482"/>
        <w:jc w:val="center"/>
        <w:rPr>
          <w:rFonts w:ascii="楷体" w:hAnsi="楷体" w:cs="楷体"/>
          <w:b/>
          <w:bCs/>
          <w:kern w:val="0"/>
          <w:sz w:val="28"/>
          <w:szCs w:val="28"/>
        </w:rPr>
      </w:pPr>
      <w:r>
        <w:rPr>
          <w:rFonts w:hint="eastAsia" w:ascii="楷体" w:hAnsi="楷体" w:cs="楷体"/>
          <w:b/>
          <w:bCs/>
          <w:kern w:val="0"/>
          <w:sz w:val="28"/>
          <w:szCs w:val="28"/>
        </w:rPr>
        <w:t>节能环保、环境标志产品明细表</w:t>
      </w:r>
    </w:p>
    <w:p>
      <w:pPr>
        <w:widowControl/>
        <w:ind w:firstLine="480"/>
        <w:rPr>
          <w:rFonts w:hint="eastAsia" w:ascii="楷体" w:hAnsi="楷体" w:cs="楷体"/>
          <w:kern w:val="0"/>
        </w:rPr>
      </w:pPr>
    </w:p>
    <w:p>
      <w:pPr>
        <w:widowControl/>
        <w:ind w:firstLine="480"/>
        <w:rPr>
          <w:rFonts w:ascii="Times New Roman" w:hAnsi="Times New Roman" w:cs="Times New Roman"/>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序</w:t>
            </w:r>
          </w:p>
          <w:p>
            <w:pPr>
              <w:ind w:firstLine="0" w:firstLineChars="0"/>
              <w:jc w:val="center"/>
              <w:rPr>
                <w:rFonts w:ascii="Times New Roman" w:hAnsi="Times New Roman" w:cs="Times New Roman"/>
              </w:rPr>
            </w:pPr>
            <w:r>
              <w:rPr>
                <w:rFonts w:hint="eastAsia" w:ascii="Times New Roman" w:hAnsi="Times New Roman" w:cs="Times New Roman"/>
              </w:rPr>
              <w:t>号</w:t>
            </w:r>
          </w:p>
        </w:tc>
        <w:tc>
          <w:tcPr>
            <w:tcW w:w="1554"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产品</w:t>
            </w:r>
          </w:p>
          <w:p>
            <w:pPr>
              <w:ind w:firstLine="0" w:firstLineChars="0"/>
              <w:jc w:val="center"/>
              <w:rPr>
                <w:rFonts w:ascii="Times New Roman" w:hAnsi="Times New Roman" w:cs="Times New Roman"/>
              </w:rPr>
            </w:pPr>
            <w:r>
              <w:rPr>
                <w:rFonts w:hint="eastAsia" w:ascii="Times New Roman" w:hAnsi="Times New Roman" w:cs="Times New Roman"/>
              </w:rPr>
              <w:t>名称</w:t>
            </w:r>
          </w:p>
        </w:tc>
        <w:tc>
          <w:tcPr>
            <w:tcW w:w="1036" w:type="dxa"/>
            <w:tcBorders>
              <w:top w:val="single" w:color="auto" w:sz="6" w:space="0"/>
              <w:left w:val="single" w:color="auto" w:sz="6" w:space="0"/>
              <w:bottom w:val="single" w:color="auto" w:sz="6" w:space="0"/>
              <w:right w:val="single" w:color="auto" w:sz="4"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制造</w:t>
            </w:r>
          </w:p>
          <w:p>
            <w:pPr>
              <w:ind w:firstLine="0" w:firstLineChars="0"/>
              <w:jc w:val="center"/>
              <w:rPr>
                <w:rFonts w:ascii="Times New Roman" w:hAnsi="Times New Roman" w:cs="Times New Roman"/>
              </w:rPr>
            </w:pPr>
            <w:r>
              <w:rPr>
                <w:rFonts w:hint="eastAsia" w:ascii="Times New Roman" w:hAnsi="Times New Roman" w:cs="Times New Roman"/>
              </w:rPr>
              <w:t>厂家</w:t>
            </w:r>
          </w:p>
        </w:tc>
        <w:tc>
          <w:tcPr>
            <w:tcW w:w="1036" w:type="dxa"/>
            <w:tcBorders>
              <w:top w:val="single" w:color="auto" w:sz="6" w:space="0"/>
              <w:left w:val="single" w:color="auto" w:sz="4"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规格</w:t>
            </w:r>
          </w:p>
          <w:p>
            <w:pPr>
              <w:ind w:firstLine="0" w:firstLineChars="0"/>
              <w:jc w:val="center"/>
              <w:rPr>
                <w:rFonts w:ascii="Times New Roman" w:hAnsi="Times New Roman" w:cs="Times New Roman"/>
              </w:rPr>
            </w:pPr>
            <w:r>
              <w:rPr>
                <w:rFonts w:hint="eastAsia" w:ascii="Times New Roman" w:hAnsi="Times New Roman" w:cs="Times New Roman"/>
              </w:rPr>
              <w:t>型号</w:t>
            </w: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r>
              <w:rPr>
                <w:rFonts w:hint="eastAsia" w:ascii="Times New Roman" w:hAnsi="Times New Roman" w:cs="Times New Roman"/>
              </w:rPr>
              <w:t>类</w:t>
            </w:r>
          </w:p>
          <w:p>
            <w:pPr>
              <w:ind w:firstLine="0" w:firstLineChars="0"/>
              <w:jc w:val="center"/>
              <w:rPr>
                <w:rFonts w:ascii="Times New Roman" w:hAnsi="Times New Roman" w:cs="Times New Roman"/>
              </w:rPr>
            </w:pPr>
            <w:r>
              <w:rPr>
                <w:rFonts w:hint="eastAsia" w:ascii="Times New Roman" w:hAnsi="Times New Roman" w:cs="Times New Roman"/>
              </w:rPr>
              <w:t>别</w:t>
            </w:r>
          </w:p>
        </w:tc>
        <w:tc>
          <w:tcPr>
            <w:tcW w:w="167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认证证书</w:t>
            </w:r>
          </w:p>
          <w:p>
            <w:pPr>
              <w:ind w:firstLine="0" w:firstLineChars="0"/>
              <w:jc w:val="center"/>
              <w:rPr>
                <w:rFonts w:ascii="Times New Roman" w:hAnsi="Times New Roman" w:cs="Times New Roman"/>
              </w:rPr>
            </w:pPr>
            <w:r>
              <w:rPr>
                <w:rFonts w:hint="eastAsia" w:ascii="Times New Roman" w:hAnsi="Times New Roman" w:cs="Times New Roman"/>
              </w:rPr>
              <w:t>编号</w:t>
            </w:r>
          </w:p>
        </w:tc>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数</w:t>
            </w:r>
          </w:p>
          <w:p>
            <w:pPr>
              <w:ind w:firstLine="0" w:firstLineChars="0"/>
              <w:jc w:val="center"/>
              <w:rPr>
                <w:rFonts w:ascii="Times New Roman" w:hAnsi="Times New Roman" w:cs="Times New Roman"/>
              </w:rPr>
            </w:pPr>
            <w:r>
              <w:rPr>
                <w:rFonts w:hint="eastAsia" w:ascii="Times New Roman" w:hAnsi="Times New Roman" w:cs="Times New Roman"/>
              </w:rPr>
              <w:t>量</w:t>
            </w:r>
          </w:p>
        </w:tc>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单</w:t>
            </w:r>
          </w:p>
          <w:p>
            <w:pPr>
              <w:ind w:firstLine="0" w:firstLineChars="0"/>
              <w:jc w:val="center"/>
              <w:rPr>
                <w:rFonts w:ascii="Times New Roman" w:hAnsi="Times New Roman" w:cs="Times New Roman"/>
              </w:rPr>
            </w:pPr>
            <w:r>
              <w:rPr>
                <w:rFonts w:hint="eastAsia" w:ascii="Times New Roman" w:hAnsi="Times New Roman" w:cs="Times New Roman"/>
              </w:rPr>
              <w:t>价</w:t>
            </w:r>
          </w:p>
        </w:tc>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总</w:t>
            </w:r>
          </w:p>
          <w:p>
            <w:pPr>
              <w:ind w:firstLine="0" w:firstLineChars="0"/>
              <w:jc w:val="center"/>
              <w:rPr>
                <w:rFonts w:ascii="Times New Roman" w:hAnsi="Times New Roman" w:cs="Times New Roman"/>
              </w:rPr>
            </w:pPr>
            <w:r>
              <w:rPr>
                <w:rFonts w:hint="eastAsia" w:ascii="Times New Roman" w:hAnsi="Times New Roman" w:cs="Times New Roman"/>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占</w:t>
            </w:r>
            <w:r>
              <w:rPr>
                <w:rFonts w:hint="eastAsia" w:ascii="Times New Roman" w:hAnsi="Times New Roman" w:cs="Times New Roman"/>
                <w:lang w:val="en-US" w:eastAsia="zh-CN"/>
              </w:rPr>
              <w:t>报价</w:t>
            </w:r>
            <w:r>
              <w:rPr>
                <w:rFonts w:hint="eastAsia" w:ascii="Times New Roman" w:hAnsi="Times New Roman" w:cs="Times New Roman"/>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p>
        </w:tc>
      </w:tr>
    </w:tbl>
    <w:p>
      <w:pPr>
        <w:ind w:left="1320" w:leftChars="200" w:hanging="840" w:hangingChars="350"/>
        <w:jc w:val="left"/>
        <w:rPr>
          <w:rFonts w:hint="eastAsia" w:ascii="Times New Roman" w:hAnsi="Times New Roman" w:eastAsia="楷体" w:cs="Times New Roman"/>
          <w:lang w:eastAsia="zh-CN"/>
        </w:rPr>
      </w:pPr>
      <w:r>
        <w:rPr>
          <w:rFonts w:hint="eastAsia" w:ascii="Times New Roman" w:hAnsi="Times New Roman" w:cs="Times New Roman"/>
        </w:rPr>
        <w:t>注：1、如产品为节能环保、环境标志产品，须按格式逐项填写，并附相关证明</w:t>
      </w:r>
      <w:r>
        <w:rPr>
          <w:rFonts w:hint="eastAsia" w:ascii="Times New Roman" w:hAnsi="Times New Roman" w:cs="Times New Roman"/>
          <w:lang w:eastAsia="zh-CN"/>
        </w:rPr>
        <w:t>；</w:t>
      </w:r>
    </w:p>
    <w:p>
      <w:pPr>
        <w:ind w:firstLine="960" w:firstLineChars="400"/>
        <w:jc w:val="left"/>
        <w:rPr>
          <w:rFonts w:ascii="Times New Roman" w:hAnsi="Times New Roman" w:cs="Times New Roman"/>
        </w:rPr>
      </w:pPr>
      <w:bookmarkStart w:id="159" w:name="_Toc25494_WPSOffice_Level2"/>
      <w:r>
        <w:rPr>
          <w:rFonts w:hint="eastAsia" w:ascii="Times New Roman" w:hAnsi="Times New Roman" w:cs="Times New Roman"/>
        </w:rPr>
        <w:t>2、类别填写：节能环保产品或环境标志产品。</w:t>
      </w:r>
      <w:bookmarkEnd w:id="159"/>
    </w:p>
    <w:p>
      <w:pPr>
        <w:widowControl/>
        <w:ind w:firstLine="480"/>
        <w:rPr>
          <w:rFonts w:ascii="楷体" w:hAnsi="楷体" w:cs="楷体"/>
          <w:color w:val="000000" w:themeColor="text1"/>
          <w:kern w:val="0"/>
          <w:lang w:val="zh-CN"/>
          <w14:textFill>
            <w14:solidFill>
              <w14:schemeClr w14:val="tx1"/>
            </w14:solidFill>
          </w14:textFill>
        </w:rPr>
      </w:pP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供应商</w:t>
      </w:r>
      <w:r>
        <w:rPr>
          <w:rFonts w:hint="eastAsia" w:ascii="楷体" w:hAnsi="楷体" w:cs="楷体"/>
          <w:color w:val="000000" w:themeColor="text1"/>
          <w:kern w:val="0"/>
          <w14:textFill>
            <w14:solidFill>
              <w14:schemeClr w14:val="tx1"/>
            </w14:solidFill>
          </w14:textFill>
        </w:rPr>
        <w:t>全称</w:t>
      </w:r>
      <w:r>
        <w:rPr>
          <w:rFonts w:hint="eastAsia" w:ascii="楷体" w:hAnsi="楷体" w:cs="楷体"/>
          <w:color w:val="000000" w:themeColor="text1"/>
          <w:kern w:val="0"/>
          <w:lang w:val="zh-CN"/>
          <w14:textFill>
            <w14:solidFill>
              <w14:schemeClr w14:val="tx1"/>
            </w14:solidFill>
          </w14:textFill>
        </w:rPr>
        <w:t>：</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（公章）</w:t>
      </w:r>
    </w:p>
    <w:p>
      <w:pPr>
        <w:widowControl/>
        <w:ind w:firstLine="480"/>
        <w:rPr>
          <w:rFonts w:ascii="楷体" w:hAnsi="楷体" w:cs="楷体"/>
          <w:color w:val="000000" w:themeColor="text1"/>
          <w:kern w:val="0"/>
          <w14:textFill>
            <w14:solidFill>
              <w14:schemeClr w14:val="tx1"/>
            </w14:solidFill>
          </w14:textFill>
        </w:rPr>
      </w:pPr>
    </w:p>
    <w:p>
      <w:pPr>
        <w:widowControl/>
        <w:ind w:firstLine="48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法定代表人</w:t>
      </w:r>
      <w:r>
        <w:rPr>
          <w:rFonts w:hint="eastAsia" w:ascii="楷体" w:hAnsi="楷体" w:cs="楷体"/>
          <w:color w:val="000000" w:themeColor="text1"/>
          <w:kern w:val="0"/>
          <w14:textFill>
            <w14:solidFill>
              <w14:schemeClr w14:val="tx1"/>
            </w14:solidFill>
          </w14:textFill>
        </w:rPr>
        <w:t>或</w:t>
      </w:r>
      <w:r>
        <w:rPr>
          <w:rFonts w:hint="eastAsia" w:ascii="楷体" w:hAnsi="楷体" w:cs="楷体"/>
          <w:color w:val="000000" w:themeColor="text1"/>
          <w:kern w:val="0"/>
          <w:lang w:val="zh-CN"/>
          <w14:textFill>
            <w14:solidFill>
              <w14:schemeClr w14:val="tx1"/>
            </w14:solidFill>
          </w14:textFill>
        </w:rPr>
        <w:t>授权代表：</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（签字）</w:t>
      </w: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w:t>
      </w:r>
    </w:p>
    <w:p>
      <w:pPr>
        <w:widowControl/>
        <w:ind w:firstLine="6000" w:firstLineChars="250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年       月      日</w:t>
      </w:r>
    </w:p>
    <w:p>
      <w:pPr>
        <w:ind w:firstLine="562"/>
        <w:rPr>
          <w:rFonts w:ascii="Arial" w:hAnsi="Arial"/>
          <w:b/>
          <w:sz w:val="28"/>
        </w:rPr>
      </w:pPr>
      <w:r>
        <w:rPr>
          <w:rFonts w:hint="eastAsia" w:ascii="Arial" w:hAnsi="Arial"/>
          <w:b/>
          <w:sz w:val="28"/>
        </w:rPr>
        <w:br w:type="page"/>
      </w:r>
    </w:p>
    <w:p>
      <w:pPr>
        <w:jc w:val="cente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rPr>
        <w:t>货物说明一览表</w:t>
      </w:r>
    </w:p>
    <w:p>
      <w:pPr>
        <w:widowControl/>
        <w:ind w:left="0" w:leftChars="0" w:firstLine="0" w:firstLineChars="0"/>
        <w:rPr>
          <w:rFonts w:hint="eastAsia" w:ascii="楷体" w:hAnsi="楷体" w:cs="楷体"/>
          <w:b w:val="0"/>
          <w:bCs w:val="0"/>
          <w:color w:val="auto"/>
          <w:kern w:val="0"/>
          <w:highlight w:val="none"/>
          <w:u w:val="none"/>
          <w:lang w:val="en-US" w:eastAsia="zh-CN"/>
        </w:rPr>
      </w:pPr>
    </w:p>
    <w:p>
      <w:pPr>
        <w:widowControl/>
        <w:ind w:left="0" w:leftChars="0" w:firstLine="0" w:firstLineChars="0"/>
        <w:rPr>
          <w:rFonts w:ascii="楷体" w:hAnsi="楷体" w:cs="楷体"/>
          <w:color w:val="auto"/>
          <w:kern w:val="0"/>
          <w:highlight w:val="none"/>
        </w:rPr>
      </w:pPr>
      <w:r>
        <w:rPr>
          <w:rFonts w:hint="eastAsia" w:ascii="楷体" w:hAnsi="楷体" w:cs="楷体"/>
          <w:b w:val="0"/>
          <w:bCs w:val="0"/>
          <w:color w:val="000000"/>
          <w:kern w:val="0"/>
          <w:highlight w:val="none"/>
          <w:u w:val="none"/>
          <w:lang w:val="en-US" w:eastAsia="zh-CN"/>
        </w:rPr>
        <w:t>采购项目编号</w:t>
      </w:r>
      <w:r>
        <w:rPr>
          <w:rFonts w:hint="eastAsia" w:ascii="楷体" w:hAnsi="楷体" w:cs="楷体"/>
          <w:b w:val="0"/>
          <w:bCs w:val="0"/>
          <w:color w:val="auto"/>
          <w:kern w:val="0"/>
          <w:highlight w:val="none"/>
          <w:u w:val="none"/>
          <w:lang w:val="en-US" w:eastAsia="zh-CN"/>
        </w:rPr>
        <w:t>：</w:t>
      </w:r>
      <w:r>
        <w:rPr>
          <w:rFonts w:hint="eastAsia" w:ascii="楷体" w:hAnsi="楷体" w:cs="楷体"/>
          <w:b w:val="0"/>
          <w:bCs w:val="0"/>
          <w:color w:val="auto"/>
          <w:kern w:val="0"/>
          <w:highlight w:val="none"/>
          <w:u w:val="single"/>
          <w:lang w:val="en-US" w:eastAsia="zh-CN"/>
        </w:rPr>
        <w:t xml:space="preserve">               </w:t>
      </w:r>
      <w:r>
        <w:rPr>
          <w:rFonts w:hint="eastAsia" w:ascii="楷体" w:hAnsi="楷体" w:cs="楷体"/>
          <w:b w:val="0"/>
          <w:bCs w:val="0"/>
          <w:color w:val="auto"/>
          <w:kern w:val="0"/>
          <w:highlight w:val="none"/>
          <w:u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b/>
          <w:bCs/>
          <w:color w:val="auto"/>
          <w:kern w:val="0"/>
          <w:highlight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79"/>
        <w:gridCol w:w="1331"/>
        <w:gridCol w:w="2957"/>
        <w:gridCol w:w="1590"/>
        <w:gridCol w:w="1046"/>
        <w:gridCol w:w="10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11" w:type="pct"/>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序号</w:t>
            </w:r>
          </w:p>
        </w:tc>
        <w:tc>
          <w:tcPr>
            <w:tcW w:w="591" w:type="pct"/>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名称</w:t>
            </w:r>
          </w:p>
        </w:tc>
        <w:tc>
          <w:tcPr>
            <w:tcW w:w="667" w:type="pct"/>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品牌</w:t>
            </w:r>
            <w:r>
              <w:rPr>
                <w:color w:val="auto"/>
                <w:highlight w:val="none"/>
              </w:rPr>
              <w:t>/</w:t>
            </w:r>
            <w:r>
              <w:rPr>
                <w:rFonts w:hint="eastAsia"/>
                <w:color w:val="auto"/>
                <w:highlight w:val="none"/>
              </w:rPr>
              <w:t>型号</w:t>
            </w:r>
          </w:p>
        </w:tc>
        <w:tc>
          <w:tcPr>
            <w:tcW w:w="1482" w:type="pct"/>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配置、规格及主要技术参数</w:t>
            </w:r>
          </w:p>
        </w:tc>
        <w:tc>
          <w:tcPr>
            <w:tcW w:w="797" w:type="pct"/>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制造厂家</w:t>
            </w:r>
          </w:p>
        </w:tc>
        <w:tc>
          <w:tcPr>
            <w:tcW w:w="524" w:type="pct"/>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rFonts w:hint="eastAsia"/>
                <w:color w:val="auto"/>
                <w:highlight w:val="none"/>
              </w:rPr>
            </w:pPr>
            <w:r>
              <w:rPr>
                <w:rFonts w:hint="eastAsia"/>
                <w:color w:val="auto"/>
                <w:highlight w:val="none"/>
              </w:rPr>
              <w:t>数量</w:t>
            </w:r>
          </w:p>
        </w:tc>
        <w:tc>
          <w:tcPr>
            <w:tcW w:w="524" w:type="pct"/>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color w:val="auto"/>
                <w:highlight w:val="none"/>
              </w:rPr>
            </w:pPr>
            <w:r>
              <w:rPr>
                <w:rFonts w:hint="eastAsia"/>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411" w:type="pct"/>
            <w:noWrap w:val="0"/>
            <w:vAlign w:val="top"/>
          </w:tcPr>
          <w:p>
            <w:pPr>
              <w:rPr>
                <w:color w:val="auto"/>
                <w:highlight w:val="none"/>
              </w:rPr>
            </w:pPr>
          </w:p>
        </w:tc>
        <w:tc>
          <w:tcPr>
            <w:tcW w:w="591" w:type="pct"/>
            <w:noWrap w:val="0"/>
            <w:vAlign w:val="top"/>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411" w:type="pct"/>
            <w:noWrap w:val="0"/>
            <w:vAlign w:val="top"/>
          </w:tcPr>
          <w:p>
            <w:pPr>
              <w:rPr>
                <w:color w:val="auto"/>
                <w:highlight w:val="none"/>
              </w:rPr>
            </w:pPr>
          </w:p>
        </w:tc>
        <w:tc>
          <w:tcPr>
            <w:tcW w:w="591" w:type="pct"/>
            <w:noWrap w:val="0"/>
            <w:vAlign w:val="top"/>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top"/>
          </w:tcPr>
          <w:p>
            <w:pPr>
              <w:rPr>
                <w:color w:val="auto"/>
                <w:highlight w:val="none"/>
              </w:rPr>
            </w:pPr>
          </w:p>
        </w:tc>
        <w:tc>
          <w:tcPr>
            <w:tcW w:w="591" w:type="pct"/>
            <w:noWrap w:val="0"/>
            <w:vAlign w:val="top"/>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top"/>
          </w:tcPr>
          <w:p>
            <w:pPr>
              <w:rPr>
                <w:color w:val="auto"/>
                <w:highlight w:val="none"/>
              </w:rPr>
            </w:pPr>
          </w:p>
        </w:tc>
        <w:tc>
          <w:tcPr>
            <w:tcW w:w="591" w:type="pct"/>
            <w:noWrap w:val="0"/>
            <w:vAlign w:val="top"/>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top"/>
          </w:tcPr>
          <w:p>
            <w:pPr>
              <w:rPr>
                <w:color w:val="auto"/>
                <w:highlight w:val="none"/>
              </w:rPr>
            </w:pPr>
          </w:p>
        </w:tc>
        <w:tc>
          <w:tcPr>
            <w:tcW w:w="591" w:type="pct"/>
            <w:noWrap w:val="0"/>
            <w:vAlign w:val="top"/>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top"/>
          </w:tcPr>
          <w:p>
            <w:pPr>
              <w:rPr>
                <w:color w:val="auto"/>
                <w:highlight w:val="none"/>
              </w:rPr>
            </w:pPr>
          </w:p>
        </w:tc>
        <w:tc>
          <w:tcPr>
            <w:tcW w:w="591" w:type="pct"/>
            <w:noWrap w:val="0"/>
            <w:vAlign w:val="center"/>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top"/>
          </w:tcPr>
          <w:p>
            <w:pPr>
              <w:rPr>
                <w:color w:val="auto"/>
                <w:highlight w:val="none"/>
              </w:rPr>
            </w:pPr>
          </w:p>
        </w:tc>
        <w:tc>
          <w:tcPr>
            <w:tcW w:w="591" w:type="pct"/>
            <w:noWrap w:val="0"/>
            <w:vAlign w:val="center"/>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noWrap w:val="0"/>
            <w:vAlign w:val="top"/>
          </w:tcPr>
          <w:p>
            <w:pPr>
              <w:rPr>
                <w:color w:val="auto"/>
                <w:highlight w:val="none"/>
              </w:rPr>
            </w:pPr>
          </w:p>
        </w:tc>
        <w:tc>
          <w:tcPr>
            <w:tcW w:w="591" w:type="pct"/>
            <w:noWrap w:val="0"/>
            <w:vAlign w:val="center"/>
          </w:tcPr>
          <w:p>
            <w:pPr>
              <w:rPr>
                <w:color w:val="auto"/>
                <w:highlight w:val="none"/>
              </w:rPr>
            </w:pPr>
          </w:p>
        </w:tc>
        <w:tc>
          <w:tcPr>
            <w:tcW w:w="667" w:type="pct"/>
            <w:noWrap w:val="0"/>
            <w:vAlign w:val="top"/>
          </w:tcPr>
          <w:p>
            <w:pPr>
              <w:rPr>
                <w:color w:val="auto"/>
                <w:highlight w:val="none"/>
              </w:rPr>
            </w:pPr>
          </w:p>
        </w:tc>
        <w:tc>
          <w:tcPr>
            <w:tcW w:w="1482" w:type="pct"/>
            <w:noWrap w:val="0"/>
            <w:vAlign w:val="top"/>
          </w:tcPr>
          <w:p>
            <w:pPr>
              <w:rPr>
                <w:color w:val="auto"/>
                <w:highlight w:val="none"/>
              </w:rPr>
            </w:pPr>
          </w:p>
        </w:tc>
        <w:tc>
          <w:tcPr>
            <w:tcW w:w="797" w:type="pct"/>
            <w:noWrap w:val="0"/>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c>
          <w:tcPr>
            <w:tcW w:w="524" w:type="pct"/>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tcBorders>
              <w:bottom w:val="double" w:color="auto" w:sz="4" w:space="0"/>
            </w:tcBorders>
            <w:noWrap w:val="0"/>
            <w:vAlign w:val="top"/>
          </w:tcPr>
          <w:p>
            <w:pPr>
              <w:rPr>
                <w:color w:val="auto"/>
                <w:highlight w:val="none"/>
              </w:rPr>
            </w:pPr>
          </w:p>
        </w:tc>
        <w:tc>
          <w:tcPr>
            <w:tcW w:w="591" w:type="pct"/>
            <w:tcBorders>
              <w:bottom w:val="double" w:color="auto" w:sz="4" w:space="0"/>
            </w:tcBorders>
            <w:noWrap w:val="0"/>
            <w:vAlign w:val="center"/>
          </w:tcPr>
          <w:p>
            <w:pPr>
              <w:rPr>
                <w:color w:val="auto"/>
                <w:highlight w:val="none"/>
              </w:rPr>
            </w:pPr>
          </w:p>
        </w:tc>
        <w:tc>
          <w:tcPr>
            <w:tcW w:w="667" w:type="pct"/>
            <w:tcBorders>
              <w:bottom w:val="double" w:color="auto" w:sz="4" w:space="0"/>
            </w:tcBorders>
            <w:noWrap w:val="0"/>
            <w:vAlign w:val="top"/>
          </w:tcPr>
          <w:p>
            <w:pPr>
              <w:rPr>
                <w:color w:val="auto"/>
                <w:highlight w:val="none"/>
              </w:rPr>
            </w:pPr>
          </w:p>
        </w:tc>
        <w:tc>
          <w:tcPr>
            <w:tcW w:w="1482" w:type="pct"/>
            <w:tcBorders>
              <w:bottom w:val="double" w:color="auto" w:sz="4" w:space="0"/>
            </w:tcBorders>
            <w:noWrap w:val="0"/>
            <w:vAlign w:val="top"/>
          </w:tcPr>
          <w:p>
            <w:pPr>
              <w:rPr>
                <w:color w:val="auto"/>
                <w:highlight w:val="none"/>
              </w:rPr>
            </w:pPr>
          </w:p>
        </w:tc>
        <w:tc>
          <w:tcPr>
            <w:tcW w:w="797" w:type="pct"/>
            <w:tcBorders>
              <w:bottom w:val="double" w:color="auto" w:sz="4" w:space="0"/>
            </w:tcBorders>
            <w:noWrap w:val="0"/>
            <w:vAlign w:val="top"/>
          </w:tcPr>
          <w:p>
            <w:pPr>
              <w:rPr>
                <w:color w:val="auto"/>
                <w:highlight w:val="none"/>
              </w:rPr>
            </w:pPr>
          </w:p>
        </w:tc>
        <w:tc>
          <w:tcPr>
            <w:tcW w:w="524" w:type="pct"/>
            <w:tcBorders>
              <w:bottom w:val="double" w:color="auto" w:sz="4" w:space="0"/>
            </w:tcBorders>
            <w:noWrap w:val="0"/>
            <w:tcMar>
              <w:top w:w="28" w:type="dxa"/>
              <w:left w:w="57" w:type="dxa"/>
              <w:bottom w:w="28" w:type="dxa"/>
              <w:right w:w="57" w:type="dxa"/>
            </w:tcMar>
            <w:vAlign w:val="top"/>
          </w:tcPr>
          <w:p>
            <w:pPr>
              <w:rPr>
                <w:color w:val="auto"/>
                <w:highlight w:val="none"/>
              </w:rPr>
            </w:pPr>
          </w:p>
        </w:tc>
        <w:tc>
          <w:tcPr>
            <w:tcW w:w="524" w:type="pct"/>
            <w:tcBorders>
              <w:bottom w:val="double" w:color="auto" w:sz="4" w:space="0"/>
            </w:tcBorders>
            <w:noWrap w:val="0"/>
            <w:tcMar>
              <w:top w:w="28" w:type="dxa"/>
              <w:left w:w="57" w:type="dxa"/>
              <w:bottom w:w="28" w:type="dxa"/>
              <w:right w:w="57" w:type="dxa"/>
            </w:tcMar>
            <w:vAlign w:val="top"/>
          </w:tcPr>
          <w:p>
            <w:pPr>
              <w:rPr>
                <w:color w:val="auto"/>
                <w:highlight w:val="none"/>
              </w:rPr>
            </w:pPr>
          </w:p>
        </w:tc>
      </w:tr>
    </w:tbl>
    <w:p>
      <w:pPr>
        <w:ind w:left="0" w:leftChars="0" w:firstLine="0" w:firstLineChars="0"/>
        <w:rPr>
          <w:rFonts w:hint="eastAsia"/>
          <w:color w:val="auto"/>
          <w:highlight w:val="none"/>
        </w:rPr>
      </w:pPr>
    </w:p>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注：1</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本表须如实逐项填写，不得空缺。空缺将视为没有实质性响应</w:t>
      </w:r>
      <w:r>
        <w:rPr>
          <w:rFonts w:hint="eastAsia" w:ascii="楷体" w:hAnsi="楷体" w:eastAsia="楷体" w:cs="楷体"/>
          <w:color w:val="auto"/>
          <w:highlight w:val="none"/>
          <w:lang w:val="en-US" w:eastAsia="zh-CN"/>
        </w:rPr>
        <w:t>谈判</w:t>
      </w:r>
      <w:r>
        <w:rPr>
          <w:rFonts w:hint="eastAsia" w:ascii="楷体" w:hAnsi="楷体" w:eastAsia="楷体" w:cs="楷体"/>
          <w:color w:val="auto"/>
          <w:highlight w:val="none"/>
        </w:rPr>
        <w:t>文件。</w:t>
      </w:r>
    </w:p>
    <w:p>
      <w:pPr>
        <w:rPr>
          <w:rFonts w:hint="eastAsia" w:ascii="楷体" w:hAnsi="楷体" w:eastAsia="楷体" w:cs="楷体"/>
          <w:color w:val="auto"/>
          <w:highlight w:val="none"/>
        </w:rPr>
      </w:pPr>
      <w:r>
        <w:rPr>
          <w:rFonts w:hint="eastAsia" w:ascii="楷体" w:hAnsi="楷体" w:eastAsia="楷体" w:cs="楷体"/>
          <w:color w:val="auto"/>
          <w:highlight w:val="none"/>
        </w:rPr>
        <w:t>2</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若货物没有具体型号和注册商标的须注明。各项货物详细技术性能可另页描述。</w:t>
      </w:r>
    </w:p>
    <w:p>
      <w:pPr>
        <w:rPr>
          <w:rFonts w:hint="eastAsia" w:ascii="Arial" w:hAnsi="Arial"/>
          <w:b/>
          <w:color w:val="auto"/>
          <w:sz w:val="28"/>
          <w:highlight w:val="none"/>
        </w:rPr>
      </w:pPr>
    </w:p>
    <w:p>
      <w:pPr>
        <w:pStyle w:val="2"/>
        <w:rPr>
          <w:rFonts w:hint="eastAsia" w:ascii="Arial" w:hAnsi="Arial"/>
          <w:b/>
          <w:color w:val="auto"/>
          <w:sz w:val="28"/>
          <w:highlight w:val="none"/>
        </w:rPr>
      </w:pPr>
    </w:p>
    <w:p>
      <w:pPr>
        <w:rPr>
          <w:rFonts w:hint="eastAsia"/>
          <w:highlight w:val="none"/>
        </w:rPr>
      </w:pP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楷体" w:hAnsi="楷体" w:cs="楷体"/>
          <w:color w:val="auto"/>
          <w:kern w:val="0"/>
          <w:highlight w:val="none"/>
          <w:lang w:val="zh-CN"/>
        </w:rPr>
        <w:t xml:space="preserve"> </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lang w:val="zh-CN"/>
        </w:rPr>
        <w:t>年       月      日</w:t>
      </w:r>
    </w:p>
    <w:p>
      <w:pPr>
        <w:spacing w:line="440" w:lineRule="exact"/>
        <w:ind w:firstLine="480"/>
        <w:jc w:val="center"/>
        <w:rPr>
          <w:rFonts w:hint="eastAsia" w:ascii="楷体" w:hAnsi="楷体" w:cs="楷体"/>
          <w:b/>
          <w:sz w:val="30"/>
          <w:szCs w:val="30"/>
        </w:rPr>
      </w:pPr>
    </w:p>
    <w:p>
      <w:pPr>
        <w:spacing w:line="440" w:lineRule="exact"/>
        <w:ind w:firstLine="480"/>
        <w:jc w:val="center"/>
        <w:rPr>
          <w:rFonts w:hint="eastAsia" w:ascii="楷体" w:hAnsi="楷体" w:cs="楷体"/>
          <w:b/>
          <w:sz w:val="30"/>
          <w:szCs w:val="30"/>
        </w:rPr>
      </w:pPr>
    </w:p>
    <w:p>
      <w:pPr>
        <w:rPr>
          <w:rFonts w:hint="eastAsia" w:ascii="楷体" w:hAnsi="楷体" w:cs="楷体"/>
          <w:b/>
          <w:sz w:val="30"/>
          <w:szCs w:val="30"/>
        </w:rPr>
      </w:pPr>
      <w:r>
        <w:rPr>
          <w:rFonts w:hint="eastAsia" w:ascii="楷体" w:hAnsi="楷体" w:cs="楷体"/>
          <w:b/>
          <w:sz w:val="30"/>
          <w:szCs w:val="30"/>
        </w:rPr>
        <w:br w:type="page"/>
      </w:r>
    </w:p>
    <w:p>
      <w:pPr>
        <w:widowControl/>
        <w:ind w:firstLine="0" w:firstLineChars="0"/>
        <w:jc w:val="center"/>
        <w:rPr>
          <w:rFonts w:hint="default" w:ascii="Arial" w:hAnsi="Arial" w:eastAsia="楷体" w:cs="Times New Roman"/>
          <w:b/>
          <w:sz w:val="28"/>
          <w:lang w:val="en-US" w:eastAsia="zh-CN"/>
        </w:rPr>
      </w:pPr>
      <w:r>
        <w:rPr>
          <w:rFonts w:hint="eastAsia" w:ascii="Arial" w:hAnsi="Arial" w:cs="Times New Roman"/>
          <w:b/>
          <w:sz w:val="28"/>
          <w:lang w:val="en-US" w:eastAsia="zh-CN"/>
        </w:rPr>
        <w:t>第三部分 偏差表</w:t>
      </w:r>
    </w:p>
    <w:p>
      <w:pPr>
        <w:widowControl/>
        <w:ind w:firstLine="0" w:firstLineChars="0"/>
        <w:jc w:val="center"/>
        <w:rPr>
          <w:rFonts w:hint="eastAsia" w:ascii="Arial" w:hAnsi="Arial" w:cs="Times New Roman"/>
          <w:b/>
          <w:sz w:val="28"/>
          <w:lang w:val="zh-CN"/>
        </w:rPr>
      </w:pPr>
      <w:r>
        <w:rPr>
          <w:rFonts w:hint="eastAsia" w:ascii="Arial" w:hAnsi="Arial" w:cs="Times New Roman"/>
          <w:b/>
          <w:sz w:val="28"/>
        </w:rPr>
        <w:t>商务</w:t>
      </w:r>
      <w:r>
        <w:rPr>
          <w:rFonts w:hint="eastAsia" w:ascii="Arial" w:hAnsi="Arial" w:cs="Times New Roman"/>
          <w:b/>
          <w:sz w:val="28"/>
          <w:lang w:val="zh-CN"/>
        </w:rPr>
        <w:t>偏差表</w:t>
      </w: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noWrap w:val="0"/>
            <w:vAlign w:val="center"/>
          </w:tcPr>
          <w:p>
            <w:pPr>
              <w:widowControl/>
              <w:ind w:firstLine="0" w:firstLineChars="0"/>
              <w:jc w:val="center"/>
              <w:rPr>
                <w:rFonts w:ascii="楷体" w:hAnsi="楷体" w:cs="楷体"/>
                <w:kern w:val="0"/>
              </w:rPr>
            </w:pPr>
            <w:r>
              <w:rPr>
                <w:rFonts w:hint="eastAsia" w:ascii="楷体" w:hAnsi="楷体" w:cs="楷体"/>
                <w:kern w:val="0"/>
                <w:lang w:val="en-US" w:eastAsia="zh-CN"/>
              </w:rPr>
              <w:t>谈判</w:t>
            </w:r>
            <w:r>
              <w:rPr>
                <w:rFonts w:hint="eastAsia" w:ascii="楷体" w:hAnsi="楷体" w:cs="楷体"/>
                <w:kern w:val="0"/>
              </w:rPr>
              <w:t>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noWrap w:val="0"/>
            <w:vAlign w:val="center"/>
          </w:tcPr>
          <w:p>
            <w:pPr>
              <w:widowControl/>
              <w:ind w:firstLine="0" w:firstLineChars="0"/>
              <w:jc w:val="center"/>
              <w:rPr>
                <w:rFonts w:ascii="楷体" w:hAnsi="楷体" w:cs="楷体"/>
                <w:kern w:val="0"/>
              </w:rPr>
            </w:pPr>
            <w:r>
              <w:rPr>
                <w:rFonts w:hint="eastAsia" w:ascii="楷体" w:hAnsi="楷体" w:cs="楷体"/>
                <w:kern w:val="0"/>
                <w:lang w:val="en-US" w:eastAsia="zh-CN"/>
              </w:rPr>
              <w:t>响应</w:t>
            </w:r>
            <w:r>
              <w:rPr>
                <w:rFonts w:hint="eastAsia" w:ascii="楷体" w:hAnsi="楷体" w:cs="楷体"/>
                <w:kern w:val="0"/>
              </w:rPr>
              <w:t>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noWrap w:val="0"/>
            <w:vAlign w:val="center"/>
          </w:tcPr>
          <w:p>
            <w:pPr>
              <w:widowControl/>
              <w:ind w:firstLine="0" w:firstLineChars="0"/>
              <w:jc w:val="center"/>
              <w:rPr>
                <w:rFonts w:hint="eastAsia" w:ascii="楷体" w:hAnsi="楷体" w:cs="楷体"/>
                <w:kern w:val="0"/>
              </w:rPr>
            </w:pPr>
            <w:r>
              <w:rPr>
                <w:rFonts w:hint="eastAsia" w:ascii="楷体" w:hAnsi="楷体" w:cs="楷体"/>
                <w:kern w:val="0"/>
              </w:rPr>
              <w:t>偏离</w:t>
            </w:r>
          </w:p>
        </w:tc>
        <w:tc>
          <w:tcPr>
            <w:tcW w:w="1372" w:type="dxa"/>
            <w:noWrap w:val="0"/>
            <w:vAlign w:val="center"/>
          </w:tcPr>
          <w:p>
            <w:pPr>
              <w:widowControl/>
              <w:ind w:firstLine="0" w:firstLineChars="0"/>
              <w:jc w:val="center"/>
              <w:rPr>
                <w:rFonts w:hint="eastAsia"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r>
              <w:rPr>
                <w:rFonts w:hint="eastAsia" w:ascii="楷体" w:hAnsi="楷体" w:cs="楷体"/>
                <w:kern w:val="0"/>
              </w:rPr>
              <w:t>...</w:t>
            </w: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color w:val="auto"/>
          <w:kern w:val="0"/>
          <w:highlight w:val="none"/>
        </w:rPr>
      </w:pPr>
      <w:r>
        <w:rPr>
          <w:rFonts w:hint="eastAsia" w:ascii="楷体" w:hAnsi="楷体" w:cs="楷体"/>
          <w:kern w:val="0"/>
          <w:highlight w:val="none"/>
        </w:rPr>
        <w:t>1</w:t>
      </w:r>
      <w:r>
        <w:rPr>
          <w:rFonts w:hint="eastAsia" w:ascii="楷体" w:hAnsi="楷体" w:cs="楷体"/>
          <w:kern w:val="0"/>
          <w:highlight w:val="none"/>
          <w:lang w:eastAsia="zh-CN"/>
        </w:rPr>
        <w:t>、</w:t>
      </w:r>
      <w:r>
        <w:rPr>
          <w:rFonts w:hint="eastAsia" w:ascii="楷体" w:hAnsi="楷体" w:cs="楷体"/>
          <w:kern w:val="0"/>
          <w:highlight w:val="none"/>
        </w:rPr>
        <w:t>本表需填写</w:t>
      </w:r>
      <w:r>
        <w:rPr>
          <w:rFonts w:hint="eastAsia" w:ascii="楷体" w:hAnsi="楷体" w:cs="楷体"/>
          <w:kern w:val="0"/>
          <w:highlight w:val="none"/>
          <w:lang w:val="en-US" w:eastAsia="zh-CN"/>
        </w:rPr>
        <w:t>响应</w:t>
      </w:r>
      <w:r>
        <w:rPr>
          <w:rFonts w:hint="eastAsia" w:ascii="楷体" w:hAnsi="楷体" w:cs="楷体"/>
          <w:kern w:val="0"/>
          <w:highlight w:val="none"/>
        </w:rPr>
        <w:t>文件中与</w:t>
      </w:r>
      <w:r>
        <w:rPr>
          <w:rFonts w:hint="eastAsia" w:ascii="楷体" w:hAnsi="楷体" w:cs="楷体"/>
          <w:kern w:val="0"/>
          <w:highlight w:val="none"/>
          <w:lang w:val="en-US" w:eastAsia="zh-CN"/>
        </w:rPr>
        <w:t>竞争性谈判</w:t>
      </w:r>
      <w:r>
        <w:rPr>
          <w:rFonts w:hint="eastAsia" w:ascii="楷体" w:hAnsi="楷体" w:cs="楷体"/>
          <w:kern w:val="0"/>
          <w:highlight w:val="none"/>
        </w:rPr>
        <w:t>文件中商务条款</w:t>
      </w:r>
      <w:r>
        <w:rPr>
          <w:rFonts w:hint="eastAsia" w:ascii="楷体" w:hAnsi="楷体" w:cs="楷体"/>
          <w:kern w:val="0"/>
          <w:highlight w:val="none"/>
          <w:lang w:eastAsia="zh-CN"/>
        </w:rPr>
        <w:t>（第三部分采购</w:t>
      </w:r>
      <w:r>
        <w:rPr>
          <w:rFonts w:hint="eastAsia" w:ascii="楷体" w:hAnsi="楷体" w:cs="楷体"/>
          <w:kern w:val="0"/>
          <w:highlight w:val="none"/>
          <w:lang w:val="en-US" w:eastAsia="zh-CN"/>
        </w:rPr>
        <w:t>内容及</w:t>
      </w:r>
      <w:r>
        <w:rPr>
          <w:rFonts w:hint="eastAsia" w:ascii="楷体" w:hAnsi="楷体" w:cs="楷体"/>
          <w:kern w:val="0"/>
          <w:highlight w:val="none"/>
          <w:lang w:eastAsia="zh-CN"/>
        </w:rPr>
        <w:t>需求中</w:t>
      </w:r>
      <w:r>
        <w:rPr>
          <w:rFonts w:hint="eastAsia" w:ascii="楷体" w:hAnsi="楷体" w:cs="楷体"/>
          <w:kern w:val="0"/>
          <w:highlight w:val="none"/>
          <w:lang w:val="en-US" w:eastAsia="zh-CN"/>
        </w:rPr>
        <w:t>的</w:t>
      </w:r>
      <w:r>
        <w:rPr>
          <w:rFonts w:hint="eastAsia" w:ascii="楷体" w:hAnsi="楷体" w:cs="楷体"/>
          <w:kern w:val="0"/>
          <w:highlight w:val="none"/>
          <w:lang w:eastAsia="zh-CN"/>
        </w:rPr>
        <w:t>商务要求，</w:t>
      </w:r>
      <w:r>
        <w:rPr>
          <w:rFonts w:hint="eastAsia" w:ascii="楷体" w:hAnsi="楷体" w:cs="楷体"/>
          <w:kern w:val="0"/>
          <w:highlight w:val="none"/>
          <w:lang w:val="en-US" w:eastAsia="zh-CN"/>
        </w:rPr>
        <w:t>包括交货期、质保期、付款方式等</w:t>
      </w:r>
      <w:r>
        <w:rPr>
          <w:rFonts w:hint="eastAsia" w:ascii="楷体" w:hAnsi="楷体" w:cs="楷体"/>
          <w:kern w:val="0"/>
          <w:highlight w:val="none"/>
          <w:lang w:eastAsia="zh-CN"/>
        </w:rPr>
        <w:t>）</w:t>
      </w:r>
      <w:r>
        <w:rPr>
          <w:rFonts w:hint="eastAsia" w:ascii="楷体" w:hAnsi="楷体" w:cs="楷体"/>
          <w:kern w:val="0"/>
          <w:highlight w:val="none"/>
          <w:lang w:val="en-US" w:eastAsia="zh-CN"/>
        </w:rPr>
        <w:t>进行逐条响应</w:t>
      </w:r>
      <w:r>
        <w:rPr>
          <w:rFonts w:hint="eastAsia" w:ascii="楷体" w:hAnsi="楷体" w:cs="楷体"/>
          <w:color w:val="auto"/>
          <w:kern w:val="0"/>
          <w:highlight w:val="none"/>
        </w:rPr>
        <w:t>，商务部分不允许有负偏离。</w:t>
      </w:r>
    </w:p>
    <w:p>
      <w:pPr>
        <w:widowControl/>
        <w:ind w:firstLine="480"/>
        <w:rPr>
          <w:rFonts w:hint="eastAsia" w:ascii="楷体" w:hAnsi="楷体" w:eastAsia="楷体" w:cs="楷体"/>
          <w:kern w:val="0"/>
          <w:highlight w:val="none"/>
          <w:lang w:eastAsia="zh-CN"/>
        </w:rPr>
      </w:pPr>
      <w:r>
        <w:rPr>
          <w:rFonts w:hint="eastAsia" w:ascii="楷体" w:hAnsi="楷体" w:cs="楷体"/>
          <w:kern w:val="0"/>
          <w:highlight w:val="none"/>
          <w:lang w:val="en-US" w:eastAsia="zh-CN"/>
        </w:rPr>
        <w:t>2、</w:t>
      </w:r>
      <w:r>
        <w:rPr>
          <w:rFonts w:hint="eastAsia" w:ascii="楷体" w:hAnsi="楷体" w:cs="楷体"/>
          <w:kern w:val="0"/>
          <w:highlight w:val="none"/>
        </w:rPr>
        <w:t>响应说明填写：优于、相同</w:t>
      </w:r>
      <w:r>
        <w:rPr>
          <w:rFonts w:hint="eastAsia" w:ascii="楷体" w:hAnsi="楷体" w:cs="楷体"/>
          <w:kern w:val="0"/>
          <w:highlight w:val="none"/>
          <w:lang w:eastAsia="zh-CN"/>
        </w:rPr>
        <w:t>。</w:t>
      </w:r>
    </w:p>
    <w:p>
      <w:pPr>
        <w:widowControl/>
        <w:ind w:firstLine="480"/>
        <w:rPr>
          <w:rFonts w:hint="eastAsia" w:ascii="楷体" w:hAnsi="楷体" w:cs="楷体"/>
          <w:kern w:val="0"/>
          <w:highlight w:val="none"/>
        </w:rPr>
      </w:pPr>
      <w:r>
        <w:rPr>
          <w:rFonts w:hint="eastAsia" w:ascii="楷体" w:hAnsi="楷体" w:cs="楷体"/>
          <w:kern w:val="0"/>
          <w:highlight w:val="none"/>
          <w:lang w:val="en-US" w:eastAsia="zh-CN"/>
        </w:rPr>
        <w:t>3</w:t>
      </w:r>
      <w:r>
        <w:rPr>
          <w:rFonts w:hint="eastAsia" w:ascii="楷体" w:hAnsi="楷体" w:cs="楷体"/>
          <w:kern w:val="0"/>
          <w:highlight w:val="none"/>
          <w:lang w:eastAsia="zh-CN"/>
        </w:rPr>
        <w:t>、</w:t>
      </w:r>
      <w:r>
        <w:rPr>
          <w:rFonts w:hint="eastAsia" w:ascii="楷体" w:hAnsi="楷体" w:cs="楷体"/>
          <w:kern w:val="0"/>
          <w:highlight w:val="none"/>
        </w:rPr>
        <w:t>供应商必须据实填写，不得虚假响应，否则将取消其响应或成交资格，并按有关规定进处罚。</w:t>
      </w:r>
    </w:p>
    <w:p>
      <w:pPr>
        <w:widowControl/>
        <w:ind w:firstLine="480"/>
        <w:rPr>
          <w:rFonts w:hint="eastAsia" w:ascii="楷体" w:hAnsi="楷体" w:cs="楷体"/>
          <w:kern w:val="0"/>
          <w:lang w:val="zh-CN"/>
        </w:rPr>
      </w:pPr>
    </w:p>
    <w:p>
      <w:pPr>
        <w:widowControl/>
        <w:ind w:firstLine="480"/>
        <w:rPr>
          <w:rFonts w:hint="eastAsia" w:ascii="楷体" w:hAnsi="楷体" w:cs="楷体"/>
          <w:kern w:val="0"/>
        </w:rPr>
      </w:pPr>
      <w:r>
        <w:rPr>
          <w:rFonts w:hint="eastAsia" w:ascii="楷体" w:hAnsi="楷体" w:cs="楷体"/>
          <w:kern w:val="0"/>
          <w:lang w:val="zh-CN"/>
        </w:rPr>
        <w:t>供应商全称：</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hint="eastAsia" w:ascii="楷体" w:hAnsi="楷体" w:cs="楷体"/>
          <w:kern w:val="0"/>
        </w:rPr>
      </w:pPr>
    </w:p>
    <w:p>
      <w:pPr>
        <w:widowControl/>
        <w:ind w:firstLine="480"/>
        <w:rPr>
          <w:rFonts w:hint="eastAsia"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widowControl/>
        <w:ind w:firstLine="0" w:firstLineChars="0"/>
        <w:jc w:val="center"/>
        <w:rPr>
          <w:rFonts w:ascii="Arial" w:hAnsi="Arial" w:cs="Times New Roman"/>
          <w:b/>
          <w:sz w:val="28"/>
          <w:lang w:val="zh-CN"/>
        </w:rPr>
      </w:pPr>
      <w:r>
        <w:rPr>
          <w:rFonts w:hint="eastAsia" w:ascii="楷体" w:hAnsi="楷体" w:cs="楷体"/>
          <w:kern w:val="0"/>
          <w:lang w:val="zh-CN"/>
        </w:rPr>
        <w:br w:type="page"/>
      </w:r>
      <w:r>
        <w:rPr>
          <w:rFonts w:hint="eastAsia" w:ascii="Arial" w:hAnsi="Arial" w:cs="Times New Roman"/>
          <w:b/>
          <w:sz w:val="28"/>
        </w:rPr>
        <w:t>技术</w:t>
      </w:r>
      <w:r>
        <w:rPr>
          <w:rFonts w:hint="eastAsia" w:ascii="Arial" w:hAnsi="Arial" w:cs="Times New Roman"/>
          <w:b/>
          <w:sz w:val="28"/>
          <w:lang w:val="zh-CN"/>
        </w:rPr>
        <w:t>偏差表</w:t>
      </w:r>
    </w:p>
    <w:p>
      <w:pPr>
        <w:widowControl w:val="0"/>
        <w:spacing w:line="360" w:lineRule="auto"/>
        <w:ind w:firstLine="560" w:firstLineChars="200"/>
        <w:jc w:val="left"/>
        <w:rPr>
          <w:rFonts w:ascii="Copperplate Gothic Bold" w:hAnsi="Copperplate Gothic Bold" w:eastAsia="楷体" w:cs="Times New Roman"/>
          <w:kern w:val="2"/>
          <w:sz w:val="28"/>
          <w:szCs w:val="24"/>
          <w:lang w:val="zh-CN" w:eastAsia="zh-CN" w:bidi="ar-SA"/>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noWrap w:val="0"/>
            <w:vAlign w:val="center"/>
          </w:tcPr>
          <w:p>
            <w:pPr>
              <w:widowControl/>
              <w:ind w:firstLine="0" w:firstLineChars="0"/>
              <w:jc w:val="center"/>
              <w:rPr>
                <w:rFonts w:ascii="楷体" w:hAnsi="楷体" w:cs="楷体"/>
                <w:kern w:val="0"/>
              </w:rPr>
            </w:pPr>
            <w:r>
              <w:rPr>
                <w:rFonts w:hint="eastAsia" w:ascii="楷体" w:hAnsi="楷体" w:cs="楷体"/>
                <w:kern w:val="0"/>
                <w:lang w:val="en-US" w:eastAsia="zh-CN"/>
              </w:rPr>
              <w:t>谈判</w:t>
            </w:r>
            <w:r>
              <w:rPr>
                <w:rFonts w:hint="eastAsia" w:ascii="楷体" w:hAnsi="楷体" w:cs="楷体"/>
                <w:kern w:val="0"/>
              </w:rPr>
              <w:t>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noWrap w:val="0"/>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noWrap w:val="0"/>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noWrap w:val="0"/>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r>
              <w:rPr>
                <w:rFonts w:hint="eastAsia" w:ascii="楷体" w:hAnsi="楷体" w:cs="楷体"/>
                <w:kern w:val="0"/>
              </w:rPr>
              <w:t>...</w:t>
            </w: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hint="eastAsia" w:ascii="楷体" w:hAnsi="楷体" w:cs="楷体"/>
          <w:b/>
          <w:bCs/>
          <w:color w:val="auto"/>
          <w:kern w:val="0"/>
          <w:highlight w:val="none"/>
          <w:lang w:val="zh-CN"/>
        </w:rPr>
      </w:pPr>
      <w:r>
        <w:rPr>
          <w:rFonts w:hint="eastAsia" w:ascii="楷体" w:hAnsi="楷体" w:cs="楷体"/>
          <w:b/>
          <w:bCs/>
          <w:color w:val="auto"/>
          <w:kern w:val="0"/>
          <w:highlight w:val="none"/>
          <w:lang w:val="en-US" w:eastAsia="zh-CN"/>
        </w:rPr>
        <w:t>1、</w:t>
      </w:r>
      <w:r>
        <w:rPr>
          <w:rFonts w:hint="eastAsia" w:ascii="楷体" w:hAnsi="楷体" w:cs="楷体"/>
          <w:b/>
          <w:bCs/>
          <w:color w:val="auto"/>
          <w:kern w:val="0"/>
          <w:highlight w:val="none"/>
          <w:lang w:val="zh-CN"/>
        </w:rPr>
        <w:t>请按项目的实际技术参数，逐条对应</w:t>
      </w:r>
      <w:r>
        <w:rPr>
          <w:rFonts w:hint="eastAsia" w:ascii="楷体" w:hAnsi="楷体" w:cs="楷体"/>
          <w:b/>
          <w:bCs/>
          <w:color w:val="auto"/>
          <w:kern w:val="0"/>
          <w:highlight w:val="none"/>
          <w:lang w:val="en-US" w:eastAsia="zh-CN"/>
        </w:rPr>
        <w:t>竞争性谈判</w:t>
      </w:r>
      <w:r>
        <w:rPr>
          <w:rFonts w:hint="eastAsia" w:ascii="楷体" w:hAnsi="楷体" w:cs="楷体"/>
          <w:b/>
          <w:bCs/>
          <w:color w:val="auto"/>
          <w:kern w:val="0"/>
          <w:highlight w:val="none"/>
          <w:lang w:val="zh-CN"/>
        </w:rPr>
        <w:t>文件</w:t>
      </w:r>
      <w:r>
        <w:rPr>
          <w:rFonts w:hint="eastAsia" w:ascii="楷体" w:hAnsi="楷体" w:cs="楷体"/>
          <w:b/>
          <w:bCs/>
          <w:color w:val="auto"/>
          <w:kern w:val="0"/>
          <w:highlight w:val="none"/>
          <w:lang w:val="zh-CN" w:eastAsia="zh-CN"/>
        </w:rPr>
        <w:t>第三</w:t>
      </w:r>
      <w:r>
        <w:rPr>
          <w:rFonts w:hint="eastAsia" w:ascii="楷体" w:hAnsi="楷体" w:cs="楷体"/>
          <w:b/>
          <w:bCs/>
          <w:color w:val="auto"/>
          <w:kern w:val="0"/>
          <w:highlight w:val="none"/>
          <w:lang w:val="en-US" w:eastAsia="zh-CN"/>
        </w:rPr>
        <w:t>章</w:t>
      </w:r>
      <w:r>
        <w:rPr>
          <w:rFonts w:hint="eastAsia" w:ascii="楷体" w:hAnsi="楷体" w:cs="楷体"/>
          <w:b/>
          <w:bCs/>
          <w:color w:val="auto"/>
          <w:kern w:val="0"/>
          <w:highlight w:val="none"/>
          <w:lang w:val="zh-CN"/>
        </w:rPr>
        <w:t>，认真填写本表。偏离情况填写：优于、等于或低于，偏离说明对偏离情况做出详细</w:t>
      </w:r>
      <w:r>
        <w:rPr>
          <w:rFonts w:hint="eastAsia" w:ascii="楷体" w:hAnsi="楷体" w:cs="楷体"/>
          <w:b/>
          <w:bCs/>
          <w:color w:val="auto"/>
          <w:kern w:val="0"/>
          <w:highlight w:val="none"/>
          <w:lang w:val="en-US" w:eastAsia="zh-CN"/>
        </w:rPr>
        <w:t>说明并提供证明材料，证明材料不限于产品检测报告复印件、官网产品相关截图等</w:t>
      </w:r>
      <w:r>
        <w:rPr>
          <w:rFonts w:hint="eastAsia" w:ascii="楷体" w:hAnsi="楷体" w:cs="楷体"/>
          <w:b/>
          <w:bCs/>
          <w:color w:val="auto"/>
          <w:kern w:val="0"/>
          <w:highlight w:val="none"/>
          <w:lang w:val="zh-CN"/>
        </w:rPr>
        <w:t>。</w:t>
      </w:r>
    </w:p>
    <w:p>
      <w:pPr>
        <w:widowControl/>
        <w:ind w:firstLine="480"/>
        <w:rPr>
          <w:rFonts w:hint="eastAsia" w:ascii="楷体" w:hAnsi="楷体" w:cs="楷体"/>
          <w:kern w:val="0"/>
          <w:highlight w:val="none"/>
          <w:lang w:val="zh-CN"/>
        </w:rPr>
      </w:pPr>
      <w:r>
        <w:rPr>
          <w:rFonts w:hint="eastAsia" w:ascii="楷体" w:hAnsi="楷体" w:cs="楷体"/>
          <w:kern w:val="0"/>
          <w:highlight w:val="none"/>
          <w:lang w:val="zh-CN"/>
        </w:rPr>
        <w:t>2、</w:t>
      </w:r>
      <w:r>
        <w:rPr>
          <w:rFonts w:hint="eastAsia" w:ascii="楷体" w:hAnsi="楷体" w:cs="楷体"/>
          <w:kern w:val="0"/>
          <w:highlight w:val="none"/>
          <w:lang w:val="en-US" w:eastAsia="zh-CN"/>
        </w:rPr>
        <w:t>供应商</w:t>
      </w:r>
      <w:r>
        <w:rPr>
          <w:rFonts w:hint="eastAsia" w:ascii="楷体" w:hAnsi="楷体" w:cs="楷体"/>
          <w:kern w:val="0"/>
          <w:highlight w:val="none"/>
          <w:lang w:val="zh-CN"/>
        </w:rPr>
        <w:t>应按实际情况填写，不得照抄、复制</w:t>
      </w:r>
      <w:r>
        <w:rPr>
          <w:rFonts w:hint="eastAsia" w:ascii="楷体" w:hAnsi="楷体" w:cs="楷体"/>
          <w:kern w:val="0"/>
          <w:highlight w:val="none"/>
          <w:lang w:val="en-US" w:eastAsia="zh-CN"/>
        </w:rPr>
        <w:t>竞争性谈判</w:t>
      </w:r>
      <w:r>
        <w:rPr>
          <w:rFonts w:hint="eastAsia" w:ascii="楷体" w:hAnsi="楷体" w:cs="楷体"/>
          <w:kern w:val="0"/>
          <w:highlight w:val="none"/>
          <w:lang w:val="zh-CN"/>
        </w:rPr>
        <w:t>文件技术参数要求，</w:t>
      </w:r>
      <w:r>
        <w:rPr>
          <w:rFonts w:hint="eastAsia" w:ascii="楷体" w:hAnsi="楷体" w:cs="楷体"/>
          <w:kern w:val="0"/>
          <w:highlight w:val="none"/>
          <w:lang w:val="en-US" w:eastAsia="zh-CN"/>
        </w:rPr>
        <w:t>否则视为未实质性响应竞争性谈判文件</w:t>
      </w:r>
      <w:r>
        <w:rPr>
          <w:rFonts w:hint="eastAsia" w:ascii="楷体" w:hAnsi="楷体" w:cs="楷体"/>
          <w:kern w:val="0"/>
          <w:highlight w:val="none"/>
          <w:lang w:val="zh-CN"/>
        </w:rPr>
        <w:t>。</w:t>
      </w:r>
    </w:p>
    <w:p>
      <w:pPr>
        <w:widowControl/>
        <w:ind w:firstLine="480"/>
        <w:rPr>
          <w:rFonts w:hint="eastAsia" w:ascii="楷体" w:hAnsi="楷体" w:cs="楷体"/>
          <w:kern w:val="0"/>
          <w:lang w:val="zh-CN"/>
        </w:rPr>
      </w:pPr>
      <w:r>
        <w:rPr>
          <w:rFonts w:hint="eastAsia" w:ascii="楷体" w:hAnsi="楷体" w:cs="楷体"/>
          <w:kern w:val="0"/>
          <w:lang w:val="zh-CN"/>
        </w:rPr>
        <w:t>3、供应商必须据实填写，不得虚假响应，否则将取消其响应或成交资格，并按有关规定进处罚。</w:t>
      </w:r>
    </w:p>
    <w:p>
      <w:pPr>
        <w:widowControl/>
        <w:ind w:firstLine="480"/>
        <w:rPr>
          <w:rFonts w:hint="eastAsia" w:ascii="楷体" w:hAnsi="楷体" w:cs="楷体"/>
          <w:kern w:val="0"/>
          <w:lang w:val="zh-CN"/>
        </w:rPr>
      </w:pPr>
    </w:p>
    <w:p>
      <w:pPr>
        <w:widowControl/>
        <w:ind w:firstLine="480"/>
        <w:rPr>
          <w:rFonts w:hint="eastAsia" w:ascii="楷体" w:hAnsi="楷体" w:cs="楷体"/>
          <w:kern w:val="0"/>
        </w:rPr>
      </w:pPr>
      <w:r>
        <w:rPr>
          <w:rFonts w:hint="eastAsia" w:ascii="楷体" w:hAnsi="楷体" w:cs="楷体"/>
          <w:kern w:val="0"/>
          <w:lang w:val="zh-CN"/>
        </w:rPr>
        <w:t>供应商全称：</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hint="eastAsia" w:ascii="楷体" w:hAnsi="楷体" w:cs="楷体"/>
          <w:kern w:val="0"/>
        </w:rPr>
      </w:pPr>
    </w:p>
    <w:p>
      <w:pPr>
        <w:widowControl/>
        <w:ind w:firstLine="480"/>
        <w:rPr>
          <w:rFonts w:hint="eastAsia"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ind w:firstLine="562"/>
        <w:jc w:val="center"/>
        <w:rPr>
          <w:rFonts w:hint="eastAsia" w:ascii="楷体" w:hAnsi="楷体" w:cs="楷体"/>
          <w:b/>
          <w:bCs/>
          <w:kern w:val="0"/>
          <w:sz w:val="28"/>
          <w:szCs w:val="28"/>
          <w:highlight w:val="none"/>
        </w:rPr>
      </w:pPr>
      <w:r>
        <w:rPr>
          <w:rFonts w:hint="eastAsia" w:ascii="楷体" w:hAnsi="楷体" w:cs="楷体"/>
          <w:kern w:val="0"/>
          <w:lang w:val="zh-CN"/>
        </w:rPr>
        <w:br w:type="page"/>
      </w:r>
    </w:p>
    <w:bookmarkEnd w:id="158"/>
    <w:p>
      <w:pPr>
        <w:pStyle w:val="4"/>
        <w:numPr>
          <w:ilvl w:val="1"/>
          <w:numId w:val="0"/>
        </w:numPr>
        <w:ind w:left="480" w:leftChars="200"/>
        <w:jc w:val="center"/>
        <w:rPr>
          <w:lang w:val="zh-CN"/>
        </w:rPr>
      </w:pPr>
      <w:bookmarkStart w:id="160" w:name="_Toc17496_WPSOffice_Level1"/>
      <w:bookmarkStart w:id="161" w:name="_Toc32699"/>
      <w:bookmarkStart w:id="162" w:name="_Toc257_WPSOffice_Level1"/>
      <w:bookmarkStart w:id="163" w:name="_Toc18697_WPSOffice_Level1"/>
      <w:bookmarkStart w:id="164" w:name="_Toc8771_WPSOffice_Level1"/>
      <w:bookmarkStart w:id="165" w:name="_Toc11241_WPSOffice_Level1"/>
      <w:bookmarkStart w:id="166" w:name="_Toc533610816"/>
      <w:bookmarkStart w:id="167" w:name="_Toc1697_WPSOffice_Level1"/>
      <w:bookmarkStart w:id="168" w:name="_Toc533610814"/>
      <w:r>
        <w:rPr>
          <w:rFonts w:hint="eastAsia"/>
          <w:lang w:val="zh-CN"/>
        </w:rPr>
        <w:t>第</w:t>
      </w:r>
      <w:r>
        <w:rPr>
          <w:rFonts w:hint="eastAsia"/>
          <w:lang w:val="en-US" w:eastAsia="zh-CN"/>
        </w:rPr>
        <w:t>四</w:t>
      </w:r>
      <w:r>
        <w:rPr>
          <w:rFonts w:hint="eastAsia"/>
          <w:lang w:val="zh-CN"/>
        </w:rPr>
        <w:t>部分  供应商承诺书</w:t>
      </w:r>
      <w:bookmarkEnd w:id="160"/>
      <w:bookmarkEnd w:id="161"/>
      <w:bookmarkEnd w:id="162"/>
      <w:bookmarkEnd w:id="163"/>
      <w:bookmarkEnd w:id="164"/>
      <w:bookmarkEnd w:id="165"/>
      <w:bookmarkEnd w:id="166"/>
      <w:bookmarkEnd w:id="167"/>
    </w:p>
    <w:p>
      <w:pPr>
        <w:widowControl/>
        <w:ind w:firstLine="0" w:firstLineChars="0"/>
        <w:outlineLvl w:val="0"/>
        <w:rPr>
          <w:rFonts w:ascii="楷体" w:hAnsi="楷体" w:cs="楷体"/>
          <w:b/>
          <w:bCs/>
          <w:kern w:val="0"/>
          <w:sz w:val="28"/>
          <w:szCs w:val="28"/>
        </w:rPr>
      </w:pPr>
      <w:bookmarkStart w:id="169" w:name="_Toc12452"/>
      <w:bookmarkStart w:id="170" w:name="_Toc8155_WPSOffice_Level1"/>
      <w:bookmarkStart w:id="171" w:name="_Toc23907"/>
      <w:bookmarkStart w:id="172" w:name="_Toc15915_WPSOffice_Level1"/>
      <w:bookmarkStart w:id="173" w:name="_Toc25285_WPSOffice_Level1"/>
      <w:bookmarkStart w:id="174" w:name="_Toc10289_WPSOffice_Level1"/>
      <w:bookmarkStart w:id="175" w:name="_Toc19222"/>
      <w:bookmarkStart w:id="176" w:name="_Toc26074_WPSOffice_Level1"/>
      <w:bookmarkStart w:id="177" w:name="_Toc26135_WPSOffice_Level1"/>
      <w:bookmarkStart w:id="178" w:name="_Toc5093"/>
      <w:r>
        <w:rPr>
          <w:rFonts w:hint="eastAsia" w:ascii="楷体" w:hAnsi="楷体" w:cs="楷体"/>
          <w:b/>
          <w:bCs/>
          <w:kern w:val="0"/>
          <w:sz w:val="28"/>
          <w:szCs w:val="28"/>
        </w:rPr>
        <w:t>陕西四方衡裕项目管理有限公司：</w:t>
      </w:r>
      <w:bookmarkEnd w:id="169"/>
      <w:bookmarkEnd w:id="170"/>
      <w:bookmarkEnd w:id="171"/>
      <w:bookmarkEnd w:id="172"/>
      <w:bookmarkEnd w:id="173"/>
      <w:bookmarkEnd w:id="174"/>
      <w:bookmarkEnd w:id="175"/>
      <w:bookmarkEnd w:id="176"/>
      <w:bookmarkEnd w:id="177"/>
      <w:bookmarkEnd w:id="178"/>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57"/>
          <w:szCs w:val="22"/>
          <w:lang w:val="zh-CN"/>
        </w:rPr>
      </w:pPr>
    </w:p>
    <w:p>
      <w:pPr>
        <w:widowControl/>
        <w:jc w:val="center"/>
        <w:rPr>
          <w:rStyle w:val="57"/>
          <w:szCs w:val="22"/>
          <w:lang w:val="zh-CN"/>
        </w:rPr>
        <w:sectPr>
          <w:footerReference r:id="rId14" w:type="even"/>
          <w:pgSz w:w="11906" w:h="16838"/>
          <w:pgMar w:top="1418" w:right="1049" w:bottom="1418" w:left="1049" w:header="851" w:footer="992" w:gutter="0"/>
          <w:cols w:space="720" w:num="1"/>
          <w:docGrid w:linePitch="312" w:charSpace="0"/>
        </w:sectPr>
      </w:pPr>
      <w:bookmarkStart w:id="179" w:name="_Toc533610817"/>
    </w:p>
    <w:p>
      <w:pPr>
        <w:pStyle w:val="4"/>
        <w:numPr>
          <w:ilvl w:val="1"/>
          <w:numId w:val="0"/>
        </w:numPr>
        <w:ind w:left="480" w:leftChars="200"/>
        <w:jc w:val="center"/>
        <w:rPr>
          <w:lang w:val="zh-CN"/>
        </w:rPr>
      </w:pPr>
      <w:bookmarkStart w:id="180" w:name="_Toc19936_WPSOffice_Level1"/>
      <w:bookmarkStart w:id="181" w:name="_Toc6155_WPSOffice_Level1"/>
      <w:bookmarkStart w:id="182" w:name="_Toc26795_WPSOffice_Level1"/>
      <w:bookmarkStart w:id="183" w:name="_Toc25525_WPSOffice_Level1"/>
      <w:bookmarkStart w:id="184" w:name="_Toc30354"/>
      <w:bookmarkStart w:id="185" w:name="_Toc1667_WPSOffice_Level1"/>
      <w:bookmarkStart w:id="186" w:name="_Toc12125_WPSOffice_Level1"/>
      <w:r>
        <w:rPr>
          <w:rFonts w:hint="eastAsia"/>
          <w:lang w:val="zh-CN"/>
        </w:rPr>
        <w:t>第</w:t>
      </w:r>
      <w:r>
        <w:rPr>
          <w:rFonts w:hint="eastAsia"/>
          <w:lang w:val="en-US" w:eastAsia="zh-CN"/>
        </w:rPr>
        <w:t>五</w:t>
      </w:r>
      <w:r>
        <w:rPr>
          <w:rFonts w:hint="eastAsia"/>
          <w:lang w:val="zh-CN"/>
        </w:rPr>
        <w:t>部分  供应商企业关系关联承诺书</w:t>
      </w:r>
      <w:bookmarkEnd w:id="179"/>
      <w:bookmarkEnd w:id="180"/>
      <w:bookmarkEnd w:id="181"/>
      <w:bookmarkEnd w:id="182"/>
      <w:bookmarkEnd w:id="183"/>
      <w:bookmarkEnd w:id="184"/>
      <w:bookmarkEnd w:id="185"/>
      <w:bookmarkEnd w:id="186"/>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87" w:name="_Toc16551_WPSOffice_Level2"/>
      <w:bookmarkStart w:id="188" w:name="_Toc5492_WPSOffice_Level2"/>
      <w:r>
        <w:rPr>
          <w:rFonts w:hint="eastAsia" w:ascii="楷体" w:hAnsi="楷体" w:cs="楷体"/>
          <w:kern w:val="0"/>
        </w:rPr>
        <w:t>2-1管理关系说明：</w:t>
      </w:r>
      <w:bookmarkEnd w:id="187"/>
      <w:bookmarkEnd w:id="188"/>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89" w:name="_Toc20314_WPSOffice_Level2"/>
      <w:bookmarkStart w:id="190" w:name="_Toc29718_WPSOffice_Level2"/>
      <w:r>
        <w:rPr>
          <w:rFonts w:hint="eastAsia" w:ascii="楷体" w:hAnsi="楷体" w:cs="楷体"/>
          <w:kern w:val="0"/>
        </w:rPr>
        <w:t>2-2股权关系说明：</w:t>
      </w:r>
      <w:bookmarkEnd w:id="189"/>
      <w:bookmarkEnd w:id="190"/>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91" w:name="_Toc32538_WPSOffice_Level2"/>
      <w:bookmarkStart w:id="192" w:name="_Toc32291_WPSOffice_Level2"/>
      <w:r>
        <w:rPr>
          <w:rFonts w:hint="eastAsia" w:ascii="楷体" w:hAnsi="楷体" w:cs="楷体"/>
          <w:kern w:val="0"/>
        </w:rPr>
        <w:t>2-3单位负责人：</w:t>
      </w:r>
      <w:bookmarkEnd w:id="191"/>
      <w:bookmarkEnd w:id="192"/>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93" w:name="_Toc7353_WPSOffice_Level1"/>
      <w:bookmarkStart w:id="194"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pgSz w:w="11906" w:h="16838"/>
          <w:pgMar w:top="1418" w:right="1134" w:bottom="1418" w:left="1134" w:header="851" w:footer="992" w:gutter="0"/>
          <w:cols w:space="720" w:num="1"/>
          <w:docGrid w:linePitch="312" w:charSpace="0"/>
        </w:sectPr>
      </w:pPr>
    </w:p>
    <w:p>
      <w:pPr>
        <w:pStyle w:val="4"/>
        <w:numPr>
          <w:ilvl w:val="1"/>
          <w:numId w:val="0"/>
        </w:numPr>
        <w:jc w:val="center"/>
        <w:rPr>
          <w:lang w:val="zh-CN"/>
        </w:rPr>
      </w:pPr>
      <w:bookmarkStart w:id="195" w:name="_Toc23676_WPSOffice_Level1"/>
      <w:bookmarkStart w:id="196" w:name="_Toc18774_WPSOffice_Level1"/>
      <w:bookmarkStart w:id="197" w:name="_Toc17271_WPSOffice_Level1"/>
      <w:bookmarkStart w:id="198" w:name="_Toc279_WPSOffice_Level1"/>
      <w:bookmarkStart w:id="199" w:name="_Toc27206_WPSOffice_Level1"/>
      <w:bookmarkStart w:id="200" w:name="_Toc22306"/>
      <w:r>
        <w:rPr>
          <w:rFonts w:hint="eastAsia"/>
          <w:lang w:val="zh-CN"/>
        </w:rPr>
        <w:t>第</w:t>
      </w:r>
      <w:r>
        <w:rPr>
          <w:rFonts w:hint="eastAsia"/>
          <w:lang w:val="en-US" w:eastAsia="zh-CN"/>
        </w:rPr>
        <w:t>六</w:t>
      </w:r>
      <w:r>
        <w:rPr>
          <w:rFonts w:hint="eastAsia"/>
          <w:lang w:val="zh-CN"/>
        </w:rPr>
        <w:t>部分  资格证明文件</w:t>
      </w:r>
      <w:bookmarkEnd w:id="193"/>
      <w:bookmarkEnd w:id="194"/>
      <w:bookmarkEnd w:id="195"/>
      <w:bookmarkEnd w:id="196"/>
      <w:bookmarkEnd w:id="197"/>
      <w:bookmarkEnd w:id="198"/>
      <w:bookmarkEnd w:id="199"/>
      <w:bookmarkEnd w:id="200"/>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widowControl/>
        <w:ind w:firstLine="480"/>
        <w:rPr>
          <w:rFonts w:ascii="楷体" w:hAnsi="楷体" w:cs="楷体"/>
        </w:rPr>
      </w:pPr>
      <w:r>
        <w:rPr>
          <w:rFonts w:hint="eastAsia" w:ascii="楷体" w:hAnsi="楷体" w:cs="楷体"/>
        </w:rPr>
        <w:t xml:space="preserve"> </w:t>
      </w:r>
    </w:p>
    <w:p>
      <w:pPr>
        <w:ind w:firstLine="562"/>
        <w:jc w:val="center"/>
        <w:rPr>
          <w:b/>
          <w:bCs/>
          <w:sz w:val="28"/>
          <w:szCs w:val="28"/>
          <w:lang w:val="zh-CN"/>
        </w:rPr>
      </w:pPr>
      <w:bookmarkStart w:id="201" w:name="_Toc5451_WPSOffice_Level2"/>
    </w:p>
    <w:p>
      <w:pPr>
        <w:ind w:firstLine="562"/>
        <w:rPr>
          <w:b/>
          <w:bCs/>
          <w:sz w:val="28"/>
          <w:szCs w:val="28"/>
          <w:lang w:val="zh-CN"/>
        </w:rPr>
      </w:pPr>
      <w:bookmarkStart w:id="202" w:name="_Toc7817_WPSOffice_Level2"/>
      <w:r>
        <w:rPr>
          <w:rFonts w:hint="eastAsia"/>
          <w:b/>
          <w:bCs/>
          <w:sz w:val="28"/>
          <w:szCs w:val="28"/>
          <w:lang w:val="zh-CN"/>
        </w:rPr>
        <w:br w:type="page"/>
      </w:r>
    </w:p>
    <w:p>
      <w:pPr>
        <w:ind w:firstLine="562"/>
        <w:jc w:val="center"/>
        <w:rPr>
          <w:rFonts w:ascii="宋体" w:hAnsi="宋体"/>
          <w:b/>
          <w:sz w:val="32"/>
          <w:szCs w:val="32"/>
        </w:rPr>
      </w:pPr>
      <w:bookmarkStart w:id="203" w:name="_Toc16097"/>
      <w:bookmarkStart w:id="204" w:name="_Toc403077649"/>
      <w:bookmarkStart w:id="205" w:name="_Toc19075"/>
      <w:bookmarkStart w:id="206" w:name="_Toc426457701"/>
      <w:bookmarkStart w:id="207" w:name="_Toc25348"/>
      <w:bookmarkStart w:id="208" w:name="_Toc30210"/>
      <w:bookmarkStart w:id="209" w:name="_Toc363474028"/>
      <w:bookmarkStart w:id="210" w:name="_Toc4867"/>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参加谈判</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bookmarkEnd w:id="203"/>
    <w:bookmarkEnd w:id="204"/>
    <w:bookmarkEnd w:id="205"/>
    <w:bookmarkEnd w:id="206"/>
    <w:bookmarkEnd w:id="207"/>
    <w:bookmarkEnd w:id="208"/>
    <w:bookmarkEnd w:id="209"/>
    <w:bookmarkEnd w:id="210"/>
    <w:p>
      <w:pPr>
        <w:ind w:firstLine="0" w:firstLineChars="0"/>
        <w:jc w:val="center"/>
        <w:rPr>
          <w:b/>
          <w:bCs/>
          <w:sz w:val="28"/>
          <w:szCs w:val="28"/>
        </w:rPr>
      </w:pPr>
      <w:r>
        <w:rPr>
          <w:rFonts w:hint="eastAsia"/>
          <w:b/>
          <w:bCs/>
          <w:sz w:val="28"/>
          <w:szCs w:val="28"/>
          <w:lang w:val="zh-CN"/>
        </w:rPr>
        <w:t>法定代表人授权书</w:t>
      </w:r>
      <w:bookmarkEnd w:id="201"/>
      <w:bookmarkEnd w:id="202"/>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rPr>
        <w:t>陕西四方衡裕项目管理有限公司</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的谈判及合同的执行和完成，以本公司的名义处理一切与之有关的事宜。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p>
      <w:pPr>
        <w:widowControl/>
        <w:ind w:firstLine="480"/>
        <w:rPr>
          <w:rFonts w:ascii="楷体" w:hAnsi="楷体" w:cs="楷体"/>
          <w:kern w:val="0"/>
        </w:rPr>
      </w:pPr>
    </w:p>
    <w:tbl>
      <w:tblPr>
        <w:tblStyle w:val="43"/>
        <w:tblW w:w="7934" w:type="dxa"/>
        <w:tblInd w:w="679" w:type="dxa"/>
        <w:tblLayout w:type="fixed"/>
        <w:tblCellMar>
          <w:top w:w="0" w:type="dxa"/>
          <w:left w:w="108" w:type="dxa"/>
          <w:bottom w:w="0" w:type="dxa"/>
          <w:right w:w="108" w:type="dxa"/>
        </w:tblCellMar>
      </w:tblPr>
      <w:tblGrid>
        <w:gridCol w:w="4049"/>
        <w:gridCol w:w="3885"/>
      </w:tblGrid>
      <w:tr>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36"/>
              <w:ind w:firstLine="0" w:firstLineChars="0"/>
              <w:jc w:val="center"/>
            </w:pP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keepNext/>
        <w:keepLines/>
        <w:numPr>
          <w:ilvl w:val="3"/>
          <w:numId w:val="0"/>
        </w:numPr>
        <w:spacing w:before="280" w:after="290" w:line="372" w:lineRule="auto"/>
        <w:outlineLvl w:val="3"/>
        <w:rPr>
          <w:rFonts w:ascii="楷体" w:hAnsi="楷体" w:cs="楷体"/>
          <w:kern w:val="0"/>
        </w:rPr>
      </w:pPr>
      <w:r>
        <w:rPr>
          <w:rFonts w:hint="eastAsia" w:ascii="楷体" w:hAnsi="楷体" w:cs="楷体"/>
          <w:kern w:val="0"/>
        </w:rPr>
        <w:t xml:space="preserve">    日      期：</w:t>
      </w:r>
      <w:r>
        <w:rPr>
          <w:rFonts w:hint="eastAsia" w:ascii="楷体" w:hAnsi="楷体" w:eastAsia="黑体" w:cs="楷体"/>
          <w:b/>
          <w:kern w:val="0"/>
          <w:sz w:val="28"/>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谈判</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widowControl/>
        <w:ind w:firstLine="480"/>
        <w:rPr>
          <w:rFonts w:ascii="楷体" w:hAnsi="楷体" w:cs="楷体"/>
          <w:b/>
          <w:bCs/>
          <w:kern w:val="0"/>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w:t>
      </w:r>
      <w:r>
        <w:rPr>
          <w:rFonts w:ascii="楷体" w:hAnsi="楷体" w:cs="楷体"/>
          <w:kern w:val="0"/>
        </w:rPr>
        <w:t>0</w:t>
      </w:r>
      <w:r>
        <w:rPr>
          <w:rFonts w:hint="eastAsia" w:ascii="楷体" w:hAnsi="楷体" w:cs="楷体"/>
          <w:kern w:val="0"/>
          <w:lang w:val="zh-CN"/>
        </w:rPr>
        <w:t>天）</w:t>
      </w:r>
      <w:r>
        <w:rPr>
          <w:rFonts w:hint="eastAsia" w:ascii="楷体" w:hAnsi="楷体" w:cs="楷体"/>
          <w:b/>
          <w:bCs/>
          <w:kern w:val="0"/>
        </w:rPr>
        <w:t xml:space="preserve"> </w:t>
      </w:r>
    </w:p>
    <w:p>
      <w:pPr>
        <w:rPr>
          <w:rStyle w:val="57"/>
          <w:szCs w:val="22"/>
          <w:lang w:val="zh-CN"/>
        </w:rPr>
      </w:pPr>
      <w:r>
        <w:rPr>
          <w:rStyle w:val="57"/>
          <w:szCs w:val="22"/>
          <w:lang w:val="zh-CN"/>
        </w:rPr>
        <w:br w:type="page"/>
      </w:r>
    </w:p>
    <w:p>
      <w:pPr>
        <w:ind w:left="0" w:leftChars="0" w:firstLine="3654" w:firstLineChars="1300"/>
        <w:jc w:val="both"/>
        <w:rPr>
          <w:rFonts w:ascii="楷体" w:hAnsi="楷体" w:cs="楷体"/>
          <w:b/>
          <w:bCs/>
          <w:color w:val="auto"/>
          <w:kern w:val="0"/>
          <w:highlight w:val="none"/>
          <w:lang w:val="zh-CN"/>
        </w:rPr>
      </w:pPr>
      <w:bookmarkStart w:id="211" w:name="_Toc11640_WPSOffice_Level2"/>
      <w:r>
        <w:rPr>
          <w:rFonts w:hint="eastAsia" w:ascii="楷体" w:hAnsi="楷体" w:cs="楷体"/>
          <w:b/>
          <w:bCs/>
          <w:color w:val="auto"/>
          <w:kern w:val="0"/>
          <w:sz w:val="28"/>
          <w:szCs w:val="28"/>
          <w:highlight w:val="none"/>
          <w:lang w:val="zh-CN"/>
        </w:rPr>
        <w:t>授权代表本单位证明</w:t>
      </w:r>
      <w:bookmarkEnd w:id="211"/>
    </w:p>
    <w:p>
      <w:pPr>
        <w:widowControl/>
        <w:ind w:firstLine="480"/>
        <w:jc w:val="both"/>
        <w:rPr>
          <w:rFonts w:ascii="楷体" w:hAnsi="楷体" w:cs="楷体"/>
          <w:color w:val="auto"/>
          <w:kern w:val="0"/>
          <w:highlight w:val="none"/>
          <w:lang w:val="zh-CN"/>
        </w:rPr>
      </w:pPr>
    </w:p>
    <w:p>
      <w:pPr>
        <w:spacing w:before="240" w:beforeLines="100" w:after="240" w:afterLines="100" w:line="240" w:lineRule="auto"/>
        <w:ind w:firstLine="3120" w:firstLineChars="1300"/>
        <w:jc w:val="both"/>
        <w:rPr>
          <w:rFonts w:hint="eastAsia" w:ascii="楷体" w:hAnsi="楷体" w:cs="楷体"/>
          <w:color w:val="auto"/>
          <w:kern w:val="0"/>
          <w:highlight w:val="none"/>
          <w:lang w:val="zh-CN"/>
        </w:rPr>
      </w:pPr>
      <w:r>
        <w:rPr>
          <w:rFonts w:hint="eastAsia" w:ascii="楷体" w:hAnsi="楷体" w:cs="楷体"/>
          <w:color w:val="auto"/>
          <w:kern w:val="0"/>
          <w:highlight w:val="none"/>
          <w:lang w:val="zh-CN"/>
        </w:rPr>
        <w:t>（</w:t>
      </w:r>
      <w:r>
        <w:rPr>
          <w:rFonts w:hint="eastAsia" w:ascii="楷体" w:hAnsi="楷体" w:cs="楷体"/>
          <w:color w:val="auto"/>
          <w:kern w:val="0"/>
          <w:highlight w:val="none"/>
        </w:rPr>
        <w:t>养老保险缴纳证明或劳动合同</w:t>
      </w:r>
      <w:r>
        <w:rPr>
          <w:rFonts w:hint="eastAsia" w:ascii="楷体" w:hAnsi="楷体" w:cs="楷体"/>
          <w:color w:val="auto"/>
          <w:kern w:val="0"/>
          <w:highlight w:val="none"/>
          <w:lang w:val="zh-CN"/>
        </w:rPr>
        <w:t>）</w:t>
      </w:r>
    </w:p>
    <w:p>
      <w:pPr>
        <w:rPr>
          <w:lang w:val="zh-CN"/>
        </w:rPr>
        <w:sectPr>
          <w:pgSz w:w="11906" w:h="16838"/>
          <w:pgMar w:top="1418" w:right="1191" w:bottom="1418" w:left="1191" w:header="851" w:footer="992" w:gutter="0"/>
          <w:cols w:space="720" w:num="1"/>
          <w:docGrid w:linePitch="312" w:charSpace="0"/>
        </w:sectPr>
      </w:pPr>
    </w:p>
    <w:p>
      <w:pPr>
        <w:spacing w:line="360" w:lineRule="atLeast"/>
        <w:ind w:firstLine="643"/>
        <w:jc w:val="center"/>
        <w:rPr>
          <w:rFonts w:ascii="宋体" w:hAnsi="宋体"/>
          <w:b/>
          <w:sz w:val="32"/>
          <w:szCs w:val="32"/>
        </w:rPr>
      </w:pPr>
      <w:bookmarkStart w:id="212" w:name="_Toc12499_WPSOffice_Level1"/>
      <w:bookmarkStart w:id="213" w:name="_Toc10521_WPSOffice_Level1"/>
      <w:bookmarkStart w:id="214" w:name="_Toc11146_WPSOffice_Level1"/>
      <w:bookmarkStart w:id="215" w:name="_Toc16017_WPSOffice_Level1"/>
      <w:bookmarkStart w:id="216" w:name="_Toc30319_WPSOffice_Level1"/>
      <w:bookmarkStart w:id="217" w:name="_Toc23917_WPSOffice_Level1"/>
      <w:bookmarkStart w:id="218" w:name="_Toc10587"/>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声明参加本次政府采购活动前三年内，在经营活动中没有重大违纪，以及未被列入失信被执行人、未在重大税收违法</w:t>
      </w:r>
      <w:r>
        <w:rPr>
          <w:rFonts w:hint="eastAsia" w:ascii="宋体" w:hAnsi="宋体"/>
          <w:lang w:val="en-US" w:eastAsia="zh-CN"/>
        </w:rPr>
        <w:t>失信主体</w:t>
      </w:r>
      <w:r>
        <w:rPr>
          <w:rFonts w:hint="eastAsia" w:ascii="宋体" w:hAnsi="宋体"/>
        </w:rPr>
        <w:t>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法定代表人或授权代表（签字）：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spacing w:line="480" w:lineRule="auto"/>
        <w:ind w:firstLine="480"/>
        <w:jc w:val="left"/>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
        <w:ind w:firstLine="480"/>
        <w:rPr>
          <w:rFonts w:ascii="宋体" w:hAnsi="宋体"/>
          <w:sz w:val="24"/>
        </w:rPr>
      </w:pPr>
    </w:p>
    <w:p>
      <w:pPr>
        <w:ind w:firstLine="480"/>
      </w:pPr>
      <w: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我单位承诺：在本项目谈判</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活动中具有履行合同所必需的设备和专业技术能力，可以按照谈判文件及采购人的要求提供本项目货物服务，履行合同内容、保证产品质量，并按期交货。</w:t>
      </w:r>
    </w:p>
    <w:p>
      <w:pPr>
        <w:ind w:firstLine="480"/>
        <w:jc w:val="left"/>
        <w:rPr>
          <w:rFonts w:ascii="楷体" w:hAnsi="楷体" w:cs="楷体"/>
          <w:kern w:val="0"/>
        </w:rPr>
      </w:pPr>
    </w:p>
    <w:p>
      <w:pPr>
        <w:pStyle w:val="2"/>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法定代表人或授权代表（签字）：</w:t>
      </w:r>
      <w:r>
        <w:rPr>
          <w:rFonts w:hint="eastAsia" w:ascii="楷体" w:hAnsi="楷体" w:cs="楷体"/>
          <w:u w:val="single"/>
        </w:rPr>
        <w:t xml:space="preserve">                  </w:t>
      </w:r>
    </w:p>
    <w:p>
      <w:pPr>
        <w:pStyle w:val="19"/>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ind w:firstLine="480"/>
        <w:rPr>
          <w:lang w:val="zh-CN"/>
        </w:rPr>
      </w:pPr>
    </w:p>
    <w:p>
      <w:pPr>
        <w:ind w:firstLine="480"/>
        <w:jc w:val="center"/>
        <w:rPr>
          <w:rFonts w:ascii="宋体" w:hAnsi="宋体" w:cs="Times New Roman"/>
          <w:b/>
          <w:sz w:val="32"/>
          <w:szCs w:val="32"/>
        </w:rPr>
      </w:pPr>
      <w:r>
        <w:rPr>
          <w:rFonts w:hint="eastAsia"/>
          <w:lang w:val="zh-CN"/>
        </w:rPr>
        <w:br w:type="page"/>
      </w: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cs="Times New Roman"/>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 xml:space="preserve">的响应过程中，保证提供的产品及服务符合谈判文件规定，符合法律、行政法规规定的其他条件。 </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w:t>
      </w:r>
      <w:r>
        <w:rPr>
          <w:rFonts w:hint="eastAsia" w:ascii="宋体" w:hAnsi="宋体" w:cs="Times New Roman"/>
        </w:rPr>
        <w:t>供应商</w:t>
      </w:r>
      <w:r>
        <w:rPr>
          <w:rFonts w:hint="eastAsia" w:ascii="楷体" w:hAnsi="楷体" w:cs="楷体"/>
        </w:rPr>
        <w:t>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法定代表人或授权代表（签字）：</w:t>
      </w:r>
      <w:r>
        <w:rPr>
          <w:rFonts w:hint="eastAsia" w:ascii="楷体" w:hAnsi="楷体" w:cs="楷体"/>
          <w:u w:val="single"/>
        </w:rPr>
        <w:t xml:space="preserve">                  </w:t>
      </w:r>
    </w:p>
    <w:p>
      <w:pPr>
        <w:pStyle w:val="42"/>
        <w:ind w:left="480" w:firstLine="482"/>
        <w:rPr>
          <w:lang w:val="zh-CN"/>
        </w:rPr>
      </w:pPr>
      <w:r>
        <w:rPr>
          <w:rFonts w:hint="eastAsia" w:ascii="楷体" w:hAnsi="楷体" w:cs="楷体"/>
          <w:b/>
          <w:kern w:val="0"/>
        </w:rPr>
        <w:t xml:space="preserve">                              </w:t>
      </w:r>
      <w:r>
        <w:rPr>
          <w:rFonts w:hint="eastAsia" w:ascii="楷体" w:hAnsi="楷体" w:cs="楷体"/>
          <w:bCs/>
          <w:kern w:val="0"/>
        </w:rPr>
        <w:t xml:space="preserve">日   期：      年    月    日 </w:t>
      </w:r>
      <w:r>
        <w:rPr>
          <w:rFonts w:hint="eastAsia" w:ascii="楷体" w:hAnsi="楷体" w:cs="楷体"/>
          <w:bCs/>
          <w:kern w:val="0"/>
          <w:lang w:val="zh-CN"/>
        </w:rPr>
        <w:br w:type="page"/>
      </w:r>
    </w:p>
    <w:p>
      <w:pPr>
        <w:pStyle w:val="4"/>
        <w:numPr>
          <w:ilvl w:val="1"/>
          <w:numId w:val="0"/>
        </w:numPr>
        <w:jc w:val="center"/>
      </w:pPr>
      <w:r>
        <w:rPr>
          <w:rFonts w:hint="eastAsia"/>
          <w:lang w:val="zh-CN"/>
        </w:rPr>
        <w:t>第</w:t>
      </w:r>
      <w:r>
        <w:rPr>
          <w:rFonts w:hint="eastAsia"/>
          <w:lang w:val="en-US" w:eastAsia="zh-CN"/>
        </w:rPr>
        <w:t>七</w:t>
      </w:r>
      <w:r>
        <w:rPr>
          <w:rFonts w:hint="eastAsia"/>
          <w:lang w:val="zh-CN"/>
        </w:rPr>
        <w:t xml:space="preserve">部分  </w:t>
      </w:r>
      <w:bookmarkEnd w:id="168"/>
      <w:bookmarkEnd w:id="212"/>
      <w:bookmarkEnd w:id="213"/>
      <w:bookmarkEnd w:id="214"/>
      <w:bookmarkEnd w:id="215"/>
      <w:bookmarkEnd w:id="216"/>
      <w:bookmarkEnd w:id="217"/>
      <w:bookmarkEnd w:id="218"/>
      <w:r>
        <w:rPr>
          <w:rFonts w:hint="eastAsia" w:ascii="楷体" w:hAnsi="楷体" w:cs="楷体"/>
          <w:kern w:val="0"/>
          <w:szCs w:val="20"/>
        </w:rPr>
        <w:t xml:space="preserve">供货服务方案 </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根据谈判文件要求及评审内容自行编制。</w:t>
      </w:r>
    </w:p>
    <w:p>
      <w:pPr>
        <w:widowControl/>
        <w:ind w:firstLine="480"/>
        <w:rPr>
          <w:rFonts w:hint="eastAsia" w:ascii="楷体" w:hAnsi="楷体" w:cs="楷体"/>
          <w:kern w:val="0"/>
        </w:rPr>
      </w:pPr>
      <w:r>
        <w:rPr>
          <w:rFonts w:hint="eastAsia" w:ascii="楷体" w:hAnsi="楷体" w:cs="楷体"/>
          <w:kern w:val="0"/>
        </w:rPr>
        <w:t>包括但不限于以下内容：</w:t>
      </w:r>
    </w:p>
    <w:p>
      <w:pPr>
        <w:widowControl/>
        <w:ind w:firstLine="480"/>
        <w:rPr>
          <w:rFonts w:hint="eastAsia" w:ascii="楷体" w:hAnsi="楷体" w:cs="楷体"/>
          <w:kern w:val="0"/>
        </w:rPr>
      </w:pPr>
      <w:r>
        <w:rPr>
          <w:rFonts w:hint="eastAsia" w:ascii="楷体" w:hAnsi="楷体" w:cs="楷体"/>
          <w:kern w:val="0"/>
          <w:highlight w:val="none"/>
        </w:rPr>
        <w:t>1.</w:t>
      </w:r>
      <w:r>
        <w:rPr>
          <w:rFonts w:hint="eastAsia" w:ascii="楷体" w:hAnsi="楷体" w:cs="楷体"/>
          <w:kern w:val="0"/>
          <w:highlight w:val="none"/>
          <w:lang w:val="en-US" w:eastAsia="zh-CN"/>
        </w:rPr>
        <w:t>1</w:t>
      </w:r>
      <w:r>
        <w:rPr>
          <w:rFonts w:hint="eastAsia" w:ascii="楷体" w:hAnsi="楷体" w:cs="楷体"/>
          <w:kern w:val="0"/>
          <w:highlight w:val="none"/>
        </w:rPr>
        <w:t>技术指</w:t>
      </w:r>
      <w:r>
        <w:rPr>
          <w:rFonts w:hint="eastAsia" w:ascii="楷体" w:hAnsi="楷体" w:cs="楷体"/>
          <w:kern w:val="0"/>
        </w:rPr>
        <w:t>标说明：</w:t>
      </w:r>
    </w:p>
    <w:p>
      <w:pPr>
        <w:widowControl/>
        <w:ind w:firstLine="480"/>
        <w:rPr>
          <w:rFonts w:hint="eastAsia" w:ascii="楷体" w:hAnsi="楷体" w:cs="楷体"/>
          <w:kern w:val="0"/>
        </w:rPr>
      </w:pPr>
      <w:r>
        <w:rPr>
          <w:rFonts w:hint="eastAsia" w:ascii="楷体" w:hAnsi="楷体" w:cs="楷体"/>
          <w:kern w:val="0"/>
        </w:rPr>
        <w:t>a.标的物选配型说明；</w:t>
      </w:r>
    </w:p>
    <w:p>
      <w:pPr>
        <w:ind w:firstLine="480"/>
        <w:jc w:val="left"/>
        <w:rPr>
          <w:rFonts w:hint="eastAsia" w:ascii="楷体" w:hAnsi="楷体" w:cs="楷体"/>
          <w:kern w:val="0"/>
        </w:rPr>
      </w:pPr>
      <w:r>
        <w:rPr>
          <w:rFonts w:hint="eastAsia" w:ascii="楷体" w:hAnsi="楷体" w:cs="楷体"/>
          <w:kern w:val="0"/>
          <w:lang w:val="en-US" w:eastAsia="zh-CN"/>
        </w:rPr>
        <w:t>b</w:t>
      </w:r>
      <w:r>
        <w:rPr>
          <w:rFonts w:hint="eastAsia" w:ascii="楷体" w:hAnsi="楷体" w:cs="楷体"/>
          <w:kern w:val="0"/>
        </w:rPr>
        <w:t>.质量标</w:t>
      </w:r>
      <w:r>
        <w:rPr>
          <w:rFonts w:hint="eastAsia" w:ascii="楷体" w:hAnsi="楷体" w:cs="楷体"/>
          <w:kern w:val="0"/>
          <w:lang w:val="en-US" w:eastAsia="zh-CN"/>
        </w:rPr>
        <w:t>准</w:t>
      </w:r>
      <w:r>
        <w:rPr>
          <w:rFonts w:hint="eastAsia" w:ascii="楷体" w:hAnsi="楷体" w:cs="楷体"/>
          <w:kern w:val="0"/>
        </w:rPr>
        <w:t>符合国家规范等；</w:t>
      </w:r>
    </w:p>
    <w:p>
      <w:pPr>
        <w:ind w:firstLine="480"/>
        <w:jc w:val="left"/>
        <w:rPr>
          <w:rFonts w:hint="eastAsia" w:ascii="宋体" w:hAnsi="宋体" w:cs="宋体"/>
          <w:szCs w:val="21"/>
        </w:rPr>
      </w:pPr>
      <w:r>
        <w:rPr>
          <w:rFonts w:hint="eastAsia" w:ascii="楷体" w:hAnsi="楷体" w:cs="楷体"/>
          <w:kern w:val="0"/>
          <w:lang w:val="en-US" w:eastAsia="zh-CN"/>
        </w:rPr>
        <w:t>c</w:t>
      </w:r>
      <w:r>
        <w:rPr>
          <w:rFonts w:hint="eastAsia" w:ascii="楷体" w:hAnsi="楷体" w:cs="楷体"/>
          <w:kern w:val="0"/>
        </w:rPr>
        <w:t>.</w:t>
      </w:r>
      <w:r>
        <w:rPr>
          <w:rFonts w:hint="eastAsia" w:ascii="宋体" w:hAnsi="宋体" w:cs="宋体"/>
          <w:szCs w:val="21"/>
        </w:rPr>
        <w:t>产品验收标准和验收方法；</w:t>
      </w:r>
    </w:p>
    <w:p>
      <w:pPr>
        <w:ind w:firstLine="480"/>
        <w:jc w:val="left"/>
        <w:rPr>
          <w:rFonts w:hint="eastAsia" w:ascii="宋体" w:hAnsi="宋体" w:cs="宋体"/>
          <w:szCs w:val="21"/>
        </w:rPr>
      </w:pPr>
      <w:r>
        <w:rPr>
          <w:rFonts w:hint="eastAsia" w:ascii="宋体" w:hAnsi="宋体" w:cs="宋体"/>
          <w:szCs w:val="21"/>
          <w:lang w:val="en-US" w:eastAsia="zh-CN"/>
        </w:rPr>
        <w:t>d</w:t>
      </w:r>
      <w:r>
        <w:rPr>
          <w:rFonts w:hint="eastAsia" w:ascii="宋体" w:hAnsi="宋体" w:cs="宋体"/>
          <w:szCs w:val="21"/>
        </w:rPr>
        <w:t>.</w:t>
      </w:r>
      <w:r>
        <w:rPr>
          <w:rFonts w:hint="eastAsia" w:ascii="楷体" w:hAnsi="楷体" w:cs="楷体"/>
          <w:kern w:val="0"/>
        </w:rPr>
        <w:t>质量保证措施</w:t>
      </w:r>
      <w:r>
        <w:rPr>
          <w:rFonts w:hint="eastAsia" w:ascii="宋体" w:hAnsi="宋体" w:cs="宋体"/>
          <w:szCs w:val="21"/>
        </w:rPr>
        <w:t>；</w:t>
      </w:r>
    </w:p>
    <w:p>
      <w:pPr>
        <w:ind w:firstLine="480"/>
        <w:jc w:val="left"/>
        <w:rPr>
          <w:rFonts w:hint="eastAsia" w:ascii="楷体" w:hAnsi="楷体" w:cs="楷体"/>
          <w:kern w:val="0"/>
        </w:rPr>
      </w:pPr>
      <w:r>
        <w:rPr>
          <w:rFonts w:hint="eastAsia" w:ascii="楷体" w:hAnsi="楷体" w:cs="楷体"/>
          <w:kern w:val="0"/>
          <w:lang w:val="en-US" w:eastAsia="zh-CN"/>
        </w:rPr>
        <w:t>e</w:t>
      </w:r>
      <w:r>
        <w:rPr>
          <w:rFonts w:hint="eastAsia" w:ascii="楷体" w:hAnsi="楷体" w:cs="楷体"/>
          <w:kern w:val="0"/>
        </w:rPr>
        <w:t>.项目实施计划和人员组织安排</w:t>
      </w:r>
      <w:r>
        <w:rPr>
          <w:rFonts w:hint="eastAsia" w:ascii="宋体" w:hAnsi="宋体" w:cs="宋体"/>
          <w:szCs w:val="21"/>
        </w:rPr>
        <w:t>；</w:t>
      </w:r>
    </w:p>
    <w:p>
      <w:pPr>
        <w:widowControl/>
        <w:ind w:firstLine="480"/>
        <w:rPr>
          <w:rFonts w:hint="eastAsia" w:ascii="宋体" w:hAnsi="宋体" w:cs="宋体"/>
          <w:szCs w:val="21"/>
        </w:rPr>
      </w:pPr>
      <w:r>
        <w:rPr>
          <w:rFonts w:hint="eastAsia" w:ascii="楷体" w:hAnsi="楷体" w:cs="楷体"/>
          <w:kern w:val="0"/>
          <w:lang w:val="en-US" w:eastAsia="zh-CN"/>
        </w:rPr>
        <w:t>f</w:t>
      </w:r>
      <w:r>
        <w:rPr>
          <w:rFonts w:hint="eastAsia" w:ascii="楷体" w:hAnsi="楷体" w:cs="楷体"/>
          <w:kern w:val="0"/>
        </w:rPr>
        <w:t>.售后服务承诺等。</w:t>
      </w:r>
    </w:p>
    <w:p>
      <w:pPr>
        <w:widowControl/>
        <w:ind w:firstLine="480"/>
        <w:rPr>
          <w:rFonts w:hint="eastAsia" w:ascii="楷体" w:hAnsi="楷体" w:cs="楷体"/>
          <w:kern w:val="0"/>
        </w:rPr>
      </w:pPr>
    </w:p>
    <w:p>
      <w:pPr>
        <w:widowControl/>
        <w:ind w:firstLine="480"/>
        <w:rPr>
          <w:rFonts w:hint="eastAsia" w:ascii="楷体" w:hAnsi="楷体" w:cs="楷体"/>
          <w:kern w:val="0"/>
        </w:rPr>
      </w:pPr>
      <w:r>
        <w:rPr>
          <w:rFonts w:hint="eastAsia" w:ascii="楷体" w:hAnsi="楷体" w:cs="楷体"/>
          <w:kern w:val="0"/>
        </w:rPr>
        <w:t>1.</w:t>
      </w:r>
      <w:r>
        <w:rPr>
          <w:rFonts w:hint="eastAsia" w:ascii="楷体" w:hAnsi="楷体" w:cs="楷体"/>
          <w:kern w:val="0"/>
          <w:lang w:val="en-US" w:eastAsia="zh-CN"/>
        </w:rPr>
        <w:t>2</w:t>
      </w:r>
      <w:r>
        <w:rPr>
          <w:rFonts w:hint="eastAsia" w:ascii="楷体" w:hAnsi="楷体" w:cs="楷体"/>
          <w:kern w:val="0"/>
        </w:rPr>
        <w:t>有必要说明的技术问题</w:t>
      </w: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191" w:bottom="1440" w:left="1191" w:header="851" w:footer="992" w:gutter="0"/>
          <w:cols w:space="425" w:num="1"/>
          <w:docGrid w:type="lines" w:linePitch="312" w:charSpace="0"/>
        </w:sectPr>
      </w:pPr>
    </w:p>
    <w:p>
      <w:pPr>
        <w:pStyle w:val="4"/>
        <w:numPr>
          <w:ilvl w:val="1"/>
          <w:numId w:val="0"/>
        </w:numPr>
        <w:jc w:val="center"/>
      </w:pPr>
      <w:bookmarkStart w:id="219" w:name="_Toc20889_WPSOffice_Level1"/>
      <w:bookmarkStart w:id="220" w:name="_Toc13445_WPSOffice_Level1"/>
      <w:bookmarkStart w:id="221" w:name="_Toc16423"/>
      <w:bookmarkStart w:id="222" w:name="_Toc31795_WPSOffice_Level1"/>
      <w:bookmarkStart w:id="223" w:name="_Toc31050_WPSOffice_Level1"/>
      <w:bookmarkStart w:id="224" w:name="_Toc21763_WPSOffice_Level1"/>
      <w:r>
        <w:rPr>
          <w:rFonts w:hint="eastAsia"/>
          <w:lang w:val="zh-CN"/>
        </w:rPr>
        <w:t>第</w:t>
      </w:r>
      <w:r>
        <w:rPr>
          <w:rFonts w:hint="eastAsia"/>
          <w:lang w:val="en-US" w:eastAsia="zh-CN"/>
        </w:rPr>
        <w:t>八</w:t>
      </w:r>
      <w:r>
        <w:rPr>
          <w:rFonts w:hint="eastAsia"/>
          <w:lang w:val="zh-CN"/>
        </w:rPr>
        <w:t xml:space="preserve">部分  </w:t>
      </w:r>
      <w:r>
        <w:rPr>
          <w:rFonts w:hint="eastAsia"/>
        </w:rPr>
        <w:t>供应商认为有必要说明的其他资料</w:t>
      </w:r>
      <w:bookmarkEnd w:id="219"/>
      <w:bookmarkEnd w:id="220"/>
      <w:bookmarkEnd w:id="221"/>
      <w:bookmarkEnd w:id="222"/>
      <w:bookmarkEnd w:id="223"/>
      <w:bookmarkEnd w:id="224"/>
    </w:p>
    <w:p>
      <w:pPr>
        <w:tabs>
          <w:tab w:val="left" w:pos="309"/>
        </w:tabs>
        <w:ind w:firstLine="480"/>
        <w:jc w:val="left"/>
        <w:rPr>
          <w:rFonts w:ascii="楷体" w:hAnsi="楷体" w:cs="楷体"/>
        </w:rPr>
      </w:pPr>
    </w:p>
    <w:p>
      <w:pPr>
        <w:ind w:firstLine="480"/>
      </w:pPr>
      <w:r>
        <w:br w:type="page"/>
      </w:r>
    </w:p>
    <w:p>
      <w:pPr>
        <w:pStyle w:val="4"/>
        <w:numPr>
          <w:ilvl w:val="1"/>
          <w:numId w:val="0"/>
        </w:numPr>
        <w:jc w:val="both"/>
        <w:rPr>
          <w:rFonts w:ascii="楷体" w:hAnsi="楷体" w:cs="楷体"/>
          <w:b w:val="0"/>
          <w:bCs/>
          <w:sz w:val="24"/>
        </w:rPr>
      </w:pPr>
      <w:r>
        <w:rPr>
          <w:rFonts w:hint="eastAsia" w:ascii="楷体" w:hAnsi="楷体" w:cs="楷体"/>
          <w:b w:val="0"/>
          <w:bCs/>
          <w:sz w:val="24"/>
        </w:rPr>
        <w:t>附件1：</w:t>
      </w:r>
    </w:p>
    <w:p>
      <w:pPr>
        <w:pStyle w:val="3"/>
        <w:numPr>
          <w:ilvl w:val="0"/>
          <w:numId w:val="0"/>
        </w:numPr>
        <w:spacing w:before="162"/>
        <w:rPr>
          <w:rFonts w:ascii="楷体" w:hAnsi="楷体" w:cs="楷体"/>
          <w:sz w:val="28"/>
          <w:szCs w:val="28"/>
        </w:rPr>
      </w:pPr>
      <w:bookmarkStart w:id="225" w:name="_Toc13333"/>
      <w:bookmarkStart w:id="226" w:name="_Toc28535"/>
      <w:bookmarkStart w:id="227" w:name="_Toc24222"/>
      <w:r>
        <w:rPr>
          <w:rFonts w:hint="eastAsia" w:ascii="楷体" w:hAnsi="楷体" w:cs="楷体"/>
          <w:sz w:val="28"/>
          <w:szCs w:val="28"/>
        </w:rPr>
        <w:t>中小企业声明函（货物）</w:t>
      </w:r>
      <w:bookmarkEnd w:id="225"/>
      <w:bookmarkEnd w:id="226"/>
      <w:bookmarkEnd w:id="227"/>
    </w:p>
    <w:p>
      <w:pPr>
        <w:pStyle w:val="2"/>
        <w:spacing w:before="55"/>
        <w:ind w:firstLine="480"/>
        <w:rPr>
          <w:rFonts w:ascii="楷体" w:hAnsi="楷体" w:cs="楷体"/>
          <w:w w:val="95"/>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采购活动，提</w:t>
      </w:r>
      <w:r>
        <w:rPr>
          <w:rFonts w:hint="eastAsia" w:ascii="楷体" w:hAnsi="楷体" w:cs="楷体"/>
          <w:w w:val="95"/>
          <w:sz w:val="24"/>
        </w:rPr>
        <w:t>供的货物全部由符合政策要求的中小企业制造。相关企业（含联合体中的中小企业、签订分包意向协议的中小企业）的具体情况如下：</w:t>
      </w:r>
    </w:p>
    <w:p>
      <w:pPr>
        <w:pStyle w:val="73"/>
        <w:tabs>
          <w:tab w:val="left" w:pos="1183"/>
          <w:tab w:val="left" w:pos="1484"/>
          <w:tab w:val="left" w:pos="4662"/>
          <w:tab w:val="left" w:pos="6903"/>
        </w:tabs>
        <w:ind w:right="169" w:firstLine="458"/>
        <w:jc w:val="left"/>
        <w:rPr>
          <w:rFonts w:ascii="楷体" w:hAnsi="楷体" w:cs="楷体"/>
        </w:rPr>
      </w:pPr>
      <w:r>
        <w:rPr>
          <w:rFonts w:hint="eastAsia" w:ascii="楷体" w:hAnsi="楷体" w:cs="楷体"/>
          <w:w w:val="96"/>
        </w:rPr>
        <w:t>1.</w:t>
      </w:r>
      <w:r>
        <w:rPr>
          <w:rFonts w:hint="eastAsia" w:ascii="楷体" w:hAnsi="楷体" w:cs="楷体"/>
          <w:w w:val="96"/>
          <w:u w:val="single"/>
        </w:rPr>
        <w:t xml:space="preserve"> </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（中型企业、小型企业、</w:t>
      </w:r>
      <w:r>
        <w:rPr>
          <w:rFonts w:hint="eastAsia" w:ascii="楷体" w:hAnsi="楷体" w:cs="楷体"/>
          <w:w w:val="96"/>
          <w:u w:val="single"/>
        </w:rPr>
        <w:t>微型企业）</w:t>
      </w:r>
      <w:r>
        <w:rPr>
          <w:rFonts w:hint="eastAsia" w:ascii="楷体" w:hAnsi="楷体" w:cs="楷体"/>
          <w:w w:val="99"/>
        </w:rPr>
        <w:t>；</w:t>
      </w:r>
    </w:p>
    <w:p>
      <w:pPr>
        <w:pStyle w:val="73"/>
        <w:tabs>
          <w:tab w:val="left" w:pos="1165"/>
          <w:tab w:val="left" w:pos="1183"/>
          <w:tab w:val="left" w:pos="4362"/>
          <w:tab w:val="left" w:pos="6577"/>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 xml:space="preserve"> </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（中型企业、小型企业、微</w:t>
      </w:r>
      <w:r>
        <w:rPr>
          <w:rFonts w:hint="eastAsia" w:ascii="楷体" w:hAnsi="楷体" w:cs="楷体"/>
          <w:w w:val="96"/>
          <w:u w:val="single"/>
        </w:rPr>
        <w:t>型企业）</w:t>
      </w:r>
      <w:r>
        <w:rPr>
          <w:rFonts w:hint="eastAsia" w:ascii="楷体" w:hAnsi="楷体" w:cs="楷体"/>
          <w:w w:val="99"/>
        </w:rPr>
        <w:t>；</w:t>
      </w:r>
    </w:p>
    <w:p>
      <w:pPr>
        <w:pStyle w:val="2"/>
        <w:ind w:left="860" w:firstLine="480"/>
        <w:rPr>
          <w:rFonts w:ascii="楷体" w:hAnsi="楷体" w:cs="楷体"/>
          <w:sz w:val="24"/>
        </w:rPr>
      </w:pPr>
      <w:r>
        <w:rPr>
          <w:rFonts w:hint="eastAsia" w:ascii="楷体" w:hAnsi="楷体" w:cs="楷体"/>
          <w:sz w:val="24"/>
        </w:rPr>
        <w:t>……</w:t>
      </w:r>
    </w:p>
    <w:p>
      <w:pPr>
        <w:pStyle w:val="2"/>
        <w:spacing w:before="105"/>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2"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5"/>
        <w:ind w:firstLine="473"/>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pStyle w:val="5"/>
        <w:ind w:firstLine="473"/>
        <w:rPr>
          <w:rFonts w:ascii="楷体" w:hAnsi="楷体" w:cs="楷体"/>
          <w:w w:val="99"/>
        </w:rPr>
      </w:pPr>
    </w:p>
    <w:p>
      <w:pPr>
        <w:pStyle w:val="5"/>
        <w:ind w:firstLine="473"/>
        <w:rPr>
          <w:rFonts w:ascii="楷体" w:hAnsi="楷体" w:cs="楷体"/>
          <w:w w:val="99"/>
        </w:rPr>
      </w:pPr>
    </w:p>
    <w:p>
      <w:pPr>
        <w:pStyle w:val="5"/>
        <w:ind w:firstLine="3792" w:firstLineChars="1600"/>
        <w:rPr>
          <w:rFonts w:ascii="楷体" w:hAnsi="楷体" w:cs="楷体"/>
          <w:w w:val="99"/>
        </w:rPr>
      </w:pPr>
      <w:r>
        <w:rPr>
          <w:rFonts w:hint="eastAsia" w:ascii="楷体" w:hAnsi="楷体" w:cs="楷体"/>
          <w:w w:val="99"/>
        </w:rPr>
        <w:t>供应商名称（盖章）：</w:t>
      </w:r>
    </w:p>
    <w:p>
      <w:pPr>
        <w:pStyle w:val="5"/>
        <w:ind w:firstLine="3840" w:firstLineChars="1600"/>
        <w:rPr>
          <w:rFonts w:ascii="楷体" w:hAnsi="楷体" w:cs="楷体"/>
        </w:rPr>
      </w:pPr>
      <w:r>
        <w:rPr>
          <w:rFonts w:hint="eastAsia" w:ascii="楷体" w:hAnsi="楷体" w:cs="楷体"/>
        </w:rPr>
        <w:t>日  期：</w:t>
      </w:r>
    </w:p>
    <w:p>
      <w:pPr>
        <w:pStyle w:val="5"/>
        <w:ind w:firstLine="0" w:firstLineChars="0"/>
        <w:rPr>
          <w:rFonts w:ascii="楷体" w:hAnsi="楷体" w:cs="楷体"/>
          <w:bCs/>
        </w:rPr>
      </w:pPr>
      <w:r>
        <w:rPr>
          <w:rFonts w:hint="eastAsia" w:ascii="楷体" w:hAnsi="楷体" w:cs="楷体"/>
        </w:rPr>
        <w:br w:type="page"/>
      </w: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228" w:name="OLE_LINK14"/>
      <w:bookmarkStart w:id="229" w:name="OLE_LINK13"/>
      <w:r>
        <w:rPr>
          <w:rFonts w:hint="eastAsia" w:ascii="楷体" w:hAnsi="楷体" w:cs="楷体"/>
          <w:b/>
          <w:kern w:val="44"/>
          <w:sz w:val="28"/>
          <w:szCs w:val="28"/>
        </w:rPr>
        <w:t>残疾人福利性单位声明函</w:t>
      </w:r>
    </w:p>
    <w:bookmarkEnd w:id="228"/>
    <w:bookmarkEnd w:id="229"/>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w:t>
      </w: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lang w:val="en-US" w:eastAsia="zh-CN"/>
        </w:rPr>
      </w:pPr>
    </w:p>
    <w:sectPr>
      <w:pgSz w:w="11906" w:h="16838"/>
      <w:pgMar w:top="1440" w:right="1191" w:bottom="1440"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E8gz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L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wFE8gzAgAAZAQAAA4AAAAAAAAAAQAgAAAAHwEAAGRycy9lMm9Eb2MueG1sUEsF&#10;BgAAAAAGAAYAWQEAAMQ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陕西四方衡裕项目管理有限公司                              </w:t>
    </w:r>
    <w:r>
      <w:rPr>
        <w:rFonts w:hint="eastAsia"/>
        <w:i/>
        <w:iCs/>
        <w:lang w:val="en-US" w:eastAsia="zh-CN"/>
      </w:rPr>
      <w:t xml:space="preserve">        </w:t>
    </w:r>
    <w:r>
      <w:rPr>
        <w:rFonts w:hint="eastAsia"/>
        <w:i/>
        <w:iCs/>
      </w:rPr>
      <w:t>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tabs>
        <w:tab w:val="left" w:pos="6291"/>
        <w:tab w:val="right" w:pos="8880"/>
        <w:tab w:val="clear" w:pos="4153"/>
        <w:tab w:val="clear" w:pos="8306"/>
      </w:tabs>
      <w:ind w:right="144" w:rightChars="60" w:firstLine="0" w:firstLineChars="0"/>
    </w:pPr>
    <w:r>
      <w:rPr>
        <w:rFonts w:hint="eastAsia"/>
      </w:rPr>
      <w:t>陕西四方衡裕项目管理有限公司</w:t>
    </w:r>
    <w:r>
      <mc:AlternateContent>
        <mc:Choice Requires="wps">
          <w:drawing>
            <wp:anchor distT="0" distB="0" distL="114300" distR="114300" simplePos="0" relativeHeight="251663360"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3360;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2kT5lzECAABj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k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SE&#10;ybMsbPXO8ggd5fF2dQyQM6kcRemUQHfiAbOX+tTvSRzuP88p6vG/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0L6idUAAAAIAQAADwAAAAAAAAABACAAAAAiAAAAZHJzL2Rvd25yZXYueG1sUEsB&#10;AhQAFAAAAAgAh07iQNpE+ZcxAgAAYwQAAA4AAAAAAAAAAQAgAAAAJAEAAGRycy9lMm9Eb2MueG1s&#10;UEsFBgAAAAAGAAYAWQEAAMc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233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6233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Gvk47wyAgAAY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jB5loWNfrA8Qkd5vF3uA+RMKkdReiXQnXjA7KU+nfckDvef5xT1+N+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xm7s1gAAAAkBAAAPAAAAAAAAAAEAIAAAACIAAABkcnMvZG93bnJldi54bWxQ&#10;SwECFAAUAAAACACHTuJAa+TjvDICAABjBAAADgAAAAAAAAABACAAAAAlAQAAZHJzL2Uyb0RvYy54&#10;bWxQSwUGAAAAAAYABgBZAQAAyQUAAAAA&#10;">
              <v:fill on="f" focussize="0,0"/>
              <v:stroke on="f" weight="0.5pt"/>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131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2Zxg5DICAABj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mDzLwkZvLY/QUR5vl4cAOZPKUZROCXQnHjB7qU+XPYnD/ec5RT39Ny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DZnGDkMgIAAGMEAAAOAAAAAAAAAAEAIAAAACQBAABkcnMvZTJvRG9jLnht&#10;bFBLBQYAAAAABgAGAFkBAADIBQ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pPr>
                      <w:pStyle w:val="27"/>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ind w:firstLine="360"/>
      <w:rPr>
        <w:rStyle w:val="47"/>
      </w:rPr>
    </w:pPr>
    <w:r>
      <w:fldChar w:fldCharType="begin"/>
    </w:r>
    <w:r>
      <w:rPr>
        <w:rStyle w:val="47"/>
      </w:rPr>
      <w:instrText xml:space="preserve">PAGE  </w:instrText>
    </w:r>
    <w:r>
      <w:fldChar w:fldCharType="separate"/>
    </w:r>
    <w:r>
      <w:rPr>
        <w:rStyle w:val="47"/>
      </w:rPr>
      <w:t>1</w:t>
    </w:r>
    <w:r>
      <w:fldChar w:fldCharType="end"/>
    </w:r>
  </w:p>
  <w:p>
    <w:pPr>
      <w:pStyle w:val="2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BA21056"/>
    <w:multiLevelType w:val="singleLevel"/>
    <w:tmpl w:val="CBA21056"/>
    <w:lvl w:ilvl="0" w:tentative="0">
      <w:start w:val="1"/>
      <w:numFmt w:val="chineseCounting"/>
      <w:suff w:val="nothing"/>
      <w:lvlText w:val="（%1）"/>
      <w:lvlJc w:val="left"/>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FEE1910B"/>
    <w:multiLevelType w:val="singleLevel"/>
    <w:tmpl w:val="FEE1910B"/>
    <w:lvl w:ilvl="0" w:tentative="0">
      <w:start w:val="1"/>
      <w:numFmt w:val="decimal"/>
      <w:lvlText w:val="%1."/>
      <w:lvlJc w:val="left"/>
      <w:pPr>
        <w:tabs>
          <w:tab w:val="left" w:pos="312"/>
        </w:tabs>
      </w:pPr>
    </w:lvl>
  </w:abstractNum>
  <w:abstractNum w:abstractNumId="5">
    <w:nsid w:val="03992AA9"/>
    <w:multiLevelType w:val="multilevel"/>
    <w:tmpl w:val="03992AA9"/>
    <w:lvl w:ilvl="0" w:tentative="0">
      <w:start w:val="1"/>
      <w:numFmt w:val="bullet"/>
      <w:pStyle w:val="13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B94741F"/>
    <w:multiLevelType w:val="singleLevel"/>
    <w:tmpl w:val="3B94741F"/>
    <w:lvl w:ilvl="0" w:tentative="0">
      <w:start w:val="1"/>
      <w:numFmt w:val="decimal"/>
      <w:suff w:val="nothing"/>
      <w:lvlText w:val="%1、"/>
      <w:lvlJc w:val="left"/>
    </w:lvl>
  </w:abstractNum>
  <w:abstractNum w:abstractNumId="7">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22E049B"/>
    <w:multiLevelType w:val="singleLevel"/>
    <w:tmpl w:val="522E049B"/>
    <w:lvl w:ilvl="0" w:tentative="0">
      <w:start w:val="1"/>
      <w:numFmt w:val="decimal"/>
      <w:suff w:val="nothing"/>
      <w:lvlText w:val="%1、"/>
      <w:lvlJc w:val="left"/>
    </w:lvl>
  </w:abstractNum>
  <w:abstractNum w:abstractNumId="9">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7"/>
  </w:num>
  <w:num w:numId="2">
    <w:abstractNumId w:val="0"/>
  </w:num>
  <w:num w:numId="3">
    <w:abstractNumId w:val="9"/>
  </w:num>
  <w:num w:numId="4">
    <w:abstractNumId w:val="5"/>
  </w:num>
  <w:num w:numId="5">
    <w:abstractNumId w:val="8"/>
  </w:num>
  <w:num w:numId="6">
    <w:abstractNumId w:val="3"/>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ODNiYjc4YjBmNjYzNmQ5OTRlYzY1ZTc4NzZmYTUifQ=="/>
  </w:docVars>
  <w:rsids>
    <w:rsidRoot w:val="5FEE1AF0"/>
    <w:rsid w:val="000100A6"/>
    <w:rsid w:val="00014550"/>
    <w:rsid w:val="00037906"/>
    <w:rsid w:val="00045205"/>
    <w:rsid w:val="000470A4"/>
    <w:rsid w:val="00050124"/>
    <w:rsid w:val="00055921"/>
    <w:rsid w:val="00066EDF"/>
    <w:rsid w:val="00071E65"/>
    <w:rsid w:val="00082421"/>
    <w:rsid w:val="00087417"/>
    <w:rsid w:val="00092EA8"/>
    <w:rsid w:val="000A3A7D"/>
    <w:rsid w:val="000B1016"/>
    <w:rsid w:val="000C5A52"/>
    <w:rsid w:val="000C6451"/>
    <w:rsid w:val="000D027B"/>
    <w:rsid w:val="000D1AEA"/>
    <w:rsid w:val="000D40AC"/>
    <w:rsid w:val="000F6E1D"/>
    <w:rsid w:val="001269D8"/>
    <w:rsid w:val="001303E4"/>
    <w:rsid w:val="00131019"/>
    <w:rsid w:val="00137A1A"/>
    <w:rsid w:val="00164BE4"/>
    <w:rsid w:val="0016690D"/>
    <w:rsid w:val="001733EE"/>
    <w:rsid w:val="0017621D"/>
    <w:rsid w:val="0018072A"/>
    <w:rsid w:val="001A0A26"/>
    <w:rsid w:val="001B099D"/>
    <w:rsid w:val="001C7104"/>
    <w:rsid w:val="001D62FE"/>
    <w:rsid w:val="001E47CE"/>
    <w:rsid w:val="001F0B0A"/>
    <w:rsid w:val="001F594D"/>
    <w:rsid w:val="001F669B"/>
    <w:rsid w:val="0020675A"/>
    <w:rsid w:val="002119A3"/>
    <w:rsid w:val="0022169A"/>
    <w:rsid w:val="00222715"/>
    <w:rsid w:val="00247970"/>
    <w:rsid w:val="002621BF"/>
    <w:rsid w:val="002676CE"/>
    <w:rsid w:val="002924B0"/>
    <w:rsid w:val="0029524C"/>
    <w:rsid w:val="002C141F"/>
    <w:rsid w:val="002C61F7"/>
    <w:rsid w:val="002C6F76"/>
    <w:rsid w:val="002D2C3C"/>
    <w:rsid w:val="002D7C97"/>
    <w:rsid w:val="002E1E81"/>
    <w:rsid w:val="00312BFE"/>
    <w:rsid w:val="00340DDB"/>
    <w:rsid w:val="00341566"/>
    <w:rsid w:val="0035199D"/>
    <w:rsid w:val="00352D99"/>
    <w:rsid w:val="00356DAF"/>
    <w:rsid w:val="00356DEB"/>
    <w:rsid w:val="00360E24"/>
    <w:rsid w:val="00383F51"/>
    <w:rsid w:val="00390741"/>
    <w:rsid w:val="003A5CF9"/>
    <w:rsid w:val="003C6034"/>
    <w:rsid w:val="003D21B2"/>
    <w:rsid w:val="003D7ADC"/>
    <w:rsid w:val="0040297C"/>
    <w:rsid w:val="00413AEE"/>
    <w:rsid w:val="00415206"/>
    <w:rsid w:val="00415BDB"/>
    <w:rsid w:val="004218B5"/>
    <w:rsid w:val="00424C28"/>
    <w:rsid w:val="004277C9"/>
    <w:rsid w:val="004519BC"/>
    <w:rsid w:val="00451C36"/>
    <w:rsid w:val="004727F1"/>
    <w:rsid w:val="004809B5"/>
    <w:rsid w:val="00481D5D"/>
    <w:rsid w:val="004A0BD9"/>
    <w:rsid w:val="004B4F7F"/>
    <w:rsid w:val="004C4A09"/>
    <w:rsid w:val="004E5A1D"/>
    <w:rsid w:val="004F45AB"/>
    <w:rsid w:val="00510CCD"/>
    <w:rsid w:val="00510F4B"/>
    <w:rsid w:val="0053060A"/>
    <w:rsid w:val="0053172B"/>
    <w:rsid w:val="00531E87"/>
    <w:rsid w:val="00533B08"/>
    <w:rsid w:val="00535E12"/>
    <w:rsid w:val="00543557"/>
    <w:rsid w:val="00544D82"/>
    <w:rsid w:val="00546814"/>
    <w:rsid w:val="00551791"/>
    <w:rsid w:val="005538A0"/>
    <w:rsid w:val="0055524A"/>
    <w:rsid w:val="005560F2"/>
    <w:rsid w:val="005565EB"/>
    <w:rsid w:val="00580C06"/>
    <w:rsid w:val="0058369F"/>
    <w:rsid w:val="005A22FB"/>
    <w:rsid w:val="005A5466"/>
    <w:rsid w:val="005B1BE1"/>
    <w:rsid w:val="005C6ADC"/>
    <w:rsid w:val="005D0536"/>
    <w:rsid w:val="006075F2"/>
    <w:rsid w:val="0062119B"/>
    <w:rsid w:val="0063100A"/>
    <w:rsid w:val="00641677"/>
    <w:rsid w:val="006708C6"/>
    <w:rsid w:val="00680253"/>
    <w:rsid w:val="006873F2"/>
    <w:rsid w:val="006A36FF"/>
    <w:rsid w:val="006B70F4"/>
    <w:rsid w:val="006C750A"/>
    <w:rsid w:val="006D1CFC"/>
    <w:rsid w:val="0070028C"/>
    <w:rsid w:val="00704871"/>
    <w:rsid w:val="007066E2"/>
    <w:rsid w:val="007147C6"/>
    <w:rsid w:val="007158D4"/>
    <w:rsid w:val="007200AE"/>
    <w:rsid w:val="007215E8"/>
    <w:rsid w:val="007247B0"/>
    <w:rsid w:val="0072514A"/>
    <w:rsid w:val="00727DB7"/>
    <w:rsid w:val="00733E26"/>
    <w:rsid w:val="00744397"/>
    <w:rsid w:val="00744F52"/>
    <w:rsid w:val="00753196"/>
    <w:rsid w:val="00771F6E"/>
    <w:rsid w:val="0077738E"/>
    <w:rsid w:val="00785804"/>
    <w:rsid w:val="00792630"/>
    <w:rsid w:val="007A5061"/>
    <w:rsid w:val="007A660E"/>
    <w:rsid w:val="007B54CE"/>
    <w:rsid w:val="007C6F0D"/>
    <w:rsid w:val="007D52B1"/>
    <w:rsid w:val="007F32C1"/>
    <w:rsid w:val="007F3381"/>
    <w:rsid w:val="007F770B"/>
    <w:rsid w:val="00811B0A"/>
    <w:rsid w:val="00815B84"/>
    <w:rsid w:val="00816344"/>
    <w:rsid w:val="00822FBE"/>
    <w:rsid w:val="008354C6"/>
    <w:rsid w:val="00843AC3"/>
    <w:rsid w:val="00850DBB"/>
    <w:rsid w:val="00854A62"/>
    <w:rsid w:val="00874D3C"/>
    <w:rsid w:val="00896C7B"/>
    <w:rsid w:val="008E7D32"/>
    <w:rsid w:val="008F1F93"/>
    <w:rsid w:val="009002A0"/>
    <w:rsid w:val="0090133E"/>
    <w:rsid w:val="0090436B"/>
    <w:rsid w:val="00917968"/>
    <w:rsid w:val="009224FE"/>
    <w:rsid w:val="00974BB4"/>
    <w:rsid w:val="009A117E"/>
    <w:rsid w:val="009A455C"/>
    <w:rsid w:val="009D50A5"/>
    <w:rsid w:val="009D57DD"/>
    <w:rsid w:val="009D5AB3"/>
    <w:rsid w:val="009E37B4"/>
    <w:rsid w:val="009E6E51"/>
    <w:rsid w:val="009F4C1B"/>
    <w:rsid w:val="00A16807"/>
    <w:rsid w:val="00A2131B"/>
    <w:rsid w:val="00A21676"/>
    <w:rsid w:val="00A26BF1"/>
    <w:rsid w:val="00A31206"/>
    <w:rsid w:val="00A31BE6"/>
    <w:rsid w:val="00A330CA"/>
    <w:rsid w:val="00A56578"/>
    <w:rsid w:val="00A57CDF"/>
    <w:rsid w:val="00A63607"/>
    <w:rsid w:val="00A7622F"/>
    <w:rsid w:val="00AA0137"/>
    <w:rsid w:val="00AA3CEC"/>
    <w:rsid w:val="00AF3D1F"/>
    <w:rsid w:val="00B10FE1"/>
    <w:rsid w:val="00B220E0"/>
    <w:rsid w:val="00B250C9"/>
    <w:rsid w:val="00B30063"/>
    <w:rsid w:val="00B354A6"/>
    <w:rsid w:val="00B4093A"/>
    <w:rsid w:val="00B43858"/>
    <w:rsid w:val="00B51CF0"/>
    <w:rsid w:val="00B706BB"/>
    <w:rsid w:val="00B8564F"/>
    <w:rsid w:val="00B91E2C"/>
    <w:rsid w:val="00BB0DF0"/>
    <w:rsid w:val="00BC4BD9"/>
    <w:rsid w:val="00BC75C2"/>
    <w:rsid w:val="00BD3B28"/>
    <w:rsid w:val="00BD7419"/>
    <w:rsid w:val="00BF55E5"/>
    <w:rsid w:val="00C00F5E"/>
    <w:rsid w:val="00C03300"/>
    <w:rsid w:val="00C23095"/>
    <w:rsid w:val="00C257ED"/>
    <w:rsid w:val="00C47837"/>
    <w:rsid w:val="00C5267B"/>
    <w:rsid w:val="00C6090D"/>
    <w:rsid w:val="00C65D92"/>
    <w:rsid w:val="00C67ECB"/>
    <w:rsid w:val="00C72958"/>
    <w:rsid w:val="00C76A98"/>
    <w:rsid w:val="00C820B6"/>
    <w:rsid w:val="00C96C1E"/>
    <w:rsid w:val="00CA118F"/>
    <w:rsid w:val="00CA30AA"/>
    <w:rsid w:val="00CA325C"/>
    <w:rsid w:val="00CB52B4"/>
    <w:rsid w:val="00CE68EF"/>
    <w:rsid w:val="00CF13FE"/>
    <w:rsid w:val="00CF2CFD"/>
    <w:rsid w:val="00CF5C6D"/>
    <w:rsid w:val="00D1155A"/>
    <w:rsid w:val="00D14C48"/>
    <w:rsid w:val="00D46028"/>
    <w:rsid w:val="00D51323"/>
    <w:rsid w:val="00D55596"/>
    <w:rsid w:val="00D55E91"/>
    <w:rsid w:val="00D6256F"/>
    <w:rsid w:val="00D632D4"/>
    <w:rsid w:val="00D70501"/>
    <w:rsid w:val="00D90474"/>
    <w:rsid w:val="00D921A9"/>
    <w:rsid w:val="00D978D5"/>
    <w:rsid w:val="00DB135F"/>
    <w:rsid w:val="00DC19CB"/>
    <w:rsid w:val="00DE63D0"/>
    <w:rsid w:val="00DF44DD"/>
    <w:rsid w:val="00DF7772"/>
    <w:rsid w:val="00E219D6"/>
    <w:rsid w:val="00E37479"/>
    <w:rsid w:val="00E5044D"/>
    <w:rsid w:val="00E57CBD"/>
    <w:rsid w:val="00E62313"/>
    <w:rsid w:val="00E62631"/>
    <w:rsid w:val="00E635DF"/>
    <w:rsid w:val="00E87B68"/>
    <w:rsid w:val="00E95861"/>
    <w:rsid w:val="00EA1861"/>
    <w:rsid w:val="00EC0575"/>
    <w:rsid w:val="00EC09C1"/>
    <w:rsid w:val="00EC0A89"/>
    <w:rsid w:val="00EC6BDA"/>
    <w:rsid w:val="00EC7A04"/>
    <w:rsid w:val="00ED52C5"/>
    <w:rsid w:val="00EE265E"/>
    <w:rsid w:val="00EF40AB"/>
    <w:rsid w:val="00F01A89"/>
    <w:rsid w:val="00F028D0"/>
    <w:rsid w:val="00F1385F"/>
    <w:rsid w:val="00F22C28"/>
    <w:rsid w:val="00F47F7C"/>
    <w:rsid w:val="00F500F5"/>
    <w:rsid w:val="00F66490"/>
    <w:rsid w:val="00F70794"/>
    <w:rsid w:val="00F72EB0"/>
    <w:rsid w:val="00F82397"/>
    <w:rsid w:val="00F907ED"/>
    <w:rsid w:val="00F95534"/>
    <w:rsid w:val="00FA42E4"/>
    <w:rsid w:val="00FB4BF6"/>
    <w:rsid w:val="00FB5122"/>
    <w:rsid w:val="00FB67C4"/>
    <w:rsid w:val="00FC3C8B"/>
    <w:rsid w:val="00FC6A67"/>
    <w:rsid w:val="00FC6DB3"/>
    <w:rsid w:val="01003F7B"/>
    <w:rsid w:val="01074222"/>
    <w:rsid w:val="010A6538"/>
    <w:rsid w:val="011E60B5"/>
    <w:rsid w:val="01213882"/>
    <w:rsid w:val="012313A8"/>
    <w:rsid w:val="01233A9E"/>
    <w:rsid w:val="01260E98"/>
    <w:rsid w:val="01265D4D"/>
    <w:rsid w:val="012A2737"/>
    <w:rsid w:val="01423569"/>
    <w:rsid w:val="01447C0F"/>
    <w:rsid w:val="01542FD5"/>
    <w:rsid w:val="0168325F"/>
    <w:rsid w:val="0169552B"/>
    <w:rsid w:val="017111E0"/>
    <w:rsid w:val="01960AB2"/>
    <w:rsid w:val="01B41F70"/>
    <w:rsid w:val="01BC1F1C"/>
    <w:rsid w:val="01BD716E"/>
    <w:rsid w:val="01C256AD"/>
    <w:rsid w:val="01D60ECE"/>
    <w:rsid w:val="01E44198"/>
    <w:rsid w:val="01EA0118"/>
    <w:rsid w:val="01F1594A"/>
    <w:rsid w:val="01F51850"/>
    <w:rsid w:val="01FB2325"/>
    <w:rsid w:val="02054F52"/>
    <w:rsid w:val="02074F0E"/>
    <w:rsid w:val="02076F2E"/>
    <w:rsid w:val="02100993"/>
    <w:rsid w:val="021D7017"/>
    <w:rsid w:val="022A6766"/>
    <w:rsid w:val="022D3CD0"/>
    <w:rsid w:val="02403C79"/>
    <w:rsid w:val="02445A7A"/>
    <w:rsid w:val="024632C4"/>
    <w:rsid w:val="02477318"/>
    <w:rsid w:val="024E0ADE"/>
    <w:rsid w:val="024F4C0A"/>
    <w:rsid w:val="0263535D"/>
    <w:rsid w:val="0281282A"/>
    <w:rsid w:val="02867E41"/>
    <w:rsid w:val="028C6818"/>
    <w:rsid w:val="02921D80"/>
    <w:rsid w:val="02AB5AF9"/>
    <w:rsid w:val="02BF631A"/>
    <w:rsid w:val="02CB4A82"/>
    <w:rsid w:val="02DE5ECF"/>
    <w:rsid w:val="02E160DA"/>
    <w:rsid w:val="02F53218"/>
    <w:rsid w:val="02F74B87"/>
    <w:rsid w:val="030A6CC4"/>
    <w:rsid w:val="030B2A3C"/>
    <w:rsid w:val="030D2053"/>
    <w:rsid w:val="033259E7"/>
    <w:rsid w:val="03411FE4"/>
    <w:rsid w:val="034C089F"/>
    <w:rsid w:val="03524675"/>
    <w:rsid w:val="0353518A"/>
    <w:rsid w:val="035B78B3"/>
    <w:rsid w:val="03634626"/>
    <w:rsid w:val="0368166E"/>
    <w:rsid w:val="036F7E85"/>
    <w:rsid w:val="0383523A"/>
    <w:rsid w:val="03AE73AD"/>
    <w:rsid w:val="03CA1FAF"/>
    <w:rsid w:val="03CA57BD"/>
    <w:rsid w:val="03D90FD0"/>
    <w:rsid w:val="03E836A2"/>
    <w:rsid w:val="03FC454A"/>
    <w:rsid w:val="03FD3050"/>
    <w:rsid w:val="040110CF"/>
    <w:rsid w:val="04087A2D"/>
    <w:rsid w:val="042979F2"/>
    <w:rsid w:val="043329C0"/>
    <w:rsid w:val="0439760D"/>
    <w:rsid w:val="04442533"/>
    <w:rsid w:val="04454308"/>
    <w:rsid w:val="04473600"/>
    <w:rsid w:val="044A30F0"/>
    <w:rsid w:val="045526C4"/>
    <w:rsid w:val="04640655"/>
    <w:rsid w:val="04641D9D"/>
    <w:rsid w:val="04846602"/>
    <w:rsid w:val="048620A7"/>
    <w:rsid w:val="04967D36"/>
    <w:rsid w:val="04A27AFF"/>
    <w:rsid w:val="04A66EED"/>
    <w:rsid w:val="04BC2EFE"/>
    <w:rsid w:val="04BD696B"/>
    <w:rsid w:val="04C108F7"/>
    <w:rsid w:val="04C42EA2"/>
    <w:rsid w:val="04C6425D"/>
    <w:rsid w:val="04DB6853"/>
    <w:rsid w:val="04E86B91"/>
    <w:rsid w:val="04EA6DAD"/>
    <w:rsid w:val="04EC52C6"/>
    <w:rsid w:val="050C05A0"/>
    <w:rsid w:val="051C4A8C"/>
    <w:rsid w:val="052A6FAA"/>
    <w:rsid w:val="052E656D"/>
    <w:rsid w:val="053A4F12"/>
    <w:rsid w:val="053E0F6B"/>
    <w:rsid w:val="05461B09"/>
    <w:rsid w:val="054A78EB"/>
    <w:rsid w:val="054D10EA"/>
    <w:rsid w:val="0560706F"/>
    <w:rsid w:val="0565057A"/>
    <w:rsid w:val="05681A7F"/>
    <w:rsid w:val="056B1570"/>
    <w:rsid w:val="05793C8D"/>
    <w:rsid w:val="057A17B3"/>
    <w:rsid w:val="057B7A05"/>
    <w:rsid w:val="05832D5D"/>
    <w:rsid w:val="058D598A"/>
    <w:rsid w:val="05946022"/>
    <w:rsid w:val="05A52CD4"/>
    <w:rsid w:val="05AA02EA"/>
    <w:rsid w:val="05AB7BBE"/>
    <w:rsid w:val="05B15E6B"/>
    <w:rsid w:val="05BC1EB1"/>
    <w:rsid w:val="05C70E9C"/>
    <w:rsid w:val="05CC56C2"/>
    <w:rsid w:val="05CC64B2"/>
    <w:rsid w:val="05CE7A28"/>
    <w:rsid w:val="05E355AA"/>
    <w:rsid w:val="05E732EC"/>
    <w:rsid w:val="05ED01D7"/>
    <w:rsid w:val="05FA6D67"/>
    <w:rsid w:val="06085010"/>
    <w:rsid w:val="06131532"/>
    <w:rsid w:val="061340E1"/>
    <w:rsid w:val="06183EF9"/>
    <w:rsid w:val="061B2F96"/>
    <w:rsid w:val="0627463A"/>
    <w:rsid w:val="062B418F"/>
    <w:rsid w:val="062E4A77"/>
    <w:rsid w:val="06314567"/>
    <w:rsid w:val="063353A5"/>
    <w:rsid w:val="06345E06"/>
    <w:rsid w:val="063B53E6"/>
    <w:rsid w:val="06426774"/>
    <w:rsid w:val="064B565C"/>
    <w:rsid w:val="064F2C3F"/>
    <w:rsid w:val="065344DE"/>
    <w:rsid w:val="06581AF4"/>
    <w:rsid w:val="06760363"/>
    <w:rsid w:val="067D59FE"/>
    <w:rsid w:val="067E67F5"/>
    <w:rsid w:val="0687384F"/>
    <w:rsid w:val="06887ED3"/>
    <w:rsid w:val="068A4759"/>
    <w:rsid w:val="06950775"/>
    <w:rsid w:val="069B5E85"/>
    <w:rsid w:val="06AC5CE1"/>
    <w:rsid w:val="06AF621C"/>
    <w:rsid w:val="06B01930"/>
    <w:rsid w:val="06B37672"/>
    <w:rsid w:val="06C62F02"/>
    <w:rsid w:val="06C929F2"/>
    <w:rsid w:val="06DC2725"/>
    <w:rsid w:val="06DC5BEF"/>
    <w:rsid w:val="0700771A"/>
    <w:rsid w:val="0708351A"/>
    <w:rsid w:val="07103C10"/>
    <w:rsid w:val="07124399"/>
    <w:rsid w:val="071A43DF"/>
    <w:rsid w:val="071C5217"/>
    <w:rsid w:val="071D689A"/>
    <w:rsid w:val="07290199"/>
    <w:rsid w:val="07302A71"/>
    <w:rsid w:val="073071A3"/>
    <w:rsid w:val="07320597"/>
    <w:rsid w:val="073538E3"/>
    <w:rsid w:val="07465DF0"/>
    <w:rsid w:val="074958E1"/>
    <w:rsid w:val="074B3407"/>
    <w:rsid w:val="075B63EE"/>
    <w:rsid w:val="076F17EB"/>
    <w:rsid w:val="078D33A2"/>
    <w:rsid w:val="078F577C"/>
    <w:rsid w:val="0792098C"/>
    <w:rsid w:val="079528D4"/>
    <w:rsid w:val="07996868"/>
    <w:rsid w:val="07A07239"/>
    <w:rsid w:val="07A330DD"/>
    <w:rsid w:val="07A43FF1"/>
    <w:rsid w:val="07B61636"/>
    <w:rsid w:val="07C01E8B"/>
    <w:rsid w:val="07C130C6"/>
    <w:rsid w:val="07E06245"/>
    <w:rsid w:val="07E775D3"/>
    <w:rsid w:val="07EB6D92"/>
    <w:rsid w:val="07F41CF0"/>
    <w:rsid w:val="08050580"/>
    <w:rsid w:val="081E3591"/>
    <w:rsid w:val="081E6D6C"/>
    <w:rsid w:val="084560A8"/>
    <w:rsid w:val="084A1F37"/>
    <w:rsid w:val="084C295D"/>
    <w:rsid w:val="084C7436"/>
    <w:rsid w:val="0850534E"/>
    <w:rsid w:val="085728DB"/>
    <w:rsid w:val="085B2B7A"/>
    <w:rsid w:val="085D1644"/>
    <w:rsid w:val="086F1377"/>
    <w:rsid w:val="08716E9D"/>
    <w:rsid w:val="08731766"/>
    <w:rsid w:val="087343A2"/>
    <w:rsid w:val="087370B9"/>
    <w:rsid w:val="088906CF"/>
    <w:rsid w:val="08A07782"/>
    <w:rsid w:val="08A60BF7"/>
    <w:rsid w:val="08A74FB5"/>
    <w:rsid w:val="08AF4672"/>
    <w:rsid w:val="08B1373D"/>
    <w:rsid w:val="08DE633C"/>
    <w:rsid w:val="08E37446"/>
    <w:rsid w:val="08E9737B"/>
    <w:rsid w:val="08FE10F5"/>
    <w:rsid w:val="08FF26FB"/>
    <w:rsid w:val="090C5CBF"/>
    <w:rsid w:val="090E0B90"/>
    <w:rsid w:val="090E5039"/>
    <w:rsid w:val="091361A6"/>
    <w:rsid w:val="09153CCC"/>
    <w:rsid w:val="092263E9"/>
    <w:rsid w:val="09293C1C"/>
    <w:rsid w:val="0932487E"/>
    <w:rsid w:val="0935436E"/>
    <w:rsid w:val="093C56FD"/>
    <w:rsid w:val="093D5BB3"/>
    <w:rsid w:val="09581E0B"/>
    <w:rsid w:val="095A2C8F"/>
    <w:rsid w:val="09612399"/>
    <w:rsid w:val="09657D9F"/>
    <w:rsid w:val="097053A7"/>
    <w:rsid w:val="09722783"/>
    <w:rsid w:val="09750C0F"/>
    <w:rsid w:val="097E3F67"/>
    <w:rsid w:val="09A173AA"/>
    <w:rsid w:val="09B5725D"/>
    <w:rsid w:val="09B74D83"/>
    <w:rsid w:val="09C1299A"/>
    <w:rsid w:val="09C83435"/>
    <w:rsid w:val="09C851E3"/>
    <w:rsid w:val="09CD27F9"/>
    <w:rsid w:val="09E57B43"/>
    <w:rsid w:val="09FC6C3A"/>
    <w:rsid w:val="0A096DD5"/>
    <w:rsid w:val="0A1C72DC"/>
    <w:rsid w:val="0A1E12A6"/>
    <w:rsid w:val="0A4A0F94"/>
    <w:rsid w:val="0A4B2570"/>
    <w:rsid w:val="0A4C7BC2"/>
    <w:rsid w:val="0A64315D"/>
    <w:rsid w:val="0A8455AD"/>
    <w:rsid w:val="0A984BB5"/>
    <w:rsid w:val="0A9A6B7F"/>
    <w:rsid w:val="0AA95618"/>
    <w:rsid w:val="0AA96DC2"/>
    <w:rsid w:val="0AAC6AA7"/>
    <w:rsid w:val="0AB251FF"/>
    <w:rsid w:val="0ACA56EF"/>
    <w:rsid w:val="0AD31666"/>
    <w:rsid w:val="0AD90344"/>
    <w:rsid w:val="0ADF0A36"/>
    <w:rsid w:val="0AE0655C"/>
    <w:rsid w:val="0AE147AE"/>
    <w:rsid w:val="0AEE5262"/>
    <w:rsid w:val="0AF14F4D"/>
    <w:rsid w:val="0AF50259"/>
    <w:rsid w:val="0B04224A"/>
    <w:rsid w:val="0B095AB3"/>
    <w:rsid w:val="0B1306DF"/>
    <w:rsid w:val="0B156206"/>
    <w:rsid w:val="0B2841EE"/>
    <w:rsid w:val="0B536D2E"/>
    <w:rsid w:val="0B541AF5"/>
    <w:rsid w:val="0B736329"/>
    <w:rsid w:val="0B7964A1"/>
    <w:rsid w:val="0B7D3DAB"/>
    <w:rsid w:val="0B8D2240"/>
    <w:rsid w:val="0BAE0FC8"/>
    <w:rsid w:val="0BB772BD"/>
    <w:rsid w:val="0BCC2240"/>
    <w:rsid w:val="0BE17F48"/>
    <w:rsid w:val="0BE856C8"/>
    <w:rsid w:val="0BF16C73"/>
    <w:rsid w:val="0BF56037"/>
    <w:rsid w:val="0C103949"/>
    <w:rsid w:val="0C142961"/>
    <w:rsid w:val="0C160487"/>
    <w:rsid w:val="0C215145"/>
    <w:rsid w:val="0C232BA4"/>
    <w:rsid w:val="0C252478"/>
    <w:rsid w:val="0C264442"/>
    <w:rsid w:val="0C321039"/>
    <w:rsid w:val="0C4843B9"/>
    <w:rsid w:val="0C4D19CF"/>
    <w:rsid w:val="0C6E02C3"/>
    <w:rsid w:val="0C724374"/>
    <w:rsid w:val="0C760F26"/>
    <w:rsid w:val="0C7E427E"/>
    <w:rsid w:val="0C92415C"/>
    <w:rsid w:val="0C972C1D"/>
    <w:rsid w:val="0CA12A74"/>
    <w:rsid w:val="0CA535B9"/>
    <w:rsid w:val="0CA737D5"/>
    <w:rsid w:val="0CA76BE8"/>
    <w:rsid w:val="0CAE4E36"/>
    <w:rsid w:val="0CC311CB"/>
    <w:rsid w:val="0CC5653B"/>
    <w:rsid w:val="0CC72234"/>
    <w:rsid w:val="0CD530CF"/>
    <w:rsid w:val="0CDE6ACB"/>
    <w:rsid w:val="0CE75980"/>
    <w:rsid w:val="0CF84031"/>
    <w:rsid w:val="0CFC7822"/>
    <w:rsid w:val="0D002EE5"/>
    <w:rsid w:val="0D0524EB"/>
    <w:rsid w:val="0D1A5D55"/>
    <w:rsid w:val="0D1B16BD"/>
    <w:rsid w:val="0D1F5E10"/>
    <w:rsid w:val="0D2C5A88"/>
    <w:rsid w:val="0D336E17"/>
    <w:rsid w:val="0D366907"/>
    <w:rsid w:val="0D3C3C56"/>
    <w:rsid w:val="0D4C13ED"/>
    <w:rsid w:val="0D504F49"/>
    <w:rsid w:val="0D554F32"/>
    <w:rsid w:val="0D556D8D"/>
    <w:rsid w:val="0D575A2C"/>
    <w:rsid w:val="0D5F6B75"/>
    <w:rsid w:val="0D664F15"/>
    <w:rsid w:val="0D85283A"/>
    <w:rsid w:val="0D8A1218"/>
    <w:rsid w:val="0D8D4779"/>
    <w:rsid w:val="0D9A1985"/>
    <w:rsid w:val="0D9B7B45"/>
    <w:rsid w:val="0DA65826"/>
    <w:rsid w:val="0DC34DAD"/>
    <w:rsid w:val="0DC932D7"/>
    <w:rsid w:val="0DDF0D4D"/>
    <w:rsid w:val="0DEA355B"/>
    <w:rsid w:val="0DF20A80"/>
    <w:rsid w:val="0DF76096"/>
    <w:rsid w:val="0DF90060"/>
    <w:rsid w:val="0DFF319D"/>
    <w:rsid w:val="0E0D35F3"/>
    <w:rsid w:val="0E1409F6"/>
    <w:rsid w:val="0E1F0A4D"/>
    <w:rsid w:val="0E25027A"/>
    <w:rsid w:val="0E393073"/>
    <w:rsid w:val="0E3E5407"/>
    <w:rsid w:val="0E422B9D"/>
    <w:rsid w:val="0E4E3714"/>
    <w:rsid w:val="0E4F1A2E"/>
    <w:rsid w:val="0E613CA0"/>
    <w:rsid w:val="0E651252"/>
    <w:rsid w:val="0E6B438E"/>
    <w:rsid w:val="0E817C38"/>
    <w:rsid w:val="0E8D69FB"/>
    <w:rsid w:val="0E963B01"/>
    <w:rsid w:val="0E990978"/>
    <w:rsid w:val="0EA0672E"/>
    <w:rsid w:val="0EA51C10"/>
    <w:rsid w:val="0EA84BF3"/>
    <w:rsid w:val="0EB12745"/>
    <w:rsid w:val="0EB45D35"/>
    <w:rsid w:val="0EB50007"/>
    <w:rsid w:val="0EC32756"/>
    <w:rsid w:val="0EC334E1"/>
    <w:rsid w:val="0EC63E70"/>
    <w:rsid w:val="0ECA5559"/>
    <w:rsid w:val="0ECD6DF7"/>
    <w:rsid w:val="0EDB1514"/>
    <w:rsid w:val="0EDD34DE"/>
    <w:rsid w:val="0EFC0328"/>
    <w:rsid w:val="0F032819"/>
    <w:rsid w:val="0F05527A"/>
    <w:rsid w:val="0F09285D"/>
    <w:rsid w:val="0F0E7B3C"/>
    <w:rsid w:val="0F100FB4"/>
    <w:rsid w:val="0F1D444C"/>
    <w:rsid w:val="0F260647"/>
    <w:rsid w:val="0F360E40"/>
    <w:rsid w:val="0F425433"/>
    <w:rsid w:val="0F4E1CE6"/>
    <w:rsid w:val="0F4E7E38"/>
    <w:rsid w:val="0F5C160A"/>
    <w:rsid w:val="0F5C7859"/>
    <w:rsid w:val="0F601A19"/>
    <w:rsid w:val="0F753717"/>
    <w:rsid w:val="0F855CBD"/>
    <w:rsid w:val="0F8B2F3A"/>
    <w:rsid w:val="0F8D7A83"/>
    <w:rsid w:val="0F8E3F18"/>
    <w:rsid w:val="0F9D4517"/>
    <w:rsid w:val="0F9F69E6"/>
    <w:rsid w:val="0FA7589A"/>
    <w:rsid w:val="0FA8765E"/>
    <w:rsid w:val="0FAE6C29"/>
    <w:rsid w:val="0FC040A8"/>
    <w:rsid w:val="0FC3366C"/>
    <w:rsid w:val="0FC44326"/>
    <w:rsid w:val="0FC74322"/>
    <w:rsid w:val="0FCB5E77"/>
    <w:rsid w:val="0FD46730"/>
    <w:rsid w:val="0FDF3286"/>
    <w:rsid w:val="0FDF6DE2"/>
    <w:rsid w:val="0FE4264A"/>
    <w:rsid w:val="0FE67C67"/>
    <w:rsid w:val="0FF46D31"/>
    <w:rsid w:val="10042C1A"/>
    <w:rsid w:val="10086339"/>
    <w:rsid w:val="100D1BA1"/>
    <w:rsid w:val="101C46B9"/>
    <w:rsid w:val="1025513D"/>
    <w:rsid w:val="103319CE"/>
    <w:rsid w:val="1042409D"/>
    <w:rsid w:val="104E1688"/>
    <w:rsid w:val="104F51AA"/>
    <w:rsid w:val="105104BB"/>
    <w:rsid w:val="10513563"/>
    <w:rsid w:val="10594DE6"/>
    <w:rsid w:val="10612F5E"/>
    <w:rsid w:val="10645539"/>
    <w:rsid w:val="106C2D6C"/>
    <w:rsid w:val="10711641"/>
    <w:rsid w:val="107227D6"/>
    <w:rsid w:val="1080176D"/>
    <w:rsid w:val="1095207A"/>
    <w:rsid w:val="109E4FF0"/>
    <w:rsid w:val="10A35044"/>
    <w:rsid w:val="10A97373"/>
    <w:rsid w:val="10B77D5F"/>
    <w:rsid w:val="10B94FC8"/>
    <w:rsid w:val="10BF0E0C"/>
    <w:rsid w:val="10CB6240"/>
    <w:rsid w:val="10CB7366"/>
    <w:rsid w:val="10D97CD5"/>
    <w:rsid w:val="10DB72F4"/>
    <w:rsid w:val="10DC1574"/>
    <w:rsid w:val="10EA0134"/>
    <w:rsid w:val="10FB40F0"/>
    <w:rsid w:val="10FC3CE8"/>
    <w:rsid w:val="10FD1C16"/>
    <w:rsid w:val="10FD76B3"/>
    <w:rsid w:val="11072A94"/>
    <w:rsid w:val="1109197E"/>
    <w:rsid w:val="11164A85"/>
    <w:rsid w:val="1122342A"/>
    <w:rsid w:val="112B6004"/>
    <w:rsid w:val="11330036"/>
    <w:rsid w:val="113849FC"/>
    <w:rsid w:val="113C0692"/>
    <w:rsid w:val="11601B6D"/>
    <w:rsid w:val="116752E1"/>
    <w:rsid w:val="117F5B9F"/>
    <w:rsid w:val="118063A3"/>
    <w:rsid w:val="118A6B3D"/>
    <w:rsid w:val="119D3A7D"/>
    <w:rsid w:val="11A93214"/>
    <w:rsid w:val="11B00A36"/>
    <w:rsid w:val="11B463C4"/>
    <w:rsid w:val="11B54371"/>
    <w:rsid w:val="11CC15E8"/>
    <w:rsid w:val="11D47836"/>
    <w:rsid w:val="11D610FD"/>
    <w:rsid w:val="11DC7A7D"/>
    <w:rsid w:val="11F320DD"/>
    <w:rsid w:val="11FD79F3"/>
    <w:rsid w:val="12026E00"/>
    <w:rsid w:val="12166977"/>
    <w:rsid w:val="121B1D88"/>
    <w:rsid w:val="122347D1"/>
    <w:rsid w:val="12265791"/>
    <w:rsid w:val="122907E8"/>
    <w:rsid w:val="12412F69"/>
    <w:rsid w:val="124259FF"/>
    <w:rsid w:val="1246139A"/>
    <w:rsid w:val="124826BC"/>
    <w:rsid w:val="124949E7"/>
    <w:rsid w:val="1258608D"/>
    <w:rsid w:val="127557DC"/>
    <w:rsid w:val="1288104C"/>
    <w:rsid w:val="128A74D9"/>
    <w:rsid w:val="12966C49"/>
    <w:rsid w:val="12B66520"/>
    <w:rsid w:val="12BB2610"/>
    <w:rsid w:val="12BE3627"/>
    <w:rsid w:val="12CE204B"/>
    <w:rsid w:val="12D44BF8"/>
    <w:rsid w:val="12E408D9"/>
    <w:rsid w:val="12F70202"/>
    <w:rsid w:val="12F86B39"/>
    <w:rsid w:val="12F95181"/>
    <w:rsid w:val="130C25E4"/>
    <w:rsid w:val="13117BFA"/>
    <w:rsid w:val="13143247"/>
    <w:rsid w:val="132E0222"/>
    <w:rsid w:val="132F0080"/>
    <w:rsid w:val="13422A6E"/>
    <w:rsid w:val="134A4EBA"/>
    <w:rsid w:val="13516249"/>
    <w:rsid w:val="13525B1D"/>
    <w:rsid w:val="135D4BEE"/>
    <w:rsid w:val="13676615"/>
    <w:rsid w:val="137D1163"/>
    <w:rsid w:val="137D3C62"/>
    <w:rsid w:val="13802363"/>
    <w:rsid w:val="13835C89"/>
    <w:rsid w:val="1385255D"/>
    <w:rsid w:val="1386311A"/>
    <w:rsid w:val="138B0617"/>
    <w:rsid w:val="13960100"/>
    <w:rsid w:val="139D148E"/>
    <w:rsid w:val="13AC6B51"/>
    <w:rsid w:val="13B0214B"/>
    <w:rsid w:val="13B16CE7"/>
    <w:rsid w:val="13B34D55"/>
    <w:rsid w:val="13B87199"/>
    <w:rsid w:val="13DF623A"/>
    <w:rsid w:val="13E470BD"/>
    <w:rsid w:val="13E76BAD"/>
    <w:rsid w:val="13F13588"/>
    <w:rsid w:val="13FF38E2"/>
    <w:rsid w:val="14013D6A"/>
    <w:rsid w:val="140306C7"/>
    <w:rsid w:val="140F7BE3"/>
    <w:rsid w:val="141F03B2"/>
    <w:rsid w:val="14222C02"/>
    <w:rsid w:val="14661880"/>
    <w:rsid w:val="147F2942"/>
    <w:rsid w:val="148461AA"/>
    <w:rsid w:val="14847F58"/>
    <w:rsid w:val="1496422C"/>
    <w:rsid w:val="149A777C"/>
    <w:rsid w:val="14A01236"/>
    <w:rsid w:val="14A578CD"/>
    <w:rsid w:val="14A66120"/>
    <w:rsid w:val="14BC1DE8"/>
    <w:rsid w:val="14BF74CE"/>
    <w:rsid w:val="14D07641"/>
    <w:rsid w:val="14D40EDF"/>
    <w:rsid w:val="14DA7F76"/>
    <w:rsid w:val="14DC3F06"/>
    <w:rsid w:val="14EA439C"/>
    <w:rsid w:val="14F91294"/>
    <w:rsid w:val="14FC0436"/>
    <w:rsid w:val="150A2B53"/>
    <w:rsid w:val="150B2427"/>
    <w:rsid w:val="15194B44"/>
    <w:rsid w:val="151C1272"/>
    <w:rsid w:val="151E65FF"/>
    <w:rsid w:val="15205ED3"/>
    <w:rsid w:val="152B35A3"/>
    <w:rsid w:val="15401385"/>
    <w:rsid w:val="15441A61"/>
    <w:rsid w:val="154D2A40"/>
    <w:rsid w:val="15560BA0"/>
    <w:rsid w:val="155D7D2C"/>
    <w:rsid w:val="15713391"/>
    <w:rsid w:val="15787ABD"/>
    <w:rsid w:val="159F717F"/>
    <w:rsid w:val="15A60B65"/>
    <w:rsid w:val="15B8435D"/>
    <w:rsid w:val="15CE3A42"/>
    <w:rsid w:val="15D937D3"/>
    <w:rsid w:val="15DD5B72"/>
    <w:rsid w:val="15DF7B3C"/>
    <w:rsid w:val="15E55D7B"/>
    <w:rsid w:val="15E74C42"/>
    <w:rsid w:val="15E96C0C"/>
    <w:rsid w:val="15FA6A12"/>
    <w:rsid w:val="15FC6423"/>
    <w:rsid w:val="1604337D"/>
    <w:rsid w:val="16171B93"/>
    <w:rsid w:val="16201F02"/>
    <w:rsid w:val="16444242"/>
    <w:rsid w:val="164B3423"/>
    <w:rsid w:val="1651046F"/>
    <w:rsid w:val="16532605"/>
    <w:rsid w:val="165617C6"/>
    <w:rsid w:val="165878EE"/>
    <w:rsid w:val="165F12DA"/>
    <w:rsid w:val="16681DB4"/>
    <w:rsid w:val="166B55D4"/>
    <w:rsid w:val="166C5148"/>
    <w:rsid w:val="167A7865"/>
    <w:rsid w:val="167F30CD"/>
    <w:rsid w:val="16892377"/>
    <w:rsid w:val="168E1562"/>
    <w:rsid w:val="16922E00"/>
    <w:rsid w:val="16A448E1"/>
    <w:rsid w:val="16AF5D6F"/>
    <w:rsid w:val="16B20DAC"/>
    <w:rsid w:val="16BB3C05"/>
    <w:rsid w:val="16DC501F"/>
    <w:rsid w:val="16DD75A3"/>
    <w:rsid w:val="16E87A77"/>
    <w:rsid w:val="16F03F35"/>
    <w:rsid w:val="16FE5588"/>
    <w:rsid w:val="170A508C"/>
    <w:rsid w:val="171A39BA"/>
    <w:rsid w:val="1734124D"/>
    <w:rsid w:val="1740460A"/>
    <w:rsid w:val="17424826"/>
    <w:rsid w:val="174560C4"/>
    <w:rsid w:val="17485BB5"/>
    <w:rsid w:val="17555BDC"/>
    <w:rsid w:val="175A7499"/>
    <w:rsid w:val="17614264"/>
    <w:rsid w:val="178206E3"/>
    <w:rsid w:val="179606CE"/>
    <w:rsid w:val="179B23DA"/>
    <w:rsid w:val="17A4103D"/>
    <w:rsid w:val="17A96653"/>
    <w:rsid w:val="17AC6144"/>
    <w:rsid w:val="17AC6254"/>
    <w:rsid w:val="17B648CC"/>
    <w:rsid w:val="17C14E49"/>
    <w:rsid w:val="17C36FE9"/>
    <w:rsid w:val="17C84600"/>
    <w:rsid w:val="17D80CE7"/>
    <w:rsid w:val="17EE4066"/>
    <w:rsid w:val="17F43647"/>
    <w:rsid w:val="17F84EE5"/>
    <w:rsid w:val="18041ADC"/>
    <w:rsid w:val="180C6BE2"/>
    <w:rsid w:val="181B0BD3"/>
    <w:rsid w:val="18245888"/>
    <w:rsid w:val="18252292"/>
    <w:rsid w:val="18470E71"/>
    <w:rsid w:val="18475E6C"/>
    <w:rsid w:val="18571F15"/>
    <w:rsid w:val="18613EF4"/>
    <w:rsid w:val="18626802"/>
    <w:rsid w:val="187E0F8A"/>
    <w:rsid w:val="188E75F7"/>
    <w:rsid w:val="18A1557C"/>
    <w:rsid w:val="18A4026F"/>
    <w:rsid w:val="18AF29AD"/>
    <w:rsid w:val="18B352B0"/>
    <w:rsid w:val="18BD0B01"/>
    <w:rsid w:val="18C03EE5"/>
    <w:rsid w:val="18C5473A"/>
    <w:rsid w:val="18D23988"/>
    <w:rsid w:val="18D822DB"/>
    <w:rsid w:val="18D94D16"/>
    <w:rsid w:val="18DC4807"/>
    <w:rsid w:val="18E13319"/>
    <w:rsid w:val="18E611E1"/>
    <w:rsid w:val="19000DB0"/>
    <w:rsid w:val="191E373F"/>
    <w:rsid w:val="19287A4C"/>
    <w:rsid w:val="193062D5"/>
    <w:rsid w:val="19375EE1"/>
    <w:rsid w:val="193E32B0"/>
    <w:rsid w:val="1949242B"/>
    <w:rsid w:val="194B7FA1"/>
    <w:rsid w:val="196A3BC0"/>
    <w:rsid w:val="1971595E"/>
    <w:rsid w:val="19770344"/>
    <w:rsid w:val="198163CB"/>
    <w:rsid w:val="19831126"/>
    <w:rsid w:val="19842DB0"/>
    <w:rsid w:val="19A53EA8"/>
    <w:rsid w:val="19AC2F34"/>
    <w:rsid w:val="19AF3CC9"/>
    <w:rsid w:val="19BE114C"/>
    <w:rsid w:val="19C03EBA"/>
    <w:rsid w:val="19CE05F3"/>
    <w:rsid w:val="19CF6119"/>
    <w:rsid w:val="19D159ED"/>
    <w:rsid w:val="19DA6FE1"/>
    <w:rsid w:val="19E14C79"/>
    <w:rsid w:val="19E73B92"/>
    <w:rsid w:val="19E9703D"/>
    <w:rsid w:val="19F203EF"/>
    <w:rsid w:val="19F4792E"/>
    <w:rsid w:val="19FC5A15"/>
    <w:rsid w:val="1A0758B3"/>
    <w:rsid w:val="1A0E3268"/>
    <w:rsid w:val="1A0F1779"/>
    <w:rsid w:val="1A134258"/>
    <w:rsid w:val="1A16544C"/>
    <w:rsid w:val="1A240213"/>
    <w:rsid w:val="1A246A9B"/>
    <w:rsid w:val="1A2B6755"/>
    <w:rsid w:val="1A330456"/>
    <w:rsid w:val="1A3F4F96"/>
    <w:rsid w:val="1A555900"/>
    <w:rsid w:val="1A565A22"/>
    <w:rsid w:val="1A577055"/>
    <w:rsid w:val="1A5959E3"/>
    <w:rsid w:val="1A5C6953"/>
    <w:rsid w:val="1A5F5F2A"/>
    <w:rsid w:val="1A684319"/>
    <w:rsid w:val="1A6920CA"/>
    <w:rsid w:val="1A7177EC"/>
    <w:rsid w:val="1A750A6F"/>
    <w:rsid w:val="1A942910"/>
    <w:rsid w:val="1A9C249F"/>
    <w:rsid w:val="1A9D64C2"/>
    <w:rsid w:val="1AAD345B"/>
    <w:rsid w:val="1AC35080"/>
    <w:rsid w:val="1ACB3667"/>
    <w:rsid w:val="1ACE3E4A"/>
    <w:rsid w:val="1AD67034"/>
    <w:rsid w:val="1AD80FFE"/>
    <w:rsid w:val="1AE9320B"/>
    <w:rsid w:val="1AEC7D00"/>
    <w:rsid w:val="1AF04599"/>
    <w:rsid w:val="1AF51BB0"/>
    <w:rsid w:val="1B0B3181"/>
    <w:rsid w:val="1B1262BE"/>
    <w:rsid w:val="1B1A1616"/>
    <w:rsid w:val="1B2E5BFB"/>
    <w:rsid w:val="1B325287"/>
    <w:rsid w:val="1B355D87"/>
    <w:rsid w:val="1B3F107D"/>
    <w:rsid w:val="1B43291B"/>
    <w:rsid w:val="1B4B17D0"/>
    <w:rsid w:val="1B7900EB"/>
    <w:rsid w:val="1B8F4C35"/>
    <w:rsid w:val="1B9118D8"/>
    <w:rsid w:val="1B957099"/>
    <w:rsid w:val="1B9A62B3"/>
    <w:rsid w:val="1BA23AE5"/>
    <w:rsid w:val="1BA35DD4"/>
    <w:rsid w:val="1BA94049"/>
    <w:rsid w:val="1BAD3FD4"/>
    <w:rsid w:val="1BB21327"/>
    <w:rsid w:val="1BB235FD"/>
    <w:rsid w:val="1BC756B2"/>
    <w:rsid w:val="1BC81072"/>
    <w:rsid w:val="1BD16179"/>
    <w:rsid w:val="1BDD4B1E"/>
    <w:rsid w:val="1BDE2F1A"/>
    <w:rsid w:val="1BDF33FA"/>
    <w:rsid w:val="1BF26A1C"/>
    <w:rsid w:val="1BF754B3"/>
    <w:rsid w:val="1BF956CF"/>
    <w:rsid w:val="1C01455D"/>
    <w:rsid w:val="1C027D37"/>
    <w:rsid w:val="1C054074"/>
    <w:rsid w:val="1C094184"/>
    <w:rsid w:val="1C0F0A4F"/>
    <w:rsid w:val="1C116575"/>
    <w:rsid w:val="1C1B5646"/>
    <w:rsid w:val="1C270A11"/>
    <w:rsid w:val="1C2871E1"/>
    <w:rsid w:val="1C2F0029"/>
    <w:rsid w:val="1C3F2AFE"/>
    <w:rsid w:val="1C795C1C"/>
    <w:rsid w:val="1C7E5093"/>
    <w:rsid w:val="1C890801"/>
    <w:rsid w:val="1C8B2B67"/>
    <w:rsid w:val="1C9D24FF"/>
    <w:rsid w:val="1C9F1DD3"/>
    <w:rsid w:val="1CB33D61"/>
    <w:rsid w:val="1CB82E95"/>
    <w:rsid w:val="1CC57360"/>
    <w:rsid w:val="1CC82EE4"/>
    <w:rsid w:val="1CDB049A"/>
    <w:rsid w:val="1CDE1B8C"/>
    <w:rsid w:val="1CE4012E"/>
    <w:rsid w:val="1CE912A0"/>
    <w:rsid w:val="1CF814E3"/>
    <w:rsid w:val="1CFD0C68"/>
    <w:rsid w:val="1D2E0793"/>
    <w:rsid w:val="1D32182C"/>
    <w:rsid w:val="1D3E7BAC"/>
    <w:rsid w:val="1D400B3A"/>
    <w:rsid w:val="1D4645A6"/>
    <w:rsid w:val="1D491D3F"/>
    <w:rsid w:val="1D4D7A81"/>
    <w:rsid w:val="1D545BE0"/>
    <w:rsid w:val="1D607A3D"/>
    <w:rsid w:val="1D6152DA"/>
    <w:rsid w:val="1D666D95"/>
    <w:rsid w:val="1D696724"/>
    <w:rsid w:val="1D7414B2"/>
    <w:rsid w:val="1D813BCE"/>
    <w:rsid w:val="1D943902"/>
    <w:rsid w:val="1D9F6656"/>
    <w:rsid w:val="1DA530EA"/>
    <w:rsid w:val="1DB00010"/>
    <w:rsid w:val="1DBA5B5C"/>
    <w:rsid w:val="1DCA7323"/>
    <w:rsid w:val="1DDD33DA"/>
    <w:rsid w:val="1DDF1A3C"/>
    <w:rsid w:val="1DE707E4"/>
    <w:rsid w:val="1DEB3A50"/>
    <w:rsid w:val="1DED168F"/>
    <w:rsid w:val="1DF60118"/>
    <w:rsid w:val="1DFB74DD"/>
    <w:rsid w:val="1E032835"/>
    <w:rsid w:val="1E0F11DA"/>
    <w:rsid w:val="1E0F1D5F"/>
    <w:rsid w:val="1E122A78"/>
    <w:rsid w:val="1E1D29EF"/>
    <w:rsid w:val="1E205195"/>
    <w:rsid w:val="1E3B1FCF"/>
    <w:rsid w:val="1E401394"/>
    <w:rsid w:val="1E4E30F1"/>
    <w:rsid w:val="1E5400F5"/>
    <w:rsid w:val="1E6E5F01"/>
    <w:rsid w:val="1E702042"/>
    <w:rsid w:val="1E8008AC"/>
    <w:rsid w:val="1E90231B"/>
    <w:rsid w:val="1E9F430C"/>
    <w:rsid w:val="1EA064D4"/>
    <w:rsid w:val="1EB55CED"/>
    <w:rsid w:val="1EBB0A1A"/>
    <w:rsid w:val="1EBD645C"/>
    <w:rsid w:val="1EC0617D"/>
    <w:rsid w:val="1EC42710"/>
    <w:rsid w:val="1ECA7D39"/>
    <w:rsid w:val="1ECC0E79"/>
    <w:rsid w:val="1ECC2C27"/>
    <w:rsid w:val="1ED30C14"/>
    <w:rsid w:val="1EE012DF"/>
    <w:rsid w:val="1EE937D9"/>
    <w:rsid w:val="1EF81C6E"/>
    <w:rsid w:val="1F0249B2"/>
    <w:rsid w:val="1F0625DD"/>
    <w:rsid w:val="1F132604"/>
    <w:rsid w:val="1F1A0E24"/>
    <w:rsid w:val="1F220743"/>
    <w:rsid w:val="1F343ECD"/>
    <w:rsid w:val="1F3507CD"/>
    <w:rsid w:val="1F5C21FD"/>
    <w:rsid w:val="1F654485"/>
    <w:rsid w:val="1F666BD8"/>
    <w:rsid w:val="1F685731"/>
    <w:rsid w:val="1F6D7F66"/>
    <w:rsid w:val="1F775289"/>
    <w:rsid w:val="1F7814AD"/>
    <w:rsid w:val="1F941997"/>
    <w:rsid w:val="1F971487"/>
    <w:rsid w:val="1FB5190D"/>
    <w:rsid w:val="1FBC1BE2"/>
    <w:rsid w:val="1FBC4A4A"/>
    <w:rsid w:val="1FD10A82"/>
    <w:rsid w:val="1FEC17D3"/>
    <w:rsid w:val="1FED43A2"/>
    <w:rsid w:val="1FEF4E1F"/>
    <w:rsid w:val="1FF152E5"/>
    <w:rsid w:val="1FF266BE"/>
    <w:rsid w:val="1FF561AE"/>
    <w:rsid w:val="1FFE5062"/>
    <w:rsid w:val="1FFF2056"/>
    <w:rsid w:val="200D799B"/>
    <w:rsid w:val="201B5C14"/>
    <w:rsid w:val="202251F5"/>
    <w:rsid w:val="203A4953"/>
    <w:rsid w:val="204523E1"/>
    <w:rsid w:val="20474C5B"/>
    <w:rsid w:val="20497650"/>
    <w:rsid w:val="207C633F"/>
    <w:rsid w:val="207F6D41"/>
    <w:rsid w:val="209239FD"/>
    <w:rsid w:val="209577A7"/>
    <w:rsid w:val="20A80158"/>
    <w:rsid w:val="20BF728C"/>
    <w:rsid w:val="20C22534"/>
    <w:rsid w:val="20C75D9C"/>
    <w:rsid w:val="20CA7652"/>
    <w:rsid w:val="20EC5803"/>
    <w:rsid w:val="20F52909"/>
    <w:rsid w:val="20FA1CCE"/>
    <w:rsid w:val="21025026"/>
    <w:rsid w:val="21031165"/>
    <w:rsid w:val="210C35B8"/>
    <w:rsid w:val="211764BD"/>
    <w:rsid w:val="21274A8D"/>
    <w:rsid w:val="213A47C0"/>
    <w:rsid w:val="215046AD"/>
    <w:rsid w:val="21513A1E"/>
    <w:rsid w:val="215C1E76"/>
    <w:rsid w:val="215D04AF"/>
    <w:rsid w:val="216703B6"/>
    <w:rsid w:val="21723208"/>
    <w:rsid w:val="217A4C98"/>
    <w:rsid w:val="21802CB1"/>
    <w:rsid w:val="21871088"/>
    <w:rsid w:val="218912A4"/>
    <w:rsid w:val="218B5EFC"/>
    <w:rsid w:val="21980B2A"/>
    <w:rsid w:val="219E1E53"/>
    <w:rsid w:val="21A45157"/>
    <w:rsid w:val="21A8172A"/>
    <w:rsid w:val="21A95E56"/>
    <w:rsid w:val="21B4683D"/>
    <w:rsid w:val="21C978F2"/>
    <w:rsid w:val="21CB024C"/>
    <w:rsid w:val="21DA57AC"/>
    <w:rsid w:val="21DB7773"/>
    <w:rsid w:val="21DE24BF"/>
    <w:rsid w:val="21DE514B"/>
    <w:rsid w:val="21EC34AE"/>
    <w:rsid w:val="22056B7C"/>
    <w:rsid w:val="2209072F"/>
    <w:rsid w:val="220B70D5"/>
    <w:rsid w:val="22136322"/>
    <w:rsid w:val="22146DBF"/>
    <w:rsid w:val="22147C14"/>
    <w:rsid w:val="221A6347"/>
    <w:rsid w:val="221C1278"/>
    <w:rsid w:val="22200466"/>
    <w:rsid w:val="223B07F0"/>
    <w:rsid w:val="223F25F8"/>
    <w:rsid w:val="224E68B2"/>
    <w:rsid w:val="22612C98"/>
    <w:rsid w:val="2266701C"/>
    <w:rsid w:val="226A32CF"/>
    <w:rsid w:val="228850B7"/>
    <w:rsid w:val="228D6B72"/>
    <w:rsid w:val="229121BE"/>
    <w:rsid w:val="22993768"/>
    <w:rsid w:val="229A54FC"/>
    <w:rsid w:val="22AA2EE9"/>
    <w:rsid w:val="22AC6FF8"/>
    <w:rsid w:val="22C37093"/>
    <w:rsid w:val="22C65734"/>
    <w:rsid w:val="22CA3922"/>
    <w:rsid w:val="22D16A5E"/>
    <w:rsid w:val="22D4654E"/>
    <w:rsid w:val="22E37AEB"/>
    <w:rsid w:val="22F369D5"/>
    <w:rsid w:val="22FD3CF7"/>
    <w:rsid w:val="22FE5379"/>
    <w:rsid w:val="23007343"/>
    <w:rsid w:val="2302130E"/>
    <w:rsid w:val="2306161F"/>
    <w:rsid w:val="230C1C9C"/>
    <w:rsid w:val="23122FA1"/>
    <w:rsid w:val="23171407"/>
    <w:rsid w:val="233174FD"/>
    <w:rsid w:val="23391097"/>
    <w:rsid w:val="233B57DA"/>
    <w:rsid w:val="233D0598"/>
    <w:rsid w:val="23411DEF"/>
    <w:rsid w:val="23411E36"/>
    <w:rsid w:val="234B6811"/>
    <w:rsid w:val="23580F2E"/>
    <w:rsid w:val="235C1B04"/>
    <w:rsid w:val="23684B03"/>
    <w:rsid w:val="237F3926"/>
    <w:rsid w:val="237F7E85"/>
    <w:rsid w:val="2380756E"/>
    <w:rsid w:val="23A01636"/>
    <w:rsid w:val="23B00D6A"/>
    <w:rsid w:val="23C26E37"/>
    <w:rsid w:val="23CD5478"/>
    <w:rsid w:val="23D9206E"/>
    <w:rsid w:val="23EA5C53"/>
    <w:rsid w:val="23ED1D10"/>
    <w:rsid w:val="23F67F1C"/>
    <w:rsid w:val="23FC5D5D"/>
    <w:rsid w:val="23FD7C8B"/>
    <w:rsid w:val="240510B5"/>
    <w:rsid w:val="241001A4"/>
    <w:rsid w:val="24170DE9"/>
    <w:rsid w:val="241C3E47"/>
    <w:rsid w:val="2428349D"/>
    <w:rsid w:val="242A0B1C"/>
    <w:rsid w:val="242D7117"/>
    <w:rsid w:val="243A7B5D"/>
    <w:rsid w:val="244018DD"/>
    <w:rsid w:val="24476A9A"/>
    <w:rsid w:val="244F7702"/>
    <w:rsid w:val="24507E57"/>
    <w:rsid w:val="24561911"/>
    <w:rsid w:val="24632D9F"/>
    <w:rsid w:val="246E0A04"/>
    <w:rsid w:val="246E4662"/>
    <w:rsid w:val="24715D06"/>
    <w:rsid w:val="24741D97"/>
    <w:rsid w:val="24792674"/>
    <w:rsid w:val="24840779"/>
    <w:rsid w:val="24883A94"/>
    <w:rsid w:val="248F1CEA"/>
    <w:rsid w:val="248F4E23"/>
    <w:rsid w:val="249C4729"/>
    <w:rsid w:val="24A611CE"/>
    <w:rsid w:val="24A84E66"/>
    <w:rsid w:val="24AA5731"/>
    <w:rsid w:val="24C509E9"/>
    <w:rsid w:val="24CB3F41"/>
    <w:rsid w:val="24D02A2E"/>
    <w:rsid w:val="24D2315B"/>
    <w:rsid w:val="24E30CCB"/>
    <w:rsid w:val="24E76A0D"/>
    <w:rsid w:val="24EB1A97"/>
    <w:rsid w:val="24ED38F7"/>
    <w:rsid w:val="24EF7670"/>
    <w:rsid w:val="24F42EF7"/>
    <w:rsid w:val="24F9229C"/>
    <w:rsid w:val="250F1AC0"/>
    <w:rsid w:val="251A0B90"/>
    <w:rsid w:val="253B28B5"/>
    <w:rsid w:val="2543789A"/>
    <w:rsid w:val="254F010E"/>
    <w:rsid w:val="255B2F57"/>
    <w:rsid w:val="25831FC1"/>
    <w:rsid w:val="25861D82"/>
    <w:rsid w:val="25897AC4"/>
    <w:rsid w:val="259049AF"/>
    <w:rsid w:val="25965D3D"/>
    <w:rsid w:val="259D173D"/>
    <w:rsid w:val="259F204B"/>
    <w:rsid w:val="259F766B"/>
    <w:rsid w:val="25C06419"/>
    <w:rsid w:val="25D34A02"/>
    <w:rsid w:val="25D725DE"/>
    <w:rsid w:val="25DA0320"/>
    <w:rsid w:val="25DF76E4"/>
    <w:rsid w:val="25E42F4C"/>
    <w:rsid w:val="25E95EEA"/>
    <w:rsid w:val="25F86917"/>
    <w:rsid w:val="25FA62CC"/>
    <w:rsid w:val="262C60A8"/>
    <w:rsid w:val="264659B5"/>
    <w:rsid w:val="264A7354"/>
    <w:rsid w:val="264B2324"/>
    <w:rsid w:val="26650873"/>
    <w:rsid w:val="26726413"/>
    <w:rsid w:val="267C3185"/>
    <w:rsid w:val="26862FFB"/>
    <w:rsid w:val="26897CC0"/>
    <w:rsid w:val="268A3AF4"/>
    <w:rsid w:val="26962499"/>
    <w:rsid w:val="26A76547"/>
    <w:rsid w:val="26AA7CF2"/>
    <w:rsid w:val="26AF70B6"/>
    <w:rsid w:val="26B6776F"/>
    <w:rsid w:val="26BD2EE9"/>
    <w:rsid w:val="26C43706"/>
    <w:rsid w:val="26D31EAA"/>
    <w:rsid w:val="26D46B1D"/>
    <w:rsid w:val="26D47413"/>
    <w:rsid w:val="26E33204"/>
    <w:rsid w:val="26EA27E4"/>
    <w:rsid w:val="26FD2518"/>
    <w:rsid w:val="26FF4C0A"/>
    <w:rsid w:val="27050B0E"/>
    <w:rsid w:val="27091A5B"/>
    <w:rsid w:val="271C642E"/>
    <w:rsid w:val="271E57CD"/>
    <w:rsid w:val="27313F6F"/>
    <w:rsid w:val="27315561"/>
    <w:rsid w:val="2734580E"/>
    <w:rsid w:val="27554102"/>
    <w:rsid w:val="27665A76"/>
    <w:rsid w:val="276C756E"/>
    <w:rsid w:val="27764E75"/>
    <w:rsid w:val="277B1E25"/>
    <w:rsid w:val="277F2F2D"/>
    <w:rsid w:val="27805598"/>
    <w:rsid w:val="27824DE4"/>
    <w:rsid w:val="27930F61"/>
    <w:rsid w:val="27995528"/>
    <w:rsid w:val="27A81D16"/>
    <w:rsid w:val="27AF198D"/>
    <w:rsid w:val="27AF30E6"/>
    <w:rsid w:val="27B61A3F"/>
    <w:rsid w:val="27DB3EDB"/>
    <w:rsid w:val="27DC70E3"/>
    <w:rsid w:val="27DF39CB"/>
    <w:rsid w:val="27E45EEC"/>
    <w:rsid w:val="27E662B9"/>
    <w:rsid w:val="27EB2370"/>
    <w:rsid w:val="27FF059E"/>
    <w:rsid w:val="28054BC8"/>
    <w:rsid w:val="28113217"/>
    <w:rsid w:val="28164363"/>
    <w:rsid w:val="28164F13"/>
    <w:rsid w:val="282A7D9C"/>
    <w:rsid w:val="282E5558"/>
    <w:rsid w:val="28482186"/>
    <w:rsid w:val="2849353B"/>
    <w:rsid w:val="28520495"/>
    <w:rsid w:val="285F2D71"/>
    <w:rsid w:val="286B7B3F"/>
    <w:rsid w:val="28885E11"/>
    <w:rsid w:val="28920A3E"/>
    <w:rsid w:val="289270F3"/>
    <w:rsid w:val="28A349F9"/>
    <w:rsid w:val="28C72D7D"/>
    <w:rsid w:val="28C91405"/>
    <w:rsid w:val="28D01566"/>
    <w:rsid w:val="28D177B8"/>
    <w:rsid w:val="28D70B46"/>
    <w:rsid w:val="28E625BA"/>
    <w:rsid w:val="28E6715D"/>
    <w:rsid w:val="28E72859"/>
    <w:rsid w:val="28E809E7"/>
    <w:rsid w:val="28F65471"/>
    <w:rsid w:val="28F96D0F"/>
    <w:rsid w:val="2905734F"/>
    <w:rsid w:val="290639B3"/>
    <w:rsid w:val="290A2CCA"/>
    <w:rsid w:val="290A6837"/>
    <w:rsid w:val="290F1467"/>
    <w:rsid w:val="291B4ED7"/>
    <w:rsid w:val="29504CB3"/>
    <w:rsid w:val="295A11FE"/>
    <w:rsid w:val="297522D4"/>
    <w:rsid w:val="29843A39"/>
    <w:rsid w:val="29865298"/>
    <w:rsid w:val="2987256D"/>
    <w:rsid w:val="2987793A"/>
    <w:rsid w:val="29891E41"/>
    <w:rsid w:val="298A7967"/>
    <w:rsid w:val="29A16312"/>
    <w:rsid w:val="29A939C5"/>
    <w:rsid w:val="29AB63D5"/>
    <w:rsid w:val="29AF561F"/>
    <w:rsid w:val="29B82129"/>
    <w:rsid w:val="29BF1D06"/>
    <w:rsid w:val="29C0782D"/>
    <w:rsid w:val="29C33AE1"/>
    <w:rsid w:val="29CC7F7F"/>
    <w:rsid w:val="29CD1C30"/>
    <w:rsid w:val="29D46E34"/>
    <w:rsid w:val="29DB3600"/>
    <w:rsid w:val="29E340CF"/>
    <w:rsid w:val="29F119A6"/>
    <w:rsid w:val="29F23F88"/>
    <w:rsid w:val="2A000989"/>
    <w:rsid w:val="2A0239A1"/>
    <w:rsid w:val="2A061323"/>
    <w:rsid w:val="2A0C48B6"/>
    <w:rsid w:val="2A0D4225"/>
    <w:rsid w:val="2A0D66F1"/>
    <w:rsid w:val="2A0E2346"/>
    <w:rsid w:val="2A102562"/>
    <w:rsid w:val="2A104310"/>
    <w:rsid w:val="2A214783"/>
    <w:rsid w:val="2A4B016F"/>
    <w:rsid w:val="2A5C2272"/>
    <w:rsid w:val="2A755559"/>
    <w:rsid w:val="2A794DC8"/>
    <w:rsid w:val="2A7C19A5"/>
    <w:rsid w:val="2A8940C2"/>
    <w:rsid w:val="2A9D36CA"/>
    <w:rsid w:val="2AA35184"/>
    <w:rsid w:val="2AA66C89"/>
    <w:rsid w:val="2AA75DDE"/>
    <w:rsid w:val="2AAE58D7"/>
    <w:rsid w:val="2AAF43DA"/>
    <w:rsid w:val="2AB209CE"/>
    <w:rsid w:val="2AB27C77"/>
    <w:rsid w:val="2AB96756"/>
    <w:rsid w:val="2AC371AA"/>
    <w:rsid w:val="2AC944BF"/>
    <w:rsid w:val="2ACD3B63"/>
    <w:rsid w:val="2ADF76F6"/>
    <w:rsid w:val="2AE13EFE"/>
    <w:rsid w:val="2AE17ECE"/>
    <w:rsid w:val="2AF10F5C"/>
    <w:rsid w:val="2AF5107C"/>
    <w:rsid w:val="2AFA4534"/>
    <w:rsid w:val="2AFB4FC0"/>
    <w:rsid w:val="2AFC4894"/>
    <w:rsid w:val="2AFE685E"/>
    <w:rsid w:val="2B0810CB"/>
    <w:rsid w:val="2B125E66"/>
    <w:rsid w:val="2B200583"/>
    <w:rsid w:val="2B22047E"/>
    <w:rsid w:val="2B282A6A"/>
    <w:rsid w:val="2B3606AC"/>
    <w:rsid w:val="2B536BAA"/>
    <w:rsid w:val="2B626DED"/>
    <w:rsid w:val="2B6A3215"/>
    <w:rsid w:val="2B773770"/>
    <w:rsid w:val="2B7D0830"/>
    <w:rsid w:val="2B870238"/>
    <w:rsid w:val="2B8A1EA0"/>
    <w:rsid w:val="2B9E2703"/>
    <w:rsid w:val="2B9E76FA"/>
    <w:rsid w:val="2B9F0C12"/>
    <w:rsid w:val="2BA54F2C"/>
    <w:rsid w:val="2BC90C1A"/>
    <w:rsid w:val="2BD3602D"/>
    <w:rsid w:val="2BD77ACC"/>
    <w:rsid w:val="2BDF043E"/>
    <w:rsid w:val="2BE041B6"/>
    <w:rsid w:val="2BE27F2E"/>
    <w:rsid w:val="2BE47802"/>
    <w:rsid w:val="2BF043F9"/>
    <w:rsid w:val="2BFD7E6B"/>
    <w:rsid w:val="2C0C6D59"/>
    <w:rsid w:val="2C10217A"/>
    <w:rsid w:val="2C237961"/>
    <w:rsid w:val="2C2A5F65"/>
    <w:rsid w:val="2C2B3683"/>
    <w:rsid w:val="2C3A38C6"/>
    <w:rsid w:val="2C4F3440"/>
    <w:rsid w:val="2C5129BE"/>
    <w:rsid w:val="2C596E28"/>
    <w:rsid w:val="2C6072C9"/>
    <w:rsid w:val="2C676BEB"/>
    <w:rsid w:val="2C723060"/>
    <w:rsid w:val="2C784CC9"/>
    <w:rsid w:val="2C873BB6"/>
    <w:rsid w:val="2C892158"/>
    <w:rsid w:val="2C9237ED"/>
    <w:rsid w:val="2C931228"/>
    <w:rsid w:val="2CA60F5C"/>
    <w:rsid w:val="2CB82A3D"/>
    <w:rsid w:val="2CBB0EF6"/>
    <w:rsid w:val="2CC00245"/>
    <w:rsid w:val="2CC43190"/>
    <w:rsid w:val="2CCA2BEB"/>
    <w:rsid w:val="2CD0422B"/>
    <w:rsid w:val="2CD23AFF"/>
    <w:rsid w:val="2CD44F61"/>
    <w:rsid w:val="2CE175DF"/>
    <w:rsid w:val="2CE355F1"/>
    <w:rsid w:val="2CE61358"/>
    <w:rsid w:val="2D14258E"/>
    <w:rsid w:val="2D3959EB"/>
    <w:rsid w:val="2D44291B"/>
    <w:rsid w:val="2D4A7B39"/>
    <w:rsid w:val="2D595ECD"/>
    <w:rsid w:val="2D776454"/>
    <w:rsid w:val="2D7D113D"/>
    <w:rsid w:val="2D8172D3"/>
    <w:rsid w:val="2DA57465"/>
    <w:rsid w:val="2DB11966"/>
    <w:rsid w:val="2DB96A6D"/>
    <w:rsid w:val="2DC31699"/>
    <w:rsid w:val="2DCA0C7A"/>
    <w:rsid w:val="2DD375EA"/>
    <w:rsid w:val="2DF40180"/>
    <w:rsid w:val="2E0F2B31"/>
    <w:rsid w:val="2E0F48DF"/>
    <w:rsid w:val="2E132621"/>
    <w:rsid w:val="2E1C3595"/>
    <w:rsid w:val="2E204D3E"/>
    <w:rsid w:val="2E232DEA"/>
    <w:rsid w:val="2E271C28"/>
    <w:rsid w:val="2E485858"/>
    <w:rsid w:val="2E516BDC"/>
    <w:rsid w:val="2E5C3FC8"/>
    <w:rsid w:val="2E756E38"/>
    <w:rsid w:val="2E8C4CC1"/>
    <w:rsid w:val="2E8F2AC2"/>
    <w:rsid w:val="2E982B26"/>
    <w:rsid w:val="2E9A689E"/>
    <w:rsid w:val="2ED022C0"/>
    <w:rsid w:val="2ED33B5E"/>
    <w:rsid w:val="2ED60C76"/>
    <w:rsid w:val="2EE47B19"/>
    <w:rsid w:val="2EE6563F"/>
    <w:rsid w:val="2EF4181C"/>
    <w:rsid w:val="2EF811FF"/>
    <w:rsid w:val="2EFB7018"/>
    <w:rsid w:val="2EFF2BA5"/>
    <w:rsid w:val="2F041F69"/>
    <w:rsid w:val="2F067A90"/>
    <w:rsid w:val="2F1C3757"/>
    <w:rsid w:val="2F20469E"/>
    <w:rsid w:val="2F222ACD"/>
    <w:rsid w:val="2F226DC0"/>
    <w:rsid w:val="2F2E5BD6"/>
    <w:rsid w:val="2F464330"/>
    <w:rsid w:val="2F492973"/>
    <w:rsid w:val="2F4A02C4"/>
    <w:rsid w:val="2F5577BC"/>
    <w:rsid w:val="2F5C36EE"/>
    <w:rsid w:val="2F7215C9"/>
    <w:rsid w:val="2F7E1D1C"/>
    <w:rsid w:val="2F8135BA"/>
    <w:rsid w:val="2F862B4D"/>
    <w:rsid w:val="2F8F5CD7"/>
    <w:rsid w:val="2F9B28CE"/>
    <w:rsid w:val="2F9C21A2"/>
    <w:rsid w:val="2FAD1D7F"/>
    <w:rsid w:val="2FB13E9F"/>
    <w:rsid w:val="2FBC62E2"/>
    <w:rsid w:val="2FC260AC"/>
    <w:rsid w:val="2FCE4DEE"/>
    <w:rsid w:val="2FD15E41"/>
    <w:rsid w:val="2FD41AB9"/>
    <w:rsid w:val="2FEE649B"/>
    <w:rsid w:val="2FFA3A98"/>
    <w:rsid w:val="30010B15"/>
    <w:rsid w:val="30201308"/>
    <w:rsid w:val="302E5C02"/>
    <w:rsid w:val="303412EA"/>
    <w:rsid w:val="303A61C9"/>
    <w:rsid w:val="30406FD1"/>
    <w:rsid w:val="30463681"/>
    <w:rsid w:val="3049057C"/>
    <w:rsid w:val="304E7DA7"/>
    <w:rsid w:val="305263C5"/>
    <w:rsid w:val="306057C3"/>
    <w:rsid w:val="30750C3E"/>
    <w:rsid w:val="30775B99"/>
    <w:rsid w:val="307C7168"/>
    <w:rsid w:val="307F3F9D"/>
    <w:rsid w:val="30817D16"/>
    <w:rsid w:val="30870369"/>
    <w:rsid w:val="308E458F"/>
    <w:rsid w:val="308F7BD1"/>
    <w:rsid w:val="309061AB"/>
    <w:rsid w:val="309D4424"/>
    <w:rsid w:val="30A532D8"/>
    <w:rsid w:val="30B61842"/>
    <w:rsid w:val="30C04A2E"/>
    <w:rsid w:val="30C14E91"/>
    <w:rsid w:val="30C950CF"/>
    <w:rsid w:val="30D17C09"/>
    <w:rsid w:val="30D233C3"/>
    <w:rsid w:val="30D36097"/>
    <w:rsid w:val="30D37E45"/>
    <w:rsid w:val="30D52BF8"/>
    <w:rsid w:val="30DF23E7"/>
    <w:rsid w:val="30EC5C5D"/>
    <w:rsid w:val="30ED7159"/>
    <w:rsid w:val="30F45F1D"/>
    <w:rsid w:val="30F55219"/>
    <w:rsid w:val="30FD4EC2"/>
    <w:rsid w:val="30FE594E"/>
    <w:rsid w:val="31027BC9"/>
    <w:rsid w:val="31035B82"/>
    <w:rsid w:val="31231C64"/>
    <w:rsid w:val="31264991"/>
    <w:rsid w:val="31305298"/>
    <w:rsid w:val="313528AE"/>
    <w:rsid w:val="313A4F7D"/>
    <w:rsid w:val="315A0168"/>
    <w:rsid w:val="31734A49"/>
    <w:rsid w:val="317D428D"/>
    <w:rsid w:val="31853836"/>
    <w:rsid w:val="318F6462"/>
    <w:rsid w:val="319121DA"/>
    <w:rsid w:val="3195334D"/>
    <w:rsid w:val="31AA6DF8"/>
    <w:rsid w:val="31AD0696"/>
    <w:rsid w:val="31B213C3"/>
    <w:rsid w:val="31B56400"/>
    <w:rsid w:val="31BC2920"/>
    <w:rsid w:val="31BE0AF5"/>
    <w:rsid w:val="31C03801"/>
    <w:rsid w:val="31C679AA"/>
    <w:rsid w:val="31DF4F15"/>
    <w:rsid w:val="31EB11BF"/>
    <w:rsid w:val="31F035EA"/>
    <w:rsid w:val="31F0447F"/>
    <w:rsid w:val="32056724"/>
    <w:rsid w:val="320A3D3B"/>
    <w:rsid w:val="320F79F7"/>
    <w:rsid w:val="321A26C3"/>
    <w:rsid w:val="322841C1"/>
    <w:rsid w:val="32313998"/>
    <w:rsid w:val="323E0A57"/>
    <w:rsid w:val="32456B21"/>
    <w:rsid w:val="32470EE9"/>
    <w:rsid w:val="325B4596"/>
    <w:rsid w:val="32691281"/>
    <w:rsid w:val="32747227"/>
    <w:rsid w:val="32753ABA"/>
    <w:rsid w:val="32785148"/>
    <w:rsid w:val="32A045E4"/>
    <w:rsid w:val="32A72AD4"/>
    <w:rsid w:val="32B42696"/>
    <w:rsid w:val="32B95406"/>
    <w:rsid w:val="32BE6B99"/>
    <w:rsid w:val="32D14858"/>
    <w:rsid w:val="32DA5FF7"/>
    <w:rsid w:val="32DC56D7"/>
    <w:rsid w:val="32E2028A"/>
    <w:rsid w:val="32E25A8E"/>
    <w:rsid w:val="32E77BD8"/>
    <w:rsid w:val="33016EEC"/>
    <w:rsid w:val="330662B0"/>
    <w:rsid w:val="331E3B25"/>
    <w:rsid w:val="3322017F"/>
    <w:rsid w:val="332955BF"/>
    <w:rsid w:val="334068CC"/>
    <w:rsid w:val="33492641"/>
    <w:rsid w:val="334C6D82"/>
    <w:rsid w:val="33646BA7"/>
    <w:rsid w:val="33692733"/>
    <w:rsid w:val="33791178"/>
    <w:rsid w:val="337C614F"/>
    <w:rsid w:val="337F3EEB"/>
    <w:rsid w:val="33835B53"/>
    <w:rsid w:val="338673F1"/>
    <w:rsid w:val="338813BB"/>
    <w:rsid w:val="3389391D"/>
    <w:rsid w:val="339C6C14"/>
    <w:rsid w:val="33AA15CB"/>
    <w:rsid w:val="33B201E6"/>
    <w:rsid w:val="33C21BA8"/>
    <w:rsid w:val="33C75804"/>
    <w:rsid w:val="33CA3782"/>
    <w:rsid w:val="33CF2B46"/>
    <w:rsid w:val="33DF6B01"/>
    <w:rsid w:val="33E902D9"/>
    <w:rsid w:val="33FC5905"/>
    <w:rsid w:val="33FE78CF"/>
    <w:rsid w:val="34056568"/>
    <w:rsid w:val="340A0022"/>
    <w:rsid w:val="341E3ACD"/>
    <w:rsid w:val="3421711A"/>
    <w:rsid w:val="34246E19"/>
    <w:rsid w:val="343230D5"/>
    <w:rsid w:val="343339FE"/>
    <w:rsid w:val="34525525"/>
    <w:rsid w:val="34670FD0"/>
    <w:rsid w:val="34675474"/>
    <w:rsid w:val="346B54F2"/>
    <w:rsid w:val="34736A5C"/>
    <w:rsid w:val="3474056C"/>
    <w:rsid w:val="34784F8C"/>
    <w:rsid w:val="348A6B4C"/>
    <w:rsid w:val="34B306BA"/>
    <w:rsid w:val="34B64AA8"/>
    <w:rsid w:val="34B65AB4"/>
    <w:rsid w:val="34B77E31"/>
    <w:rsid w:val="34B9267C"/>
    <w:rsid w:val="34BC5C79"/>
    <w:rsid w:val="34C51A18"/>
    <w:rsid w:val="34CE54F3"/>
    <w:rsid w:val="34D76DF0"/>
    <w:rsid w:val="34DF500B"/>
    <w:rsid w:val="34EE2D8D"/>
    <w:rsid w:val="34F44425"/>
    <w:rsid w:val="34FE0EF2"/>
    <w:rsid w:val="350D45FB"/>
    <w:rsid w:val="35154ED0"/>
    <w:rsid w:val="352275ED"/>
    <w:rsid w:val="353648CD"/>
    <w:rsid w:val="355230B6"/>
    <w:rsid w:val="35527E07"/>
    <w:rsid w:val="35611EC4"/>
    <w:rsid w:val="356508B3"/>
    <w:rsid w:val="35656CD1"/>
    <w:rsid w:val="35962329"/>
    <w:rsid w:val="35995C6C"/>
    <w:rsid w:val="359B4418"/>
    <w:rsid w:val="35A21FFB"/>
    <w:rsid w:val="35A76236"/>
    <w:rsid w:val="35AE2C2F"/>
    <w:rsid w:val="35B30245"/>
    <w:rsid w:val="35B53FBD"/>
    <w:rsid w:val="35BF6BEA"/>
    <w:rsid w:val="35C67405"/>
    <w:rsid w:val="35CC7F77"/>
    <w:rsid w:val="35D02C1B"/>
    <w:rsid w:val="35E05D5A"/>
    <w:rsid w:val="35E46651"/>
    <w:rsid w:val="35E825E5"/>
    <w:rsid w:val="35EE2F41"/>
    <w:rsid w:val="35F745D6"/>
    <w:rsid w:val="35FA0F21"/>
    <w:rsid w:val="36107168"/>
    <w:rsid w:val="36414640"/>
    <w:rsid w:val="3647070D"/>
    <w:rsid w:val="36483084"/>
    <w:rsid w:val="36541D46"/>
    <w:rsid w:val="366553D8"/>
    <w:rsid w:val="366A605D"/>
    <w:rsid w:val="366F23BE"/>
    <w:rsid w:val="367125DA"/>
    <w:rsid w:val="367479D5"/>
    <w:rsid w:val="367A3CF7"/>
    <w:rsid w:val="367F4CF7"/>
    <w:rsid w:val="36870626"/>
    <w:rsid w:val="368C2C1D"/>
    <w:rsid w:val="36A77DAA"/>
    <w:rsid w:val="36AC30B3"/>
    <w:rsid w:val="36BA0134"/>
    <w:rsid w:val="36BB3856"/>
    <w:rsid w:val="36BD312A"/>
    <w:rsid w:val="36C258FC"/>
    <w:rsid w:val="36D0359E"/>
    <w:rsid w:val="36E035B0"/>
    <w:rsid w:val="36E25286"/>
    <w:rsid w:val="36E7289C"/>
    <w:rsid w:val="36EC3A0F"/>
    <w:rsid w:val="36EE5988"/>
    <w:rsid w:val="36F42C06"/>
    <w:rsid w:val="36F565E3"/>
    <w:rsid w:val="37057643"/>
    <w:rsid w:val="37076A9B"/>
    <w:rsid w:val="370945C1"/>
    <w:rsid w:val="370B658B"/>
    <w:rsid w:val="37112AB9"/>
    <w:rsid w:val="37184804"/>
    <w:rsid w:val="371C4CCD"/>
    <w:rsid w:val="371F2036"/>
    <w:rsid w:val="37283B3D"/>
    <w:rsid w:val="372B09DB"/>
    <w:rsid w:val="3730039B"/>
    <w:rsid w:val="37335AE2"/>
    <w:rsid w:val="373A0C1E"/>
    <w:rsid w:val="37537F32"/>
    <w:rsid w:val="37544D02"/>
    <w:rsid w:val="375603D5"/>
    <w:rsid w:val="375A4E1C"/>
    <w:rsid w:val="375D2B5F"/>
    <w:rsid w:val="375E7CC2"/>
    <w:rsid w:val="37604F1C"/>
    <w:rsid w:val="376E08C8"/>
    <w:rsid w:val="377111BB"/>
    <w:rsid w:val="37751C56"/>
    <w:rsid w:val="37774681"/>
    <w:rsid w:val="377A101B"/>
    <w:rsid w:val="37873738"/>
    <w:rsid w:val="379540A7"/>
    <w:rsid w:val="379C45EC"/>
    <w:rsid w:val="379E40DF"/>
    <w:rsid w:val="37A75B88"/>
    <w:rsid w:val="37BF7375"/>
    <w:rsid w:val="37CB5D1A"/>
    <w:rsid w:val="37D810B0"/>
    <w:rsid w:val="37DE77FC"/>
    <w:rsid w:val="37E023D0"/>
    <w:rsid w:val="37E65D9B"/>
    <w:rsid w:val="37EE28CD"/>
    <w:rsid w:val="38080D1C"/>
    <w:rsid w:val="3814146F"/>
    <w:rsid w:val="381B47A3"/>
    <w:rsid w:val="3820786B"/>
    <w:rsid w:val="38237904"/>
    <w:rsid w:val="38271F34"/>
    <w:rsid w:val="38313EEF"/>
    <w:rsid w:val="383340DB"/>
    <w:rsid w:val="38433B03"/>
    <w:rsid w:val="38445FC7"/>
    <w:rsid w:val="384900E4"/>
    <w:rsid w:val="38492320"/>
    <w:rsid w:val="384A5E01"/>
    <w:rsid w:val="384F73BE"/>
    <w:rsid w:val="38543F62"/>
    <w:rsid w:val="385C2840"/>
    <w:rsid w:val="385E093C"/>
    <w:rsid w:val="387365C9"/>
    <w:rsid w:val="388303A3"/>
    <w:rsid w:val="38836937"/>
    <w:rsid w:val="38A1241F"/>
    <w:rsid w:val="38A56FE4"/>
    <w:rsid w:val="38B62526"/>
    <w:rsid w:val="38BD364A"/>
    <w:rsid w:val="38C01ED4"/>
    <w:rsid w:val="38C32861"/>
    <w:rsid w:val="38E452E6"/>
    <w:rsid w:val="38EA047A"/>
    <w:rsid w:val="3905525C"/>
    <w:rsid w:val="392D2DFA"/>
    <w:rsid w:val="3950297B"/>
    <w:rsid w:val="395D7169"/>
    <w:rsid w:val="396C52DB"/>
    <w:rsid w:val="39700927"/>
    <w:rsid w:val="3975231E"/>
    <w:rsid w:val="397A3554"/>
    <w:rsid w:val="397B2011"/>
    <w:rsid w:val="39987E7E"/>
    <w:rsid w:val="399E7F9B"/>
    <w:rsid w:val="39A405D1"/>
    <w:rsid w:val="39A70D29"/>
    <w:rsid w:val="39B14C14"/>
    <w:rsid w:val="39BB1DBE"/>
    <w:rsid w:val="39C25D4B"/>
    <w:rsid w:val="39CB3F82"/>
    <w:rsid w:val="39D24FAF"/>
    <w:rsid w:val="39D4535A"/>
    <w:rsid w:val="39D52E80"/>
    <w:rsid w:val="39DD6103"/>
    <w:rsid w:val="39E76710"/>
    <w:rsid w:val="39F06245"/>
    <w:rsid w:val="3A036621"/>
    <w:rsid w:val="3A06303A"/>
    <w:rsid w:val="3A104AA6"/>
    <w:rsid w:val="3A15755D"/>
    <w:rsid w:val="3A282FB0"/>
    <w:rsid w:val="3A3307D1"/>
    <w:rsid w:val="3A37590B"/>
    <w:rsid w:val="3A3867DC"/>
    <w:rsid w:val="3A465B2C"/>
    <w:rsid w:val="3A4A69EC"/>
    <w:rsid w:val="3A4D0C68"/>
    <w:rsid w:val="3A6366DE"/>
    <w:rsid w:val="3A6A35F5"/>
    <w:rsid w:val="3A755AAC"/>
    <w:rsid w:val="3A816B64"/>
    <w:rsid w:val="3A840611"/>
    <w:rsid w:val="3A8605F9"/>
    <w:rsid w:val="3A8E179F"/>
    <w:rsid w:val="3A936BF0"/>
    <w:rsid w:val="3A956C3F"/>
    <w:rsid w:val="3AB266A6"/>
    <w:rsid w:val="3ABB5706"/>
    <w:rsid w:val="3ACD3B57"/>
    <w:rsid w:val="3AD01CD8"/>
    <w:rsid w:val="3AD849D6"/>
    <w:rsid w:val="3ADC221B"/>
    <w:rsid w:val="3AE90147"/>
    <w:rsid w:val="3AFF2A8F"/>
    <w:rsid w:val="3B0003ED"/>
    <w:rsid w:val="3B057795"/>
    <w:rsid w:val="3B084B8F"/>
    <w:rsid w:val="3B0F5F10"/>
    <w:rsid w:val="3B1E7458"/>
    <w:rsid w:val="3B1F3ECA"/>
    <w:rsid w:val="3B2003A1"/>
    <w:rsid w:val="3B245E6D"/>
    <w:rsid w:val="3B2F65C0"/>
    <w:rsid w:val="3B337E5E"/>
    <w:rsid w:val="3B447FEC"/>
    <w:rsid w:val="3B650F46"/>
    <w:rsid w:val="3B7D7184"/>
    <w:rsid w:val="3B824942"/>
    <w:rsid w:val="3B971F62"/>
    <w:rsid w:val="3BA26D92"/>
    <w:rsid w:val="3BA7084C"/>
    <w:rsid w:val="3BAE6E99"/>
    <w:rsid w:val="3BB2142F"/>
    <w:rsid w:val="3BB27DBE"/>
    <w:rsid w:val="3BB7551B"/>
    <w:rsid w:val="3BBD1E1E"/>
    <w:rsid w:val="3BC0692E"/>
    <w:rsid w:val="3BD74C8E"/>
    <w:rsid w:val="3BD850F4"/>
    <w:rsid w:val="3BE005AE"/>
    <w:rsid w:val="3BF57B4E"/>
    <w:rsid w:val="3BFB3D78"/>
    <w:rsid w:val="3C054449"/>
    <w:rsid w:val="3C183F8D"/>
    <w:rsid w:val="3C297B79"/>
    <w:rsid w:val="3C2D2B00"/>
    <w:rsid w:val="3C333E8E"/>
    <w:rsid w:val="3C3B73AF"/>
    <w:rsid w:val="3C3C0057"/>
    <w:rsid w:val="3C4D3128"/>
    <w:rsid w:val="3C593CB6"/>
    <w:rsid w:val="3C5A1E59"/>
    <w:rsid w:val="3C616142"/>
    <w:rsid w:val="3C71156A"/>
    <w:rsid w:val="3C731C3F"/>
    <w:rsid w:val="3C83693B"/>
    <w:rsid w:val="3C8C360C"/>
    <w:rsid w:val="3C9506A5"/>
    <w:rsid w:val="3CA13613"/>
    <w:rsid w:val="3CA23D82"/>
    <w:rsid w:val="3CA9440F"/>
    <w:rsid w:val="3CB054DF"/>
    <w:rsid w:val="3CB10DF0"/>
    <w:rsid w:val="3CB63D9B"/>
    <w:rsid w:val="3CB7061B"/>
    <w:rsid w:val="3CC0565A"/>
    <w:rsid w:val="3CC22028"/>
    <w:rsid w:val="3CC2593E"/>
    <w:rsid w:val="3CCF3FB6"/>
    <w:rsid w:val="3CD00108"/>
    <w:rsid w:val="3CD2783E"/>
    <w:rsid w:val="3CD63197"/>
    <w:rsid w:val="3CDC023F"/>
    <w:rsid w:val="3CE64A58"/>
    <w:rsid w:val="3CFE7CBA"/>
    <w:rsid w:val="3D051E15"/>
    <w:rsid w:val="3D0F0457"/>
    <w:rsid w:val="3D1141CF"/>
    <w:rsid w:val="3D1A4C23"/>
    <w:rsid w:val="3D211F38"/>
    <w:rsid w:val="3D262431"/>
    <w:rsid w:val="3D332764"/>
    <w:rsid w:val="3D347EBE"/>
    <w:rsid w:val="3D363C36"/>
    <w:rsid w:val="3D390EF4"/>
    <w:rsid w:val="3D510A70"/>
    <w:rsid w:val="3D6F7148"/>
    <w:rsid w:val="3D7D1865"/>
    <w:rsid w:val="3D873653"/>
    <w:rsid w:val="3D8A068A"/>
    <w:rsid w:val="3D93277C"/>
    <w:rsid w:val="3D986E46"/>
    <w:rsid w:val="3DA212CB"/>
    <w:rsid w:val="3DB37034"/>
    <w:rsid w:val="3DB96F28"/>
    <w:rsid w:val="3DBF3C2B"/>
    <w:rsid w:val="3DDF7E2A"/>
    <w:rsid w:val="3DFB591B"/>
    <w:rsid w:val="3DFB699E"/>
    <w:rsid w:val="3E075C5D"/>
    <w:rsid w:val="3E2241BA"/>
    <w:rsid w:val="3E233537"/>
    <w:rsid w:val="3E2448D3"/>
    <w:rsid w:val="3E2D65EC"/>
    <w:rsid w:val="3E3363C7"/>
    <w:rsid w:val="3E350391"/>
    <w:rsid w:val="3E446852"/>
    <w:rsid w:val="3E495BEB"/>
    <w:rsid w:val="3E66054B"/>
    <w:rsid w:val="3E7362D6"/>
    <w:rsid w:val="3E746047"/>
    <w:rsid w:val="3E846C23"/>
    <w:rsid w:val="3E851917"/>
    <w:rsid w:val="3E87795B"/>
    <w:rsid w:val="3E8A2015"/>
    <w:rsid w:val="3E8D1F7B"/>
    <w:rsid w:val="3E8D214A"/>
    <w:rsid w:val="3E974BA8"/>
    <w:rsid w:val="3E9A0313"/>
    <w:rsid w:val="3E9F580B"/>
    <w:rsid w:val="3EBF7C5B"/>
    <w:rsid w:val="3ECA6D2C"/>
    <w:rsid w:val="3ECC09EB"/>
    <w:rsid w:val="3ECD05CA"/>
    <w:rsid w:val="3EE8468D"/>
    <w:rsid w:val="3EF15AFC"/>
    <w:rsid w:val="3EF773F5"/>
    <w:rsid w:val="3F0552C5"/>
    <w:rsid w:val="3F184EB4"/>
    <w:rsid w:val="3F19736B"/>
    <w:rsid w:val="3F283A52"/>
    <w:rsid w:val="3F367F1D"/>
    <w:rsid w:val="3F3E6DD2"/>
    <w:rsid w:val="3F446ADE"/>
    <w:rsid w:val="3F474A0F"/>
    <w:rsid w:val="3F485EA2"/>
    <w:rsid w:val="3F4D31D0"/>
    <w:rsid w:val="3F5555D5"/>
    <w:rsid w:val="3F57651A"/>
    <w:rsid w:val="3F5C54AA"/>
    <w:rsid w:val="3F826A32"/>
    <w:rsid w:val="3F9E234A"/>
    <w:rsid w:val="3FA4757D"/>
    <w:rsid w:val="3FA6339D"/>
    <w:rsid w:val="3FB53538"/>
    <w:rsid w:val="3FB85D52"/>
    <w:rsid w:val="3FB91DE2"/>
    <w:rsid w:val="3FC411F2"/>
    <w:rsid w:val="3FD53F2D"/>
    <w:rsid w:val="3FD878CA"/>
    <w:rsid w:val="3FDF3B97"/>
    <w:rsid w:val="3FEF3BC5"/>
    <w:rsid w:val="3FF87876"/>
    <w:rsid w:val="401D10DD"/>
    <w:rsid w:val="401D732F"/>
    <w:rsid w:val="402661E4"/>
    <w:rsid w:val="402B37FA"/>
    <w:rsid w:val="403146F2"/>
    <w:rsid w:val="40330A27"/>
    <w:rsid w:val="40354679"/>
    <w:rsid w:val="403A57EB"/>
    <w:rsid w:val="403B1351"/>
    <w:rsid w:val="404448BC"/>
    <w:rsid w:val="40550877"/>
    <w:rsid w:val="405839EC"/>
    <w:rsid w:val="4059552F"/>
    <w:rsid w:val="40624D42"/>
    <w:rsid w:val="406867FC"/>
    <w:rsid w:val="407C5E04"/>
    <w:rsid w:val="407E15B5"/>
    <w:rsid w:val="40833636"/>
    <w:rsid w:val="40905D53"/>
    <w:rsid w:val="40907B01"/>
    <w:rsid w:val="40A62E81"/>
    <w:rsid w:val="40AB0497"/>
    <w:rsid w:val="40AB733B"/>
    <w:rsid w:val="40AD0EDE"/>
    <w:rsid w:val="40AF442B"/>
    <w:rsid w:val="40CB1663"/>
    <w:rsid w:val="40D47CAF"/>
    <w:rsid w:val="40DB36CC"/>
    <w:rsid w:val="40DC68A2"/>
    <w:rsid w:val="40DF083D"/>
    <w:rsid w:val="40E62552"/>
    <w:rsid w:val="40F462E2"/>
    <w:rsid w:val="40F96D46"/>
    <w:rsid w:val="410E2997"/>
    <w:rsid w:val="412928FB"/>
    <w:rsid w:val="41292C1C"/>
    <w:rsid w:val="412F731A"/>
    <w:rsid w:val="41433ED6"/>
    <w:rsid w:val="41434B73"/>
    <w:rsid w:val="4144315C"/>
    <w:rsid w:val="414F176A"/>
    <w:rsid w:val="41594397"/>
    <w:rsid w:val="41635215"/>
    <w:rsid w:val="41717599"/>
    <w:rsid w:val="417C5514"/>
    <w:rsid w:val="41807AC5"/>
    <w:rsid w:val="41900189"/>
    <w:rsid w:val="419D4283"/>
    <w:rsid w:val="419F6380"/>
    <w:rsid w:val="41A27AEC"/>
    <w:rsid w:val="41AC2719"/>
    <w:rsid w:val="41C7743F"/>
    <w:rsid w:val="41CA0DF1"/>
    <w:rsid w:val="41CE08E1"/>
    <w:rsid w:val="41CE6B33"/>
    <w:rsid w:val="41D92A7A"/>
    <w:rsid w:val="41EB6676"/>
    <w:rsid w:val="41F61BE6"/>
    <w:rsid w:val="42044303"/>
    <w:rsid w:val="42060576"/>
    <w:rsid w:val="42084152"/>
    <w:rsid w:val="42095678"/>
    <w:rsid w:val="42176CFE"/>
    <w:rsid w:val="4224353A"/>
    <w:rsid w:val="422E137F"/>
    <w:rsid w:val="423229B8"/>
    <w:rsid w:val="423A171C"/>
    <w:rsid w:val="42416C5C"/>
    <w:rsid w:val="424D38D4"/>
    <w:rsid w:val="425429EA"/>
    <w:rsid w:val="425608D6"/>
    <w:rsid w:val="426D634C"/>
    <w:rsid w:val="42707BEA"/>
    <w:rsid w:val="42725710"/>
    <w:rsid w:val="42755843"/>
    <w:rsid w:val="427C658F"/>
    <w:rsid w:val="427E2EEA"/>
    <w:rsid w:val="42876CE2"/>
    <w:rsid w:val="429116AF"/>
    <w:rsid w:val="42925DB2"/>
    <w:rsid w:val="42926D7C"/>
    <w:rsid w:val="42961B24"/>
    <w:rsid w:val="42A84942"/>
    <w:rsid w:val="42AB6E74"/>
    <w:rsid w:val="42C41CE4"/>
    <w:rsid w:val="42FC1EB6"/>
    <w:rsid w:val="42FF4354"/>
    <w:rsid w:val="43020B7B"/>
    <w:rsid w:val="430E7F14"/>
    <w:rsid w:val="43217E93"/>
    <w:rsid w:val="43286A5A"/>
    <w:rsid w:val="433E3844"/>
    <w:rsid w:val="43560B8E"/>
    <w:rsid w:val="435A7F52"/>
    <w:rsid w:val="436112E1"/>
    <w:rsid w:val="436D4129"/>
    <w:rsid w:val="43727992"/>
    <w:rsid w:val="4374370A"/>
    <w:rsid w:val="43775F90"/>
    <w:rsid w:val="438C45B0"/>
    <w:rsid w:val="43911BC6"/>
    <w:rsid w:val="43997D14"/>
    <w:rsid w:val="439E79D4"/>
    <w:rsid w:val="43B6628E"/>
    <w:rsid w:val="43BB30E7"/>
    <w:rsid w:val="43BB6C43"/>
    <w:rsid w:val="43C125F9"/>
    <w:rsid w:val="43C31F9B"/>
    <w:rsid w:val="43CA157C"/>
    <w:rsid w:val="43CD38AD"/>
    <w:rsid w:val="43D40B48"/>
    <w:rsid w:val="43D61CCF"/>
    <w:rsid w:val="43DD7AE2"/>
    <w:rsid w:val="43EA2B7B"/>
    <w:rsid w:val="43F565F9"/>
    <w:rsid w:val="43FD02A4"/>
    <w:rsid w:val="440305EA"/>
    <w:rsid w:val="44062E1B"/>
    <w:rsid w:val="44071E88"/>
    <w:rsid w:val="44093E52"/>
    <w:rsid w:val="440B5EE5"/>
    <w:rsid w:val="44110F59"/>
    <w:rsid w:val="441D5B50"/>
    <w:rsid w:val="44234039"/>
    <w:rsid w:val="442C18EF"/>
    <w:rsid w:val="442E1112"/>
    <w:rsid w:val="442F3F94"/>
    <w:rsid w:val="44394FA8"/>
    <w:rsid w:val="44410523"/>
    <w:rsid w:val="444B5B90"/>
    <w:rsid w:val="44561ED1"/>
    <w:rsid w:val="44587568"/>
    <w:rsid w:val="446C618F"/>
    <w:rsid w:val="44784B34"/>
    <w:rsid w:val="448009AF"/>
    <w:rsid w:val="448028C4"/>
    <w:rsid w:val="448E7634"/>
    <w:rsid w:val="44924B44"/>
    <w:rsid w:val="4497145E"/>
    <w:rsid w:val="449A42C4"/>
    <w:rsid w:val="44A030AA"/>
    <w:rsid w:val="44A5472E"/>
    <w:rsid w:val="44AD7264"/>
    <w:rsid w:val="44BA618E"/>
    <w:rsid w:val="44CA1F84"/>
    <w:rsid w:val="44CE29A6"/>
    <w:rsid w:val="44D10724"/>
    <w:rsid w:val="44E73A68"/>
    <w:rsid w:val="44E968C2"/>
    <w:rsid w:val="44F763A1"/>
    <w:rsid w:val="44FC5765"/>
    <w:rsid w:val="44FD328B"/>
    <w:rsid w:val="45097E82"/>
    <w:rsid w:val="451257DE"/>
    <w:rsid w:val="4521341D"/>
    <w:rsid w:val="45260A34"/>
    <w:rsid w:val="4541586E"/>
    <w:rsid w:val="45470B2A"/>
    <w:rsid w:val="45482010"/>
    <w:rsid w:val="454A2974"/>
    <w:rsid w:val="45554E75"/>
    <w:rsid w:val="456D3F9A"/>
    <w:rsid w:val="45717F01"/>
    <w:rsid w:val="457B0D80"/>
    <w:rsid w:val="45806396"/>
    <w:rsid w:val="458069FE"/>
    <w:rsid w:val="45863281"/>
    <w:rsid w:val="459028EC"/>
    <w:rsid w:val="45A1518D"/>
    <w:rsid w:val="45A71B75"/>
    <w:rsid w:val="45AB536B"/>
    <w:rsid w:val="45AE47EA"/>
    <w:rsid w:val="45B832BE"/>
    <w:rsid w:val="45BE7630"/>
    <w:rsid w:val="45DB03AB"/>
    <w:rsid w:val="45EF1B62"/>
    <w:rsid w:val="45F20916"/>
    <w:rsid w:val="45F72B5A"/>
    <w:rsid w:val="45F91CA4"/>
    <w:rsid w:val="45FD127F"/>
    <w:rsid w:val="460D4EC0"/>
    <w:rsid w:val="461B7694"/>
    <w:rsid w:val="46256A94"/>
    <w:rsid w:val="462D7B07"/>
    <w:rsid w:val="462F56C6"/>
    <w:rsid w:val="46357180"/>
    <w:rsid w:val="464253F9"/>
    <w:rsid w:val="464B2CD3"/>
    <w:rsid w:val="46507553"/>
    <w:rsid w:val="465C7207"/>
    <w:rsid w:val="465E7D59"/>
    <w:rsid w:val="46603AD2"/>
    <w:rsid w:val="466B44BF"/>
    <w:rsid w:val="467D0B27"/>
    <w:rsid w:val="4683682A"/>
    <w:rsid w:val="469B2D5C"/>
    <w:rsid w:val="46AE0CE1"/>
    <w:rsid w:val="46B0764D"/>
    <w:rsid w:val="46BF5DAF"/>
    <w:rsid w:val="46C027C2"/>
    <w:rsid w:val="46CE1383"/>
    <w:rsid w:val="46DD5457"/>
    <w:rsid w:val="46E52EB6"/>
    <w:rsid w:val="46F10BCE"/>
    <w:rsid w:val="46F21DFF"/>
    <w:rsid w:val="470001C6"/>
    <w:rsid w:val="470F0F36"/>
    <w:rsid w:val="471179F3"/>
    <w:rsid w:val="471843AC"/>
    <w:rsid w:val="47273CD2"/>
    <w:rsid w:val="473A25FA"/>
    <w:rsid w:val="473C7B6E"/>
    <w:rsid w:val="473E689A"/>
    <w:rsid w:val="474358CD"/>
    <w:rsid w:val="474C4109"/>
    <w:rsid w:val="474F4272"/>
    <w:rsid w:val="47501D98"/>
    <w:rsid w:val="475F1FDB"/>
    <w:rsid w:val="476171F4"/>
    <w:rsid w:val="47732DC9"/>
    <w:rsid w:val="477744D2"/>
    <w:rsid w:val="477C63DB"/>
    <w:rsid w:val="47985E6A"/>
    <w:rsid w:val="47A65E5C"/>
    <w:rsid w:val="47B05E42"/>
    <w:rsid w:val="47B37D6A"/>
    <w:rsid w:val="47B6609F"/>
    <w:rsid w:val="47B83813"/>
    <w:rsid w:val="47C25F84"/>
    <w:rsid w:val="47C626DD"/>
    <w:rsid w:val="47C962F6"/>
    <w:rsid w:val="47D87938"/>
    <w:rsid w:val="47DE2346"/>
    <w:rsid w:val="4804356D"/>
    <w:rsid w:val="480A4498"/>
    <w:rsid w:val="480C5037"/>
    <w:rsid w:val="481608EC"/>
    <w:rsid w:val="481E1E96"/>
    <w:rsid w:val="48272AF9"/>
    <w:rsid w:val="4828053B"/>
    <w:rsid w:val="483B47F6"/>
    <w:rsid w:val="483D056E"/>
    <w:rsid w:val="48496F13"/>
    <w:rsid w:val="484E277B"/>
    <w:rsid w:val="48573151"/>
    <w:rsid w:val="485D476D"/>
    <w:rsid w:val="48743963"/>
    <w:rsid w:val="48770B0E"/>
    <w:rsid w:val="48793ABD"/>
    <w:rsid w:val="488F3D80"/>
    <w:rsid w:val="48A64365"/>
    <w:rsid w:val="48A81E24"/>
    <w:rsid w:val="48AD702B"/>
    <w:rsid w:val="48E00D8E"/>
    <w:rsid w:val="48E704DA"/>
    <w:rsid w:val="48EF275B"/>
    <w:rsid w:val="48FF5FCC"/>
    <w:rsid w:val="4907292A"/>
    <w:rsid w:val="49105066"/>
    <w:rsid w:val="49172B6D"/>
    <w:rsid w:val="49182A11"/>
    <w:rsid w:val="49242A48"/>
    <w:rsid w:val="49267254"/>
    <w:rsid w:val="492D2391"/>
    <w:rsid w:val="493457F5"/>
    <w:rsid w:val="495F6164"/>
    <w:rsid w:val="49634005"/>
    <w:rsid w:val="496C712A"/>
    <w:rsid w:val="4972249A"/>
    <w:rsid w:val="49731D6E"/>
    <w:rsid w:val="497862E6"/>
    <w:rsid w:val="49875631"/>
    <w:rsid w:val="49885819"/>
    <w:rsid w:val="498B5309"/>
    <w:rsid w:val="498B70B7"/>
    <w:rsid w:val="49926698"/>
    <w:rsid w:val="49975A5C"/>
    <w:rsid w:val="499E503D"/>
    <w:rsid w:val="49A1129B"/>
    <w:rsid w:val="49AB59AC"/>
    <w:rsid w:val="49AD1724"/>
    <w:rsid w:val="49B04D70"/>
    <w:rsid w:val="49BA799D"/>
    <w:rsid w:val="49C03205"/>
    <w:rsid w:val="49C95673"/>
    <w:rsid w:val="49D71453"/>
    <w:rsid w:val="49E7484D"/>
    <w:rsid w:val="49F20EE5"/>
    <w:rsid w:val="4A0A26D2"/>
    <w:rsid w:val="4A161077"/>
    <w:rsid w:val="4A17094B"/>
    <w:rsid w:val="4A1C41B3"/>
    <w:rsid w:val="4A23705C"/>
    <w:rsid w:val="4A281A89"/>
    <w:rsid w:val="4A3414FD"/>
    <w:rsid w:val="4A3C720C"/>
    <w:rsid w:val="4A3E7858"/>
    <w:rsid w:val="4A431740"/>
    <w:rsid w:val="4A4D25BF"/>
    <w:rsid w:val="4A54394D"/>
    <w:rsid w:val="4A5825F7"/>
    <w:rsid w:val="4A590B85"/>
    <w:rsid w:val="4A6218ED"/>
    <w:rsid w:val="4A687598"/>
    <w:rsid w:val="4A6F4C2B"/>
    <w:rsid w:val="4A747F49"/>
    <w:rsid w:val="4A7A77EB"/>
    <w:rsid w:val="4A7B35D0"/>
    <w:rsid w:val="4A7D4C52"/>
    <w:rsid w:val="4A8204BA"/>
    <w:rsid w:val="4A8C1339"/>
    <w:rsid w:val="4A8F2BD7"/>
    <w:rsid w:val="4A981A8C"/>
    <w:rsid w:val="4AA03036"/>
    <w:rsid w:val="4AA67F9D"/>
    <w:rsid w:val="4AB80380"/>
    <w:rsid w:val="4AB83EDC"/>
    <w:rsid w:val="4AC2658C"/>
    <w:rsid w:val="4AD131F0"/>
    <w:rsid w:val="4AD3137C"/>
    <w:rsid w:val="4AE03433"/>
    <w:rsid w:val="4AE20F59"/>
    <w:rsid w:val="4AE304BB"/>
    <w:rsid w:val="4AEC627C"/>
    <w:rsid w:val="4AEF3676"/>
    <w:rsid w:val="4B0B04B0"/>
    <w:rsid w:val="4B0E2F26"/>
    <w:rsid w:val="4B1112FF"/>
    <w:rsid w:val="4B1D4687"/>
    <w:rsid w:val="4B3521B9"/>
    <w:rsid w:val="4B3A0D95"/>
    <w:rsid w:val="4B466343"/>
    <w:rsid w:val="4B490AA9"/>
    <w:rsid w:val="4B4B4D50"/>
    <w:rsid w:val="4B691CF1"/>
    <w:rsid w:val="4B7B23AB"/>
    <w:rsid w:val="4B8169C4"/>
    <w:rsid w:val="4B971D44"/>
    <w:rsid w:val="4B9A5A9B"/>
    <w:rsid w:val="4B9F5338"/>
    <w:rsid w:val="4BA803F5"/>
    <w:rsid w:val="4BAF6F0E"/>
    <w:rsid w:val="4BB87F0C"/>
    <w:rsid w:val="4BBD2295"/>
    <w:rsid w:val="4BC47D6E"/>
    <w:rsid w:val="4BC863A1"/>
    <w:rsid w:val="4BCD1C09"/>
    <w:rsid w:val="4BD55D4D"/>
    <w:rsid w:val="4BDF7405"/>
    <w:rsid w:val="4BE968CD"/>
    <w:rsid w:val="4C066EC9"/>
    <w:rsid w:val="4C154998"/>
    <w:rsid w:val="4C207F8B"/>
    <w:rsid w:val="4C2A574A"/>
    <w:rsid w:val="4C2F5E95"/>
    <w:rsid w:val="4C325F10"/>
    <w:rsid w:val="4C612351"/>
    <w:rsid w:val="4C621307"/>
    <w:rsid w:val="4C832B30"/>
    <w:rsid w:val="4C882D15"/>
    <w:rsid w:val="4C8A2384"/>
    <w:rsid w:val="4C8B3928"/>
    <w:rsid w:val="4C8C73CE"/>
    <w:rsid w:val="4C950307"/>
    <w:rsid w:val="4C977C31"/>
    <w:rsid w:val="4CA010CC"/>
    <w:rsid w:val="4CA3099D"/>
    <w:rsid w:val="4CB93F3C"/>
    <w:rsid w:val="4CD46FC7"/>
    <w:rsid w:val="4CD55219"/>
    <w:rsid w:val="4CD82614"/>
    <w:rsid w:val="4CF904B8"/>
    <w:rsid w:val="4CFB6302"/>
    <w:rsid w:val="4D027691"/>
    <w:rsid w:val="4D0515BA"/>
    <w:rsid w:val="4D1A70D0"/>
    <w:rsid w:val="4D2B308B"/>
    <w:rsid w:val="4D3161C8"/>
    <w:rsid w:val="4D510618"/>
    <w:rsid w:val="4D5819A6"/>
    <w:rsid w:val="4D587BF8"/>
    <w:rsid w:val="4D596FC1"/>
    <w:rsid w:val="4D5B6DA0"/>
    <w:rsid w:val="4D666B1E"/>
    <w:rsid w:val="4D67738B"/>
    <w:rsid w:val="4D6968D7"/>
    <w:rsid w:val="4D6D5452"/>
    <w:rsid w:val="4D722A68"/>
    <w:rsid w:val="4DA846DC"/>
    <w:rsid w:val="4DB32607"/>
    <w:rsid w:val="4DB35361"/>
    <w:rsid w:val="4DB72B71"/>
    <w:rsid w:val="4DBE5CAD"/>
    <w:rsid w:val="4DC64B62"/>
    <w:rsid w:val="4DE35714"/>
    <w:rsid w:val="4DE4148C"/>
    <w:rsid w:val="4E037B64"/>
    <w:rsid w:val="4E08055C"/>
    <w:rsid w:val="4E1306D8"/>
    <w:rsid w:val="4E151645"/>
    <w:rsid w:val="4E1C0F9A"/>
    <w:rsid w:val="4E1D1085"/>
    <w:rsid w:val="4E2131E3"/>
    <w:rsid w:val="4E2E267E"/>
    <w:rsid w:val="4E3046D1"/>
    <w:rsid w:val="4E30647F"/>
    <w:rsid w:val="4E3441C2"/>
    <w:rsid w:val="4E49009D"/>
    <w:rsid w:val="4E4F4932"/>
    <w:rsid w:val="4E5B174E"/>
    <w:rsid w:val="4E695FC7"/>
    <w:rsid w:val="4E854A1D"/>
    <w:rsid w:val="4E8D5680"/>
    <w:rsid w:val="4E946A0E"/>
    <w:rsid w:val="4E9E548A"/>
    <w:rsid w:val="4E9F491C"/>
    <w:rsid w:val="4EAD187E"/>
    <w:rsid w:val="4EBD056C"/>
    <w:rsid w:val="4EC14F8F"/>
    <w:rsid w:val="4EC2357B"/>
    <w:rsid w:val="4EC92B5C"/>
    <w:rsid w:val="4EE20553"/>
    <w:rsid w:val="4EE32F66"/>
    <w:rsid w:val="4EEF1E88"/>
    <w:rsid w:val="4EF179BD"/>
    <w:rsid w:val="4EF86F9D"/>
    <w:rsid w:val="4EFE032C"/>
    <w:rsid w:val="4F073901"/>
    <w:rsid w:val="4F16408C"/>
    <w:rsid w:val="4F196F13"/>
    <w:rsid w:val="4F3B50DC"/>
    <w:rsid w:val="4F4426D6"/>
    <w:rsid w:val="4F4E4647"/>
    <w:rsid w:val="4F523D3A"/>
    <w:rsid w:val="4F560168"/>
    <w:rsid w:val="4F612DA4"/>
    <w:rsid w:val="4F642884"/>
    <w:rsid w:val="4F672375"/>
    <w:rsid w:val="4F6D3C13"/>
    <w:rsid w:val="4F8675C0"/>
    <w:rsid w:val="4F8D5D1F"/>
    <w:rsid w:val="4F9D7B44"/>
    <w:rsid w:val="4FA36773"/>
    <w:rsid w:val="4FA445A2"/>
    <w:rsid w:val="4FA709C3"/>
    <w:rsid w:val="4FA75F54"/>
    <w:rsid w:val="4FA9473B"/>
    <w:rsid w:val="4FAB1174"/>
    <w:rsid w:val="4FB1539E"/>
    <w:rsid w:val="4FCD2C12"/>
    <w:rsid w:val="4FD50C0F"/>
    <w:rsid w:val="4FDF63AF"/>
    <w:rsid w:val="4FFA6DD9"/>
    <w:rsid w:val="5003644E"/>
    <w:rsid w:val="50120532"/>
    <w:rsid w:val="50175917"/>
    <w:rsid w:val="50292C55"/>
    <w:rsid w:val="503A3CBF"/>
    <w:rsid w:val="50401E9C"/>
    <w:rsid w:val="50484D17"/>
    <w:rsid w:val="504A5312"/>
    <w:rsid w:val="505C7A00"/>
    <w:rsid w:val="50681F00"/>
    <w:rsid w:val="506A549A"/>
    <w:rsid w:val="506B19F1"/>
    <w:rsid w:val="506F561E"/>
    <w:rsid w:val="507C59AC"/>
    <w:rsid w:val="508036EE"/>
    <w:rsid w:val="50B96C00"/>
    <w:rsid w:val="50BD2E38"/>
    <w:rsid w:val="50C23D07"/>
    <w:rsid w:val="50D37CC2"/>
    <w:rsid w:val="50D9663E"/>
    <w:rsid w:val="50DB26D2"/>
    <w:rsid w:val="50DC4E4F"/>
    <w:rsid w:val="50DE0415"/>
    <w:rsid w:val="51002139"/>
    <w:rsid w:val="510559A1"/>
    <w:rsid w:val="511A7763"/>
    <w:rsid w:val="512119E5"/>
    <w:rsid w:val="512C73D2"/>
    <w:rsid w:val="512F2A1E"/>
    <w:rsid w:val="514457AD"/>
    <w:rsid w:val="51511D0D"/>
    <w:rsid w:val="5160707C"/>
    <w:rsid w:val="51644DBE"/>
    <w:rsid w:val="516923D4"/>
    <w:rsid w:val="517A013D"/>
    <w:rsid w:val="51836196"/>
    <w:rsid w:val="51870AAC"/>
    <w:rsid w:val="518A5394"/>
    <w:rsid w:val="51900792"/>
    <w:rsid w:val="519C6CA7"/>
    <w:rsid w:val="51A96C75"/>
    <w:rsid w:val="51AC406F"/>
    <w:rsid w:val="51C21AE4"/>
    <w:rsid w:val="51D11D27"/>
    <w:rsid w:val="51D91265"/>
    <w:rsid w:val="51DA0BDC"/>
    <w:rsid w:val="51DA76E8"/>
    <w:rsid w:val="51F74E7A"/>
    <w:rsid w:val="520420FD"/>
    <w:rsid w:val="5207032B"/>
    <w:rsid w:val="520922B1"/>
    <w:rsid w:val="520C748A"/>
    <w:rsid w:val="520E4CE3"/>
    <w:rsid w:val="521A1920"/>
    <w:rsid w:val="52326C6A"/>
    <w:rsid w:val="524A3FB4"/>
    <w:rsid w:val="524F15CA"/>
    <w:rsid w:val="526112FD"/>
    <w:rsid w:val="526248E0"/>
    <w:rsid w:val="5267030E"/>
    <w:rsid w:val="52854D33"/>
    <w:rsid w:val="52972F71"/>
    <w:rsid w:val="52AA6800"/>
    <w:rsid w:val="52AF02BB"/>
    <w:rsid w:val="52B256B5"/>
    <w:rsid w:val="52B32207"/>
    <w:rsid w:val="52BA464A"/>
    <w:rsid w:val="52CA62C5"/>
    <w:rsid w:val="52D23FA9"/>
    <w:rsid w:val="52D66362"/>
    <w:rsid w:val="52E26C4F"/>
    <w:rsid w:val="52EE5A15"/>
    <w:rsid w:val="52F10254"/>
    <w:rsid w:val="52F67BBC"/>
    <w:rsid w:val="53096FE2"/>
    <w:rsid w:val="530C1269"/>
    <w:rsid w:val="531D3476"/>
    <w:rsid w:val="532D4EA0"/>
    <w:rsid w:val="533B7DA0"/>
    <w:rsid w:val="534D1596"/>
    <w:rsid w:val="535D7D17"/>
    <w:rsid w:val="53607807"/>
    <w:rsid w:val="53654E1D"/>
    <w:rsid w:val="53672943"/>
    <w:rsid w:val="536746F1"/>
    <w:rsid w:val="53690258"/>
    <w:rsid w:val="5369461B"/>
    <w:rsid w:val="53877FA0"/>
    <w:rsid w:val="538C4158"/>
    <w:rsid w:val="538E7ED0"/>
    <w:rsid w:val="539465E3"/>
    <w:rsid w:val="53B00F8F"/>
    <w:rsid w:val="53B120BE"/>
    <w:rsid w:val="53BF39E1"/>
    <w:rsid w:val="53C02053"/>
    <w:rsid w:val="53C12CB5"/>
    <w:rsid w:val="53C438F2"/>
    <w:rsid w:val="53E06252"/>
    <w:rsid w:val="53E72C60"/>
    <w:rsid w:val="53E95DB1"/>
    <w:rsid w:val="53E977FC"/>
    <w:rsid w:val="53F853CD"/>
    <w:rsid w:val="5402266C"/>
    <w:rsid w:val="540A65D8"/>
    <w:rsid w:val="5415414D"/>
    <w:rsid w:val="541B6DA9"/>
    <w:rsid w:val="542204EB"/>
    <w:rsid w:val="542A23AF"/>
    <w:rsid w:val="54322D3A"/>
    <w:rsid w:val="54385F57"/>
    <w:rsid w:val="5452279B"/>
    <w:rsid w:val="54554E92"/>
    <w:rsid w:val="545C1D7C"/>
    <w:rsid w:val="54617393"/>
    <w:rsid w:val="54630471"/>
    <w:rsid w:val="547030C2"/>
    <w:rsid w:val="54736B0A"/>
    <w:rsid w:val="5479292E"/>
    <w:rsid w:val="547B4175"/>
    <w:rsid w:val="548509EE"/>
    <w:rsid w:val="54977258"/>
    <w:rsid w:val="54A379AB"/>
    <w:rsid w:val="54A47C87"/>
    <w:rsid w:val="54A656ED"/>
    <w:rsid w:val="54AA0D3A"/>
    <w:rsid w:val="54B17E75"/>
    <w:rsid w:val="54B95421"/>
    <w:rsid w:val="54D8352B"/>
    <w:rsid w:val="54DE4E87"/>
    <w:rsid w:val="54EF2BF0"/>
    <w:rsid w:val="54FA0062"/>
    <w:rsid w:val="54FF095A"/>
    <w:rsid w:val="55064E2E"/>
    <w:rsid w:val="55140B0E"/>
    <w:rsid w:val="551C2A2B"/>
    <w:rsid w:val="5531145B"/>
    <w:rsid w:val="553E1482"/>
    <w:rsid w:val="553E54AB"/>
    <w:rsid w:val="554C0043"/>
    <w:rsid w:val="555962BC"/>
    <w:rsid w:val="556C4241"/>
    <w:rsid w:val="55763288"/>
    <w:rsid w:val="55821CB6"/>
    <w:rsid w:val="558772CD"/>
    <w:rsid w:val="558D4BF8"/>
    <w:rsid w:val="55943798"/>
    <w:rsid w:val="559E63C4"/>
    <w:rsid w:val="55AE4859"/>
    <w:rsid w:val="55B31E70"/>
    <w:rsid w:val="55B64781"/>
    <w:rsid w:val="55BC11E8"/>
    <w:rsid w:val="55C220B3"/>
    <w:rsid w:val="55D35DD4"/>
    <w:rsid w:val="55E94242"/>
    <w:rsid w:val="55EC5382"/>
    <w:rsid w:val="55F3226C"/>
    <w:rsid w:val="55F34962"/>
    <w:rsid w:val="55FB73A4"/>
    <w:rsid w:val="55FF3307"/>
    <w:rsid w:val="55FF6A41"/>
    <w:rsid w:val="560A68F0"/>
    <w:rsid w:val="561608B9"/>
    <w:rsid w:val="56183700"/>
    <w:rsid w:val="561843C9"/>
    <w:rsid w:val="562468CA"/>
    <w:rsid w:val="562E0CD8"/>
    <w:rsid w:val="562E6F08"/>
    <w:rsid w:val="5637484F"/>
    <w:rsid w:val="56414794"/>
    <w:rsid w:val="56533498"/>
    <w:rsid w:val="565F7902"/>
    <w:rsid w:val="566413BC"/>
    <w:rsid w:val="566C6DD6"/>
    <w:rsid w:val="56723A9B"/>
    <w:rsid w:val="567535C9"/>
    <w:rsid w:val="56821842"/>
    <w:rsid w:val="568D26C1"/>
    <w:rsid w:val="56952421"/>
    <w:rsid w:val="569B14DB"/>
    <w:rsid w:val="56A90805"/>
    <w:rsid w:val="56B7773E"/>
    <w:rsid w:val="56B82AB9"/>
    <w:rsid w:val="56BC4D54"/>
    <w:rsid w:val="56BD287A"/>
    <w:rsid w:val="56C87B9D"/>
    <w:rsid w:val="56E32228"/>
    <w:rsid w:val="56EB388B"/>
    <w:rsid w:val="56F347C6"/>
    <w:rsid w:val="56F544BC"/>
    <w:rsid w:val="56F95FA8"/>
    <w:rsid w:val="57050DEA"/>
    <w:rsid w:val="57093508"/>
    <w:rsid w:val="570B1838"/>
    <w:rsid w:val="571526B6"/>
    <w:rsid w:val="57196E28"/>
    <w:rsid w:val="571D7BA4"/>
    <w:rsid w:val="57220D17"/>
    <w:rsid w:val="573E1C0D"/>
    <w:rsid w:val="573E7E5F"/>
    <w:rsid w:val="57441692"/>
    <w:rsid w:val="57525A8B"/>
    <w:rsid w:val="575320A7"/>
    <w:rsid w:val="5794182D"/>
    <w:rsid w:val="579441E3"/>
    <w:rsid w:val="57A077DA"/>
    <w:rsid w:val="57A8201B"/>
    <w:rsid w:val="57AE1FAA"/>
    <w:rsid w:val="57BE1051"/>
    <w:rsid w:val="57C82477"/>
    <w:rsid w:val="57F4051E"/>
    <w:rsid w:val="57FF139C"/>
    <w:rsid w:val="580544D9"/>
    <w:rsid w:val="58065672"/>
    <w:rsid w:val="5814473B"/>
    <w:rsid w:val="581A2B32"/>
    <w:rsid w:val="581F559B"/>
    <w:rsid w:val="58233E42"/>
    <w:rsid w:val="583A2D37"/>
    <w:rsid w:val="58416541"/>
    <w:rsid w:val="58443253"/>
    <w:rsid w:val="58496ABB"/>
    <w:rsid w:val="584F5F0B"/>
    <w:rsid w:val="58507E4A"/>
    <w:rsid w:val="5869538F"/>
    <w:rsid w:val="586D09FC"/>
    <w:rsid w:val="58705DF6"/>
    <w:rsid w:val="58767185"/>
    <w:rsid w:val="58906498"/>
    <w:rsid w:val="58920462"/>
    <w:rsid w:val="589A4DA0"/>
    <w:rsid w:val="58A47D6D"/>
    <w:rsid w:val="58A66BC7"/>
    <w:rsid w:val="58B1620F"/>
    <w:rsid w:val="58BC103B"/>
    <w:rsid w:val="58CE0D6F"/>
    <w:rsid w:val="58DA3BB7"/>
    <w:rsid w:val="58ED7447"/>
    <w:rsid w:val="59061610"/>
    <w:rsid w:val="59082B28"/>
    <w:rsid w:val="590E560F"/>
    <w:rsid w:val="591556F3"/>
    <w:rsid w:val="59266DFD"/>
    <w:rsid w:val="59337D86"/>
    <w:rsid w:val="593B4656"/>
    <w:rsid w:val="593E5EF4"/>
    <w:rsid w:val="59505A7A"/>
    <w:rsid w:val="59523BBD"/>
    <w:rsid w:val="59592D2E"/>
    <w:rsid w:val="596671F9"/>
    <w:rsid w:val="59796F2C"/>
    <w:rsid w:val="597E09E7"/>
    <w:rsid w:val="59924DE9"/>
    <w:rsid w:val="59941FB8"/>
    <w:rsid w:val="59957B26"/>
    <w:rsid w:val="5999137D"/>
    <w:rsid w:val="59A23BE3"/>
    <w:rsid w:val="59E36A9C"/>
    <w:rsid w:val="59E952F1"/>
    <w:rsid w:val="59FB0929"/>
    <w:rsid w:val="59FE7432"/>
    <w:rsid w:val="59FF38D6"/>
    <w:rsid w:val="5A0B6739"/>
    <w:rsid w:val="5A221372"/>
    <w:rsid w:val="5A240E3D"/>
    <w:rsid w:val="5A272E2C"/>
    <w:rsid w:val="5A274BDA"/>
    <w:rsid w:val="5A3B0686"/>
    <w:rsid w:val="5A3D1FB2"/>
    <w:rsid w:val="5A42282A"/>
    <w:rsid w:val="5A517EA9"/>
    <w:rsid w:val="5A673229"/>
    <w:rsid w:val="5A7140A7"/>
    <w:rsid w:val="5A8272AA"/>
    <w:rsid w:val="5AB02E22"/>
    <w:rsid w:val="5AB67D0C"/>
    <w:rsid w:val="5AC468CD"/>
    <w:rsid w:val="5AD308BE"/>
    <w:rsid w:val="5AD3266C"/>
    <w:rsid w:val="5AD67640"/>
    <w:rsid w:val="5ADC59C5"/>
    <w:rsid w:val="5AEC027A"/>
    <w:rsid w:val="5AEC4BD6"/>
    <w:rsid w:val="5AF26F96"/>
    <w:rsid w:val="5AF4709E"/>
    <w:rsid w:val="5AF96577"/>
    <w:rsid w:val="5B0D744A"/>
    <w:rsid w:val="5B1310D9"/>
    <w:rsid w:val="5B2639E2"/>
    <w:rsid w:val="5B4E700F"/>
    <w:rsid w:val="5B791466"/>
    <w:rsid w:val="5B7B245B"/>
    <w:rsid w:val="5B857E0A"/>
    <w:rsid w:val="5B8D4C84"/>
    <w:rsid w:val="5B9462A0"/>
    <w:rsid w:val="5BAB0BE2"/>
    <w:rsid w:val="5BB56ECC"/>
    <w:rsid w:val="5BD112A2"/>
    <w:rsid w:val="5BD668B8"/>
    <w:rsid w:val="5BD95DE5"/>
    <w:rsid w:val="5BDE1204"/>
    <w:rsid w:val="5BE54D4D"/>
    <w:rsid w:val="5BEF04A4"/>
    <w:rsid w:val="5BF64864"/>
    <w:rsid w:val="5C01571F"/>
    <w:rsid w:val="5C091834"/>
    <w:rsid w:val="5C1B17C5"/>
    <w:rsid w:val="5C1B4635"/>
    <w:rsid w:val="5C210F05"/>
    <w:rsid w:val="5C227E33"/>
    <w:rsid w:val="5C367357"/>
    <w:rsid w:val="5C3B118A"/>
    <w:rsid w:val="5C3E5E81"/>
    <w:rsid w:val="5C4001D5"/>
    <w:rsid w:val="5C480E38"/>
    <w:rsid w:val="5C514191"/>
    <w:rsid w:val="5C5A5EA9"/>
    <w:rsid w:val="5C5B0909"/>
    <w:rsid w:val="5C5F7B02"/>
    <w:rsid w:val="5C7560D1"/>
    <w:rsid w:val="5C7A3F0B"/>
    <w:rsid w:val="5C8004BE"/>
    <w:rsid w:val="5C875E04"/>
    <w:rsid w:val="5CA644DC"/>
    <w:rsid w:val="5CAB379D"/>
    <w:rsid w:val="5CB62246"/>
    <w:rsid w:val="5CB84210"/>
    <w:rsid w:val="5CBD5382"/>
    <w:rsid w:val="5CC226FE"/>
    <w:rsid w:val="5CC47CC0"/>
    <w:rsid w:val="5CC60084"/>
    <w:rsid w:val="5CCE6B97"/>
    <w:rsid w:val="5CFC6B1B"/>
    <w:rsid w:val="5D032A22"/>
    <w:rsid w:val="5D0B253C"/>
    <w:rsid w:val="5D1256CE"/>
    <w:rsid w:val="5D1458EA"/>
    <w:rsid w:val="5D224252"/>
    <w:rsid w:val="5D245401"/>
    <w:rsid w:val="5D250CD4"/>
    <w:rsid w:val="5D276C9F"/>
    <w:rsid w:val="5D355860"/>
    <w:rsid w:val="5D377843"/>
    <w:rsid w:val="5D3F50E3"/>
    <w:rsid w:val="5D43603B"/>
    <w:rsid w:val="5D5E0913"/>
    <w:rsid w:val="5D5E6B65"/>
    <w:rsid w:val="5D5F28DD"/>
    <w:rsid w:val="5D6D0B56"/>
    <w:rsid w:val="5D746F0D"/>
    <w:rsid w:val="5D79437D"/>
    <w:rsid w:val="5D796643"/>
    <w:rsid w:val="5D7E7207"/>
    <w:rsid w:val="5D9A4EFD"/>
    <w:rsid w:val="5DAD084A"/>
    <w:rsid w:val="5DAD53F7"/>
    <w:rsid w:val="5DB669A1"/>
    <w:rsid w:val="5DC6458D"/>
    <w:rsid w:val="5DC72AC5"/>
    <w:rsid w:val="5DCB1D21"/>
    <w:rsid w:val="5DD54797"/>
    <w:rsid w:val="5DD60124"/>
    <w:rsid w:val="5DDC5CDC"/>
    <w:rsid w:val="5E08087F"/>
    <w:rsid w:val="5E082F75"/>
    <w:rsid w:val="5E1E79FB"/>
    <w:rsid w:val="5E224037"/>
    <w:rsid w:val="5E2424F1"/>
    <w:rsid w:val="5E312C8D"/>
    <w:rsid w:val="5E3D389E"/>
    <w:rsid w:val="5E4A0E97"/>
    <w:rsid w:val="5E5E16F5"/>
    <w:rsid w:val="5E622685"/>
    <w:rsid w:val="5E742D65"/>
    <w:rsid w:val="5E7670AA"/>
    <w:rsid w:val="5E7A79CF"/>
    <w:rsid w:val="5E8545C5"/>
    <w:rsid w:val="5E8C78A1"/>
    <w:rsid w:val="5E8D7804"/>
    <w:rsid w:val="5E99597B"/>
    <w:rsid w:val="5E9E7E3D"/>
    <w:rsid w:val="5E9F11E3"/>
    <w:rsid w:val="5EA44A4C"/>
    <w:rsid w:val="5EAD2244"/>
    <w:rsid w:val="5ECC361A"/>
    <w:rsid w:val="5ED2780B"/>
    <w:rsid w:val="5EE25574"/>
    <w:rsid w:val="5EFA28BD"/>
    <w:rsid w:val="5F0059FA"/>
    <w:rsid w:val="5F0768D3"/>
    <w:rsid w:val="5F092B01"/>
    <w:rsid w:val="5F1B113F"/>
    <w:rsid w:val="5F300020"/>
    <w:rsid w:val="5F38637A"/>
    <w:rsid w:val="5F40136E"/>
    <w:rsid w:val="5F4104EC"/>
    <w:rsid w:val="5F443B39"/>
    <w:rsid w:val="5F4B3119"/>
    <w:rsid w:val="5F4D2C36"/>
    <w:rsid w:val="5F4F0E5B"/>
    <w:rsid w:val="5F5A0206"/>
    <w:rsid w:val="5F6661A5"/>
    <w:rsid w:val="5F685A79"/>
    <w:rsid w:val="5F6F3D89"/>
    <w:rsid w:val="5F7A1C50"/>
    <w:rsid w:val="5F8011FF"/>
    <w:rsid w:val="5F812FF5"/>
    <w:rsid w:val="5F864151"/>
    <w:rsid w:val="5F900C8B"/>
    <w:rsid w:val="5F9A62ED"/>
    <w:rsid w:val="5F9D1B1E"/>
    <w:rsid w:val="5FAB2661"/>
    <w:rsid w:val="5FB143B2"/>
    <w:rsid w:val="5FC1162D"/>
    <w:rsid w:val="5FCD1D80"/>
    <w:rsid w:val="5FD11675"/>
    <w:rsid w:val="5FD90725"/>
    <w:rsid w:val="5FDC1FC3"/>
    <w:rsid w:val="5FE9671A"/>
    <w:rsid w:val="5FEE1AF0"/>
    <w:rsid w:val="5FF55C37"/>
    <w:rsid w:val="5FFB1229"/>
    <w:rsid w:val="5FFB54C8"/>
    <w:rsid w:val="6003539B"/>
    <w:rsid w:val="6005151A"/>
    <w:rsid w:val="60054C6C"/>
    <w:rsid w:val="60104DCE"/>
    <w:rsid w:val="60107EBF"/>
    <w:rsid w:val="60114363"/>
    <w:rsid w:val="60255718"/>
    <w:rsid w:val="602776E2"/>
    <w:rsid w:val="60395519"/>
    <w:rsid w:val="60471B32"/>
    <w:rsid w:val="605032F6"/>
    <w:rsid w:val="60604155"/>
    <w:rsid w:val="60614F66"/>
    <w:rsid w:val="6063305B"/>
    <w:rsid w:val="60694C9E"/>
    <w:rsid w:val="606C3413"/>
    <w:rsid w:val="608B31A3"/>
    <w:rsid w:val="60904E92"/>
    <w:rsid w:val="60940AF0"/>
    <w:rsid w:val="60997EB4"/>
    <w:rsid w:val="60A61F54"/>
    <w:rsid w:val="60AA3E6F"/>
    <w:rsid w:val="60AF08C7"/>
    <w:rsid w:val="60B33D1D"/>
    <w:rsid w:val="60C5514D"/>
    <w:rsid w:val="60CB64A8"/>
    <w:rsid w:val="60D2036F"/>
    <w:rsid w:val="60DF7FBD"/>
    <w:rsid w:val="60F54FDA"/>
    <w:rsid w:val="60F81710"/>
    <w:rsid w:val="60FD48E7"/>
    <w:rsid w:val="61050A63"/>
    <w:rsid w:val="61050B98"/>
    <w:rsid w:val="610C4B2A"/>
    <w:rsid w:val="611807AB"/>
    <w:rsid w:val="611A3603"/>
    <w:rsid w:val="61204069"/>
    <w:rsid w:val="61250A1E"/>
    <w:rsid w:val="613E38B5"/>
    <w:rsid w:val="61496562"/>
    <w:rsid w:val="615477F6"/>
    <w:rsid w:val="6166100A"/>
    <w:rsid w:val="61716E0A"/>
    <w:rsid w:val="6186757B"/>
    <w:rsid w:val="61AD00BB"/>
    <w:rsid w:val="61B815D6"/>
    <w:rsid w:val="61B825BC"/>
    <w:rsid w:val="61BF1B9C"/>
    <w:rsid w:val="61C471B3"/>
    <w:rsid w:val="61D4389A"/>
    <w:rsid w:val="61D513C0"/>
    <w:rsid w:val="61D545EF"/>
    <w:rsid w:val="61D76EE6"/>
    <w:rsid w:val="61E466DF"/>
    <w:rsid w:val="61F53810"/>
    <w:rsid w:val="61FA2BD4"/>
    <w:rsid w:val="62073330"/>
    <w:rsid w:val="620A1069"/>
    <w:rsid w:val="620E530D"/>
    <w:rsid w:val="621C64A7"/>
    <w:rsid w:val="621F09C8"/>
    <w:rsid w:val="62210161"/>
    <w:rsid w:val="6223037D"/>
    <w:rsid w:val="622C064E"/>
    <w:rsid w:val="6232236E"/>
    <w:rsid w:val="6236701D"/>
    <w:rsid w:val="623E51B7"/>
    <w:rsid w:val="6250236C"/>
    <w:rsid w:val="625654A9"/>
    <w:rsid w:val="625A151F"/>
    <w:rsid w:val="62764951"/>
    <w:rsid w:val="628368F3"/>
    <w:rsid w:val="62903A8C"/>
    <w:rsid w:val="62955851"/>
    <w:rsid w:val="629C02F9"/>
    <w:rsid w:val="629D3964"/>
    <w:rsid w:val="629D4F72"/>
    <w:rsid w:val="62AE11A6"/>
    <w:rsid w:val="62AE40EB"/>
    <w:rsid w:val="62B00E7B"/>
    <w:rsid w:val="62B45479"/>
    <w:rsid w:val="62C03E1E"/>
    <w:rsid w:val="62C236F2"/>
    <w:rsid w:val="62DD677E"/>
    <w:rsid w:val="62E80C7F"/>
    <w:rsid w:val="62F23C4B"/>
    <w:rsid w:val="63091321"/>
    <w:rsid w:val="630F50FD"/>
    <w:rsid w:val="63414416"/>
    <w:rsid w:val="63416D0D"/>
    <w:rsid w:val="63452FE5"/>
    <w:rsid w:val="63487315"/>
    <w:rsid w:val="63557D9E"/>
    <w:rsid w:val="63576530"/>
    <w:rsid w:val="635822A8"/>
    <w:rsid w:val="636165B6"/>
    <w:rsid w:val="63654982"/>
    <w:rsid w:val="63690012"/>
    <w:rsid w:val="636945A2"/>
    <w:rsid w:val="63735C89"/>
    <w:rsid w:val="638751A9"/>
    <w:rsid w:val="63A96660"/>
    <w:rsid w:val="63AE2AA6"/>
    <w:rsid w:val="63B868A3"/>
    <w:rsid w:val="63BC2837"/>
    <w:rsid w:val="63BD514C"/>
    <w:rsid w:val="63C67883"/>
    <w:rsid w:val="63D27965"/>
    <w:rsid w:val="63D6033A"/>
    <w:rsid w:val="63E3689B"/>
    <w:rsid w:val="63FE09C3"/>
    <w:rsid w:val="640D3443"/>
    <w:rsid w:val="6411248A"/>
    <w:rsid w:val="641B57B0"/>
    <w:rsid w:val="641F4B74"/>
    <w:rsid w:val="642A1A86"/>
    <w:rsid w:val="643D7D60"/>
    <w:rsid w:val="643F3F9E"/>
    <w:rsid w:val="64431E1B"/>
    <w:rsid w:val="644C775D"/>
    <w:rsid w:val="644D7933"/>
    <w:rsid w:val="645B7690"/>
    <w:rsid w:val="645F5E7F"/>
    <w:rsid w:val="64667C95"/>
    <w:rsid w:val="6470086D"/>
    <w:rsid w:val="64722EF6"/>
    <w:rsid w:val="647A47F3"/>
    <w:rsid w:val="647A5AE9"/>
    <w:rsid w:val="64987468"/>
    <w:rsid w:val="64996F5E"/>
    <w:rsid w:val="64A537E1"/>
    <w:rsid w:val="64BF784B"/>
    <w:rsid w:val="64EC0EFA"/>
    <w:rsid w:val="64F23483"/>
    <w:rsid w:val="65071890"/>
    <w:rsid w:val="650D376B"/>
    <w:rsid w:val="65202952"/>
    <w:rsid w:val="65295CAB"/>
    <w:rsid w:val="652F1BCA"/>
    <w:rsid w:val="653B3C30"/>
    <w:rsid w:val="653B778C"/>
    <w:rsid w:val="65404DA2"/>
    <w:rsid w:val="65564F61"/>
    <w:rsid w:val="65566374"/>
    <w:rsid w:val="655717C1"/>
    <w:rsid w:val="65644F35"/>
    <w:rsid w:val="656A323C"/>
    <w:rsid w:val="65864EAB"/>
    <w:rsid w:val="65931376"/>
    <w:rsid w:val="65953340"/>
    <w:rsid w:val="659D7751"/>
    <w:rsid w:val="65A45CC1"/>
    <w:rsid w:val="65A56AD6"/>
    <w:rsid w:val="65AE30D4"/>
    <w:rsid w:val="65B2748A"/>
    <w:rsid w:val="65B37C6A"/>
    <w:rsid w:val="65B72FD0"/>
    <w:rsid w:val="65BA71B0"/>
    <w:rsid w:val="65C94540"/>
    <w:rsid w:val="65CE2AC8"/>
    <w:rsid w:val="65D379C4"/>
    <w:rsid w:val="65D44049"/>
    <w:rsid w:val="65D75707"/>
    <w:rsid w:val="65E53016"/>
    <w:rsid w:val="65F85E8A"/>
    <w:rsid w:val="65FE21FE"/>
    <w:rsid w:val="66090C74"/>
    <w:rsid w:val="660933BE"/>
    <w:rsid w:val="661F2C0A"/>
    <w:rsid w:val="66231163"/>
    <w:rsid w:val="663D753A"/>
    <w:rsid w:val="663D7B2C"/>
    <w:rsid w:val="66432D9C"/>
    <w:rsid w:val="6650370B"/>
    <w:rsid w:val="66503974"/>
    <w:rsid w:val="66534B7A"/>
    <w:rsid w:val="666856F9"/>
    <w:rsid w:val="666A2051"/>
    <w:rsid w:val="666F1DE3"/>
    <w:rsid w:val="6680077E"/>
    <w:rsid w:val="6683216E"/>
    <w:rsid w:val="66865182"/>
    <w:rsid w:val="669929BC"/>
    <w:rsid w:val="669C79BD"/>
    <w:rsid w:val="66A7157D"/>
    <w:rsid w:val="66A8037E"/>
    <w:rsid w:val="66A97B10"/>
    <w:rsid w:val="66B00B1C"/>
    <w:rsid w:val="66BC66AA"/>
    <w:rsid w:val="66D80A0B"/>
    <w:rsid w:val="66DB10C0"/>
    <w:rsid w:val="66DD4F9F"/>
    <w:rsid w:val="66DE2DCE"/>
    <w:rsid w:val="66DE326F"/>
    <w:rsid w:val="66E53E53"/>
    <w:rsid w:val="66F2344C"/>
    <w:rsid w:val="66FE4513"/>
    <w:rsid w:val="670562A3"/>
    <w:rsid w:val="67281F92"/>
    <w:rsid w:val="672A7AB8"/>
    <w:rsid w:val="67347C48"/>
    <w:rsid w:val="673A1362"/>
    <w:rsid w:val="673E32F3"/>
    <w:rsid w:val="67492634"/>
    <w:rsid w:val="674F1318"/>
    <w:rsid w:val="676D4A11"/>
    <w:rsid w:val="678002DF"/>
    <w:rsid w:val="678B60C3"/>
    <w:rsid w:val="679A2E90"/>
    <w:rsid w:val="679D64DC"/>
    <w:rsid w:val="67A25B10"/>
    <w:rsid w:val="67A6168E"/>
    <w:rsid w:val="67B36445"/>
    <w:rsid w:val="67B83627"/>
    <w:rsid w:val="67BE6CAD"/>
    <w:rsid w:val="67CC0B6F"/>
    <w:rsid w:val="67DC3D0A"/>
    <w:rsid w:val="67E40345"/>
    <w:rsid w:val="67F97686"/>
    <w:rsid w:val="67FD51CC"/>
    <w:rsid w:val="68060525"/>
    <w:rsid w:val="68294213"/>
    <w:rsid w:val="682B3AE8"/>
    <w:rsid w:val="68323ABD"/>
    <w:rsid w:val="683B3DA7"/>
    <w:rsid w:val="685A2CB6"/>
    <w:rsid w:val="6874548F"/>
    <w:rsid w:val="688E4077"/>
    <w:rsid w:val="68921DB9"/>
    <w:rsid w:val="68A13DAA"/>
    <w:rsid w:val="68A44C79"/>
    <w:rsid w:val="68AA7102"/>
    <w:rsid w:val="68B126DE"/>
    <w:rsid w:val="68B62188"/>
    <w:rsid w:val="68B84DD7"/>
    <w:rsid w:val="68C31739"/>
    <w:rsid w:val="68C60278"/>
    <w:rsid w:val="68DB550E"/>
    <w:rsid w:val="68F8308A"/>
    <w:rsid w:val="690D7691"/>
    <w:rsid w:val="691535BF"/>
    <w:rsid w:val="691B590A"/>
    <w:rsid w:val="6922138F"/>
    <w:rsid w:val="69230C63"/>
    <w:rsid w:val="69242BA7"/>
    <w:rsid w:val="693F6D4A"/>
    <w:rsid w:val="6946402E"/>
    <w:rsid w:val="6953779A"/>
    <w:rsid w:val="695B000E"/>
    <w:rsid w:val="69692B1A"/>
    <w:rsid w:val="696A62C2"/>
    <w:rsid w:val="696D56D5"/>
    <w:rsid w:val="6975410E"/>
    <w:rsid w:val="69815861"/>
    <w:rsid w:val="69846A14"/>
    <w:rsid w:val="699A46D0"/>
    <w:rsid w:val="69AC2A06"/>
    <w:rsid w:val="69AC6EAA"/>
    <w:rsid w:val="69B3042D"/>
    <w:rsid w:val="69C40340"/>
    <w:rsid w:val="69C42446"/>
    <w:rsid w:val="69C97A5C"/>
    <w:rsid w:val="69DE3C76"/>
    <w:rsid w:val="69E14E8A"/>
    <w:rsid w:val="69F02690"/>
    <w:rsid w:val="69F85C4B"/>
    <w:rsid w:val="6A0E546F"/>
    <w:rsid w:val="6A2E3D63"/>
    <w:rsid w:val="6A2F607C"/>
    <w:rsid w:val="6A405384"/>
    <w:rsid w:val="6A420E8B"/>
    <w:rsid w:val="6A4610AD"/>
    <w:rsid w:val="6A574602"/>
    <w:rsid w:val="6A5C61DA"/>
    <w:rsid w:val="6A654D22"/>
    <w:rsid w:val="6A665DC9"/>
    <w:rsid w:val="6A747072"/>
    <w:rsid w:val="6A7A2B04"/>
    <w:rsid w:val="6A7D43A3"/>
    <w:rsid w:val="6A8676FB"/>
    <w:rsid w:val="6A885221"/>
    <w:rsid w:val="6A8B6AC0"/>
    <w:rsid w:val="6A8E5399"/>
    <w:rsid w:val="6A9C0CCD"/>
    <w:rsid w:val="6AB0409E"/>
    <w:rsid w:val="6AB75B07"/>
    <w:rsid w:val="6ABC4493"/>
    <w:rsid w:val="6ACB3360"/>
    <w:rsid w:val="6ACD70D8"/>
    <w:rsid w:val="6AD61E82"/>
    <w:rsid w:val="6AD820AF"/>
    <w:rsid w:val="6AD94147"/>
    <w:rsid w:val="6ADF4B3E"/>
    <w:rsid w:val="6AE31F6E"/>
    <w:rsid w:val="6AEF704E"/>
    <w:rsid w:val="6AF6662F"/>
    <w:rsid w:val="6B11610D"/>
    <w:rsid w:val="6B2D5DC9"/>
    <w:rsid w:val="6B4750DC"/>
    <w:rsid w:val="6B482C03"/>
    <w:rsid w:val="6B4D0A75"/>
    <w:rsid w:val="6B560E7C"/>
    <w:rsid w:val="6B5E5F82"/>
    <w:rsid w:val="6B712159"/>
    <w:rsid w:val="6B87197D"/>
    <w:rsid w:val="6B956590"/>
    <w:rsid w:val="6BAD222E"/>
    <w:rsid w:val="6BAE6F0A"/>
    <w:rsid w:val="6BB50C1F"/>
    <w:rsid w:val="6BBD539F"/>
    <w:rsid w:val="6BC404DB"/>
    <w:rsid w:val="6BCB0C69"/>
    <w:rsid w:val="6BCF6E80"/>
    <w:rsid w:val="6BD83F86"/>
    <w:rsid w:val="6BDF47D9"/>
    <w:rsid w:val="6BE20961"/>
    <w:rsid w:val="6BEC17E0"/>
    <w:rsid w:val="6BF07522"/>
    <w:rsid w:val="6BF87B65"/>
    <w:rsid w:val="6C0C1B54"/>
    <w:rsid w:val="6C263272"/>
    <w:rsid w:val="6C3D028D"/>
    <w:rsid w:val="6C4576FD"/>
    <w:rsid w:val="6C494E84"/>
    <w:rsid w:val="6C663340"/>
    <w:rsid w:val="6C6E5AD4"/>
    <w:rsid w:val="6C733CAF"/>
    <w:rsid w:val="6C77554D"/>
    <w:rsid w:val="6C9003BD"/>
    <w:rsid w:val="6C983716"/>
    <w:rsid w:val="6C9A0567"/>
    <w:rsid w:val="6C9F35C2"/>
    <w:rsid w:val="6CA009E5"/>
    <w:rsid w:val="6CB322FE"/>
    <w:rsid w:val="6CB370DA"/>
    <w:rsid w:val="6CB467A2"/>
    <w:rsid w:val="6CBF0CA2"/>
    <w:rsid w:val="6CC664D5"/>
    <w:rsid w:val="6CCB5065"/>
    <w:rsid w:val="6CF21078"/>
    <w:rsid w:val="6CFB084B"/>
    <w:rsid w:val="6CFD28C4"/>
    <w:rsid w:val="6CFF74CD"/>
    <w:rsid w:val="6D013069"/>
    <w:rsid w:val="6D06568C"/>
    <w:rsid w:val="6D0665FD"/>
    <w:rsid w:val="6D0C5754"/>
    <w:rsid w:val="6D0C6B49"/>
    <w:rsid w:val="6D1159A2"/>
    <w:rsid w:val="6D260D22"/>
    <w:rsid w:val="6D2D3E5E"/>
    <w:rsid w:val="6D3056A3"/>
    <w:rsid w:val="6D3A3FBA"/>
    <w:rsid w:val="6D3E42BD"/>
    <w:rsid w:val="6D431B0A"/>
    <w:rsid w:val="6D57712D"/>
    <w:rsid w:val="6D6655C2"/>
    <w:rsid w:val="6D77690C"/>
    <w:rsid w:val="6D7952F5"/>
    <w:rsid w:val="6D827085"/>
    <w:rsid w:val="6D837F22"/>
    <w:rsid w:val="6D840A3C"/>
    <w:rsid w:val="6D88378A"/>
    <w:rsid w:val="6D9B34BE"/>
    <w:rsid w:val="6D9B526C"/>
    <w:rsid w:val="6D9D5E3B"/>
    <w:rsid w:val="6DAC591C"/>
    <w:rsid w:val="6DBC61FF"/>
    <w:rsid w:val="6DC46481"/>
    <w:rsid w:val="6DD0054B"/>
    <w:rsid w:val="6DD5618C"/>
    <w:rsid w:val="6DDA6AC7"/>
    <w:rsid w:val="6DE24C48"/>
    <w:rsid w:val="6DF1132F"/>
    <w:rsid w:val="6DFB3F5C"/>
    <w:rsid w:val="6E041063"/>
    <w:rsid w:val="6E0948CB"/>
    <w:rsid w:val="6E217E67"/>
    <w:rsid w:val="6E272FA3"/>
    <w:rsid w:val="6E337B9A"/>
    <w:rsid w:val="6E34121C"/>
    <w:rsid w:val="6E3E6985"/>
    <w:rsid w:val="6E417AF2"/>
    <w:rsid w:val="6E573888"/>
    <w:rsid w:val="6E6E2980"/>
    <w:rsid w:val="6E6F375D"/>
    <w:rsid w:val="6E753D6F"/>
    <w:rsid w:val="6E796114"/>
    <w:rsid w:val="6E7A3414"/>
    <w:rsid w:val="6E7E5DD5"/>
    <w:rsid w:val="6E80762B"/>
    <w:rsid w:val="6E8338F1"/>
    <w:rsid w:val="6E8977BA"/>
    <w:rsid w:val="6E8D497A"/>
    <w:rsid w:val="6E8D5E58"/>
    <w:rsid w:val="6E8F0529"/>
    <w:rsid w:val="6E985C4F"/>
    <w:rsid w:val="6EA14B04"/>
    <w:rsid w:val="6EBE3907"/>
    <w:rsid w:val="6EC425A0"/>
    <w:rsid w:val="6ED6297A"/>
    <w:rsid w:val="6EDC10B0"/>
    <w:rsid w:val="6EE964AB"/>
    <w:rsid w:val="6EF1444D"/>
    <w:rsid w:val="6EFA58FF"/>
    <w:rsid w:val="6F116C0A"/>
    <w:rsid w:val="6F192753"/>
    <w:rsid w:val="6F257CB8"/>
    <w:rsid w:val="6F2A2D4B"/>
    <w:rsid w:val="6F2E106A"/>
    <w:rsid w:val="6F3040D9"/>
    <w:rsid w:val="6F321C00"/>
    <w:rsid w:val="6F327E52"/>
    <w:rsid w:val="6F3E2352"/>
    <w:rsid w:val="6F406E66"/>
    <w:rsid w:val="6F433E0D"/>
    <w:rsid w:val="6F4D07E7"/>
    <w:rsid w:val="6F5558EE"/>
    <w:rsid w:val="6F5578B1"/>
    <w:rsid w:val="6F571DF4"/>
    <w:rsid w:val="6F654F99"/>
    <w:rsid w:val="6F6A1399"/>
    <w:rsid w:val="6F6C1AE8"/>
    <w:rsid w:val="6F72024E"/>
    <w:rsid w:val="6F8A37EA"/>
    <w:rsid w:val="6F8A5598"/>
    <w:rsid w:val="6F8E2167"/>
    <w:rsid w:val="6F971E18"/>
    <w:rsid w:val="6FA40632"/>
    <w:rsid w:val="6FB645DF"/>
    <w:rsid w:val="6FBA6625"/>
    <w:rsid w:val="6FC23551"/>
    <w:rsid w:val="6FC24913"/>
    <w:rsid w:val="6FC425FD"/>
    <w:rsid w:val="6FC81F88"/>
    <w:rsid w:val="6FCD0EE0"/>
    <w:rsid w:val="6FD1766A"/>
    <w:rsid w:val="6FD76303"/>
    <w:rsid w:val="6FDC35C0"/>
    <w:rsid w:val="6FE220AC"/>
    <w:rsid w:val="6FF45107"/>
    <w:rsid w:val="700A1F81"/>
    <w:rsid w:val="700F3CEF"/>
    <w:rsid w:val="701E10FB"/>
    <w:rsid w:val="70207CAA"/>
    <w:rsid w:val="70231548"/>
    <w:rsid w:val="702F4B85"/>
    <w:rsid w:val="70345A2B"/>
    <w:rsid w:val="7038481D"/>
    <w:rsid w:val="703947D7"/>
    <w:rsid w:val="70455963"/>
    <w:rsid w:val="704A54CC"/>
    <w:rsid w:val="705A7660"/>
    <w:rsid w:val="705B4C88"/>
    <w:rsid w:val="70652935"/>
    <w:rsid w:val="706A25A3"/>
    <w:rsid w:val="706B2204"/>
    <w:rsid w:val="707C52CC"/>
    <w:rsid w:val="707F2C23"/>
    <w:rsid w:val="70845508"/>
    <w:rsid w:val="70950A61"/>
    <w:rsid w:val="70A1703D"/>
    <w:rsid w:val="70C64CF5"/>
    <w:rsid w:val="70CE3BAA"/>
    <w:rsid w:val="70D6480D"/>
    <w:rsid w:val="70D9086D"/>
    <w:rsid w:val="70DD1B4B"/>
    <w:rsid w:val="70E46F2A"/>
    <w:rsid w:val="70E64A50"/>
    <w:rsid w:val="70EB7773"/>
    <w:rsid w:val="70ED2CEF"/>
    <w:rsid w:val="70F25AEA"/>
    <w:rsid w:val="70F723C2"/>
    <w:rsid w:val="70F74EAF"/>
    <w:rsid w:val="70FF0531"/>
    <w:rsid w:val="71026C01"/>
    <w:rsid w:val="710B2708"/>
    <w:rsid w:val="7110742E"/>
    <w:rsid w:val="71175551"/>
    <w:rsid w:val="711B2292"/>
    <w:rsid w:val="711C2D67"/>
    <w:rsid w:val="71341B93"/>
    <w:rsid w:val="71417639"/>
    <w:rsid w:val="71462F4A"/>
    <w:rsid w:val="715036E2"/>
    <w:rsid w:val="71551BD5"/>
    <w:rsid w:val="71607EA7"/>
    <w:rsid w:val="71614A1E"/>
    <w:rsid w:val="71663DE2"/>
    <w:rsid w:val="716D0DA2"/>
    <w:rsid w:val="717B5AE0"/>
    <w:rsid w:val="717E5EC6"/>
    <w:rsid w:val="718F158B"/>
    <w:rsid w:val="718F6301"/>
    <w:rsid w:val="71940950"/>
    <w:rsid w:val="719620FA"/>
    <w:rsid w:val="71991D6D"/>
    <w:rsid w:val="719A2A5E"/>
    <w:rsid w:val="719E36D9"/>
    <w:rsid w:val="719E4926"/>
    <w:rsid w:val="71A05546"/>
    <w:rsid w:val="71A30B93"/>
    <w:rsid w:val="71A32941"/>
    <w:rsid w:val="71A92412"/>
    <w:rsid w:val="71AA6A9C"/>
    <w:rsid w:val="71B44B4E"/>
    <w:rsid w:val="71C01D26"/>
    <w:rsid w:val="71C836D8"/>
    <w:rsid w:val="71D22608"/>
    <w:rsid w:val="71D557C4"/>
    <w:rsid w:val="71D62D16"/>
    <w:rsid w:val="71DD68CA"/>
    <w:rsid w:val="71E52F59"/>
    <w:rsid w:val="71E85B25"/>
    <w:rsid w:val="7215753B"/>
    <w:rsid w:val="721770E5"/>
    <w:rsid w:val="722A12B4"/>
    <w:rsid w:val="7231619E"/>
    <w:rsid w:val="72404633"/>
    <w:rsid w:val="72434B7C"/>
    <w:rsid w:val="724A7260"/>
    <w:rsid w:val="724B2D4D"/>
    <w:rsid w:val="72534367"/>
    <w:rsid w:val="725B41D0"/>
    <w:rsid w:val="726522EC"/>
    <w:rsid w:val="72672A77"/>
    <w:rsid w:val="7278201F"/>
    <w:rsid w:val="727918F3"/>
    <w:rsid w:val="728269FA"/>
    <w:rsid w:val="72834520"/>
    <w:rsid w:val="729055BB"/>
    <w:rsid w:val="72912A35"/>
    <w:rsid w:val="729B0D29"/>
    <w:rsid w:val="729B6A85"/>
    <w:rsid w:val="72A05DB0"/>
    <w:rsid w:val="72A06AD5"/>
    <w:rsid w:val="72A15CCB"/>
    <w:rsid w:val="72A9667D"/>
    <w:rsid w:val="72B666A4"/>
    <w:rsid w:val="72BE5F9E"/>
    <w:rsid w:val="72BF7C4E"/>
    <w:rsid w:val="72C47013"/>
    <w:rsid w:val="72D354A8"/>
    <w:rsid w:val="72DF3E4C"/>
    <w:rsid w:val="72E41463"/>
    <w:rsid w:val="72E476B5"/>
    <w:rsid w:val="72FA685C"/>
    <w:rsid w:val="731965CD"/>
    <w:rsid w:val="73217FC1"/>
    <w:rsid w:val="732D105C"/>
    <w:rsid w:val="733F4A2F"/>
    <w:rsid w:val="734168B5"/>
    <w:rsid w:val="7352461E"/>
    <w:rsid w:val="735A18AB"/>
    <w:rsid w:val="73687B56"/>
    <w:rsid w:val="736C2262"/>
    <w:rsid w:val="737A236B"/>
    <w:rsid w:val="73893DB8"/>
    <w:rsid w:val="738C1E32"/>
    <w:rsid w:val="739127D3"/>
    <w:rsid w:val="7394345B"/>
    <w:rsid w:val="73A11102"/>
    <w:rsid w:val="73A46324"/>
    <w:rsid w:val="73A6496A"/>
    <w:rsid w:val="73A702A0"/>
    <w:rsid w:val="73A83927"/>
    <w:rsid w:val="73BC5F3C"/>
    <w:rsid w:val="73C3696D"/>
    <w:rsid w:val="73C6500C"/>
    <w:rsid w:val="73CF2113"/>
    <w:rsid w:val="73D47729"/>
    <w:rsid w:val="73EF6311"/>
    <w:rsid w:val="73F756AE"/>
    <w:rsid w:val="73F92CEC"/>
    <w:rsid w:val="73FA3FC5"/>
    <w:rsid w:val="740B600C"/>
    <w:rsid w:val="740C6EC3"/>
    <w:rsid w:val="742835D1"/>
    <w:rsid w:val="743046BC"/>
    <w:rsid w:val="7431692A"/>
    <w:rsid w:val="743326A2"/>
    <w:rsid w:val="74393A30"/>
    <w:rsid w:val="743E4BA3"/>
    <w:rsid w:val="744228E5"/>
    <w:rsid w:val="744523D5"/>
    <w:rsid w:val="744D26E7"/>
    <w:rsid w:val="745A5E80"/>
    <w:rsid w:val="7460720F"/>
    <w:rsid w:val="747234D2"/>
    <w:rsid w:val="74804596"/>
    <w:rsid w:val="748C68A1"/>
    <w:rsid w:val="74A1112D"/>
    <w:rsid w:val="74BE7A92"/>
    <w:rsid w:val="74C40DF7"/>
    <w:rsid w:val="74CB0B2C"/>
    <w:rsid w:val="74CD600D"/>
    <w:rsid w:val="74D3178F"/>
    <w:rsid w:val="74FA4F6E"/>
    <w:rsid w:val="74FC6F38"/>
    <w:rsid w:val="750C2973"/>
    <w:rsid w:val="751226B5"/>
    <w:rsid w:val="752113B0"/>
    <w:rsid w:val="752E4C17"/>
    <w:rsid w:val="753A7A60"/>
    <w:rsid w:val="753F5076"/>
    <w:rsid w:val="75497CA3"/>
    <w:rsid w:val="754C0EED"/>
    <w:rsid w:val="754E350B"/>
    <w:rsid w:val="7577348D"/>
    <w:rsid w:val="75792336"/>
    <w:rsid w:val="75817B14"/>
    <w:rsid w:val="75866801"/>
    <w:rsid w:val="75986A2F"/>
    <w:rsid w:val="759E43CA"/>
    <w:rsid w:val="75AA5710"/>
    <w:rsid w:val="75AA6994"/>
    <w:rsid w:val="75AC412E"/>
    <w:rsid w:val="75B56427"/>
    <w:rsid w:val="75D92DD5"/>
    <w:rsid w:val="75DE663D"/>
    <w:rsid w:val="75E029B8"/>
    <w:rsid w:val="75E77B6B"/>
    <w:rsid w:val="75FA458B"/>
    <w:rsid w:val="76067942"/>
    <w:rsid w:val="762B73A9"/>
    <w:rsid w:val="76342701"/>
    <w:rsid w:val="76361FD5"/>
    <w:rsid w:val="7649264C"/>
    <w:rsid w:val="76582317"/>
    <w:rsid w:val="765A0A00"/>
    <w:rsid w:val="767412F6"/>
    <w:rsid w:val="76757B27"/>
    <w:rsid w:val="767E4144"/>
    <w:rsid w:val="76871919"/>
    <w:rsid w:val="769906B9"/>
    <w:rsid w:val="769C1807"/>
    <w:rsid w:val="769C4840"/>
    <w:rsid w:val="769E1095"/>
    <w:rsid w:val="76A333E3"/>
    <w:rsid w:val="76A51345"/>
    <w:rsid w:val="76AE59B3"/>
    <w:rsid w:val="76C21ABB"/>
    <w:rsid w:val="76C40D5A"/>
    <w:rsid w:val="76C63351"/>
    <w:rsid w:val="76D01151"/>
    <w:rsid w:val="76E557A9"/>
    <w:rsid w:val="76FA1255"/>
    <w:rsid w:val="77052CBA"/>
    <w:rsid w:val="770B16B4"/>
    <w:rsid w:val="770C0F88"/>
    <w:rsid w:val="77100A78"/>
    <w:rsid w:val="7715608F"/>
    <w:rsid w:val="772B0B64"/>
    <w:rsid w:val="772C33D8"/>
    <w:rsid w:val="773A5AF5"/>
    <w:rsid w:val="773F70C0"/>
    <w:rsid w:val="77440722"/>
    <w:rsid w:val="77451356"/>
    <w:rsid w:val="774B7D02"/>
    <w:rsid w:val="775033A1"/>
    <w:rsid w:val="77503C30"/>
    <w:rsid w:val="77674410"/>
    <w:rsid w:val="77732DB5"/>
    <w:rsid w:val="77901BB9"/>
    <w:rsid w:val="779276DF"/>
    <w:rsid w:val="77AF0F39"/>
    <w:rsid w:val="77C43611"/>
    <w:rsid w:val="77C6382D"/>
    <w:rsid w:val="77E3618D"/>
    <w:rsid w:val="77EE1099"/>
    <w:rsid w:val="77F10E8A"/>
    <w:rsid w:val="77F43EF6"/>
    <w:rsid w:val="7807680D"/>
    <w:rsid w:val="78185E04"/>
    <w:rsid w:val="782567A5"/>
    <w:rsid w:val="782C7B34"/>
    <w:rsid w:val="782D5F42"/>
    <w:rsid w:val="78307C92"/>
    <w:rsid w:val="78395DAD"/>
    <w:rsid w:val="783C3AEF"/>
    <w:rsid w:val="78485FF0"/>
    <w:rsid w:val="78583AA6"/>
    <w:rsid w:val="786372CE"/>
    <w:rsid w:val="78672387"/>
    <w:rsid w:val="786848E4"/>
    <w:rsid w:val="789254BD"/>
    <w:rsid w:val="78A31478"/>
    <w:rsid w:val="78A53442"/>
    <w:rsid w:val="78A771BA"/>
    <w:rsid w:val="78AC04C1"/>
    <w:rsid w:val="78B05429"/>
    <w:rsid w:val="78B91973"/>
    <w:rsid w:val="78B95140"/>
    <w:rsid w:val="78C108F9"/>
    <w:rsid w:val="78D02FBC"/>
    <w:rsid w:val="78EA6370"/>
    <w:rsid w:val="78EC2E1F"/>
    <w:rsid w:val="78EE294D"/>
    <w:rsid w:val="78F84251"/>
    <w:rsid w:val="792702FB"/>
    <w:rsid w:val="792720A9"/>
    <w:rsid w:val="79330A4E"/>
    <w:rsid w:val="79335EBE"/>
    <w:rsid w:val="793C4485"/>
    <w:rsid w:val="79490272"/>
    <w:rsid w:val="795B60D9"/>
    <w:rsid w:val="795F1843"/>
    <w:rsid w:val="795F3DFF"/>
    <w:rsid w:val="796F083C"/>
    <w:rsid w:val="79711576"/>
    <w:rsid w:val="797866AB"/>
    <w:rsid w:val="797A0721"/>
    <w:rsid w:val="798722A4"/>
    <w:rsid w:val="798F3644"/>
    <w:rsid w:val="79AB6836"/>
    <w:rsid w:val="79BE715B"/>
    <w:rsid w:val="79BF0534"/>
    <w:rsid w:val="79C618C2"/>
    <w:rsid w:val="79D500AA"/>
    <w:rsid w:val="79D7229C"/>
    <w:rsid w:val="79E306C6"/>
    <w:rsid w:val="79FF5A4A"/>
    <w:rsid w:val="7A100D8F"/>
    <w:rsid w:val="7A1563A6"/>
    <w:rsid w:val="7A1B533A"/>
    <w:rsid w:val="7A2A31FE"/>
    <w:rsid w:val="7A2B20CE"/>
    <w:rsid w:val="7A340F22"/>
    <w:rsid w:val="7A3C1B84"/>
    <w:rsid w:val="7A3E58FC"/>
    <w:rsid w:val="7A4264AC"/>
    <w:rsid w:val="7A454EDD"/>
    <w:rsid w:val="7A49603F"/>
    <w:rsid w:val="7A502CE7"/>
    <w:rsid w:val="7A523156"/>
    <w:rsid w:val="7A5D31D2"/>
    <w:rsid w:val="7A6D6350"/>
    <w:rsid w:val="7A796935"/>
    <w:rsid w:val="7A8772A3"/>
    <w:rsid w:val="7A8F379A"/>
    <w:rsid w:val="7A9335B3"/>
    <w:rsid w:val="7AA37E55"/>
    <w:rsid w:val="7AAD049B"/>
    <w:rsid w:val="7AAE6E4A"/>
    <w:rsid w:val="7ABA27A9"/>
    <w:rsid w:val="7AC51486"/>
    <w:rsid w:val="7AD1051F"/>
    <w:rsid w:val="7AD41DBD"/>
    <w:rsid w:val="7AE733E7"/>
    <w:rsid w:val="7AEA15E0"/>
    <w:rsid w:val="7AEA7832"/>
    <w:rsid w:val="7AED10D1"/>
    <w:rsid w:val="7AF1431C"/>
    <w:rsid w:val="7AF4420D"/>
    <w:rsid w:val="7B0326A2"/>
    <w:rsid w:val="7B137C20"/>
    <w:rsid w:val="7B201964"/>
    <w:rsid w:val="7B245083"/>
    <w:rsid w:val="7B3960C4"/>
    <w:rsid w:val="7B4038F6"/>
    <w:rsid w:val="7B426DE2"/>
    <w:rsid w:val="7B444EC9"/>
    <w:rsid w:val="7B5573A2"/>
    <w:rsid w:val="7B5A49B8"/>
    <w:rsid w:val="7B7251D1"/>
    <w:rsid w:val="7B726518"/>
    <w:rsid w:val="7B882397"/>
    <w:rsid w:val="7B8B50A6"/>
    <w:rsid w:val="7B8D5082"/>
    <w:rsid w:val="7B99331A"/>
    <w:rsid w:val="7B9D2AF7"/>
    <w:rsid w:val="7B9D48A5"/>
    <w:rsid w:val="7BA619AB"/>
    <w:rsid w:val="7BB911A5"/>
    <w:rsid w:val="7BBF481B"/>
    <w:rsid w:val="7BCF5763"/>
    <w:rsid w:val="7BD27F04"/>
    <w:rsid w:val="7BE424D4"/>
    <w:rsid w:val="7BF462AE"/>
    <w:rsid w:val="7BFF08CD"/>
    <w:rsid w:val="7C00374D"/>
    <w:rsid w:val="7C030BAC"/>
    <w:rsid w:val="7C134B67"/>
    <w:rsid w:val="7C162F0C"/>
    <w:rsid w:val="7C1A422C"/>
    <w:rsid w:val="7C1F7192"/>
    <w:rsid w:val="7C2B230C"/>
    <w:rsid w:val="7C2F1FD0"/>
    <w:rsid w:val="7C3579C8"/>
    <w:rsid w:val="7C4411C4"/>
    <w:rsid w:val="7C4A67DB"/>
    <w:rsid w:val="7C5C14C8"/>
    <w:rsid w:val="7C683105"/>
    <w:rsid w:val="7C6F4493"/>
    <w:rsid w:val="7C790E6E"/>
    <w:rsid w:val="7C7E0ED6"/>
    <w:rsid w:val="7C885555"/>
    <w:rsid w:val="7C95784B"/>
    <w:rsid w:val="7CA35EEB"/>
    <w:rsid w:val="7CA852A4"/>
    <w:rsid w:val="7CAB2FF1"/>
    <w:rsid w:val="7CB85914"/>
    <w:rsid w:val="7CC04CEF"/>
    <w:rsid w:val="7CC06A9D"/>
    <w:rsid w:val="7CDD764F"/>
    <w:rsid w:val="7CE64029"/>
    <w:rsid w:val="7CE64595"/>
    <w:rsid w:val="7CF84488"/>
    <w:rsid w:val="7D032E2D"/>
    <w:rsid w:val="7D0B52CB"/>
    <w:rsid w:val="7D0B583E"/>
    <w:rsid w:val="7D1A07BD"/>
    <w:rsid w:val="7D1C22D9"/>
    <w:rsid w:val="7D1C4721"/>
    <w:rsid w:val="7D200E18"/>
    <w:rsid w:val="7D234CDD"/>
    <w:rsid w:val="7D2B742D"/>
    <w:rsid w:val="7D2C7C8E"/>
    <w:rsid w:val="7D3354C1"/>
    <w:rsid w:val="7D3437CE"/>
    <w:rsid w:val="7D382AD7"/>
    <w:rsid w:val="7D3A3C06"/>
    <w:rsid w:val="7D44147C"/>
    <w:rsid w:val="7D465607"/>
    <w:rsid w:val="7D4C6582"/>
    <w:rsid w:val="7D56664F"/>
    <w:rsid w:val="7D5A4E0C"/>
    <w:rsid w:val="7D5D253D"/>
    <w:rsid w:val="7D6733BC"/>
    <w:rsid w:val="7D676F18"/>
    <w:rsid w:val="7D6F5ECE"/>
    <w:rsid w:val="7D8F07CD"/>
    <w:rsid w:val="7D9C3A6F"/>
    <w:rsid w:val="7DB9749D"/>
    <w:rsid w:val="7DD22286"/>
    <w:rsid w:val="7DE642E1"/>
    <w:rsid w:val="7DFE72FF"/>
    <w:rsid w:val="7E0933DA"/>
    <w:rsid w:val="7E283249"/>
    <w:rsid w:val="7E2D1F10"/>
    <w:rsid w:val="7E3145D4"/>
    <w:rsid w:val="7E3239CA"/>
    <w:rsid w:val="7E374B3D"/>
    <w:rsid w:val="7E385DDD"/>
    <w:rsid w:val="7E425DC7"/>
    <w:rsid w:val="7E7B5204"/>
    <w:rsid w:val="7E86787C"/>
    <w:rsid w:val="7E871901"/>
    <w:rsid w:val="7E8A55B4"/>
    <w:rsid w:val="7E9D1E05"/>
    <w:rsid w:val="7EA42017"/>
    <w:rsid w:val="7EA85A3A"/>
    <w:rsid w:val="7EAD4DFF"/>
    <w:rsid w:val="7EB95E49"/>
    <w:rsid w:val="7EC565EC"/>
    <w:rsid w:val="7ECD4F5C"/>
    <w:rsid w:val="7ECF2FC7"/>
    <w:rsid w:val="7ED104B3"/>
    <w:rsid w:val="7EEF18BB"/>
    <w:rsid w:val="7EF02F3D"/>
    <w:rsid w:val="7EF64051"/>
    <w:rsid w:val="7F0936B3"/>
    <w:rsid w:val="7F1D5900"/>
    <w:rsid w:val="7F383A96"/>
    <w:rsid w:val="7F3853ED"/>
    <w:rsid w:val="7F3D5D2B"/>
    <w:rsid w:val="7F5E3878"/>
    <w:rsid w:val="7F8F09A8"/>
    <w:rsid w:val="7FA426A6"/>
    <w:rsid w:val="7FC05006"/>
    <w:rsid w:val="7FE85496"/>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57"/>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5"/>
    <w:link w:val="196"/>
    <w:unhideWhenUsed/>
    <w:qFormat/>
    <w:uiPriority w:val="0"/>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0"/>
    <w:semiHidden/>
    <w:unhideWhenUsed/>
    <w:qFormat/>
    <w:uiPriority w:val="0"/>
    <w:pPr>
      <w:keepNext/>
      <w:keepLines/>
      <w:numPr>
        <w:ilvl w:val="2"/>
        <w:numId w:val="3"/>
      </w:numPr>
      <w:spacing w:before="260" w:after="260" w:line="413" w:lineRule="auto"/>
      <w:outlineLvl w:val="2"/>
    </w:pPr>
    <w:rPr>
      <w:b/>
      <w:sz w:val="32"/>
    </w:rPr>
  </w:style>
  <w:style w:type="paragraph" w:styleId="7">
    <w:name w:val="heading 4"/>
    <w:basedOn w:val="1"/>
    <w:next w:val="1"/>
    <w:link w:val="61"/>
    <w:semiHidden/>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62"/>
    <w:semiHidden/>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63"/>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64"/>
    <w:semiHidden/>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link w:val="65"/>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66"/>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99"/>
    <w:pPr>
      <w:jc w:val="left"/>
    </w:pPr>
    <w:rPr>
      <w:rFonts w:ascii="Copperplate Gothic Bold" w:hAnsi="Copperplate Gothic Bold"/>
      <w:sz w:val="28"/>
    </w:rPr>
  </w:style>
  <w:style w:type="paragraph" w:styleId="5">
    <w:name w:val="Normal Indent"/>
    <w:basedOn w:val="1"/>
    <w:next w:val="1"/>
    <w:link w:val="58"/>
    <w:qFormat/>
    <w:uiPriority w:val="0"/>
    <w:pPr>
      <w:ind w:firstLine="420"/>
    </w:pPr>
  </w:style>
  <w:style w:type="paragraph" w:styleId="13">
    <w:name w:val="toc 7"/>
    <w:basedOn w:val="1"/>
    <w:next w:val="1"/>
    <w:unhideWhenUsed/>
    <w:qFormat/>
    <w:uiPriority w:val="0"/>
    <w:pPr>
      <w:spacing w:line="240" w:lineRule="auto"/>
      <w:ind w:left="2520" w:leftChars="1200" w:firstLine="0" w:firstLineChars="0"/>
    </w:pPr>
    <w:rPr>
      <w:rFonts w:ascii="Calibri" w:hAnsi="Calibri" w:eastAsia="宋体" w:cs="Times New Roman"/>
      <w:sz w:val="21"/>
      <w:szCs w:val="22"/>
    </w:rPr>
  </w:style>
  <w:style w:type="paragraph" w:styleId="14">
    <w:name w:val="Document Map"/>
    <w:basedOn w:val="1"/>
    <w:link w:val="89"/>
    <w:unhideWhenUsed/>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5">
    <w:name w:val="annotation text"/>
    <w:basedOn w:val="1"/>
    <w:link w:val="83"/>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6">
    <w:name w:val="Body Text 3"/>
    <w:basedOn w:val="1"/>
    <w:link w:val="87"/>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7">
    <w:name w:val="Body Text Indent"/>
    <w:basedOn w:val="1"/>
    <w:link w:val="67"/>
    <w:unhideWhenUsed/>
    <w:qFormat/>
    <w:uiPriority w:val="0"/>
    <w:pPr>
      <w:spacing w:after="120"/>
      <w:ind w:left="420" w:leftChars="200"/>
    </w:pPr>
  </w:style>
  <w:style w:type="paragraph" w:styleId="18">
    <w:name w:val="Block Text"/>
    <w:basedOn w:val="1"/>
    <w:next w:val="19"/>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Plain Text"/>
    <w:basedOn w:val="1"/>
    <w:next w:val="1"/>
    <w:link w:val="68"/>
    <w:qFormat/>
    <w:uiPriority w:val="99"/>
    <w:rPr>
      <w:rFonts w:ascii="宋体" w:hAnsi="Courier New"/>
      <w:szCs w:val="21"/>
    </w:rPr>
  </w:style>
  <w:style w:type="paragraph" w:styleId="20">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1">
    <w:name w:val="toc 5"/>
    <w:basedOn w:val="1"/>
    <w:next w:val="1"/>
    <w:unhideWhenUsed/>
    <w:qFormat/>
    <w:uiPriority w:val="0"/>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2">
    <w:name w:val="toc 3"/>
    <w:basedOn w:val="1"/>
    <w:next w:val="1"/>
    <w:unhideWhenUsed/>
    <w:qFormat/>
    <w:uiPriority w:val="0"/>
    <w:pPr>
      <w:spacing w:line="240" w:lineRule="auto"/>
      <w:ind w:left="840" w:leftChars="400" w:firstLine="0" w:firstLineChars="0"/>
    </w:pPr>
    <w:rPr>
      <w:rFonts w:ascii="Times New Roman" w:hAnsi="Times New Roman" w:eastAsia="宋体" w:cs="Times New Roman"/>
      <w:sz w:val="21"/>
    </w:rPr>
  </w:style>
  <w:style w:type="paragraph" w:styleId="23">
    <w:name w:val="toc 8"/>
    <w:basedOn w:val="1"/>
    <w:next w:val="1"/>
    <w:unhideWhenUsed/>
    <w:qFormat/>
    <w:uiPriority w:val="0"/>
    <w:pPr>
      <w:spacing w:line="240" w:lineRule="auto"/>
      <w:ind w:left="2940" w:leftChars="1400" w:firstLine="0" w:firstLineChars="0"/>
    </w:pPr>
    <w:rPr>
      <w:rFonts w:ascii="Calibri" w:hAnsi="Calibri" w:eastAsia="宋体" w:cs="Times New Roman"/>
      <w:sz w:val="21"/>
      <w:szCs w:val="22"/>
    </w:rPr>
  </w:style>
  <w:style w:type="paragraph" w:styleId="24">
    <w:name w:val="Date"/>
    <w:basedOn w:val="1"/>
    <w:next w:val="1"/>
    <w:link w:val="86"/>
    <w:unhideWhenUsed/>
    <w:qFormat/>
    <w:uiPriority w:val="0"/>
    <w:pPr>
      <w:spacing w:line="240" w:lineRule="auto"/>
      <w:ind w:left="100" w:leftChars="2500" w:firstLine="0" w:firstLineChars="0"/>
    </w:pPr>
    <w:rPr>
      <w:rFonts w:ascii="Times New Roman" w:hAnsi="Times New Roman" w:eastAsia="宋体" w:cs="Times New Roman"/>
      <w:sz w:val="21"/>
    </w:rPr>
  </w:style>
  <w:style w:type="paragraph" w:styleId="25">
    <w:name w:val="Body Text Indent 2"/>
    <w:basedOn w:val="1"/>
    <w:link w:val="82"/>
    <w:qFormat/>
    <w:uiPriority w:val="0"/>
    <w:pPr>
      <w:spacing w:after="120" w:line="480" w:lineRule="auto"/>
      <w:ind w:left="420" w:leftChars="200"/>
    </w:pPr>
  </w:style>
  <w:style w:type="paragraph" w:styleId="26">
    <w:name w:val="Balloon Text"/>
    <w:basedOn w:val="1"/>
    <w:link w:val="69"/>
    <w:qFormat/>
    <w:uiPriority w:val="0"/>
    <w:pPr>
      <w:spacing w:line="240" w:lineRule="auto"/>
    </w:pPr>
    <w:rPr>
      <w:sz w:val="18"/>
      <w:szCs w:val="18"/>
    </w:rPr>
  </w:style>
  <w:style w:type="paragraph" w:styleId="27">
    <w:name w:val="footer"/>
    <w:basedOn w:val="1"/>
    <w:link w:val="70"/>
    <w:qFormat/>
    <w:uiPriority w:val="99"/>
    <w:pPr>
      <w:tabs>
        <w:tab w:val="center" w:pos="4153"/>
        <w:tab w:val="right" w:pos="8306"/>
      </w:tabs>
      <w:snapToGrid w:val="0"/>
      <w:jc w:val="left"/>
    </w:pPr>
    <w:rPr>
      <w:sz w:val="18"/>
    </w:rPr>
  </w:style>
  <w:style w:type="paragraph" w:styleId="28">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9">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0">
    <w:name w:val="toc 4"/>
    <w:basedOn w:val="1"/>
    <w:next w:val="1"/>
    <w:unhideWhenUsed/>
    <w:qFormat/>
    <w:uiPriority w:val="0"/>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1">
    <w:name w:val="Subtitle"/>
    <w:basedOn w:val="1"/>
    <w:next w:val="1"/>
    <w:link w:val="85"/>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2">
    <w:name w:val="toc 6"/>
    <w:basedOn w:val="1"/>
    <w:next w:val="1"/>
    <w:unhideWhenUsed/>
    <w:qFormat/>
    <w:uiPriority w:val="0"/>
    <w:pPr>
      <w:spacing w:line="240" w:lineRule="auto"/>
      <w:ind w:left="2100" w:leftChars="1000" w:firstLine="0" w:firstLineChars="0"/>
    </w:pPr>
    <w:rPr>
      <w:rFonts w:ascii="Calibri" w:hAnsi="Calibri" w:eastAsia="宋体" w:cs="Times New Roman"/>
      <w:sz w:val="21"/>
      <w:szCs w:val="22"/>
    </w:rPr>
  </w:style>
  <w:style w:type="paragraph" w:styleId="33">
    <w:name w:val="Body Text Indent 3"/>
    <w:basedOn w:val="1"/>
    <w:link w:val="88"/>
    <w:unhideWhenUsed/>
    <w:qFormat/>
    <w:uiPriority w:val="0"/>
    <w:pPr>
      <w:adjustRightInd w:val="0"/>
      <w:snapToGrid w:val="0"/>
      <w:ind w:firstLine="600"/>
    </w:pPr>
    <w:rPr>
      <w:rFonts w:ascii="黑体" w:hAnsi="Times New Roman" w:eastAsia="黑体" w:cs="Times New Roman"/>
      <w:sz w:val="30"/>
      <w:szCs w:val="28"/>
    </w:rPr>
  </w:style>
  <w:style w:type="paragraph" w:styleId="34">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5">
    <w:name w:val="toc 9"/>
    <w:basedOn w:val="1"/>
    <w:next w:val="1"/>
    <w:unhideWhenUsed/>
    <w:qFormat/>
    <w:uiPriority w:val="0"/>
    <w:pPr>
      <w:spacing w:line="240" w:lineRule="auto"/>
      <w:ind w:left="3360" w:leftChars="1600" w:firstLine="0" w:firstLineChars="0"/>
    </w:pPr>
    <w:rPr>
      <w:rFonts w:ascii="Calibri" w:hAnsi="Calibri" w:eastAsia="宋体" w:cs="Times New Roman"/>
      <w:sz w:val="21"/>
      <w:szCs w:val="22"/>
    </w:rPr>
  </w:style>
  <w:style w:type="paragraph" w:styleId="36">
    <w:name w:val="Body Text 2"/>
    <w:basedOn w:val="1"/>
    <w:link w:val="72"/>
    <w:qFormat/>
    <w:uiPriority w:val="0"/>
    <w:rPr>
      <w:rFonts w:ascii="楷体_GB2312" w:hAnsi="Copperplate Gothic Bold" w:eastAsia="楷体_GB2312"/>
      <w:sz w:val="28"/>
    </w:rPr>
  </w:style>
  <w:style w:type="paragraph" w:styleId="3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rPr>
  </w:style>
  <w:style w:type="paragraph" w:styleId="38">
    <w:name w:val="Normal (Web)"/>
    <w:basedOn w:val="1"/>
    <w:qFormat/>
    <w:uiPriority w:val="99"/>
    <w:pPr>
      <w:widowControl/>
      <w:spacing w:before="100" w:beforeAutospacing="1" w:after="100" w:afterAutospacing="1"/>
      <w:jc w:val="left"/>
    </w:pPr>
    <w:rPr>
      <w:rFonts w:ascii="宋体" w:hAnsi="宋体" w:cs="宋体"/>
      <w:kern w:val="0"/>
    </w:rPr>
  </w:style>
  <w:style w:type="paragraph" w:styleId="39">
    <w:name w:val="Title"/>
    <w:basedOn w:val="1"/>
    <w:link w:val="84"/>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0">
    <w:name w:val="annotation subject"/>
    <w:basedOn w:val="15"/>
    <w:next w:val="15"/>
    <w:link w:val="90"/>
    <w:unhideWhenUsed/>
    <w:qFormat/>
    <w:uiPriority w:val="0"/>
    <w:pPr>
      <w:adjustRightInd/>
      <w:spacing w:line="240" w:lineRule="auto"/>
    </w:pPr>
    <w:rPr>
      <w:b/>
      <w:bCs/>
      <w:kern w:val="2"/>
      <w:sz w:val="21"/>
      <w:szCs w:val="24"/>
    </w:rPr>
  </w:style>
  <w:style w:type="paragraph" w:styleId="41">
    <w:name w:val="Body Text First Indent"/>
    <w:basedOn w:val="2"/>
    <w:unhideWhenUsed/>
    <w:qFormat/>
    <w:uiPriority w:val="99"/>
    <w:pPr>
      <w:spacing w:after="120" w:line="240" w:lineRule="auto"/>
      <w:ind w:firstLine="420" w:firstLineChars="100"/>
    </w:pPr>
    <w:rPr>
      <w:rFonts w:ascii="Times New Roman" w:hAnsi="Times New Roman"/>
      <w:sz w:val="18"/>
      <w:szCs w:val="18"/>
    </w:rPr>
  </w:style>
  <w:style w:type="paragraph" w:styleId="42">
    <w:name w:val="Body Text First Indent 2"/>
    <w:basedOn w:val="17"/>
    <w:unhideWhenUsed/>
    <w:qFormat/>
    <w:uiPriority w:val="0"/>
    <w:pPr>
      <w:ind w:firstLine="42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page number"/>
    <w:basedOn w:val="45"/>
    <w:qFormat/>
    <w:uiPriority w:val="0"/>
  </w:style>
  <w:style w:type="character" w:styleId="48">
    <w:name w:val="FollowedHyperlink"/>
    <w:basedOn w:val="45"/>
    <w:unhideWhenUsed/>
    <w:qFormat/>
    <w:uiPriority w:val="99"/>
    <w:rPr>
      <w:color w:val="954F72" w:themeColor="followedHyperlink"/>
      <w:u w:val="single"/>
      <w14:textFill>
        <w14:solidFill>
          <w14:schemeClr w14:val="folHlink"/>
        </w14:solidFill>
      </w14:textFill>
    </w:rPr>
  </w:style>
  <w:style w:type="character" w:styleId="49">
    <w:name w:val="Emphasis"/>
    <w:basedOn w:val="45"/>
    <w:qFormat/>
    <w:uiPriority w:val="0"/>
  </w:style>
  <w:style w:type="character" w:styleId="50">
    <w:name w:val="HTML Definition"/>
    <w:basedOn w:val="45"/>
    <w:unhideWhenUsed/>
    <w:qFormat/>
    <w:uiPriority w:val="0"/>
    <w:rPr>
      <w:i/>
    </w:rPr>
  </w:style>
  <w:style w:type="character" w:styleId="51">
    <w:name w:val="Hyperlink"/>
    <w:basedOn w:val="45"/>
    <w:qFormat/>
    <w:uiPriority w:val="99"/>
    <w:rPr>
      <w:color w:val="0563C1" w:themeColor="hyperlink"/>
      <w:u w:val="single"/>
      <w14:textFill>
        <w14:solidFill>
          <w14:schemeClr w14:val="hlink"/>
        </w14:solidFill>
      </w14:textFill>
    </w:rPr>
  </w:style>
  <w:style w:type="character" w:styleId="52">
    <w:name w:val="HTML Code"/>
    <w:unhideWhenUsed/>
    <w:qFormat/>
    <w:uiPriority w:val="0"/>
    <w:rPr>
      <w:rFonts w:hint="default" w:ascii="Consolas" w:hAnsi="Consolas" w:eastAsia="Consolas" w:cs="Consolas"/>
      <w:color w:val="C7254E"/>
      <w:sz w:val="21"/>
      <w:szCs w:val="21"/>
      <w:shd w:val="clear" w:color="auto" w:fill="F9F2F4"/>
    </w:rPr>
  </w:style>
  <w:style w:type="character" w:styleId="53">
    <w:name w:val="annotation reference"/>
    <w:basedOn w:val="45"/>
    <w:unhideWhenUsed/>
    <w:qFormat/>
    <w:uiPriority w:val="0"/>
    <w:rPr>
      <w:sz w:val="21"/>
      <w:szCs w:val="21"/>
    </w:rPr>
  </w:style>
  <w:style w:type="character" w:styleId="54">
    <w:name w:val="HTML Keyboard"/>
    <w:unhideWhenUsed/>
    <w:qFormat/>
    <w:uiPriority w:val="0"/>
    <w:rPr>
      <w:rFonts w:hint="default" w:ascii="Consolas" w:hAnsi="Consolas" w:eastAsia="Consolas" w:cs="Consolas"/>
      <w:color w:val="FFFFFF"/>
      <w:sz w:val="21"/>
      <w:szCs w:val="21"/>
      <w:shd w:val="clear" w:color="auto" w:fill="333333"/>
    </w:rPr>
  </w:style>
  <w:style w:type="character" w:styleId="55">
    <w:name w:val="HTML Sample"/>
    <w:unhideWhenUsed/>
    <w:qFormat/>
    <w:uiPriority w:val="0"/>
    <w:rPr>
      <w:rFonts w:hint="default" w:ascii="Consolas" w:hAnsi="Consolas" w:eastAsia="Consolas" w:cs="Consolas"/>
      <w:sz w:val="21"/>
      <w:szCs w:val="21"/>
    </w:rPr>
  </w:style>
  <w:style w:type="character" w:customStyle="1" w:styleId="56">
    <w:name w:val="正文文本 字符"/>
    <w:basedOn w:val="45"/>
    <w:link w:val="2"/>
    <w:qFormat/>
    <w:uiPriority w:val="99"/>
    <w:rPr>
      <w:rFonts w:ascii="Copperplate Gothic Bold" w:hAnsi="Copperplate Gothic Bold" w:eastAsia="楷体" w:cstheme="minorBidi"/>
      <w:kern w:val="2"/>
      <w:sz w:val="28"/>
      <w:szCs w:val="24"/>
    </w:rPr>
  </w:style>
  <w:style w:type="character" w:customStyle="1" w:styleId="57">
    <w:name w:val="标题 1 字符"/>
    <w:link w:val="3"/>
    <w:qFormat/>
    <w:uiPriority w:val="0"/>
    <w:rPr>
      <w:rFonts w:eastAsia="楷体" w:asciiTheme="minorHAnsi" w:hAnsiTheme="minorHAnsi" w:cstheme="minorBidi"/>
      <w:b/>
      <w:kern w:val="44"/>
      <w:sz w:val="44"/>
      <w:szCs w:val="24"/>
    </w:rPr>
  </w:style>
  <w:style w:type="character" w:customStyle="1" w:styleId="58">
    <w:name w:val="正文缩进 字符"/>
    <w:link w:val="5"/>
    <w:qFormat/>
    <w:locked/>
    <w:uiPriority w:val="0"/>
    <w:rPr>
      <w:rFonts w:eastAsia="楷体" w:asciiTheme="minorHAnsi" w:hAnsiTheme="minorHAnsi" w:cstheme="minorBidi"/>
      <w:kern w:val="2"/>
      <w:sz w:val="24"/>
      <w:szCs w:val="24"/>
    </w:rPr>
  </w:style>
  <w:style w:type="character" w:customStyle="1" w:styleId="59">
    <w:name w:val="标题 2 字符"/>
    <w:link w:val="4"/>
    <w:qFormat/>
    <w:uiPriority w:val="0"/>
    <w:rPr>
      <w:rFonts w:ascii="Arial" w:hAnsi="Arial" w:eastAsia="楷体" w:cstheme="minorBidi"/>
      <w:b/>
      <w:kern w:val="2"/>
      <w:sz w:val="28"/>
      <w:szCs w:val="24"/>
    </w:rPr>
  </w:style>
  <w:style w:type="character" w:customStyle="1" w:styleId="60">
    <w:name w:val="标题 3 字符"/>
    <w:basedOn w:val="45"/>
    <w:link w:val="6"/>
    <w:semiHidden/>
    <w:qFormat/>
    <w:uiPriority w:val="0"/>
    <w:rPr>
      <w:rFonts w:eastAsia="楷体" w:asciiTheme="minorHAnsi" w:hAnsiTheme="minorHAnsi" w:cstheme="minorBidi"/>
      <w:b/>
      <w:kern w:val="2"/>
      <w:sz w:val="32"/>
      <w:szCs w:val="24"/>
    </w:rPr>
  </w:style>
  <w:style w:type="character" w:customStyle="1" w:styleId="61">
    <w:name w:val="标题 4 字符"/>
    <w:basedOn w:val="45"/>
    <w:link w:val="7"/>
    <w:semiHidden/>
    <w:qFormat/>
    <w:uiPriority w:val="0"/>
    <w:rPr>
      <w:rFonts w:ascii="Arial" w:hAnsi="Arial" w:eastAsia="黑体" w:cstheme="minorBidi"/>
      <w:b/>
      <w:kern w:val="2"/>
      <w:sz w:val="28"/>
      <w:szCs w:val="24"/>
    </w:rPr>
  </w:style>
  <w:style w:type="character" w:customStyle="1" w:styleId="62">
    <w:name w:val="标题 5 字符"/>
    <w:basedOn w:val="45"/>
    <w:link w:val="8"/>
    <w:semiHidden/>
    <w:qFormat/>
    <w:uiPriority w:val="0"/>
    <w:rPr>
      <w:rFonts w:eastAsia="楷体" w:asciiTheme="minorHAnsi" w:hAnsiTheme="minorHAnsi" w:cstheme="minorBidi"/>
      <w:b/>
      <w:kern w:val="2"/>
      <w:sz w:val="28"/>
      <w:szCs w:val="24"/>
    </w:rPr>
  </w:style>
  <w:style w:type="character" w:customStyle="1" w:styleId="63">
    <w:name w:val="标题 6 字符"/>
    <w:basedOn w:val="45"/>
    <w:link w:val="9"/>
    <w:semiHidden/>
    <w:qFormat/>
    <w:uiPriority w:val="0"/>
    <w:rPr>
      <w:rFonts w:ascii="Arial" w:hAnsi="Arial" w:eastAsia="黑体" w:cstheme="minorBidi"/>
      <w:b/>
      <w:kern w:val="2"/>
      <w:sz w:val="24"/>
      <w:szCs w:val="24"/>
    </w:rPr>
  </w:style>
  <w:style w:type="character" w:customStyle="1" w:styleId="64">
    <w:name w:val="标题 7 字符"/>
    <w:basedOn w:val="45"/>
    <w:link w:val="10"/>
    <w:semiHidden/>
    <w:qFormat/>
    <w:uiPriority w:val="0"/>
    <w:rPr>
      <w:rFonts w:eastAsia="楷体" w:asciiTheme="minorHAnsi" w:hAnsiTheme="minorHAnsi" w:cstheme="minorBidi"/>
      <w:b/>
      <w:kern w:val="2"/>
      <w:sz w:val="24"/>
      <w:szCs w:val="24"/>
    </w:rPr>
  </w:style>
  <w:style w:type="character" w:customStyle="1" w:styleId="65">
    <w:name w:val="标题 8 字符"/>
    <w:basedOn w:val="45"/>
    <w:link w:val="11"/>
    <w:semiHidden/>
    <w:qFormat/>
    <w:uiPriority w:val="0"/>
    <w:rPr>
      <w:rFonts w:ascii="Arial" w:hAnsi="Arial" w:eastAsia="黑体" w:cstheme="minorBidi"/>
      <w:kern w:val="2"/>
      <w:sz w:val="24"/>
      <w:szCs w:val="24"/>
    </w:rPr>
  </w:style>
  <w:style w:type="character" w:customStyle="1" w:styleId="66">
    <w:name w:val="标题 9 字符"/>
    <w:basedOn w:val="45"/>
    <w:link w:val="12"/>
    <w:semiHidden/>
    <w:qFormat/>
    <w:uiPriority w:val="0"/>
    <w:rPr>
      <w:rFonts w:ascii="Arial" w:hAnsi="Arial" w:eastAsia="黑体" w:cstheme="minorBidi"/>
      <w:kern w:val="2"/>
      <w:sz w:val="21"/>
      <w:szCs w:val="24"/>
    </w:rPr>
  </w:style>
  <w:style w:type="character" w:customStyle="1" w:styleId="67">
    <w:name w:val="正文文本缩进 字符"/>
    <w:basedOn w:val="45"/>
    <w:link w:val="17"/>
    <w:qFormat/>
    <w:uiPriority w:val="0"/>
    <w:rPr>
      <w:rFonts w:eastAsia="楷体" w:asciiTheme="minorHAnsi" w:hAnsiTheme="minorHAnsi" w:cstheme="minorBidi"/>
      <w:kern w:val="2"/>
      <w:sz w:val="24"/>
      <w:szCs w:val="24"/>
    </w:rPr>
  </w:style>
  <w:style w:type="character" w:customStyle="1" w:styleId="68">
    <w:name w:val="纯文本 字符"/>
    <w:basedOn w:val="45"/>
    <w:link w:val="19"/>
    <w:qFormat/>
    <w:uiPriority w:val="99"/>
    <w:rPr>
      <w:rFonts w:ascii="宋体" w:hAnsi="Courier New" w:eastAsia="楷体" w:cstheme="minorBidi"/>
      <w:kern w:val="2"/>
      <w:sz w:val="24"/>
      <w:szCs w:val="21"/>
    </w:rPr>
  </w:style>
  <w:style w:type="character" w:customStyle="1" w:styleId="69">
    <w:name w:val="批注框文本 字符"/>
    <w:basedOn w:val="45"/>
    <w:link w:val="26"/>
    <w:qFormat/>
    <w:uiPriority w:val="0"/>
    <w:rPr>
      <w:rFonts w:eastAsia="楷体"/>
      <w:kern w:val="2"/>
      <w:sz w:val="18"/>
      <w:szCs w:val="18"/>
    </w:rPr>
  </w:style>
  <w:style w:type="character" w:customStyle="1" w:styleId="70">
    <w:name w:val="页脚 字符"/>
    <w:basedOn w:val="45"/>
    <w:link w:val="27"/>
    <w:qFormat/>
    <w:uiPriority w:val="99"/>
    <w:rPr>
      <w:rFonts w:eastAsia="楷体"/>
      <w:kern w:val="2"/>
      <w:sz w:val="18"/>
      <w:szCs w:val="24"/>
    </w:rPr>
  </w:style>
  <w:style w:type="character" w:customStyle="1" w:styleId="71">
    <w:name w:val="页眉 字符"/>
    <w:basedOn w:val="45"/>
    <w:link w:val="28"/>
    <w:qFormat/>
    <w:uiPriority w:val="0"/>
    <w:rPr>
      <w:rFonts w:eastAsia="楷体" w:asciiTheme="minorHAnsi" w:hAnsiTheme="minorHAnsi" w:cstheme="minorBidi"/>
      <w:kern w:val="2"/>
      <w:sz w:val="18"/>
      <w:szCs w:val="24"/>
    </w:rPr>
  </w:style>
  <w:style w:type="character" w:customStyle="1" w:styleId="72">
    <w:name w:val="正文文本 2 字符"/>
    <w:basedOn w:val="45"/>
    <w:link w:val="36"/>
    <w:qFormat/>
    <w:uiPriority w:val="0"/>
    <w:rPr>
      <w:rFonts w:ascii="楷体_GB2312" w:hAnsi="Copperplate Gothic Bold" w:eastAsia="楷体_GB2312" w:cstheme="minorBidi"/>
      <w:kern w:val="2"/>
      <w:sz w:val="28"/>
      <w:szCs w:val="24"/>
    </w:rPr>
  </w:style>
  <w:style w:type="paragraph" w:styleId="73">
    <w:name w:val="List Paragraph"/>
    <w:basedOn w:val="1"/>
    <w:qFormat/>
    <w:uiPriority w:val="34"/>
    <w:pPr>
      <w:ind w:firstLine="420"/>
    </w:p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6">
    <w:name w:val="title1"/>
    <w:basedOn w:val="1"/>
    <w:qFormat/>
    <w:uiPriority w:val="0"/>
    <w:pPr>
      <w:spacing w:before="150"/>
      <w:ind w:firstLine="0"/>
      <w:jc w:val="left"/>
    </w:pPr>
    <w:rPr>
      <w:rFonts w:cs="Times New Roman"/>
      <w:b/>
      <w:kern w:val="0"/>
      <w:sz w:val="22"/>
      <w:szCs w:val="22"/>
    </w:rPr>
  </w:style>
  <w:style w:type="paragraph" w:customStyle="1" w:styleId="77">
    <w:name w:val="_Style 2"/>
    <w:basedOn w:val="1"/>
    <w:qFormat/>
    <w:uiPriority w:val="34"/>
    <w:pPr>
      <w:ind w:firstLine="420"/>
    </w:pPr>
  </w:style>
  <w:style w:type="character" w:customStyle="1" w:styleId="78">
    <w:name w:val="font21"/>
    <w:basedOn w:val="45"/>
    <w:qFormat/>
    <w:uiPriority w:val="0"/>
    <w:rPr>
      <w:rFonts w:hint="eastAsia" w:ascii="宋体" w:hAnsi="宋体" w:eastAsia="宋体" w:cs="宋体"/>
      <w:color w:val="000000"/>
      <w:sz w:val="16"/>
      <w:szCs w:val="16"/>
      <w:u w:val="none"/>
    </w:rPr>
  </w:style>
  <w:style w:type="character" w:customStyle="1" w:styleId="79">
    <w:name w:val="font31"/>
    <w:basedOn w:val="45"/>
    <w:qFormat/>
    <w:uiPriority w:val="0"/>
    <w:rPr>
      <w:rFonts w:hint="eastAsia" w:ascii="宋体" w:hAnsi="宋体" w:eastAsia="宋体" w:cs="宋体"/>
      <w:color w:val="000000"/>
      <w:sz w:val="16"/>
      <w:szCs w:val="16"/>
      <w:u w:val="none"/>
    </w:rPr>
  </w:style>
  <w:style w:type="paragraph" w:customStyle="1" w:styleId="80">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1">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2">
    <w:name w:val="正文文本缩进 2 字符"/>
    <w:basedOn w:val="45"/>
    <w:link w:val="25"/>
    <w:qFormat/>
    <w:uiPriority w:val="0"/>
    <w:rPr>
      <w:rFonts w:eastAsia="楷体" w:asciiTheme="minorHAnsi" w:hAnsiTheme="minorHAnsi" w:cstheme="minorBidi"/>
      <w:kern w:val="2"/>
      <w:sz w:val="24"/>
      <w:szCs w:val="24"/>
    </w:rPr>
  </w:style>
  <w:style w:type="character" w:customStyle="1" w:styleId="83">
    <w:name w:val="批注文字 字符"/>
    <w:basedOn w:val="45"/>
    <w:link w:val="15"/>
    <w:qFormat/>
    <w:uiPriority w:val="0"/>
    <w:rPr>
      <w:sz w:val="24"/>
    </w:rPr>
  </w:style>
  <w:style w:type="character" w:customStyle="1" w:styleId="84">
    <w:name w:val="标题 字符"/>
    <w:basedOn w:val="45"/>
    <w:link w:val="39"/>
    <w:qFormat/>
    <w:uiPriority w:val="0"/>
    <w:rPr>
      <w:rFonts w:ascii="Arial" w:hAnsi="Arial" w:eastAsia="楷体_GB2312" w:cs="Arial"/>
      <w:b/>
      <w:sz w:val="32"/>
      <w:szCs w:val="32"/>
    </w:rPr>
  </w:style>
  <w:style w:type="character" w:customStyle="1" w:styleId="85">
    <w:name w:val="副标题 字符"/>
    <w:basedOn w:val="45"/>
    <w:link w:val="31"/>
    <w:qFormat/>
    <w:uiPriority w:val="0"/>
    <w:rPr>
      <w:rFonts w:ascii="Cambria" w:hAnsi="Cambria"/>
      <w:b/>
      <w:bCs/>
      <w:kern w:val="28"/>
      <w:sz w:val="32"/>
      <w:szCs w:val="32"/>
    </w:rPr>
  </w:style>
  <w:style w:type="character" w:customStyle="1" w:styleId="86">
    <w:name w:val="日期 字符"/>
    <w:basedOn w:val="45"/>
    <w:link w:val="24"/>
    <w:qFormat/>
    <w:uiPriority w:val="0"/>
    <w:rPr>
      <w:kern w:val="2"/>
      <w:sz w:val="21"/>
      <w:szCs w:val="24"/>
    </w:rPr>
  </w:style>
  <w:style w:type="character" w:customStyle="1" w:styleId="87">
    <w:name w:val="正文文本 3 字符"/>
    <w:basedOn w:val="45"/>
    <w:link w:val="16"/>
    <w:qFormat/>
    <w:uiPriority w:val="0"/>
    <w:rPr>
      <w:sz w:val="16"/>
      <w:szCs w:val="16"/>
    </w:rPr>
  </w:style>
  <w:style w:type="character" w:customStyle="1" w:styleId="88">
    <w:name w:val="正文文本缩进 3 字符"/>
    <w:basedOn w:val="45"/>
    <w:link w:val="33"/>
    <w:qFormat/>
    <w:uiPriority w:val="0"/>
    <w:rPr>
      <w:rFonts w:ascii="黑体" w:eastAsia="黑体"/>
      <w:kern w:val="2"/>
      <w:sz w:val="30"/>
      <w:szCs w:val="28"/>
    </w:rPr>
  </w:style>
  <w:style w:type="character" w:customStyle="1" w:styleId="89">
    <w:name w:val="文档结构图 字符"/>
    <w:basedOn w:val="45"/>
    <w:link w:val="14"/>
    <w:qFormat/>
    <w:uiPriority w:val="0"/>
    <w:rPr>
      <w:kern w:val="2"/>
      <w:sz w:val="21"/>
      <w:szCs w:val="24"/>
      <w:shd w:val="clear" w:color="auto" w:fill="000080"/>
    </w:rPr>
  </w:style>
  <w:style w:type="character" w:customStyle="1" w:styleId="90">
    <w:name w:val="批注主题 字符"/>
    <w:basedOn w:val="83"/>
    <w:link w:val="40"/>
    <w:qFormat/>
    <w:uiPriority w:val="0"/>
    <w:rPr>
      <w:b/>
      <w:bCs/>
      <w:kern w:val="2"/>
      <w:sz w:val="21"/>
      <w:szCs w:val="24"/>
    </w:rPr>
  </w:style>
  <w:style w:type="paragraph" w:styleId="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92">
    <w:name w:val="Quote"/>
    <w:basedOn w:val="1"/>
    <w:next w:val="1"/>
    <w:link w:val="93"/>
    <w:qFormat/>
    <w:uiPriority w:val="0"/>
    <w:pPr>
      <w:spacing w:line="240" w:lineRule="auto"/>
      <w:ind w:firstLine="0" w:firstLineChars="0"/>
    </w:pPr>
    <w:rPr>
      <w:rFonts w:ascii="Times New Roman" w:hAnsi="Times New Roman" w:eastAsia="宋体" w:cs="Times New Roman"/>
      <w:i/>
      <w:iCs/>
      <w:color w:val="000000"/>
      <w:sz w:val="21"/>
      <w:szCs w:val="22"/>
    </w:rPr>
  </w:style>
  <w:style w:type="character" w:customStyle="1" w:styleId="93">
    <w:name w:val="引用 字符"/>
    <w:basedOn w:val="45"/>
    <w:link w:val="92"/>
    <w:qFormat/>
    <w:uiPriority w:val="0"/>
    <w:rPr>
      <w:i/>
      <w:iCs/>
      <w:color w:val="000000"/>
      <w:kern w:val="2"/>
      <w:sz w:val="21"/>
      <w:szCs w:val="22"/>
    </w:rPr>
  </w:style>
  <w:style w:type="paragraph" w:styleId="94">
    <w:name w:val="Intense Quote"/>
    <w:basedOn w:val="1"/>
    <w:next w:val="1"/>
    <w:link w:val="95"/>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95">
    <w:name w:val="明显引用 字符"/>
    <w:basedOn w:val="45"/>
    <w:link w:val="94"/>
    <w:qFormat/>
    <w:uiPriority w:val="0"/>
    <w:rPr>
      <w:b/>
      <w:bCs/>
      <w:i/>
      <w:iCs/>
      <w:color w:val="4F81BD"/>
      <w:kern w:val="2"/>
      <w:sz w:val="21"/>
      <w:szCs w:val="22"/>
    </w:rPr>
  </w:style>
  <w:style w:type="character" w:customStyle="1" w:styleId="96">
    <w:name w:val="Blockquote Char"/>
    <w:link w:val="97"/>
    <w:qFormat/>
    <w:locked/>
    <w:uiPriority w:val="0"/>
    <w:rPr>
      <w:sz w:val="24"/>
    </w:rPr>
  </w:style>
  <w:style w:type="paragraph" w:customStyle="1" w:styleId="97">
    <w:name w:val="Blockquote"/>
    <w:basedOn w:val="1"/>
    <w:link w:val="96"/>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98">
    <w:name w:val="标题5 Char Char"/>
    <w:link w:val="99"/>
    <w:qFormat/>
    <w:locked/>
    <w:uiPriority w:val="0"/>
    <w:rPr>
      <w:rFonts w:ascii="Arial" w:hAnsi="Arial" w:cs="Arial"/>
      <w:b/>
      <w:bCs/>
      <w:sz w:val="24"/>
      <w:szCs w:val="32"/>
    </w:rPr>
  </w:style>
  <w:style w:type="paragraph" w:customStyle="1" w:styleId="99">
    <w:name w:val="标题5"/>
    <w:basedOn w:val="6"/>
    <w:link w:val="98"/>
    <w:qFormat/>
    <w:uiPriority w:val="0"/>
    <w:pPr>
      <w:numPr>
        <w:ilvl w:val="0"/>
        <w:numId w:val="0"/>
      </w:numPr>
      <w:spacing w:line="412" w:lineRule="auto"/>
    </w:pPr>
    <w:rPr>
      <w:rFonts w:ascii="Arial" w:hAnsi="Arial" w:eastAsia="宋体" w:cs="Arial"/>
      <w:bCs/>
      <w:kern w:val="0"/>
      <w:sz w:val="24"/>
      <w:szCs w:val="32"/>
    </w:rPr>
  </w:style>
  <w:style w:type="character" w:customStyle="1" w:styleId="100">
    <w:name w:val="p0 Char"/>
    <w:link w:val="101"/>
    <w:qFormat/>
    <w:locked/>
    <w:uiPriority w:val="0"/>
    <w:rPr>
      <w:sz w:val="21"/>
      <w:szCs w:val="21"/>
    </w:rPr>
  </w:style>
  <w:style w:type="paragraph" w:customStyle="1" w:styleId="101">
    <w:name w:val="p0"/>
    <w:basedOn w:val="1"/>
    <w:link w:val="100"/>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2">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0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04">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5">
    <w:name w:val="Char Char Char"/>
    <w:basedOn w:val="1"/>
    <w:qFormat/>
    <w:uiPriority w:val="0"/>
    <w:pPr>
      <w:ind w:firstLine="0" w:firstLineChars="0"/>
      <w:jc w:val="center"/>
    </w:pPr>
    <w:rPr>
      <w:rFonts w:ascii="Tahoma" w:hAnsi="Tahoma" w:eastAsia="宋体" w:cs="Times New Roman"/>
      <w:szCs w:val="20"/>
    </w:rPr>
  </w:style>
  <w:style w:type="paragraph" w:customStyle="1" w:styleId="106">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7">
    <w:name w:val="正文首行缩进两字符"/>
    <w:basedOn w:val="1"/>
    <w:qFormat/>
    <w:uiPriority w:val="0"/>
    <w:pPr>
      <w:ind w:firstLine="200"/>
    </w:pPr>
    <w:rPr>
      <w:rFonts w:ascii="Times New Roman" w:hAnsi="Times New Roman" w:eastAsia="宋体" w:cs="Times New Roman"/>
      <w:sz w:val="21"/>
    </w:rPr>
  </w:style>
  <w:style w:type="paragraph" w:customStyle="1" w:styleId="108">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09">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0">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15">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16">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7">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8">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0">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1">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2">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3">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24">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26">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28">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29">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0">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1">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2">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35">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6">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3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8">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39">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0">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1">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2">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明显强调1"/>
    <w:qFormat/>
    <w:uiPriority w:val="0"/>
    <w:rPr>
      <w:b/>
      <w:bCs/>
      <w:i/>
      <w:iCs/>
      <w:color w:val="4F81BD"/>
    </w:rPr>
  </w:style>
  <w:style w:type="character" w:customStyle="1" w:styleId="146">
    <w:name w:val="不明显参考1"/>
    <w:qFormat/>
    <w:uiPriority w:val="0"/>
    <w:rPr>
      <w:smallCaps/>
      <w:color w:val="C0504D"/>
      <w:u w:val="single"/>
    </w:rPr>
  </w:style>
  <w:style w:type="character" w:customStyle="1" w:styleId="147">
    <w:name w:val="明显参考1"/>
    <w:qFormat/>
    <w:uiPriority w:val="0"/>
    <w:rPr>
      <w:b/>
      <w:bCs/>
      <w:smallCaps/>
      <w:color w:val="C0504D"/>
      <w:spacing w:val="5"/>
      <w:u w:val="single"/>
    </w:rPr>
  </w:style>
  <w:style w:type="character" w:customStyle="1" w:styleId="148">
    <w:name w:val="书籍标题1"/>
    <w:qFormat/>
    <w:uiPriority w:val="0"/>
    <w:rPr>
      <w:b/>
      <w:bCs/>
      <w:smallCaps/>
      <w:spacing w:val="5"/>
    </w:rPr>
  </w:style>
  <w:style w:type="character" w:customStyle="1" w:styleId="149">
    <w:name w:val="hover3"/>
    <w:qFormat/>
    <w:uiPriority w:val="0"/>
    <w:rPr>
      <w:shd w:val="clear" w:color="auto" w:fill="EEEEEE"/>
    </w:rPr>
  </w:style>
  <w:style w:type="character" w:customStyle="1" w:styleId="150">
    <w:name w:val="引用 Char1"/>
    <w:qFormat/>
    <w:uiPriority w:val="99"/>
    <w:rPr>
      <w:i/>
      <w:iCs/>
      <w:color w:val="000000"/>
      <w:kern w:val="2"/>
      <w:sz w:val="21"/>
      <w:szCs w:val="24"/>
    </w:rPr>
  </w:style>
  <w:style w:type="character" w:customStyle="1" w:styleId="151">
    <w:name w:val="副标题 Char1"/>
    <w:qFormat/>
    <w:uiPriority w:val="0"/>
    <w:rPr>
      <w:rFonts w:hint="default" w:ascii="Cambria" w:hAnsi="Cambria" w:cs="Times New Roman"/>
      <w:b/>
      <w:bCs/>
      <w:kern w:val="28"/>
      <w:sz w:val="32"/>
      <w:szCs w:val="32"/>
    </w:rPr>
  </w:style>
  <w:style w:type="character" w:customStyle="1" w:styleId="152">
    <w:name w:val="明显引用 Char1"/>
    <w:basedOn w:val="45"/>
    <w:qFormat/>
    <w:uiPriority w:val="99"/>
    <w:rPr>
      <w:b/>
      <w:bCs/>
      <w:i/>
      <w:iCs/>
      <w:color w:val="5B9BD5" w:themeColor="accent1"/>
      <w:kern w:val="2"/>
      <w:sz w:val="21"/>
      <w:szCs w:val="24"/>
      <w14:textFill>
        <w14:solidFill>
          <w14:schemeClr w14:val="accent1"/>
        </w14:solidFill>
      </w14:textFill>
    </w:rPr>
  </w:style>
  <w:style w:type="character" w:customStyle="1" w:styleId="153">
    <w:name w:val="批注文字 Char1"/>
    <w:basedOn w:val="45"/>
    <w:qFormat/>
    <w:uiPriority w:val="0"/>
    <w:rPr>
      <w:kern w:val="2"/>
      <w:sz w:val="21"/>
      <w:szCs w:val="24"/>
    </w:rPr>
  </w:style>
  <w:style w:type="character" w:customStyle="1" w:styleId="154">
    <w:name w:val="日期 Char1"/>
    <w:basedOn w:val="45"/>
    <w:qFormat/>
    <w:uiPriority w:val="0"/>
    <w:rPr>
      <w:kern w:val="2"/>
      <w:sz w:val="21"/>
      <w:szCs w:val="24"/>
    </w:rPr>
  </w:style>
  <w:style w:type="character" w:customStyle="1" w:styleId="155">
    <w:name w:val="副标题 Char2"/>
    <w:basedOn w:val="45"/>
    <w:qFormat/>
    <w:uiPriority w:val="11"/>
    <w:rPr>
      <w:rFonts w:hint="default" w:asciiTheme="majorHAnsi" w:hAnsiTheme="majorHAnsi" w:cstheme="majorBidi"/>
      <w:b/>
      <w:bCs/>
      <w:kern w:val="28"/>
      <w:sz w:val="32"/>
      <w:szCs w:val="32"/>
    </w:rPr>
  </w:style>
  <w:style w:type="character" w:customStyle="1" w:styleId="156">
    <w:name w:val="文档结构图 Char1"/>
    <w:qFormat/>
    <w:uiPriority w:val="0"/>
    <w:rPr>
      <w:rFonts w:hint="eastAsia" w:ascii="宋体" w:hAnsi="宋体" w:eastAsia="宋体"/>
      <w:kern w:val="2"/>
      <w:sz w:val="18"/>
      <w:szCs w:val="18"/>
    </w:rPr>
  </w:style>
  <w:style w:type="character" w:customStyle="1" w:styleId="157">
    <w:name w:val="批注框文本 Char1"/>
    <w:qFormat/>
    <w:uiPriority w:val="0"/>
    <w:rPr>
      <w:kern w:val="2"/>
      <w:sz w:val="18"/>
      <w:szCs w:val="18"/>
    </w:rPr>
  </w:style>
  <w:style w:type="character" w:customStyle="1" w:styleId="158">
    <w:name w:val="button"/>
    <w:basedOn w:val="45"/>
    <w:qFormat/>
    <w:uiPriority w:val="0"/>
  </w:style>
  <w:style w:type="character" w:customStyle="1" w:styleId="159">
    <w:name w:val="标题4 Char Char"/>
    <w:qFormat/>
    <w:uiPriority w:val="0"/>
    <w:rPr>
      <w:rFonts w:hint="default" w:ascii="Arial" w:hAnsi="Arial" w:cs="Arial"/>
      <w:b/>
      <w:bCs/>
      <w:sz w:val="24"/>
      <w:szCs w:val="32"/>
    </w:rPr>
  </w:style>
  <w:style w:type="character" w:customStyle="1" w:styleId="160">
    <w:name w:val="标题 Char1"/>
    <w:basedOn w:val="45"/>
    <w:qFormat/>
    <w:uiPriority w:val="10"/>
    <w:rPr>
      <w:rFonts w:hint="default" w:asciiTheme="majorHAnsi" w:hAnsiTheme="majorHAnsi" w:cstheme="majorBidi"/>
      <w:b/>
      <w:bCs/>
      <w:kern w:val="2"/>
      <w:sz w:val="32"/>
      <w:szCs w:val="32"/>
    </w:rPr>
  </w:style>
  <w:style w:type="character" w:customStyle="1" w:styleId="161">
    <w:name w:val="bds_nopic2"/>
    <w:qFormat/>
    <w:uiPriority w:val="0"/>
    <w:rPr>
      <w:rFonts w:hint="default" w:ascii="Times New Roman" w:hAnsi="Times New Roman" w:eastAsia="宋体" w:cs="Times New Roman"/>
    </w:rPr>
  </w:style>
  <w:style w:type="character" w:customStyle="1" w:styleId="162">
    <w:name w:val="tmpztreemove_arrow"/>
    <w:qFormat/>
    <w:uiPriority w:val="0"/>
    <w:rPr>
      <w:shd w:val="clear" w:color="auto" w:fill="FFFFFF"/>
    </w:rPr>
  </w:style>
  <w:style w:type="character" w:customStyle="1" w:styleId="163">
    <w:name w:val="批注文字 Char Char"/>
    <w:qFormat/>
    <w:uiPriority w:val="0"/>
    <w:rPr>
      <w:rFonts w:hint="eastAsia" w:ascii="宋体" w:hAnsi="Times New Roman" w:eastAsia="宋体" w:cs="Times New Roman"/>
      <w:sz w:val="28"/>
      <w:szCs w:val="20"/>
    </w:rPr>
  </w:style>
  <w:style w:type="character" w:customStyle="1" w:styleId="164">
    <w:name w:val="正文文本 Char1"/>
    <w:basedOn w:val="45"/>
    <w:qFormat/>
    <w:uiPriority w:val="0"/>
    <w:rPr>
      <w:kern w:val="2"/>
      <w:sz w:val="21"/>
      <w:szCs w:val="24"/>
    </w:rPr>
  </w:style>
  <w:style w:type="character" w:customStyle="1" w:styleId="165">
    <w:name w:val="Char Char Char Char Char Char Char Char Char"/>
    <w:qFormat/>
    <w:uiPriority w:val="0"/>
    <w:rPr>
      <w:sz w:val="18"/>
      <w:szCs w:val="18"/>
    </w:rPr>
  </w:style>
  <w:style w:type="character" w:customStyle="1" w:styleId="166">
    <w:name w:val="glyphicon4"/>
    <w:basedOn w:val="45"/>
    <w:qFormat/>
    <w:uiPriority w:val="0"/>
  </w:style>
  <w:style w:type="character" w:customStyle="1" w:styleId="167">
    <w:name w:val="hour_pm"/>
    <w:basedOn w:val="45"/>
    <w:qFormat/>
    <w:uiPriority w:val="0"/>
  </w:style>
  <w:style w:type="character" w:customStyle="1" w:styleId="168">
    <w:name w:val="rili11"/>
    <w:qFormat/>
    <w:uiPriority w:val="0"/>
    <w:rPr>
      <w:sz w:val="21"/>
      <w:szCs w:val="21"/>
    </w:rPr>
  </w:style>
  <w:style w:type="character" w:customStyle="1" w:styleId="169">
    <w:name w:val="普通文字1 Char"/>
    <w:qFormat/>
    <w:uiPriority w:val="0"/>
    <w:rPr>
      <w:rFonts w:hint="eastAsia" w:ascii="宋体" w:hAnsi="Courier New" w:eastAsia="宋体"/>
      <w:kern w:val="2"/>
      <w:sz w:val="21"/>
      <w:lang w:val="en-US" w:eastAsia="zh-CN" w:bidi="ar-SA"/>
    </w:rPr>
  </w:style>
  <w:style w:type="character" w:customStyle="1" w:styleId="170">
    <w:name w:val="hour_am"/>
    <w:basedOn w:val="45"/>
    <w:qFormat/>
    <w:uiPriority w:val="0"/>
  </w:style>
  <w:style w:type="character" w:customStyle="1" w:styleId="171">
    <w:name w:val="Char Char"/>
    <w:qFormat/>
    <w:uiPriority w:val="0"/>
    <w:rPr>
      <w:sz w:val="18"/>
      <w:szCs w:val="18"/>
    </w:rPr>
  </w:style>
  <w:style w:type="character" w:customStyle="1" w:styleId="172">
    <w:name w:val="old"/>
    <w:qFormat/>
    <w:uiPriority w:val="0"/>
    <w:rPr>
      <w:color w:val="999999"/>
    </w:rPr>
  </w:style>
  <w:style w:type="character" w:customStyle="1" w:styleId="173">
    <w:name w:val="批注主题 Char1"/>
    <w:qFormat/>
    <w:uiPriority w:val="0"/>
    <w:rPr>
      <w:b/>
      <w:bCs/>
      <w:kern w:val="2"/>
      <w:sz w:val="21"/>
      <w:szCs w:val="22"/>
    </w:rPr>
  </w:style>
  <w:style w:type="character" w:customStyle="1" w:styleId="174">
    <w:name w:val="引用 Char2"/>
    <w:basedOn w:val="45"/>
    <w:qFormat/>
    <w:uiPriority w:val="29"/>
    <w:rPr>
      <w:i/>
      <w:iCs/>
      <w:color w:val="000000" w:themeColor="text1"/>
      <w:kern w:val="2"/>
      <w:sz w:val="21"/>
      <w:szCs w:val="24"/>
      <w14:textFill>
        <w14:solidFill>
          <w14:schemeClr w14:val="tx1"/>
        </w14:solidFill>
      </w14:textFill>
    </w:rPr>
  </w:style>
  <w:style w:type="character" w:customStyle="1" w:styleId="175">
    <w:name w:val="Blockquote Char Char"/>
    <w:qFormat/>
    <w:locked/>
    <w:uiPriority w:val="0"/>
    <w:rPr>
      <w:sz w:val="24"/>
    </w:rPr>
  </w:style>
  <w:style w:type="character" w:customStyle="1" w:styleId="176">
    <w:name w:val="textcontents"/>
    <w:qFormat/>
    <w:uiPriority w:val="0"/>
    <w:rPr>
      <w:rFonts w:hint="default" w:ascii="Times New Roman" w:hAnsi="Times New Roman" w:cs="Times New Roman"/>
    </w:rPr>
  </w:style>
  <w:style w:type="character" w:customStyle="1" w:styleId="177">
    <w:name w:val="indent"/>
    <w:basedOn w:val="45"/>
    <w:qFormat/>
    <w:uiPriority w:val="0"/>
  </w:style>
  <w:style w:type="paragraph" w:customStyle="1" w:styleId="178">
    <w:name w:val="title11"/>
    <w:basedOn w:val="1"/>
    <w:qFormat/>
    <w:uiPriority w:val="0"/>
    <w:pPr>
      <w:spacing w:before="150" w:line="450" w:lineRule="atLeast"/>
      <w:jc w:val="left"/>
    </w:pPr>
    <w:rPr>
      <w:rFonts w:cs="Times New Roman"/>
      <w:b/>
      <w:kern w:val="0"/>
    </w:rPr>
  </w:style>
  <w:style w:type="character" w:customStyle="1" w:styleId="179">
    <w:name w:val="span-long"/>
    <w:basedOn w:val="45"/>
    <w:qFormat/>
    <w:uiPriority w:val="0"/>
  </w:style>
  <w:style w:type="character" w:customStyle="1" w:styleId="180">
    <w:name w:val="stclosebtn"/>
    <w:basedOn w:val="45"/>
    <w:qFormat/>
    <w:uiPriority w:val="0"/>
  </w:style>
  <w:style w:type="character" w:customStyle="1" w:styleId="181">
    <w:name w:val="proollist"/>
    <w:basedOn w:val="45"/>
    <w:qFormat/>
    <w:uiPriority w:val="0"/>
  </w:style>
  <w:style w:type="character" w:customStyle="1" w:styleId="182">
    <w:name w:val="input-direction"/>
    <w:basedOn w:val="45"/>
    <w:qFormat/>
    <w:uiPriority w:val="0"/>
    <w:rPr>
      <w:color w:val="FF6600"/>
    </w:rPr>
  </w:style>
  <w:style w:type="character" w:customStyle="1" w:styleId="183">
    <w:name w:val="beforeinfotext"/>
    <w:basedOn w:val="45"/>
    <w:qFormat/>
    <w:uiPriority w:val="0"/>
    <w:rPr>
      <w:color w:val="666666"/>
    </w:rPr>
  </w:style>
  <w:style w:type="character" w:customStyle="1" w:styleId="184">
    <w:name w:val="hilite6"/>
    <w:basedOn w:val="45"/>
    <w:qFormat/>
    <w:uiPriority w:val="0"/>
    <w:rPr>
      <w:color w:val="FFFFFF"/>
      <w:shd w:val="clear" w:color="auto" w:fill="666677"/>
    </w:rPr>
  </w:style>
  <w:style w:type="character" w:customStyle="1" w:styleId="185">
    <w:name w:val="phone"/>
    <w:basedOn w:val="45"/>
    <w:qFormat/>
    <w:uiPriority w:val="0"/>
    <w:rPr>
      <w:color w:val="FF8833"/>
      <w:sz w:val="18"/>
      <w:szCs w:val="18"/>
    </w:rPr>
  </w:style>
  <w:style w:type="character" w:customStyle="1" w:styleId="186">
    <w:name w:val="number"/>
    <w:basedOn w:val="45"/>
    <w:qFormat/>
    <w:uiPriority w:val="0"/>
    <w:rPr>
      <w:color w:val="FF8833"/>
      <w:sz w:val="18"/>
      <w:szCs w:val="18"/>
    </w:rPr>
  </w:style>
  <w:style w:type="character" w:customStyle="1" w:styleId="187">
    <w:name w:val="active6"/>
    <w:basedOn w:val="45"/>
    <w:qFormat/>
    <w:uiPriority w:val="0"/>
    <w:rPr>
      <w:color w:val="00FF00"/>
      <w:shd w:val="clear" w:color="auto" w:fill="000000"/>
    </w:rPr>
  </w:style>
  <w:style w:type="character" w:customStyle="1" w:styleId="188">
    <w:name w:val="hilite"/>
    <w:basedOn w:val="45"/>
    <w:qFormat/>
    <w:uiPriority w:val="0"/>
    <w:rPr>
      <w:color w:val="FFFFFF"/>
      <w:shd w:val="clear" w:color="auto" w:fill="666677"/>
    </w:rPr>
  </w:style>
  <w:style w:type="character" w:customStyle="1" w:styleId="189">
    <w:name w:val="active"/>
    <w:basedOn w:val="45"/>
    <w:qFormat/>
    <w:uiPriority w:val="0"/>
    <w:rPr>
      <w:color w:val="00FF00"/>
      <w:shd w:val="clear" w:color="auto" w:fill="000000"/>
    </w:rPr>
  </w:style>
  <w:style w:type="paragraph" w:customStyle="1" w:styleId="190">
    <w:name w:val="title12"/>
    <w:basedOn w:val="1"/>
    <w:qFormat/>
    <w:uiPriority w:val="0"/>
    <w:pPr>
      <w:spacing w:before="150"/>
      <w:ind w:firstLine="0"/>
      <w:jc w:val="left"/>
    </w:pPr>
    <w:rPr>
      <w:rFonts w:cs="Times New Roman"/>
      <w:b/>
      <w:kern w:val="0"/>
      <w:sz w:val="22"/>
      <w:szCs w:val="22"/>
    </w:rPr>
  </w:style>
  <w:style w:type="character" w:customStyle="1" w:styleId="191">
    <w:name w:val="NormalCharacter"/>
    <w:semiHidden/>
    <w:qFormat/>
    <w:uiPriority w:val="0"/>
    <w:rPr>
      <w:rFonts w:eastAsia="楷体" w:asciiTheme="minorHAnsi" w:hAnsiTheme="minorHAnsi" w:cstheme="minorBidi"/>
      <w:kern w:val="2"/>
      <w:sz w:val="24"/>
      <w:szCs w:val="24"/>
      <w:lang w:val="en-US" w:eastAsia="zh-CN" w:bidi="ar-SA"/>
    </w:rPr>
  </w:style>
  <w:style w:type="character" w:customStyle="1" w:styleId="192">
    <w:name w:val="UserStyle_11"/>
    <w:basedOn w:val="191"/>
    <w:qFormat/>
    <w:uiPriority w:val="0"/>
    <w:rPr>
      <w:rFonts w:ascii="宋体" w:hAnsi="宋体" w:eastAsia="宋体" w:cstheme="minorBidi"/>
      <w:color w:val="000000"/>
      <w:kern w:val="2"/>
      <w:sz w:val="21"/>
      <w:szCs w:val="21"/>
      <w:lang w:val="en-US" w:eastAsia="zh-CN" w:bidi="ar-SA"/>
    </w:rPr>
  </w:style>
  <w:style w:type="character" w:customStyle="1" w:styleId="193">
    <w:name w:val="font01"/>
    <w:basedOn w:val="45"/>
    <w:qFormat/>
    <w:uiPriority w:val="0"/>
    <w:rPr>
      <w:rFonts w:hint="eastAsia" w:ascii="宋体" w:hAnsi="宋体" w:eastAsia="宋体" w:cs="宋体"/>
      <w:b/>
      <w:color w:val="000000"/>
      <w:sz w:val="18"/>
      <w:szCs w:val="18"/>
      <w:u w:val="none"/>
    </w:rPr>
  </w:style>
  <w:style w:type="paragraph" w:customStyle="1" w:styleId="194">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95">
    <w:name w:val="Subtle Emphasis"/>
    <w:basedOn w:val="45"/>
    <w:qFormat/>
    <w:uiPriority w:val="19"/>
    <w:rPr>
      <w:i/>
      <w:iCs/>
      <w:color w:val="404040" w:themeColor="text1" w:themeTint="BF"/>
      <w14:textFill>
        <w14:solidFill>
          <w14:schemeClr w14:val="tx1">
            <w14:lumMod w14:val="75000"/>
            <w14:lumOff w14:val="25000"/>
          </w14:schemeClr>
        </w14:solidFill>
      </w14:textFill>
    </w:rPr>
  </w:style>
  <w:style w:type="character" w:customStyle="1" w:styleId="196">
    <w:name w:val="标题 2 Char"/>
    <w:link w:val="4"/>
    <w:qFormat/>
    <w:uiPriority w:val="9"/>
    <w:rPr>
      <w:rFonts w:ascii="Arial" w:hAnsi="Arial" w:eastAsia="黑体"/>
      <w:b/>
      <w:sz w:val="30"/>
    </w:rPr>
  </w:style>
  <w:style w:type="paragraph" w:customStyle="1" w:styleId="197">
    <w:name w:val="Heading #1|1"/>
    <w:basedOn w:val="1"/>
    <w:qFormat/>
    <w:uiPriority w:val="0"/>
    <w:pPr>
      <w:widowControl w:val="0"/>
      <w:shd w:val="clear" w:color="auto" w:fill="auto"/>
      <w:spacing w:after="120" w:line="1133" w:lineRule="exact"/>
      <w:jc w:val="center"/>
      <w:outlineLvl w:val="0"/>
    </w:pPr>
    <w:rPr>
      <w:rFonts w:ascii="宋体" w:hAnsi="宋体" w:eastAsia="宋体" w:cs="宋体"/>
      <w:sz w:val="56"/>
      <w:szCs w:val="56"/>
      <w:u w:val="none"/>
      <w:shd w:val="clear" w:color="auto" w:fill="auto"/>
      <w:lang w:val="zh-TW" w:eastAsia="zh-TW" w:bidi="zh-TW"/>
    </w:rPr>
  </w:style>
  <w:style w:type="paragraph" w:customStyle="1" w:styleId="198">
    <w:name w:val="Body text|3"/>
    <w:basedOn w:val="1"/>
    <w:qFormat/>
    <w:uiPriority w:val="0"/>
    <w:pPr>
      <w:widowControl w:val="0"/>
      <w:shd w:val="clear" w:color="auto" w:fill="auto"/>
      <w:spacing w:line="317" w:lineRule="auto"/>
      <w:jc w:val="center"/>
    </w:pPr>
    <w:rPr>
      <w:sz w:val="30"/>
      <w:szCs w:val="30"/>
      <w:u w:val="none"/>
      <w:shd w:val="clear" w:color="auto" w:fill="auto"/>
    </w:rPr>
  </w:style>
  <w:style w:type="paragraph" w:customStyle="1" w:styleId="199">
    <w:name w:val="Body text|4"/>
    <w:basedOn w:val="1"/>
    <w:qFormat/>
    <w:uiPriority w:val="0"/>
    <w:pPr>
      <w:widowControl w:val="0"/>
      <w:shd w:val="clear" w:color="auto" w:fill="auto"/>
      <w:spacing w:after="1200" w:line="295" w:lineRule="auto"/>
    </w:pPr>
    <w:rPr>
      <w:rFonts w:ascii="宋体" w:hAnsi="宋体" w:eastAsia="宋体" w:cs="宋体"/>
      <w:sz w:val="30"/>
      <w:szCs w:val="30"/>
      <w:u w:val="none"/>
      <w:shd w:val="clear" w:color="auto" w:fill="auto"/>
      <w:lang w:val="zh-TW" w:eastAsia="zh-TW" w:bidi="zh-TW"/>
    </w:rPr>
  </w:style>
  <w:style w:type="paragraph" w:customStyle="1" w:styleId="200">
    <w:name w:val="Heading #2|1"/>
    <w:basedOn w:val="1"/>
    <w:qFormat/>
    <w:uiPriority w:val="0"/>
    <w:pPr>
      <w:widowControl w:val="0"/>
      <w:shd w:val="clear" w:color="auto" w:fill="auto"/>
      <w:spacing w:after="380"/>
      <w:jc w:val="center"/>
      <w:outlineLvl w:val="1"/>
    </w:pPr>
    <w:rPr>
      <w:rFonts w:ascii="宋体" w:hAnsi="宋体" w:eastAsia="宋体" w:cs="宋体"/>
      <w:sz w:val="36"/>
      <w:szCs w:val="36"/>
      <w:u w:val="none"/>
      <w:shd w:val="clear" w:color="auto" w:fill="auto"/>
      <w:lang w:val="zh-TW" w:eastAsia="zh-TW" w:bidi="zh-TW"/>
    </w:rPr>
  </w:style>
  <w:style w:type="paragraph" w:customStyle="1" w:styleId="201">
    <w:name w:val="Body text|1"/>
    <w:basedOn w:val="1"/>
    <w:qFormat/>
    <w:uiPriority w:val="0"/>
    <w:pPr>
      <w:widowControl w:val="0"/>
      <w:shd w:val="clear" w:color="auto" w:fill="auto"/>
      <w:spacing w:line="391" w:lineRule="auto"/>
      <w:ind w:firstLine="400"/>
    </w:pPr>
    <w:rPr>
      <w:rFonts w:ascii="宋体" w:hAnsi="宋体" w:eastAsia="宋体" w:cs="宋体"/>
      <w:sz w:val="22"/>
      <w:szCs w:val="22"/>
      <w:u w:val="none"/>
      <w:shd w:val="clear" w:color="auto" w:fill="auto"/>
      <w:lang w:val="zh-TW" w:eastAsia="zh-TW" w:bidi="zh-TW"/>
    </w:rPr>
  </w:style>
  <w:style w:type="paragraph" w:customStyle="1" w:styleId="202">
    <w:name w:val="Other|1"/>
    <w:basedOn w:val="1"/>
    <w:qFormat/>
    <w:uiPriority w:val="0"/>
    <w:pPr>
      <w:widowControl w:val="0"/>
      <w:shd w:val="clear" w:color="auto" w:fill="auto"/>
      <w:spacing w:line="391" w:lineRule="auto"/>
      <w:ind w:firstLine="400"/>
    </w:pPr>
    <w:rPr>
      <w:rFonts w:ascii="宋体" w:hAnsi="宋体" w:eastAsia="宋体" w:cs="宋体"/>
      <w:sz w:val="22"/>
      <w:szCs w:val="22"/>
      <w:u w:val="none"/>
      <w:shd w:val="clear" w:color="auto" w:fill="auto"/>
      <w:lang w:val="zh-TW" w:eastAsia="zh-TW" w:bidi="zh-TW"/>
    </w:rPr>
  </w:style>
  <w:style w:type="paragraph" w:customStyle="1" w:styleId="203">
    <w:name w:val="Table caption|1"/>
    <w:basedOn w:val="1"/>
    <w:qFormat/>
    <w:uiPriority w:val="0"/>
    <w:pPr>
      <w:widowControl w:val="0"/>
      <w:shd w:val="clear" w:color="auto" w:fill="auto"/>
      <w:spacing w:line="490" w:lineRule="exact"/>
      <w:ind w:firstLine="620"/>
    </w:pPr>
    <w:rPr>
      <w:rFonts w:ascii="宋体" w:hAnsi="宋体" w:eastAsia="宋体" w:cs="宋体"/>
      <w:sz w:val="22"/>
      <w:szCs w:val="22"/>
      <w:u w:val="none"/>
      <w:shd w:val="clear" w:color="auto" w:fill="auto"/>
      <w:lang w:val="zh-TW" w:eastAsia="zh-TW" w:bidi="zh-TW"/>
    </w:rPr>
  </w:style>
  <w:style w:type="paragraph" w:customStyle="1" w:styleId="204">
    <w:name w:val="Body text|2"/>
    <w:basedOn w:val="1"/>
    <w:qFormat/>
    <w:uiPriority w:val="0"/>
    <w:pPr>
      <w:widowControl w:val="0"/>
      <w:shd w:val="clear" w:color="auto" w:fill="auto"/>
      <w:spacing w:after="100"/>
      <w:ind w:firstLine="540"/>
    </w:pPr>
    <w:rPr>
      <w:sz w:val="17"/>
      <w:szCs w:val="17"/>
      <w:u w:val="none"/>
      <w:shd w:val="clear" w:color="auto" w:fill="auto"/>
    </w:rPr>
  </w:style>
  <w:style w:type="paragraph" w:customStyle="1" w:styleId="205">
    <w:name w:val="正文缩进1"/>
    <w:basedOn w:val="1"/>
    <w:qFormat/>
    <w:uiPriority w:val="0"/>
    <w:pPr>
      <w:ind w:firstLine="420" w:firstLineChars="200"/>
    </w:pPr>
  </w:style>
  <w:style w:type="paragraph" w:customStyle="1" w:styleId="20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Heading #4|1"/>
    <w:basedOn w:val="1"/>
    <w:qFormat/>
    <w:uiPriority w:val="0"/>
    <w:pPr>
      <w:spacing w:after="140" w:line="396" w:lineRule="exact"/>
      <w:ind w:firstLine="480"/>
      <w:outlineLvl w:val="3"/>
    </w:pPr>
    <w:rPr>
      <w:rFonts w:ascii="宋体" w:hAnsi="宋体" w:eastAsia="宋体" w:cs="宋体"/>
      <w:b/>
      <w:bCs/>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5027E-F85E-430E-91C6-90CB43D71FD8}">
  <ds:schemaRefs/>
</ds:datastoreItem>
</file>

<file path=docProps/app.xml><?xml version="1.0" encoding="utf-8"?>
<Properties xmlns="http://schemas.openxmlformats.org/officeDocument/2006/extended-properties" xmlns:vt="http://schemas.openxmlformats.org/officeDocument/2006/docPropsVTypes">
  <Template>Normal</Template>
  <Pages>59</Pages>
  <Words>24225</Words>
  <Characters>25534</Characters>
  <Lines>172</Lines>
  <Paragraphs>48</Paragraphs>
  <TotalTime>30</TotalTime>
  <ScaleCrop>false</ScaleCrop>
  <LinksUpToDate>false</LinksUpToDate>
  <CharactersWithSpaces>29070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2022-07-03T10:46:00Z</dcterms:created>
  <dc:creator>Administrator</dc:creator>
  <cp:lastModifiedBy>向左走向右走i</cp:lastModifiedBy>
  <cp:lastPrinted>2022-04-22T05:37:00Z</cp:lastPrinted>
  <dcterms:modified xsi:type="dcterms:W3CDTF">2023-06-27T03:06:25Z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172D70B5068644A4A4F58C95E972640E</vt:lpwstr>
  </property>
  <property fmtid="{D5CDD505-2E9C-101B-9397-08002B2CF9AE}" pid="4" name="commondata">
    <vt:lpwstr>eyJoZGlkIjoiYTRhNTRmZWJhMTZhMGI4NTIwNzY3MmY4OGE4OTA2NmYifQ==</vt:lpwstr>
  </property>
</Properties>
</file>