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bidi="zh-TW"/>
        </w:rPr>
      </w:pPr>
      <w:r>
        <w:rPr>
          <w:rFonts w:hint="eastAsia" w:ascii="宋体" w:hAnsi="宋体" w:cs="宋体"/>
          <w:b/>
          <w:bCs/>
          <w:color w:val="000000"/>
          <w:sz w:val="32"/>
          <w:szCs w:val="32"/>
          <w:lang w:eastAsia="zh-CN" w:bidi="zh-TW"/>
        </w:rPr>
        <w:t>采购</w:t>
      </w:r>
      <w:r>
        <w:rPr>
          <w:rFonts w:hint="eastAsia" w:ascii="宋体" w:hAnsi="宋体" w:eastAsia="宋体" w:cs="宋体"/>
          <w:b/>
          <w:bCs/>
          <w:color w:val="000000"/>
          <w:sz w:val="32"/>
          <w:szCs w:val="32"/>
          <w:lang w:bidi="zh-TW"/>
        </w:rPr>
        <w:t>需求</w:t>
      </w:r>
    </w:p>
    <w:p>
      <w:pPr>
        <w:spacing w:line="360" w:lineRule="auto"/>
        <w:rPr>
          <w:rFonts w:hint="eastAsia" w:ascii="宋体" w:hAnsi="宋体" w:eastAsia="宋体" w:cs="宋体"/>
          <w:sz w:val="24"/>
          <w:szCs w:val="24"/>
          <w:lang w:bidi="zh-TW"/>
        </w:rPr>
      </w:pPr>
      <w:r>
        <w:rPr>
          <w:rFonts w:hint="eastAsia" w:ascii="宋体" w:hAnsi="宋体" w:eastAsia="宋体" w:cs="宋体"/>
          <w:color w:val="000000"/>
          <w:sz w:val="24"/>
          <w:szCs w:val="24"/>
          <w:lang w:bidi="zh-TW"/>
        </w:rPr>
        <w:t>一、项目概况</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cs="宋体"/>
          <w:color w:val="000000"/>
          <w:sz w:val="24"/>
          <w:szCs w:val="24"/>
          <w:lang w:eastAsia="zh-CN" w:bidi="zh-TW"/>
        </w:rPr>
        <w:t>西安市碑林区大学南路小学教师办公桌椅及多功能教室桌椅项目</w:t>
      </w:r>
      <w:r>
        <w:rPr>
          <w:rFonts w:hint="eastAsia" w:ascii="宋体" w:hAnsi="宋体" w:eastAsia="宋体" w:cs="宋体"/>
          <w:color w:val="000000"/>
          <w:sz w:val="24"/>
          <w:szCs w:val="24"/>
          <w:lang w:bidi="zh-TW"/>
        </w:rPr>
        <w:t>，项目位于西安市碑林区。本</w:t>
      </w:r>
      <w:r>
        <w:rPr>
          <w:rFonts w:hint="eastAsia" w:ascii="宋体" w:hAnsi="宋体" w:eastAsia="宋体" w:cs="宋体"/>
          <w:color w:val="000000"/>
          <w:sz w:val="24"/>
          <w:szCs w:val="24"/>
          <w:lang w:val="en-US" w:eastAsia="zh-CN" w:bidi="zh-TW"/>
        </w:rPr>
        <w:t>项目</w:t>
      </w:r>
      <w:r>
        <w:rPr>
          <w:rFonts w:hint="eastAsia" w:ascii="宋体" w:hAnsi="宋体" w:eastAsia="宋体" w:cs="宋体"/>
          <w:color w:val="000000"/>
          <w:sz w:val="24"/>
          <w:szCs w:val="24"/>
          <w:lang w:bidi="zh-TW"/>
        </w:rPr>
        <w:t>包含西安市碑林区大学南路小学教师办公桌椅及多功能教室桌椅项目</w:t>
      </w:r>
      <w:r>
        <w:rPr>
          <w:rFonts w:hint="eastAsia" w:ascii="宋体" w:hAnsi="宋体" w:eastAsia="宋体" w:cs="宋体"/>
          <w:color w:val="000000"/>
          <w:sz w:val="24"/>
          <w:szCs w:val="24"/>
          <w:lang w:val="en-US" w:eastAsia="zh-CN" w:bidi="zh-TW"/>
        </w:rPr>
        <w:t>招标文件</w:t>
      </w:r>
      <w:r>
        <w:rPr>
          <w:rFonts w:hint="eastAsia" w:ascii="宋体" w:hAnsi="宋体" w:eastAsia="宋体" w:cs="宋体"/>
          <w:color w:val="000000"/>
          <w:sz w:val="24"/>
          <w:szCs w:val="24"/>
          <w:lang w:bidi="zh-TW"/>
        </w:rPr>
        <w:t>的全部内容。</w:t>
      </w:r>
    </w:p>
    <w:p>
      <w:pPr>
        <w:numPr>
          <w:ilvl w:val="0"/>
          <w:numId w:val="1"/>
        </w:numPr>
        <w:spacing w:line="360" w:lineRule="auto"/>
        <w:rPr>
          <w:rFonts w:hint="eastAsia" w:ascii="宋体" w:hAnsi="宋体" w:eastAsia="宋体" w:cs="宋体"/>
          <w:color w:val="000000"/>
          <w:sz w:val="24"/>
          <w:szCs w:val="24"/>
          <w:highlight w:val="none"/>
          <w:lang w:bidi="zh-TW"/>
        </w:rPr>
      </w:pPr>
      <w:r>
        <w:rPr>
          <w:rFonts w:hint="eastAsia" w:ascii="宋体" w:hAnsi="宋体" w:eastAsia="宋体" w:cs="宋体"/>
          <w:color w:val="000000"/>
          <w:sz w:val="24"/>
          <w:szCs w:val="24"/>
          <w:highlight w:val="none"/>
          <w:lang w:bidi="zh-TW"/>
        </w:rPr>
        <w:t>采购内容</w:t>
      </w: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lang w:eastAsia="zh-CN"/>
        </w:rPr>
        <w:tab/>
      </w:r>
    </w:p>
    <w:tbl>
      <w:tblPr>
        <w:tblStyle w:val="4"/>
        <w:tblW w:w="8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
        <w:gridCol w:w="725"/>
        <w:gridCol w:w="2066"/>
        <w:gridCol w:w="531"/>
        <w:gridCol w:w="381"/>
        <w:gridCol w:w="4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297"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20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图片</w:t>
            </w:r>
            <w:r>
              <w:rPr>
                <w:rFonts w:hint="eastAsia" w:ascii="宋体" w:hAnsi="宋体" w:cs="宋体"/>
                <w:b/>
                <w:bCs/>
                <w:i w:val="0"/>
                <w:iCs w:val="0"/>
                <w:color w:val="000000"/>
                <w:kern w:val="0"/>
                <w:sz w:val="18"/>
                <w:szCs w:val="18"/>
                <w:u w:val="none"/>
                <w:lang w:val="en-US" w:eastAsia="zh-CN" w:bidi="ar"/>
              </w:rPr>
              <w:t>（仅供参考）</w:t>
            </w:r>
          </w:p>
        </w:tc>
        <w:tc>
          <w:tcPr>
            <w:tcW w:w="53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8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3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8" w:hRule="atLeast"/>
        </w:trPr>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教师工作位</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inline distT="0" distB="0" distL="114300" distR="114300">
                  <wp:extent cx="1311910" cy="1362710"/>
                  <wp:effectExtent l="0" t="0" r="2540" b="8890"/>
                  <wp:docPr id="130" name="图片_5"/>
                  <wp:cNvGraphicFramePr/>
                  <a:graphic xmlns:a="http://schemas.openxmlformats.org/drawingml/2006/main">
                    <a:graphicData uri="http://schemas.openxmlformats.org/drawingml/2006/picture">
                      <pic:pic xmlns:pic="http://schemas.openxmlformats.org/drawingml/2006/picture">
                        <pic:nvPicPr>
                          <pic:cNvPr id="130" name="图片_5"/>
                          <pic:cNvPicPr/>
                        </pic:nvPicPr>
                        <pic:blipFill>
                          <a:blip r:embed="rId4"/>
                          <a:stretch>
                            <a:fillRect/>
                          </a:stretch>
                        </pic:blipFill>
                        <pic:spPr>
                          <a:xfrm>
                            <a:off x="0" y="0"/>
                            <a:ext cx="1311910" cy="1362710"/>
                          </a:xfrm>
                          <a:prstGeom prst="rect">
                            <a:avLst/>
                          </a:prstGeom>
                          <a:noFill/>
                          <a:ln>
                            <a:noFill/>
                          </a:ln>
                        </pic:spPr>
                      </pic:pic>
                    </a:graphicData>
                  </a:graphic>
                </wp:inline>
              </w:drawing>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屏风规格：1300*1400*1200 台面板：1300*600&amp;1400*500：采用铝合金边框，屏风边框厚度为32MM挂扣式连接，规格1300*1200屏风分布方式为上为磨砂玻璃下为三聚氰胺板、规格1400*1200屏风分布方式为上下为三聚氰胺板，中间走线槽。桌面采用环保E1级三聚氰胺板，桌面边沿采用2MM厚pvc封边，外观圆润美观木纹拼接流畅,1400*1200屏风一侧桌面以上预留走线槽和86线盒底座，便于各种电器使用。台面板采用桌底托臂支撑固定、A柱上冲挂钩孔与托臂连接走线板的高度，走线槽的高度为136MM,能容纳更多线路。屏风底部有调节脚。铝合金主材厚度不小于1.5mm/辅材厚度不小于1.0mm（含活动钢柜：W390*D520*H600）（</w:t>
            </w:r>
            <w:r>
              <w:rPr>
                <w:rFonts w:hint="eastAsia"/>
                <w:lang w:val="en-US" w:eastAsia="zh-CN"/>
              </w:rPr>
              <w:t>★</w:t>
            </w:r>
            <w:r>
              <w:rPr>
                <w:rFonts w:hint="eastAsia" w:ascii="宋体" w:hAnsi="宋体" w:eastAsia="宋体" w:cs="宋体"/>
                <w:i w:val="0"/>
                <w:iCs w:val="0"/>
                <w:color w:val="000000"/>
                <w:kern w:val="0"/>
                <w:sz w:val="18"/>
                <w:szCs w:val="18"/>
                <w:u w:val="none"/>
                <w:lang w:val="en-US" w:eastAsia="zh-CN" w:bidi="ar"/>
              </w:rPr>
              <w:t>提供样品：单人位1组）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2" w:hRule="atLeast"/>
        </w:trPr>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inline distT="0" distB="0" distL="114300" distR="114300">
                  <wp:extent cx="1219200" cy="956945"/>
                  <wp:effectExtent l="0" t="0" r="0" b="14605"/>
                  <wp:docPr id="152" name="图片_6"/>
                  <wp:cNvGraphicFramePr/>
                  <a:graphic xmlns:a="http://schemas.openxmlformats.org/drawingml/2006/main">
                    <a:graphicData uri="http://schemas.openxmlformats.org/drawingml/2006/picture">
                      <pic:pic xmlns:pic="http://schemas.openxmlformats.org/drawingml/2006/picture">
                        <pic:nvPicPr>
                          <pic:cNvPr id="152" name="图片_6"/>
                          <pic:cNvPicPr/>
                        </pic:nvPicPr>
                        <pic:blipFill>
                          <a:blip r:embed="rId5"/>
                          <a:stretch>
                            <a:fillRect/>
                          </a:stretch>
                        </pic:blipFill>
                        <pic:spPr>
                          <a:xfrm>
                            <a:off x="0" y="0"/>
                            <a:ext cx="1219200" cy="956945"/>
                          </a:xfrm>
                          <a:prstGeom prst="rect">
                            <a:avLst/>
                          </a:prstGeom>
                          <a:noFill/>
                          <a:ln>
                            <a:noFill/>
                          </a:ln>
                        </pic:spPr>
                      </pic:pic>
                    </a:graphicData>
                  </a:graphic>
                </wp:inline>
              </w:drawing>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900*420*2000上下掩门，上为更衣柜设计，配挂衣杆。下柜配一个活动层板厚度25MM；板材：采用E1级三聚氰胺板，除顶板、底板厚度为25MM外其余为16MM.PVC封边厚度不小于2MM，上柜更衣柜采用密码锁，铝合金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4" w:hRule="atLeast"/>
        </w:trPr>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职员椅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inline distT="0" distB="0" distL="114300" distR="114300">
                  <wp:extent cx="874395" cy="1188085"/>
                  <wp:effectExtent l="0" t="0" r="1905" b="12065"/>
                  <wp:docPr id="136" name="Picture_24"/>
                  <wp:cNvGraphicFramePr/>
                  <a:graphic xmlns:a="http://schemas.openxmlformats.org/drawingml/2006/main">
                    <a:graphicData uri="http://schemas.openxmlformats.org/drawingml/2006/picture">
                      <pic:pic xmlns:pic="http://schemas.openxmlformats.org/drawingml/2006/picture">
                        <pic:nvPicPr>
                          <pic:cNvPr id="136" name="Picture_24"/>
                          <pic:cNvPicPr/>
                        </pic:nvPicPr>
                        <pic:blipFill>
                          <a:blip r:embed="rId6"/>
                          <a:stretch>
                            <a:fillRect/>
                          </a:stretch>
                        </pic:blipFill>
                        <pic:spPr>
                          <a:xfrm>
                            <a:off x="0" y="0"/>
                            <a:ext cx="874395" cy="1188085"/>
                          </a:xfrm>
                          <a:prstGeom prst="rect">
                            <a:avLst/>
                          </a:prstGeom>
                          <a:noFill/>
                          <a:ln>
                            <a:noFill/>
                          </a:ln>
                        </pic:spPr>
                      </pic:pic>
                    </a:graphicData>
                  </a:graphic>
                </wp:inline>
              </w:drawing>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椅背双框设计，采用优质环保尼龙材料加25%玻璃纤维注塑而成，背部面料采用高强度复合型网布；椅背与扶手连接处采用铝合金机构链接，内置弹簧装置，可实现椅背15°逍遥功能；一体式扶手椅架，基材采用直径25MM冷轧圆形钢管，壁厚2.0MM，弯位处内置加强钢制套管，主架表面采用静电喷涂工艺，喷涂厚度达100μ，扶手面采用优质环保聚丙烯材料注塑而成，椅座基材采用45密度高回弹定型海绵，采用高弹力网布作为椅座面料；椅座底木板为14MM厚多层板，椅座拥有座底壳，座底壳采用高强度优质环保聚丙烯材料注塑而成，椅座底部拥有防尘盖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礼堂椅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inline distT="0" distB="0" distL="114300" distR="114300">
                  <wp:extent cx="1251585" cy="1127760"/>
                  <wp:effectExtent l="0" t="0" r="5715" b="15240"/>
                  <wp:docPr id="135" name="图片_7"/>
                  <wp:cNvGraphicFramePr/>
                  <a:graphic xmlns:a="http://schemas.openxmlformats.org/drawingml/2006/main">
                    <a:graphicData uri="http://schemas.openxmlformats.org/drawingml/2006/picture">
                      <pic:pic xmlns:pic="http://schemas.openxmlformats.org/drawingml/2006/picture">
                        <pic:nvPicPr>
                          <pic:cNvPr id="135" name="图片_7"/>
                          <pic:cNvPicPr/>
                        </pic:nvPicPr>
                        <pic:blipFill>
                          <a:blip r:embed="rId7"/>
                          <a:stretch>
                            <a:fillRect/>
                          </a:stretch>
                        </pic:blipFill>
                        <pic:spPr>
                          <a:xfrm>
                            <a:off x="0" y="0"/>
                            <a:ext cx="1251585" cy="1127760"/>
                          </a:xfrm>
                          <a:prstGeom prst="rect">
                            <a:avLst/>
                          </a:prstGeom>
                          <a:noFill/>
                          <a:ln>
                            <a:noFill/>
                          </a:ln>
                        </pic:spPr>
                      </pic:pic>
                    </a:graphicData>
                  </a:graphic>
                </wp:inline>
              </w:drawing>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1.基本要求：规格要求：中心距520mm，台面板高度750mm±5mm，座高430±10mm。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2.前挡板：基材应选用E1级优质环保胶合板，经模具高频热压成型，表面环保油漆饰面处理，PVC封边工艺处理。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3.前排底脚：底脚应采用≥3mm的优质碳素钢板经模具冲压成型，表面应作防氧化、高温静电喷漆粉末处理。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4.台面板：活动台面板：基材应选用E1级优质胶合板经模具高频热压成型，台面板宽度≥295mm，板材厚度≥16mm，表面环保油漆饰面处理，PVC封边工艺处理，活动写字板支撑件应采用优质铝合金压铸一体成型。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5.背板/座板：基材应选用E1级优质胶合板经模具高频热压成型，表面贴优质木皮，环保油漆封边处理，板材厚度≥15mm。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6.座包托盘：应采用优质铝合金压铸成型，内置重力块，隐藏式设计，座包具有自动回复、防夹手功能。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7.座包支撑件：应采用优质铝合金一体压铸成型。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8.站脚立管：应采用优质铝合金型材，表面需经打磨抛光、除油除锈、高温静电喷涂等处理。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9.中后排底脚：应采用优质铝合金一体压铸成型，三角盾形结构，站脚表面应作防氧化、高温粉末喷涂处理。底脚应采用三颗固定螺丝稳固，并配有优质螺丝盖。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10.后排横管：应采用≥60*20方钢管，表面需经打磨抛光、除油除锈、高温静电喷涂等处理。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11.书网：应采用金属钢网结构，应采用实心钢条直径3-5mm，表面应作防氧化、高温粉末喷涂处理。（</w:t>
            </w:r>
            <w:r>
              <w:rPr>
                <w:rFonts w:hint="eastAsia"/>
                <w:highlight w:val="none"/>
                <w:lang w:val="en-US" w:eastAsia="zh-CN"/>
              </w:rPr>
              <w:t>★</w:t>
            </w:r>
            <w:r>
              <w:rPr>
                <w:rFonts w:hint="eastAsia" w:ascii="宋体" w:hAnsi="宋体" w:eastAsia="宋体" w:cs="宋体"/>
                <w:i w:val="0"/>
                <w:iCs w:val="0"/>
                <w:color w:val="000000"/>
                <w:kern w:val="0"/>
                <w:sz w:val="18"/>
                <w:szCs w:val="18"/>
                <w:u w:val="none"/>
                <w:lang w:val="en-US" w:eastAsia="zh-CN" w:bidi="ar"/>
              </w:rPr>
              <w:t>提供</w:t>
            </w:r>
            <w:r>
              <w:rPr>
                <w:rFonts w:hint="eastAsia" w:ascii="宋体" w:hAnsi="宋体" w:cs="宋体"/>
                <w:i w:val="0"/>
                <w:iCs w:val="0"/>
                <w:color w:val="000000"/>
                <w:kern w:val="0"/>
                <w:sz w:val="18"/>
                <w:szCs w:val="18"/>
                <w:u w:val="none"/>
                <w:lang w:val="en-US" w:eastAsia="zh-CN" w:bidi="ar"/>
              </w:rPr>
              <w:t>中排</w:t>
            </w:r>
            <w:r>
              <w:rPr>
                <w:rFonts w:hint="eastAsia" w:ascii="宋体" w:hAnsi="宋体" w:eastAsia="宋体" w:cs="宋体"/>
                <w:i w:val="0"/>
                <w:iCs w:val="0"/>
                <w:color w:val="000000"/>
                <w:kern w:val="0"/>
                <w:sz w:val="18"/>
                <w:szCs w:val="18"/>
                <w:u w:val="none"/>
                <w:lang w:val="en-US" w:eastAsia="zh-CN" w:bidi="ar"/>
              </w:rPr>
              <w:t>样品）</w:t>
            </w:r>
          </w:p>
        </w:tc>
      </w:tr>
    </w:tbl>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核心产品为</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教师工作位</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，样品的规格尺寸、材质、结构和工艺必须符合竞争性谈判文件要求， 如果有一项不符合，则按无效响应文件处理。</w:t>
      </w:r>
    </w:p>
    <w:p>
      <w:pPr>
        <w:pStyle w:val="3"/>
        <w:numPr>
          <w:ilvl w:val="0"/>
          <w:numId w:val="2"/>
        </w:numPr>
        <w:rPr>
          <w:rFonts w:hint="eastAsia"/>
          <w:lang w:val="en-US" w:eastAsia="zh-CN"/>
        </w:rPr>
      </w:pPr>
      <w:r>
        <w:rPr>
          <w:rFonts w:hint="eastAsia"/>
          <w:lang w:val="en-US" w:eastAsia="zh-CN"/>
        </w:rPr>
        <w:t>样品递交要求：</w:t>
      </w:r>
    </w:p>
    <w:p>
      <w:pPr>
        <w:pStyle w:val="3"/>
        <w:numPr>
          <w:ilvl w:val="0"/>
          <w:numId w:val="0"/>
        </w:numPr>
        <w:ind w:firstLine="420" w:firstLineChars="200"/>
        <w:rPr>
          <w:rFonts w:hint="eastAsia"/>
          <w:lang w:val="en-US" w:eastAsia="zh-CN"/>
        </w:rPr>
      </w:pPr>
      <w:r>
        <w:rPr>
          <w:rFonts w:hint="eastAsia"/>
          <w:lang w:val="en-US" w:eastAsia="zh-CN"/>
        </w:rPr>
        <w:t>2.1响应供应商需在递交响应文件截止时间（同谈判响应文件递交截止时间一致）递交谈判文件所要求样品的产品各一套，每件样品标明供应商名称。</w:t>
      </w:r>
    </w:p>
    <w:p>
      <w:pPr>
        <w:pStyle w:val="3"/>
        <w:rPr>
          <w:rFonts w:hint="eastAsia"/>
          <w:lang w:val="en-US" w:eastAsia="zh-CN"/>
        </w:rPr>
      </w:pPr>
      <w:r>
        <w:rPr>
          <w:rFonts w:hint="eastAsia"/>
          <w:lang w:val="en-US" w:eastAsia="zh-CN"/>
        </w:rPr>
        <w:t>2.2样品的制作标准和要求：详见第三章技术参数与性能指标，各供应商提供样品的材料必须与谈判文件的要求一致。</w:t>
      </w:r>
    </w:p>
    <w:p>
      <w:pPr>
        <w:pStyle w:val="3"/>
        <w:rPr>
          <w:rFonts w:hint="eastAsia"/>
          <w:lang w:val="en-US" w:eastAsia="zh-CN"/>
        </w:rPr>
      </w:pPr>
      <w:r>
        <w:rPr>
          <w:rFonts w:hint="eastAsia"/>
          <w:lang w:val="en-US" w:eastAsia="zh-CN"/>
        </w:rPr>
        <w:t>2.3样品递交方式：</w:t>
      </w:r>
    </w:p>
    <w:p>
      <w:pPr>
        <w:pStyle w:val="3"/>
        <w:rPr>
          <w:rFonts w:hint="eastAsia"/>
          <w:lang w:val="en-US" w:eastAsia="zh-CN"/>
        </w:rPr>
      </w:pPr>
      <w:r>
        <w:rPr>
          <w:rFonts w:hint="eastAsia"/>
          <w:lang w:val="en-US" w:eastAsia="zh-CN"/>
        </w:rPr>
        <w:t>2.3.1谈判时需提供样品的，响应供应商应标明样品明细，供应商名称。</w:t>
      </w:r>
    </w:p>
    <w:p>
      <w:pPr>
        <w:pStyle w:val="3"/>
        <w:rPr>
          <w:rFonts w:hint="eastAsia"/>
          <w:lang w:val="en-US" w:eastAsia="zh-CN"/>
        </w:rPr>
      </w:pPr>
      <w:r>
        <w:rPr>
          <w:rFonts w:hint="eastAsia"/>
          <w:lang w:val="en-US" w:eastAsia="zh-CN"/>
        </w:rPr>
        <w:t>2.3.2采购活动结束后，未成交供应商样品在成交公告发布后15天内退还，成交供应商样品交由采购人封样、保存，并作为履约验收的标准。待全部货物验收合格后退还。</w:t>
      </w:r>
    </w:p>
    <w:p>
      <w:pPr>
        <w:pStyle w:val="3"/>
        <w:rPr>
          <w:rFonts w:hint="eastAsia" w:eastAsia="宋体"/>
          <w:lang w:val="en-US" w:eastAsia="zh-CN"/>
        </w:rPr>
      </w:pPr>
      <w:r>
        <w:rPr>
          <w:rFonts w:hint="eastAsia"/>
          <w:lang w:val="en-US" w:eastAsia="zh-CN"/>
        </w:rPr>
        <w:t>3、成交供应商供货时需提供检测报告。</w:t>
      </w:r>
    </w:p>
    <w:p>
      <w:pPr>
        <w:spacing w:line="360" w:lineRule="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val="en-US" w:eastAsia="zh-CN" w:bidi="zh-TW"/>
        </w:rPr>
        <w:t>三</w:t>
      </w:r>
      <w:r>
        <w:rPr>
          <w:rFonts w:hint="eastAsia" w:ascii="宋体" w:hAnsi="宋体" w:eastAsia="宋体" w:cs="宋体"/>
          <w:color w:val="000000"/>
          <w:sz w:val="24"/>
          <w:szCs w:val="24"/>
          <w:lang w:bidi="zh-TW"/>
        </w:rPr>
        <w:t>、服务要求</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1.由供应商负责派技术人员到现场进行免费安装、调试至验收合格。</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2.供应商应在合同签订后一周</w:t>
      </w:r>
      <w:bookmarkStart w:id="0" w:name="_GoBack"/>
      <w:bookmarkEnd w:id="0"/>
      <w:r>
        <w:rPr>
          <w:rFonts w:hint="eastAsia" w:ascii="宋体" w:hAnsi="宋体" w:eastAsia="宋体" w:cs="宋体"/>
          <w:color w:val="000000"/>
          <w:sz w:val="24"/>
          <w:szCs w:val="24"/>
          <w:lang w:bidi="zh-TW"/>
        </w:rPr>
        <w:t>内，向采购人提供安装、调试的进度计划表。</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4.安装和调试期间所发生的</w:t>
      </w:r>
      <w:r>
        <w:rPr>
          <w:rFonts w:hint="eastAsia" w:ascii="宋体" w:hAnsi="宋体" w:cs="宋体"/>
          <w:color w:val="000000"/>
          <w:sz w:val="24"/>
          <w:szCs w:val="24"/>
          <w:lang w:val="en-US" w:eastAsia="zh-CN" w:bidi="zh-TW"/>
        </w:rPr>
        <w:t>所有</w:t>
      </w:r>
      <w:r>
        <w:rPr>
          <w:rFonts w:hint="eastAsia" w:ascii="宋体" w:hAnsi="宋体" w:eastAsia="宋体" w:cs="宋体"/>
          <w:color w:val="000000"/>
          <w:sz w:val="24"/>
          <w:szCs w:val="24"/>
          <w:lang w:bidi="zh-TW"/>
        </w:rPr>
        <w:t>费用均由供应商负责。</w:t>
      </w:r>
    </w:p>
    <w:p>
      <w:pPr>
        <w:spacing w:line="360" w:lineRule="auto"/>
        <w:rPr>
          <w:rFonts w:hint="eastAsia" w:ascii="宋体" w:hAnsi="宋体" w:eastAsia="宋体" w:cs="宋体"/>
          <w:color w:val="000000"/>
          <w:sz w:val="24"/>
          <w:szCs w:val="24"/>
          <w:highlight w:val="none"/>
          <w:lang w:bidi="zh-TW"/>
        </w:rPr>
      </w:pPr>
      <w:r>
        <w:rPr>
          <w:rFonts w:hint="eastAsia" w:ascii="宋体" w:hAnsi="宋体" w:eastAsia="宋体" w:cs="宋体"/>
          <w:color w:val="000000"/>
          <w:sz w:val="24"/>
          <w:szCs w:val="24"/>
          <w:highlight w:val="none"/>
          <w:lang w:val="en-US" w:eastAsia="zh-CN" w:bidi="zh-TW"/>
        </w:rPr>
        <w:t>四</w:t>
      </w:r>
      <w:r>
        <w:rPr>
          <w:rFonts w:hint="eastAsia" w:ascii="宋体" w:hAnsi="宋体" w:eastAsia="宋体" w:cs="宋体"/>
          <w:color w:val="000000"/>
          <w:sz w:val="24"/>
          <w:szCs w:val="24"/>
          <w:highlight w:val="none"/>
          <w:lang w:bidi="zh-TW"/>
        </w:rPr>
        <w:t>、商务要求</w:t>
      </w:r>
    </w:p>
    <w:p>
      <w:pPr>
        <w:pStyle w:val="3"/>
        <w:spacing w:line="360" w:lineRule="auto"/>
        <w:rPr>
          <w:rFonts w:hint="eastAsia" w:ascii="宋体" w:hAnsi="宋体" w:eastAsia="宋体" w:cs="宋体"/>
          <w:color w:val="000000"/>
          <w:kern w:val="2"/>
          <w:sz w:val="24"/>
          <w:szCs w:val="24"/>
          <w:highlight w:val="none"/>
          <w:lang w:val="en-US" w:eastAsia="zh-CN" w:bidi="zh-TW"/>
        </w:rPr>
      </w:pPr>
      <w:r>
        <w:rPr>
          <w:rFonts w:hint="eastAsia" w:ascii="宋体" w:hAnsi="宋体" w:eastAsia="宋体" w:cs="宋体"/>
          <w:color w:val="000000"/>
          <w:kern w:val="2"/>
          <w:sz w:val="24"/>
          <w:szCs w:val="24"/>
          <w:highlight w:val="none"/>
          <w:lang w:val="en-US" w:eastAsia="zh-CN" w:bidi="zh-TW"/>
        </w:rPr>
        <w:t>1、交货期：自合同签订之日起</w:t>
      </w:r>
      <w:r>
        <w:rPr>
          <w:rFonts w:hint="eastAsia" w:ascii="宋体" w:hAnsi="宋体" w:cs="宋体"/>
          <w:color w:val="000000"/>
          <w:kern w:val="2"/>
          <w:sz w:val="24"/>
          <w:szCs w:val="24"/>
          <w:highlight w:val="none"/>
          <w:lang w:val="en-US" w:eastAsia="zh-CN" w:bidi="zh-TW"/>
        </w:rPr>
        <w:t>25</w:t>
      </w:r>
      <w:r>
        <w:rPr>
          <w:rFonts w:hint="eastAsia" w:ascii="宋体" w:hAnsi="宋体" w:eastAsia="宋体" w:cs="宋体"/>
          <w:color w:val="000000"/>
          <w:kern w:val="2"/>
          <w:sz w:val="24"/>
          <w:szCs w:val="24"/>
          <w:highlight w:val="none"/>
          <w:lang w:val="en-US" w:eastAsia="zh-CN" w:bidi="zh-TW"/>
        </w:rPr>
        <w:t>日历日内完成全部项目内容，并交付采购人验收合格。</w:t>
      </w:r>
    </w:p>
    <w:p>
      <w:pPr>
        <w:spacing w:line="360" w:lineRule="auto"/>
        <w:ind w:firstLine="480" w:firstLineChars="200"/>
        <w:rPr>
          <w:rFonts w:hint="eastAsia" w:ascii="宋体" w:hAnsi="宋体" w:eastAsia="宋体" w:cs="宋体"/>
          <w:color w:val="000000"/>
          <w:sz w:val="24"/>
          <w:szCs w:val="24"/>
          <w:highlight w:val="none"/>
          <w:lang w:bidi="zh-TW"/>
        </w:rPr>
      </w:pPr>
      <w:r>
        <w:rPr>
          <w:rFonts w:hint="eastAsia" w:ascii="宋体" w:hAnsi="宋体" w:eastAsia="宋体" w:cs="宋体"/>
          <w:color w:val="000000"/>
          <w:sz w:val="24"/>
          <w:szCs w:val="24"/>
          <w:highlight w:val="none"/>
          <w:lang w:val="en-US" w:eastAsia="zh-CN" w:bidi="zh-TW"/>
        </w:rPr>
        <w:t>2.1、</w:t>
      </w:r>
      <w:r>
        <w:rPr>
          <w:rFonts w:hint="eastAsia" w:ascii="宋体" w:hAnsi="宋体" w:eastAsia="宋体" w:cs="宋体"/>
          <w:color w:val="000000"/>
          <w:sz w:val="24"/>
          <w:szCs w:val="24"/>
          <w:highlight w:val="none"/>
          <w:lang w:bidi="zh-TW"/>
        </w:rPr>
        <w:t>结算单位：由采购人以人民币负责结算，在付款前，供应商必须开具全额发票给采购人。</w:t>
      </w:r>
    </w:p>
    <w:p>
      <w:pPr>
        <w:spacing w:line="360" w:lineRule="auto"/>
        <w:ind w:firstLine="480" w:firstLineChars="200"/>
        <w:rPr>
          <w:rFonts w:hint="eastAsia" w:ascii="宋体" w:hAnsi="宋体" w:eastAsia="宋体" w:cs="宋体"/>
          <w:color w:val="000000"/>
          <w:sz w:val="24"/>
          <w:szCs w:val="24"/>
          <w:highlight w:val="none"/>
          <w:lang w:bidi="zh-TW"/>
        </w:rPr>
      </w:pPr>
      <w:r>
        <w:rPr>
          <w:rFonts w:hint="eastAsia" w:ascii="宋体" w:hAnsi="宋体" w:eastAsia="宋体" w:cs="宋体"/>
          <w:color w:val="000000"/>
          <w:sz w:val="24"/>
          <w:szCs w:val="24"/>
          <w:highlight w:val="none"/>
          <w:lang w:val="en-US" w:eastAsia="zh-CN" w:bidi="zh-TW"/>
        </w:rPr>
        <w:t>2.2、</w:t>
      </w:r>
      <w:r>
        <w:rPr>
          <w:rFonts w:hint="eastAsia" w:ascii="宋体" w:hAnsi="宋体" w:eastAsia="宋体" w:cs="宋体"/>
          <w:color w:val="000000"/>
          <w:sz w:val="24"/>
          <w:szCs w:val="24"/>
          <w:highlight w:val="none"/>
          <w:lang w:bidi="zh-TW"/>
        </w:rPr>
        <w:t>付款方式：全部产品配送到位、安装调试</w:t>
      </w:r>
      <w:r>
        <w:rPr>
          <w:rFonts w:hint="eastAsia" w:ascii="宋体" w:hAnsi="宋体" w:cs="宋体"/>
          <w:color w:val="000000"/>
          <w:sz w:val="24"/>
          <w:szCs w:val="24"/>
          <w:highlight w:val="none"/>
          <w:lang w:val="en-US" w:eastAsia="zh-CN" w:bidi="zh-TW"/>
        </w:rPr>
        <w:t>完成</w:t>
      </w:r>
      <w:r>
        <w:rPr>
          <w:rFonts w:hint="eastAsia" w:ascii="宋体" w:hAnsi="宋体" w:eastAsia="宋体" w:cs="宋体"/>
          <w:color w:val="000000"/>
          <w:sz w:val="24"/>
          <w:szCs w:val="24"/>
          <w:highlight w:val="none"/>
          <w:lang w:bidi="zh-TW"/>
        </w:rPr>
        <w:t>、验收合格后，</w:t>
      </w:r>
      <w:r>
        <w:rPr>
          <w:rFonts w:hint="eastAsia" w:ascii="宋体" w:hAnsi="宋体" w:cs="宋体"/>
          <w:color w:val="000000"/>
          <w:sz w:val="24"/>
          <w:szCs w:val="24"/>
          <w:highlight w:val="none"/>
          <w:lang w:val="en-US" w:eastAsia="zh-CN" w:bidi="zh-TW"/>
        </w:rPr>
        <w:t>一次性</w:t>
      </w:r>
      <w:r>
        <w:rPr>
          <w:rFonts w:hint="eastAsia" w:ascii="宋体" w:hAnsi="宋体" w:eastAsia="宋体" w:cs="宋体"/>
          <w:color w:val="000000"/>
          <w:sz w:val="24"/>
          <w:szCs w:val="24"/>
          <w:highlight w:val="none"/>
          <w:lang w:bidi="zh-TW"/>
        </w:rPr>
        <w:t>支付合同总价款的100%。</w:t>
      </w:r>
    </w:p>
    <w:p>
      <w:pPr>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五、其他</w:t>
      </w:r>
    </w:p>
    <w:p>
      <w:pPr>
        <w:spacing w:line="360" w:lineRule="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（一）质量验收标准或规范</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由采购人和供应商共同对项目整体进行验收。其内容包括确认设备(产品)的产地、规格、型号和数量，对其设备(产品)技术指标、性能参数以及工程质量是否达到现行国家有关验收规范“合格”标准进行逐项检查。</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1.所验设备(产品)的指标、性能参数通过验收达不到竞争性谈判文件要求和谈判响应文件承诺的，或在使用中发现采购人不能容忍的缺陷等，将视为设备(产品)验收不合格，供应商应无条件免费更换或退货。</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2.若发现供应商有弄虚作假的，在谈判阶段故意或随意夸大设备(产品)技术性能，供应商应无条件退货，并赔偿采购人相应的损失。</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3.验收标准：按竞争性谈判文件、谈判响应文件及澄清函等技术指标进行验收。各项指标均应符合验收标准及要求。</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4.验收合格后，填写验收单，双方签字生效。</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5.验收依据：</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a)合同文本；</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b)谈判响应文件及澄清函、竞争性谈判文件；</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c)国家和行业制定的相应的标准和规范。</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d)设备(产品)验收清单（注明各部件的品名、数量、规格型号和原产地或生产厂家）。</w:t>
      </w:r>
    </w:p>
    <w:p>
      <w:pPr>
        <w:spacing w:line="360" w:lineRule="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w:t>
      </w:r>
      <w:r>
        <w:rPr>
          <w:rFonts w:hint="eastAsia" w:ascii="宋体" w:hAnsi="宋体" w:eastAsia="宋体" w:cs="宋体"/>
          <w:color w:val="000000"/>
          <w:sz w:val="24"/>
          <w:szCs w:val="24"/>
          <w:lang w:val="en-US" w:eastAsia="zh-CN" w:bidi="zh-TW"/>
        </w:rPr>
        <w:t>二</w:t>
      </w:r>
      <w:r>
        <w:rPr>
          <w:rFonts w:hint="eastAsia" w:ascii="宋体" w:hAnsi="宋体" w:eastAsia="宋体" w:cs="宋体"/>
          <w:color w:val="000000"/>
          <w:sz w:val="24"/>
          <w:szCs w:val="24"/>
          <w:lang w:bidi="zh-TW"/>
        </w:rPr>
        <w:t>）产品质保期</w:t>
      </w:r>
    </w:p>
    <w:p>
      <w:pPr>
        <w:spacing w:line="360" w:lineRule="auto"/>
        <w:ind w:firstLine="480" w:firstLineChars="200"/>
        <w:rPr>
          <w:rFonts w:hint="eastAsia" w:ascii="宋体" w:hAnsi="宋体" w:eastAsia="宋体" w:cs="宋体"/>
          <w:color w:val="auto"/>
          <w:sz w:val="24"/>
          <w:szCs w:val="24"/>
          <w:highlight w:val="none"/>
          <w:lang w:bidi="zh-TW"/>
        </w:rPr>
      </w:pPr>
      <w:r>
        <w:rPr>
          <w:rFonts w:hint="eastAsia" w:ascii="宋体" w:hAnsi="宋体" w:eastAsia="宋体" w:cs="宋体"/>
          <w:color w:val="auto"/>
          <w:sz w:val="24"/>
          <w:szCs w:val="24"/>
          <w:highlight w:val="none"/>
          <w:lang w:bidi="zh-TW"/>
        </w:rPr>
        <w:t>自终验合格之日起开始计算，质保期</w:t>
      </w:r>
      <w:r>
        <w:rPr>
          <w:rFonts w:hint="eastAsia" w:ascii="宋体" w:hAnsi="宋体" w:eastAsia="宋体" w:cs="宋体"/>
          <w:color w:val="auto"/>
          <w:sz w:val="24"/>
          <w:szCs w:val="24"/>
          <w:highlight w:val="none"/>
          <w:lang w:val="en-US" w:eastAsia="zh-CN" w:bidi="zh-TW"/>
        </w:rPr>
        <w:t>3</w:t>
      </w:r>
      <w:r>
        <w:rPr>
          <w:rFonts w:hint="eastAsia" w:ascii="宋体" w:hAnsi="宋体" w:eastAsia="宋体" w:cs="宋体"/>
          <w:color w:val="auto"/>
          <w:sz w:val="24"/>
          <w:szCs w:val="24"/>
          <w:highlight w:val="none"/>
          <w:lang w:bidi="zh-TW"/>
        </w:rPr>
        <w:t>年。</w:t>
      </w:r>
    </w:p>
    <w:p>
      <w:pPr>
        <w:spacing w:line="360" w:lineRule="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w:t>
      </w:r>
      <w:r>
        <w:rPr>
          <w:rFonts w:hint="eastAsia" w:ascii="宋体" w:hAnsi="宋体" w:eastAsia="宋体" w:cs="宋体"/>
          <w:color w:val="000000"/>
          <w:sz w:val="24"/>
          <w:szCs w:val="24"/>
          <w:lang w:val="en-US" w:eastAsia="zh-CN" w:bidi="zh-TW"/>
        </w:rPr>
        <w:t>三</w:t>
      </w:r>
      <w:r>
        <w:rPr>
          <w:rFonts w:hint="eastAsia" w:ascii="宋体" w:hAnsi="宋体" w:eastAsia="宋体" w:cs="宋体"/>
          <w:color w:val="000000"/>
          <w:sz w:val="24"/>
          <w:szCs w:val="24"/>
          <w:lang w:bidi="zh-TW"/>
        </w:rPr>
        <w:t>）违约责任</w:t>
      </w:r>
    </w:p>
    <w:p>
      <w:pPr>
        <w:spacing w:line="360" w:lineRule="auto"/>
        <w:ind w:firstLine="480" w:firstLineChars="200"/>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依据《中华人民共和国民法典》、《中华人民共和国政府采购法》的相关条款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51FE6"/>
    <w:multiLevelType w:val="singleLevel"/>
    <w:tmpl w:val="4EC51FE6"/>
    <w:lvl w:ilvl="0" w:tentative="0">
      <w:start w:val="2"/>
      <w:numFmt w:val="chineseCounting"/>
      <w:suff w:val="nothing"/>
      <w:lvlText w:val="%1、"/>
      <w:lvlJc w:val="left"/>
      <w:rPr>
        <w:rFonts w:hint="eastAsia"/>
      </w:rPr>
    </w:lvl>
  </w:abstractNum>
  <w:abstractNum w:abstractNumId="1">
    <w:nsid w:val="6D9E7296"/>
    <w:multiLevelType w:val="singleLevel"/>
    <w:tmpl w:val="6D9E729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N2UxZDM3Y2FmNWY4ZWU4YjBiZWVjYThlMWJlMDcifQ=="/>
  </w:docVars>
  <w:rsids>
    <w:rsidRoot w:val="116947CF"/>
    <w:rsid w:val="116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3">
    <w:name w:val="Normal Indent"/>
    <w:basedOn w:val="1"/>
    <w:unhideWhenUsed/>
    <w:qFormat/>
    <w:uiPriority w:val="99"/>
    <w:pPr>
      <w:spacing w:line="300" w:lineRule="auto"/>
      <w:ind w:firstLine="420" w:firstLineChars="200"/>
    </w:pPr>
    <w:rPr>
      <w:rFonts w:asci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2023-07-03T11:16:00Z</dcterms:created>
  <dc:creator>余生太长。</dc:creator>
  <cp:lastModifiedBy>余生太长。</cp:lastModifiedBy>
  <dcterms:modified xsi:type="dcterms:W3CDTF">2023-07-03T11:22:53Z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224A755A23024DDFBD70BDF92A44A9C0_11</vt:lpwstr>
  </property>
</Properties>
</file>