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482" w:type="dxa"/>
        <w:tblInd w:w="-4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600"/>
        <w:gridCol w:w="13"/>
        <w:gridCol w:w="756"/>
        <w:gridCol w:w="10"/>
        <w:gridCol w:w="637"/>
        <w:gridCol w:w="9"/>
        <w:gridCol w:w="628"/>
        <w:gridCol w:w="957"/>
        <w:gridCol w:w="5465"/>
        <w:gridCol w:w="4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After w:w="0" w:type="auto"/>
          <w:trHeight w:val="23" w:hRule="atLeast"/>
        </w:trPr>
        <w:tc>
          <w:tcPr>
            <w:tcW w:w="9482" w:type="dxa"/>
            <w:gridSpan w:val="10"/>
            <w:tcBorders>
              <w:tl2br w:val="nil"/>
              <w:tr2bl w:val="nil"/>
            </w:tcBorders>
            <w:shd w:val="clear" w:color="auto" w:fill="auto"/>
            <w:vAlign w:val="center"/>
          </w:tcPr>
          <w:p>
            <w:pPr>
              <w:ind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西安市第二十六中学分布式智慧图书馆配置清单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After w:w="0" w:type="auto"/>
          <w:trHeight w:val="23" w:hRule="atLeast"/>
        </w:trPr>
        <w:tc>
          <w:tcPr>
            <w:tcW w:w="600"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序号</w:t>
            </w:r>
          </w:p>
        </w:tc>
        <w:tc>
          <w:tcPr>
            <w:tcW w:w="769"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设备名称</w:t>
            </w:r>
          </w:p>
        </w:tc>
        <w:tc>
          <w:tcPr>
            <w:tcW w:w="656" w:type="dxa"/>
            <w:gridSpan w:val="3"/>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数量</w:t>
            </w:r>
          </w:p>
        </w:tc>
        <w:tc>
          <w:tcPr>
            <w:tcW w:w="628"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单位</w:t>
            </w:r>
          </w:p>
        </w:tc>
        <w:tc>
          <w:tcPr>
            <w:tcW w:w="6422"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参数</w:t>
            </w:r>
          </w:p>
        </w:tc>
        <w:tc>
          <w:tcPr>
            <w:tcW w:w="407"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After w:w="0" w:type="auto"/>
          <w:trHeight w:val="2731" w:hRule="atLeast"/>
        </w:trPr>
        <w:tc>
          <w:tcPr>
            <w:tcW w:w="600" w:type="dxa"/>
            <w:tcBorders>
              <w:tl2br w:val="nil"/>
              <w:tr2bl w:val="nil"/>
            </w:tcBorders>
            <w:shd w:val="clear" w:color="auto" w:fill="auto"/>
            <w:vAlign w:val="top"/>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w:t>
            </w:r>
          </w:p>
        </w:tc>
        <w:tc>
          <w:tcPr>
            <w:tcW w:w="769" w:type="dxa"/>
            <w:gridSpan w:val="2"/>
            <w:tcBorders>
              <w:tl2br w:val="nil"/>
              <w:tr2bl w:val="nil"/>
            </w:tcBorders>
            <w:shd w:val="clear" w:color="auto" w:fill="auto"/>
            <w:vAlign w:val="top"/>
          </w:tcPr>
          <w:p>
            <w:pPr>
              <w:ind w:firstLine="0" w:firstLineChars="0"/>
              <w:rPr>
                <w:rFonts w:hint="eastAsia" w:ascii="宋体" w:hAnsi="宋体" w:eastAsia="宋体" w:cs="宋体"/>
                <w:sz w:val="24"/>
                <w:szCs w:val="24"/>
              </w:rPr>
            </w:pPr>
            <w:r>
              <w:rPr>
                <w:rFonts w:hint="eastAsia" w:ascii="楷体" w:hAnsi="楷体" w:eastAsia="楷体" w:cs="楷体"/>
                <w:sz w:val="24"/>
                <w:szCs w:val="24"/>
                <w:lang w:val="en-US" w:eastAsia="zh-CN"/>
              </w:rPr>
              <w:t>★</w:t>
            </w:r>
            <w:r>
              <w:rPr>
                <w:rFonts w:hint="eastAsia" w:ascii="宋体" w:hAnsi="宋体" w:eastAsia="宋体" w:cs="宋体"/>
                <w:sz w:val="24"/>
                <w:szCs w:val="24"/>
                <w:lang w:val="en-US" w:eastAsia="zh-CN"/>
              </w:rPr>
              <w:t>图书管理系统</w:t>
            </w:r>
          </w:p>
        </w:tc>
        <w:tc>
          <w:tcPr>
            <w:tcW w:w="656" w:type="dxa"/>
            <w:gridSpan w:val="3"/>
            <w:tcBorders>
              <w:tl2br w:val="nil"/>
              <w:tr2bl w:val="nil"/>
            </w:tcBorders>
            <w:shd w:val="clear" w:color="auto" w:fill="auto"/>
            <w:vAlign w:val="top"/>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w:t>
            </w:r>
          </w:p>
        </w:tc>
        <w:tc>
          <w:tcPr>
            <w:tcW w:w="628" w:type="dxa"/>
            <w:tcBorders>
              <w:tl2br w:val="nil"/>
              <w:tr2bl w:val="nil"/>
            </w:tcBorders>
            <w:shd w:val="clear" w:color="auto" w:fill="auto"/>
            <w:vAlign w:val="top"/>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套</w:t>
            </w:r>
          </w:p>
        </w:tc>
        <w:tc>
          <w:tcPr>
            <w:tcW w:w="6422"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系统架构：要求基于Web的B/S系统架构；采用Windows IIS发布系统和SQL Server数据库(可支持MySql，Oracle等关系型数据库)，管理系统功能全部基于浏览器操作，无须安装客户端，方便易用；</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数据安全：系统要求采用SSL传输加密、用户登录验证采用SSL+RSA非对称加密、数据库中用户隐私数据采用密文存储，保证数据安全；</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多级管理：管理平台要求采用多级分层管理，以组织/单位为顶层，以部门为最小管理单元，形成可实现多种应用需求的系统集成平台；</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4.接口扩展：要求对外提供标准的REST接口，方便第三方系统对接，同时可无缝对接校园一卡通，无须二次办证；</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5.人脸识别管理：要求不依托第三方平台，自建人脸数据库，具有局域网环境下实现人脸识别功能；须支持管理员单独或批量上传、读者自主上传、设备注册等获取人脸数据途径；（须提供相关佐证材料，不限于功能截图、检测报告等形式）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6.流通管理系统：要求包括图书查询、剔旧、借还、预借、催还、超期提醒、罚款、书标打印、馆藏地迁移、图书转借、读者荐购以及图书层架标管理功能；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7.高效采编：要求可以通过手动或扫描输入ISBN码；须提供标准模版批量导入数据，同步Marc数据，实现自动编目功能；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8.精准个推：为读者精准推送书刊信息，有效提高读者选书效率，提升阅读兴趣</w:t>
            </w:r>
            <w:r>
              <w:rPr>
                <w:rFonts w:hint="eastAsia" w:ascii="宋体" w:hAnsi="宋体" w:eastAsia="宋体" w:cs="宋体"/>
                <w:sz w:val="24"/>
                <w:szCs w:val="24"/>
                <w:lang w:val="en-US" w:eastAsia="zh-Hans"/>
              </w:rPr>
              <w:t>；</w:t>
            </w:r>
            <w:r>
              <w:rPr>
                <w:rFonts w:hint="eastAsia" w:ascii="宋体" w:hAnsi="宋体" w:eastAsia="宋体" w:cs="宋体"/>
                <w:sz w:val="24"/>
                <w:szCs w:val="24"/>
                <w:lang w:val="en-US" w:eastAsia="zh-CN"/>
              </w:rPr>
              <w:t xml:space="preserve">（须提供相关佐证材料，不限于功能截图、检测报告等形式）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图书批量管理：要求具有按批次查找书刊，并对整个批次图书进行批量删除操作，轻松处理异常入库书刊功能；须具有续借和批量借阅、归还书刊功能，按需求可查看书刊流通记录，并可导出未归还书刊、借阅记录等数据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10.书刊查询：要求具有按书刊状态（外借、在库、丢失、污损、已剔旧、异常借书、已移除、已预借）统计借阅记录，方便追踪书刊动向功能，也可对书刊信息进行变更，包括变更书刊条码、标签、价格、名称、馆藏地、状态等信息；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11.书刊预借：要求具有预借功能，可查看预借详情,直接将预借人员修改为借阅人员并批量导出表格的功能；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12.批量剃旧：要求具有批量图书剃旧功能，可在平台使用模板导入、点检设备上传数据和手动勾选图书进行剔旧</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13.书刊管理：要求具有在线盘点书刊、转移书刊馆藏地、对书刊进行剔旧等功能，对已剔旧书刊将禁止流通；</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14.催还、罚款：要求具有自动筛选即将到期未归还书刊，并将催还信息推送给读者；须对超期书刊自动计算罚款金额，并支持读者扫码支付罚金；</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15.微信卡包：要求具有管理员设置微信卡包配置功能，包括：商户名称、卡券名、logo等，读者可申领电子借阅证到微信卡包中，通过微信卡包中的二维码直接在设备上扫描登录；</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16.书标打印：要求具有通过ISBN、正题名、条形码、馆藏地、批次等条件查询打印的书签功能，支持自定义书标规格；须具有按条码升降序排列打印、单选或批量打印书标功能；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17.图书转借管理：要求具有通过组织类型、时间等查询转借信息，管理员可手动确认转借和取消订单的功能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18.图书退订：要求具有记录图书退订信息功能，根据组织、日期、批次号、退订人、ISBN、正题名、作者、出版社查询信息，可新增、删除、导出数据；</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数据统计及导出：要求具有书刊查询列表导出、书刊流通记录导出、书刊借阅排行导出、书刊超期列表导出、超期催还记录导出、罚款管理记录导出、退款审核记录导出、交易流水记录导出、读者信息列表导出、读者借阅排行导出、读者借阅率导出、流通数据排行导出、流通日志表格导出、馆藏流通率导出、借阅利用率导出、图书分类统计及图书荐购数据导出，完善的数据统计及导出Excel文档功能，便于汇总查漏补缺；</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数据查看：要求具有查看校验短信数据功能，可按组织、验证码、验证码类型、发送日期和手机号生成记录；具有查看交易流水功能，可按组织、日期、收退款、交易类型、交易渠道、交易状态和读者证号生成记录；</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21.读者管理：要求具有恢复已删除读者功能（针对admin权限用户）；</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22.自助办证记录：要求具有记录通过设备和微信办理证件的读者信息，可通过组织、日期、姓名、借阅证号、读者标签和设备码等查办证信息；</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23.层架管理：要求具有新增上架功能，在管理平台上即可上架图书；</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24.信息发布：管理员可以选择不同馆藏地编辑本馆概况及读者须知内容，可新增新闻、通知、活动发布馆藏地（须支持多选），可添加友情链接，插入音频、图片和可设计字体等功能；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25.书刊推荐，要求具有输入ISBN或书名选择馆藏地进行推荐的功能；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26.书刊排行：要求可统计书刊从书架上取出的次数，按组织单位和馆藏地以周、月、年等周期生成排行榜；</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27.售书管理：要求具有图书上架，查看在售商品，查看已售商品的功能；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28.商品上架：要求具有按ISBN、正题名、主题词、责任者查询图书，设置售书价格、选择组织上架功能；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29.商品查询：要求具有按组织单位、ISBN、正题名查询在售图书详情功能；可按组织单位、时间查询已售图书的订单详情；</w:t>
            </w:r>
          </w:p>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30.支付管理：要求具有通过微信、支付宝等方式缴交押金、欠费功能；可通过微信、支付宝购买已借阅的图书，也可在设备上直接购买图书，多种选择；（须提供相关佐证材料，不限于功能截图、</w:t>
            </w:r>
            <w:r>
              <w:rPr>
                <w:rFonts w:hint="eastAsia" w:ascii="宋体" w:hAnsi="宋体" w:eastAsia="宋体" w:cs="宋体"/>
                <w:sz w:val="24"/>
                <w:szCs w:val="24"/>
                <w:lang w:val="en-US" w:eastAsia="zh-Hans"/>
              </w:rPr>
              <w:t>彩页、</w:t>
            </w:r>
            <w:r>
              <w:rPr>
                <w:rFonts w:hint="eastAsia" w:ascii="宋体" w:hAnsi="宋体" w:eastAsia="宋体" w:cs="宋体"/>
                <w:sz w:val="24"/>
                <w:szCs w:val="24"/>
                <w:lang w:val="en-US" w:eastAsia="zh-CN"/>
              </w:rPr>
              <w:t xml:space="preserve">检测报告等形式） </w:t>
            </w:r>
          </w:p>
        </w:tc>
        <w:tc>
          <w:tcPr>
            <w:tcW w:w="407" w:type="dxa"/>
            <w:tcBorders>
              <w:tl2br w:val="nil"/>
              <w:tr2bl w:val="nil"/>
            </w:tcBorders>
            <w:shd w:val="clear" w:color="auto" w:fill="auto"/>
            <w:vAlign w:val="center"/>
          </w:tcPr>
          <w:p>
            <w:pPr>
              <w:ind w:firstLine="0" w:firstLineChars="0"/>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After w:w="0" w:type="auto"/>
          <w:trHeight w:val="2731" w:hRule="atLeast"/>
        </w:trPr>
        <w:tc>
          <w:tcPr>
            <w:tcW w:w="600" w:type="dxa"/>
            <w:tcBorders>
              <w:tl2br w:val="nil"/>
              <w:tr2bl w:val="nil"/>
            </w:tcBorders>
            <w:shd w:val="clear" w:color="auto" w:fill="auto"/>
            <w:vAlign w:val="top"/>
          </w:tcPr>
          <w:p>
            <w:pPr>
              <w:ind w:firstLine="0" w:firstLineChars="0"/>
              <w:rPr>
                <w:rFonts w:hint="eastAsia" w:ascii="宋体" w:hAnsi="宋体" w:eastAsia="宋体" w:cs="宋体"/>
                <w:sz w:val="24"/>
                <w:szCs w:val="24"/>
                <w:lang w:eastAsia="zh-CN"/>
              </w:rPr>
            </w:pPr>
            <w:r>
              <w:rPr>
                <w:rFonts w:hint="eastAsia" w:ascii="宋体" w:hAnsi="宋体" w:eastAsia="宋体" w:cs="宋体"/>
                <w:sz w:val="24"/>
                <w:szCs w:val="24"/>
                <w:lang w:eastAsia="zh-CN"/>
              </w:rPr>
              <w:t>2</w:t>
            </w:r>
          </w:p>
        </w:tc>
        <w:tc>
          <w:tcPr>
            <w:tcW w:w="769" w:type="dxa"/>
            <w:gridSpan w:val="2"/>
            <w:tcBorders>
              <w:tl2br w:val="nil"/>
              <w:tr2bl w:val="nil"/>
            </w:tcBorders>
            <w:shd w:val="clear" w:color="auto" w:fill="auto"/>
            <w:vAlign w:val="top"/>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★馆情分析系统</w:t>
            </w:r>
          </w:p>
        </w:tc>
        <w:tc>
          <w:tcPr>
            <w:tcW w:w="656" w:type="dxa"/>
            <w:gridSpan w:val="3"/>
            <w:tcBorders>
              <w:tl2br w:val="nil"/>
              <w:tr2bl w:val="nil"/>
            </w:tcBorders>
            <w:shd w:val="clear" w:color="auto" w:fill="auto"/>
            <w:vAlign w:val="top"/>
          </w:tcPr>
          <w:p>
            <w:pPr>
              <w:ind w:firstLine="0" w:firstLineChars="0"/>
              <w:rPr>
                <w:rFonts w:hint="eastAsia" w:ascii="宋体" w:hAnsi="宋体" w:eastAsia="宋体" w:cs="宋体"/>
                <w:sz w:val="24"/>
                <w:szCs w:val="24"/>
                <w:lang w:eastAsia="zh-CN"/>
              </w:rPr>
            </w:pPr>
            <w:r>
              <w:rPr>
                <w:rFonts w:hint="eastAsia" w:ascii="宋体" w:hAnsi="宋体" w:eastAsia="宋体" w:cs="宋体"/>
                <w:sz w:val="24"/>
                <w:szCs w:val="24"/>
                <w:lang w:eastAsia="zh-CN"/>
              </w:rPr>
              <w:t>1</w:t>
            </w:r>
          </w:p>
        </w:tc>
        <w:tc>
          <w:tcPr>
            <w:tcW w:w="628" w:type="dxa"/>
            <w:tcBorders>
              <w:tl2br w:val="nil"/>
              <w:tr2bl w:val="nil"/>
            </w:tcBorders>
            <w:shd w:val="clear" w:color="auto" w:fill="auto"/>
            <w:vAlign w:val="top"/>
          </w:tcPr>
          <w:p>
            <w:pPr>
              <w:ind w:firstLine="0" w:firstLineChars="0"/>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套</w:t>
            </w:r>
          </w:p>
        </w:tc>
        <w:tc>
          <w:tcPr>
            <w:tcW w:w="6422"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1.显示模式：系统要求具有全屏/窗口一键切换模式功能；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2.系统设置：系统要求允许设置、变更服务器地址；具有同时显示单个、多个馆的数据以及数据统计、排序、对比的功能；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3.单组织数据可视化图表</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3.1.模块化科技感UI样式设计、动态图表展示、实时数据刷新；</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3.2.提供组织名称展示、读者总数、藏书量、本月借阅人次/历史借阅人次、今日到馆人次/历史到馆人次、人均藏书数；</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3.3.馆藏分类统计图表：依据中图法分类规范，展示馆藏图书的分类构成占比</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3.4.馆藏分布：图书在借、预借状态分布情况；</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3.5.馆藏利用率：借阅图书与图书总数比值；</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3.6.借阅排行：书刊借阅排行、个人借阅排行、部门借阅排行，滚动展示；</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3.7.图书推荐：基于借阅大数据分析算法的热门推荐、新书推荐；</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3.8.系统显示：当地时间、日期；</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4.多组织/区域数据可视化图表：辖区的综合数据、各个馆之间的数据对比与排序</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4.1.统计辖区内多个组织的数据总和，模块化科技感UI样式设计、动态图表展示、实时数据刷新；</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4.2.馆藏数、读者数、本月借阅人数/本年借阅人数、本年上新数/馆藏总数；</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4.3.展示基于辖区内组织大数据的借阅排行榜、馆藏排行榜、各组织读者人数、各组织智慧设备部署数；</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4.4.读者排行：辖区内各组织的活跃读者排行榜；</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4.5.图书利用率：借阅图书与图书总数比值；</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4.6.借阅分类：依据中图法分类规范，展示用户借阅图书的分类构成占比；</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4.7.活跃榜单：可展示近6个月组织阅读借阅人次活跃榜；</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4.8.自定义模块：支持自定义区域智慧图书馆建设进展简述、区域云图介绍等信息；</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4.9.系统显示：时间、日期、当地天气；</w:t>
            </w:r>
          </w:p>
        </w:tc>
        <w:tc>
          <w:tcPr>
            <w:tcW w:w="407" w:type="dxa"/>
            <w:tcBorders>
              <w:tl2br w:val="nil"/>
              <w:tr2bl w:val="nil"/>
            </w:tcBorders>
            <w:shd w:val="clear" w:color="auto" w:fill="auto"/>
            <w:vAlign w:val="center"/>
          </w:tcPr>
          <w:p>
            <w:pPr>
              <w:ind w:firstLine="0" w:firstLineChars="0"/>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After w:w="0" w:type="auto"/>
          <w:trHeight w:val="2358" w:hRule="atLeast"/>
        </w:trPr>
        <w:tc>
          <w:tcPr>
            <w:tcW w:w="600" w:type="dxa"/>
            <w:tcBorders>
              <w:tl2br w:val="nil"/>
              <w:tr2bl w:val="nil"/>
            </w:tcBorders>
            <w:shd w:val="clear" w:color="auto" w:fill="auto"/>
            <w:vAlign w:val="top"/>
          </w:tcPr>
          <w:p>
            <w:pPr>
              <w:ind w:firstLine="0" w:firstLineChars="0"/>
              <w:rPr>
                <w:rFonts w:hint="eastAsia" w:ascii="宋体" w:hAnsi="宋体" w:eastAsia="宋体" w:cs="宋体"/>
                <w:sz w:val="24"/>
                <w:szCs w:val="24"/>
                <w:lang w:eastAsia="zh-CN"/>
              </w:rPr>
            </w:pPr>
            <w:r>
              <w:rPr>
                <w:rFonts w:hint="eastAsia" w:ascii="宋体" w:hAnsi="宋体" w:eastAsia="宋体" w:cs="宋体"/>
                <w:sz w:val="24"/>
                <w:szCs w:val="24"/>
                <w:lang w:eastAsia="zh-CN"/>
              </w:rPr>
              <w:t>3</w:t>
            </w:r>
          </w:p>
        </w:tc>
        <w:tc>
          <w:tcPr>
            <w:tcW w:w="769" w:type="dxa"/>
            <w:gridSpan w:val="2"/>
            <w:tcBorders>
              <w:tl2br w:val="nil"/>
              <w:tr2bl w:val="nil"/>
            </w:tcBorders>
            <w:shd w:val="clear" w:color="auto" w:fill="auto"/>
            <w:vAlign w:val="top"/>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★智能显示器</w:t>
            </w:r>
          </w:p>
        </w:tc>
        <w:tc>
          <w:tcPr>
            <w:tcW w:w="656" w:type="dxa"/>
            <w:gridSpan w:val="3"/>
            <w:tcBorders>
              <w:tl2br w:val="nil"/>
              <w:tr2bl w:val="nil"/>
            </w:tcBorders>
            <w:shd w:val="clear" w:color="auto" w:fill="auto"/>
            <w:vAlign w:val="top"/>
          </w:tcPr>
          <w:p>
            <w:pPr>
              <w:ind w:firstLine="0" w:firstLineChars="0"/>
              <w:rPr>
                <w:rFonts w:hint="eastAsia" w:ascii="宋体" w:hAnsi="宋体" w:eastAsia="宋体" w:cs="宋体"/>
                <w:sz w:val="24"/>
                <w:szCs w:val="24"/>
                <w:lang w:eastAsia="zh-CN"/>
              </w:rPr>
            </w:pPr>
            <w:r>
              <w:rPr>
                <w:rFonts w:hint="eastAsia" w:ascii="宋体" w:hAnsi="宋体" w:eastAsia="宋体" w:cs="宋体"/>
                <w:sz w:val="24"/>
                <w:szCs w:val="24"/>
                <w:lang w:eastAsia="zh-CN"/>
              </w:rPr>
              <w:t>1</w:t>
            </w:r>
          </w:p>
        </w:tc>
        <w:tc>
          <w:tcPr>
            <w:tcW w:w="628" w:type="dxa"/>
            <w:tcBorders>
              <w:tl2br w:val="nil"/>
              <w:tr2bl w:val="nil"/>
            </w:tcBorders>
            <w:shd w:val="clear" w:color="auto" w:fill="auto"/>
            <w:vAlign w:val="top"/>
          </w:tcPr>
          <w:p>
            <w:pPr>
              <w:ind w:firstLine="0" w:firstLineChars="0"/>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台</w:t>
            </w:r>
          </w:p>
        </w:tc>
        <w:tc>
          <w:tcPr>
            <w:tcW w:w="6422"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需满足：</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色域值100%；</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低光蓝色护眼；</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对比度4000；</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超高清4K；</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支持HDR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屏幕16：9</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支持格式：2160P四核A35 2GBcpuG31MP2四核32GB</w:t>
            </w:r>
          </w:p>
        </w:tc>
        <w:tc>
          <w:tcPr>
            <w:tcW w:w="407" w:type="dxa"/>
            <w:tcBorders>
              <w:tl2br w:val="nil"/>
              <w:tr2bl w:val="nil"/>
            </w:tcBorders>
            <w:shd w:val="clear" w:color="auto" w:fill="auto"/>
            <w:vAlign w:val="center"/>
          </w:tcPr>
          <w:p>
            <w:pPr>
              <w:ind w:firstLine="0" w:firstLineChars="0"/>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After w:w="0" w:type="auto"/>
          <w:trHeight w:val="624" w:hRule="atLeast"/>
        </w:trPr>
        <w:tc>
          <w:tcPr>
            <w:tcW w:w="600" w:type="dxa"/>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769"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★RFID图书标签</w:t>
            </w:r>
          </w:p>
        </w:tc>
        <w:tc>
          <w:tcPr>
            <w:tcW w:w="656" w:type="dxa"/>
            <w:gridSpan w:val="3"/>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50000</w:t>
            </w:r>
          </w:p>
        </w:tc>
        <w:tc>
          <w:tcPr>
            <w:tcW w:w="628" w:type="dxa"/>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张</w:t>
            </w:r>
          </w:p>
        </w:tc>
        <w:tc>
          <w:tcPr>
            <w:tcW w:w="6422"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eastAsia="zh-CN"/>
              </w:rPr>
              <w:t>1.</w:t>
            </w:r>
            <w:r>
              <w:rPr>
                <w:rFonts w:hint="eastAsia" w:ascii="宋体" w:hAnsi="宋体" w:eastAsia="宋体" w:cs="宋体"/>
                <w:sz w:val="24"/>
                <w:szCs w:val="24"/>
                <w:lang w:val="en-US" w:eastAsia="zh-CN"/>
              </w:rPr>
              <w:t>图书专用RFID标签是一种带有天线、存储器与控制系统的无源低电集成电路产品，可在其中的存储晶片中多次写入及读取图书、媒体资料的基本资料，用于图书和多媒体光盘资料的标签辨识，可以粘贴在一般图书上，用于图书和光盘资料的辨识；</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2.工作频率：13.56MHz；</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3.支持协议：ISO15693和ISO18000-3标准；</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4.产品规格：≥45mm*46mm；</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5.天线规格：≥43mm*43mm；</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6.内存容量：≥1024 bits；</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7.有效使用寿命：≥10 年；</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8.有效使用次数：≥10万次；</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9.标签为无源标签，无需电池；</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10.标签中有存储器，存储在其中的资料可重复读、写；</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11.标签可以非接触式的读取和写入，加快资源流通的处理手续；</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12.标签具有一定的抗冲突性，能保证多个标签的同时可靠识别；</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13.标签具有较高的安全性，有不可改写的唯一序列号（UID）供识别和加密，防止存储在其中的信息资料被随意读取或改写；</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14.用户可自定义数据格式和内容，具有良好的数据扩展性；</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15.标签的天线为铝或铜质天线，采用蚀刻法工艺制造；</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16.标签采用EAS 或AFI位作为防盗的安全标志方法；</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17.标签固有频率误差率小于或等于±300K Hz范围；</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18.读取标签单一数据块数据，记录从查询被测标签开始到读取标签单一数据块所需的时间≤0.1s；（须提供相关佐证材料，不限于功能截图、检测报告等形式）</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19.标签自带单面粘性，须采用中性粘胶对图书及其它介质黏贴表面无损害，保证在标签质保期内（10年）不开胶脱落；                                                                                                                                                </w:t>
            </w:r>
          </w:p>
        </w:tc>
        <w:tc>
          <w:tcPr>
            <w:tcW w:w="407" w:type="dxa"/>
            <w:tcBorders>
              <w:tl2br w:val="nil"/>
              <w:tr2bl w:val="nil"/>
            </w:tcBorders>
            <w:shd w:val="clear" w:color="auto" w:fill="auto"/>
            <w:vAlign w:val="center"/>
          </w:tcPr>
          <w:p>
            <w:pPr>
              <w:ind w:firstLine="0" w:firstLineChars="0"/>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After w:w="0" w:type="auto"/>
          <w:trHeight w:val="90" w:hRule="atLeast"/>
        </w:trPr>
        <w:tc>
          <w:tcPr>
            <w:tcW w:w="600" w:type="dxa"/>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769"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★一体化馆员工作站</w:t>
            </w:r>
          </w:p>
        </w:tc>
        <w:tc>
          <w:tcPr>
            <w:tcW w:w="656" w:type="dxa"/>
            <w:gridSpan w:val="3"/>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628" w:type="dxa"/>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台</w:t>
            </w:r>
          </w:p>
        </w:tc>
        <w:tc>
          <w:tcPr>
            <w:tcW w:w="6422"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体化馆员工作站是集成RFID读写装置、各种类型读者证卡或二代身份证识别装置、条形码识别装置于一体的设备，对RFID图书/档案标签进行编写、识别和流通状态处理，应用于标签转换以及图书人工借还环节。整机尺寸：长≥550mm，宽≥465mm，高≥448mm；天线板规格：长≥360mm，宽≥275mm，高≥15mm；</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2.整机规格：要求采用18.5英寸及以上屏幕尺寸，支持多点触控，具有USB或RS232、RJ45，无线网络扩展功能；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3.材质：要求整机一体化设计，ABS工程塑料，亚克力，钣金；</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4.系统配置：Windows7系统，英特尔I5双核 1.9GHz，内存4G及以上；</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5.读卡速度：≥50张/秒；</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6.工作频率：13.56MHz；</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7.图书识别：要求可识别多本（堆砌高度：≤250mm）；</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8.防冲突性：要求一次至少可有效识读8个RFID标签。</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9.读者证阅读器：具备RF读者证阅读模块，支持ISO14443A标准( 例如Mifare S50卡 )、ISO15693标准、ID卡（例如EM4100卡）；</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10.支持RFID标签非接触式地进行阅读，有读取、写入、改写RFID标签的能力，允许流通资料的相关信息快速写入标签。</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11.工作模式：要求具有管理员界面可选配馆员模式、自助借还模式、借书模式、还书模式、查询模式等多种工作模式，保证系统软件操作更便捷化；（须提供相关佐证材料，不限于功能截图、</w:t>
            </w:r>
            <w:r>
              <w:rPr>
                <w:rFonts w:hint="eastAsia" w:ascii="宋体" w:hAnsi="宋体" w:eastAsia="宋体" w:cs="宋体"/>
                <w:sz w:val="24"/>
                <w:szCs w:val="24"/>
                <w:lang w:val="en-US" w:eastAsia="zh-Hans"/>
              </w:rPr>
              <w:t>彩页、</w:t>
            </w:r>
            <w:r>
              <w:rPr>
                <w:rFonts w:hint="eastAsia" w:ascii="宋体" w:hAnsi="宋体" w:eastAsia="宋体" w:cs="宋体"/>
                <w:sz w:val="24"/>
                <w:szCs w:val="24"/>
                <w:lang w:val="en-US" w:eastAsia="zh-CN"/>
              </w:rPr>
              <w:t xml:space="preserve">检测报告等形式）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12.图书管理：要求具有图书绑定、图书列表、借还标志位、标签读取以及馆藏地迁移功能；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13.图书绑定：要求具有条形码和标签的绑定功能，将图书信息上传后台，允许导出或删除；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14.图书列表：可获取图书列表、删除指定图书、条件检索图书，支持查找和删除已经转换过的标签，可通过“条码”、“标签”、“作者”进行查找；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15.EAS防盗位读写：要求可自动读取借还标志位(EAS)状态，支持修改RFID标签安全位的开启和关闭；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16.标签读写：要求可自动读取标签信息，支持检测和修改图书标签内相关信息以及核对标签转换是否正常，标签读写支持ISO28560规范；</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17.馆藏地迁移：支持已绑定图书信息迁移到所选的馆藏地；</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18.读者激活：系统读取读者证芯片信息，选择馆藏地，录入或批量导入读者信息和读者证号，绑定激活，便可在设备进行正常借还操作；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19.读者列表：可获取读者列表、查看读者信息与借阅记录，允许删除或导出指定读者；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20.图书借还：要求具有借书、还书、预约功能，允许查看读者借阅记录以及读者信息；</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21.层架标创建：要求支持层架标创建、上传同步，创建新层架标并加入描述，方便管控层架；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22.层架标列表：要求可获取层架标列表、编辑修改和删除指定层架标信息；</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23.系统设置：要求具有检索读卡器、图书管理系统、功能选配、设置组织、语言设置、帮助指南等多个设置功能；（须提供相关佐证材料，不限于功能截图、</w:t>
            </w:r>
            <w:r>
              <w:rPr>
                <w:rFonts w:hint="eastAsia" w:ascii="宋体" w:hAnsi="宋体" w:eastAsia="宋体" w:cs="宋体"/>
                <w:sz w:val="24"/>
                <w:szCs w:val="24"/>
                <w:lang w:val="en-US" w:eastAsia="zh-Hans"/>
              </w:rPr>
              <w:t>彩页、</w:t>
            </w:r>
            <w:r>
              <w:rPr>
                <w:rFonts w:hint="eastAsia" w:ascii="宋体" w:hAnsi="宋体" w:eastAsia="宋体" w:cs="宋体"/>
                <w:sz w:val="24"/>
                <w:szCs w:val="24"/>
                <w:lang w:val="en-US" w:eastAsia="zh-CN"/>
              </w:rPr>
              <w:t xml:space="preserve">检测报告等形式）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24.检索读卡器：要求设备开启时自动检测读卡器连接状态；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25.图书管理系统：可设置图书馆管理系统的地址，点击浏览器可直接跳转至图书馆管理系统；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26.功能配置：要求导航栏可根据需要显示和隐藏；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27.设置组织：要求可随时切换所需操作的组织单位；</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28.语言选择：系统可支持中、英文切换；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29.账号管理：允许用户修改昵称，绑定电话号码及邮箱，支持修改密码；</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30.自助借还模式：要求具有查看读者信息，允许读者自助借还书刊、查询书刊详情、馆藏位置、预借信息和借阅记录的功能；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31.借书模式：系统可设置为仅允许读者借阅书刊模式；</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32.还书模式:系统可设置为仅允许读者还书操作,提示读者还书位置，方便规范管理，减少馆员工作量；</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33.查询模式：系统可设置为仅允许读者查询所属馆藏地的书刊位置、条码、书刊详情；</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34.为保障投标产品在不同温度的环境中均能正常使用，须提供由第三方检测机构出具的依据GB/T2423.1-2008、GB/T2423.2-2008测试标的高低温检测报告；</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35.本设备使用的触控一体机须与本设备为同一品牌，须提供该触控一体机通过IEC/TR 62778-2014标准检测，相关色温、蓝光危害辐亮度风险等级为RG0的检测报告。</w:t>
            </w:r>
          </w:p>
        </w:tc>
        <w:tc>
          <w:tcPr>
            <w:tcW w:w="407" w:type="dxa"/>
            <w:tcBorders>
              <w:tl2br w:val="nil"/>
              <w:tr2bl w:val="nil"/>
            </w:tcBorders>
            <w:shd w:val="clear" w:color="auto" w:fill="auto"/>
            <w:vAlign w:val="center"/>
          </w:tcPr>
          <w:p>
            <w:pPr>
              <w:ind w:firstLine="0" w:firstLineChars="0"/>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After w:w="0" w:type="auto"/>
          <w:trHeight w:val="23" w:hRule="atLeast"/>
        </w:trPr>
        <w:tc>
          <w:tcPr>
            <w:tcW w:w="600"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6</w:t>
            </w:r>
          </w:p>
        </w:tc>
        <w:tc>
          <w:tcPr>
            <w:tcW w:w="769"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★图书编目转换</w:t>
            </w:r>
          </w:p>
        </w:tc>
        <w:tc>
          <w:tcPr>
            <w:tcW w:w="656" w:type="dxa"/>
            <w:gridSpan w:val="3"/>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50000</w:t>
            </w:r>
          </w:p>
        </w:tc>
        <w:tc>
          <w:tcPr>
            <w:tcW w:w="628"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册</w:t>
            </w:r>
          </w:p>
        </w:tc>
        <w:tc>
          <w:tcPr>
            <w:tcW w:w="6422"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图书数据加工录入到图书管理系统中   </w:t>
            </w:r>
          </w:p>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图书RFID电子标签粘贴及数据转换加工</w:t>
            </w:r>
          </w:p>
        </w:tc>
        <w:tc>
          <w:tcPr>
            <w:tcW w:w="407" w:type="dxa"/>
            <w:tcBorders>
              <w:tl2br w:val="nil"/>
              <w:tr2bl w:val="nil"/>
            </w:tcBorders>
            <w:shd w:val="clear" w:color="auto" w:fill="auto"/>
            <w:vAlign w:val="center"/>
          </w:tcPr>
          <w:p>
            <w:pPr>
              <w:ind w:firstLine="0" w:firstLineChars="0"/>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After w:w="0" w:type="auto"/>
          <w:trHeight w:val="90" w:hRule="atLeast"/>
        </w:trPr>
        <w:tc>
          <w:tcPr>
            <w:tcW w:w="600"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7</w:t>
            </w:r>
          </w:p>
        </w:tc>
        <w:tc>
          <w:tcPr>
            <w:tcW w:w="769"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★读者证</w:t>
            </w:r>
          </w:p>
        </w:tc>
        <w:tc>
          <w:tcPr>
            <w:tcW w:w="656" w:type="dxa"/>
            <w:gridSpan w:val="3"/>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100</w:t>
            </w:r>
          </w:p>
        </w:tc>
        <w:tc>
          <w:tcPr>
            <w:tcW w:w="628"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张</w:t>
            </w:r>
          </w:p>
        </w:tc>
        <w:tc>
          <w:tcPr>
            <w:tcW w:w="6422"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1.工作频率：13.56 MHz；</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2.支持协议：ISO15693和ISO 18000-3标准；</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3.芯片：相当于NXP ICODE2或NXP ICODE SLIX；</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4.内存容量：≥1024 bits；</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5.标签天线：铝质蚀刻天线；</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6.尺寸：长≤85MM 宽≤50mm，+/-0.5MM；</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7.出厂质量检测：100%全检；</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8.环境温度范围：-30℃—75℃；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9.有效使用寿命：≥10 年；内存须可读写100,000次以上；</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10.防冲突机制：≥30个标签/秒；</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11.标签上可印制由图书馆提供的LOGO图案；</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功能参数：</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RFID读者证是采用内嵌RFID标签的卡片，可在其中的RFID标签的存储晶片中多次写入及读取读者的基本信息，用于从事读者的流通借还操作、读者的身份辨识操作等。读者证标签中可存储以下信息：读者证号、读者姓名等信息。</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1.读者证可以非接触式的读取资料和写入资料，加快资源流通的处理手续；</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2.每张卡有唯一序列号，具有防冲突机制。无电源，自带天线和通讯逻辑电路；</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3.读者证具有较高的安全性，防止存储在其中的信息被泄露；</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4.存储在读者证中的信息可在非常短的时间内被相关的RFID阅读产品设备读取；</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5.读者证的标签中有存储器，存储在其中的资料可重复读、写；</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6.读者证具有较高的安全性，防止存储在其中的信息被泄露；</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7.读者证符合ISO15963、ISO18000-3标准；</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8.读者证有频率误差率小于或等于±300K Hz范围；</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9.读者证大小、规格符合相关智能卡；</w:t>
            </w:r>
          </w:p>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10.读者证一面印制由图书馆提供的LOGO图案，另一面为注意事项；</w:t>
            </w:r>
          </w:p>
        </w:tc>
        <w:tc>
          <w:tcPr>
            <w:tcW w:w="407" w:type="dxa"/>
            <w:tcBorders>
              <w:tl2br w:val="nil"/>
              <w:tr2bl w:val="nil"/>
            </w:tcBorders>
            <w:shd w:val="clear" w:color="auto" w:fill="auto"/>
            <w:vAlign w:val="center"/>
          </w:tcPr>
          <w:p>
            <w:pPr>
              <w:ind w:firstLine="0" w:firstLineChars="0"/>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After w:w="0" w:type="auto"/>
          <w:trHeight w:val="2661" w:hRule="atLeast"/>
        </w:trPr>
        <w:tc>
          <w:tcPr>
            <w:tcW w:w="600"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8</w:t>
            </w:r>
          </w:p>
        </w:tc>
        <w:tc>
          <w:tcPr>
            <w:tcW w:w="769"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★自助借还书机</w:t>
            </w:r>
          </w:p>
        </w:tc>
        <w:tc>
          <w:tcPr>
            <w:tcW w:w="656" w:type="dxa"/>
            <w:gridSpan w:val="3"/>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w:t>
            </w:r>
          </w:p>
        </w:tc>
        <w:tc>
          <w:tcPr>
            <w:tcW w:w="628"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台</w:t>
            </w:r>
          </w:p>
        </w:tc>
        <w:tc>
          <w:tcPr>
            <w:tcW w:w="6422"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1.自助借还书机通过对粘贴有RFID标签的资料、书籍进行扫描、识别，将人工借还改为自助借还，提高了借阅服务质，整机外观尺寸：长≥500，宽≥570，高≥1485mm;</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2.主机配置：要求采用21.5英寸屏幕及以上，操作系统：Android 5.1 及以上，支持多点触摸；CPU：RK3288（Cortex-A17架构）及以上；内存：2G及以上；</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3.要求具有LAN有线网口， WiFi 2.4GHz，USB*3和HDMI(out)*1接口；</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4.材料结构：要求整机采用冷轧钢板材质，铝型材包边设计，表面钢化玻璃圆角处理，符合人体工程学设计；</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5.刷卡器：要求具备RF读者证阅读模块，支持ISO14443A标准( 例如Mifare S50卡 )、ISO15693标准、ID卡（例如EM4100卡）；</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6.读写器：要求具有快速防碰撞处理算法，读写距离：16~40cm；（本特性与卡片有关）；工作时自动开启射频，空闲时自动关闭射频；</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7.工作频率：13.56MHz；</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8.摄像头：设备内置200W宽动态摄像头，系统具有人脸识别认证，方便读者借阅；</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9.扫码器：要求设备内置扫码器，支持二维码扫描；</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10.打印机：要求设备内置打印机，支持80mm热敏纸行点式打印，打印分辨率≥203dpi；</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11.系统安全性：要求支持 TCP/IP 联网协议、SIPⅡ国际标准协议、NCIP 协议等接口与图书馆端数据库进行数据交换，确保系统安全;</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12.设备外观：要求一体化支架设计，支撑牢固，简洁时尚；前置Led灯带，有效提示设备运行状态；</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人脸识别：要求不依托第三方平台，自建人脸数据库，可在局域网环境下实现人脸识别功能。支持管理员后台上传读者人脸照片或批量导入读者人脸特征数据；支持读者通过个人中心或小程序自主上传人脸头像；图书馆设备进行人脸注册系统自动提取人脸数据等多种获取人脸数据途径；</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14.登录方式：要求支持账号登录、人脸识别、刷卡登录、微信扫二维码授权登录等多种登录方式；</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15.自助借阅：要求具有对图书标签防盗位进行复位或置位，可以一次借还多本书刊；</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16.隐私保护：要求具有保护读者隐私功能，可选择隐藏读者部分信息；</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17.登录管理：要求允许查看读者个人信息，借阅量、在借量、超期量、借阅期限和人脸注册信息；在借书刊借阅时间以及到期时间，是否允许续借；预借到期时间和取消预借；密码管理等；</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18.语音查询：可通过语音识别查询图书；</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19.智能语音：要求具有图形化、语音化的人机交互友好操作界面，提供简体中文语言的视觉交互提示、搜索和查询功能；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20.个性化设置：要求支持远程更换显示界面LOGO；允许对返回设备首页或进入读者登录界面的语音进行自定义设定；首页长时间无操作自动进入屏保，支持后台推送自定义屏保或使用历史今日图片；</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21.电子办证：要求具有通过微信扫描设备屏幕上的二维码即可注册电子借阅证功能，绑定小程序可上传人脸数据并保存，实现无卡登录、借阅；</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22.小程序：要求支持微信小程序；可在小程序端实现读者信息查询、图书查询、图书预约、扫码借阅、排行查看等功能；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功能测评：设备须具备阅读评测功能，读者可在设备上进行阅读能力测评，获得自己的阅读综合能力值与评语，同时系统会根据评测结果进行精准的书籍推荐；设备须具备心理评测功能，读者可在设备上通过三大心理测试，定位心理状态；（须提供相关佐证材料，不限于功能截图、</w:t>
            </w:r>
            <w:r>
              <w:rPr>
                <w:rFonts w:hint="eastAsia" w:ascii="宋体" w:hAnsi="宋体" w:eastAsia="宋体" w:cs="宋体"/>
                <w:sz w:val="24"/>
                <w:szCs w:val="24"/>
                <w:lang w:val="en-US" w:eastAsia="zh-Hans"/>
              </w:rPr>
              <w:t>彩页、</w:t>
            </w:r>
            <w:r>
              <w:rPr>
                <w:rFonts w:hint="eastAsia" w:ascii="宋体" w:hAnsi="宋体" w:eastAsia="宋体" w:cs="宋体"/>
                <w:sz w:val="24"/>
                <w:szCs w:val="24"/>
                <w:lang w:val="en-US" w:eastAsia="zh-CN"/>
              </w:rPr>
              <w:t xml:space="preserve">检测报告等形式）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24.全科知识竞赛：设备须具备全科知识答题竞赛功能，读者可在设备上进行全科知识答题竞赛功能，提升阅读乐趣，检验读者知识储备；</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25.诗词屏保：要求系统具备诗词屏保功能，设备进入屏保后，可自动进行诗词内容滚动播放，诗词类型包括：诗经、楚辞、金刚经、道德经、唐诗、宋词、元曲等；</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1)、诗词提供作者、诗词文、评析、注释、译文等内容，其中评析功能深入浅出地对诗词的写作背景、表达手法、意境阐述等方面进行讲解；</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2）、诗词提供优质的视听感受，精美国风风格界面、中华传统乐曲编制的背景音乐，让读者身临其境地感受诗意；</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3）、诗词内容展示便捷友好，支持上下划动实现内容展示，左右划动实现手动翻页；</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26.书单推荐：要求系统具备多种类书单推荐功能，包括新书推荐、热门推荐、必读书目、主席书单、课外必读等多种书单类型，各类型书单中推荐的图书均与主题呼应，各不相同；（须提供相关佐证材料，不限于功能截图、</w:t>
            </w:r>
            <w:r>
              <w:rPr>
                <w:rFonts w:hint="eastAsia" w:ascii="宋体" w:hAnsi="宋体" w:eastAsia="宋体" w:cs="宋体"/>
                <w:sz w:val="24"/>
                <w:szCs w:val="24"/>
                <w:lang w:val="en-US" w:eastAsia="zh-Hans"/>
              </w:rPr>
              <w:t>彩页、</w:t>
            </w:r>
            <w:r>
              <w:rPr>
                <w:rFonts w:hint="eastAsia" w:ascii="宋体" w:hAnsi="宋体" w:eastAsia="宋体" w:cs="宋体"/>
                <w:sz w:val="24"/>
                <w:szCs w:val="24"/>
                <w:lang w:val="en-US" w:eastAsia="zh-CN"/>
              </w:rPr>
              <w:t xml:space="preserve">检测报告等形式）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27.标签解析：要求支持ISO 28560规范图书标签解析，支持多种数据压缩算法（自适应）。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28.为保证产品在不同使用环境中运行稳定，性能可靠，须提供符合GB/T5080.7-1986、GB/T9813.1-2016测试标准并由国家权威机构出具的平均无故障时间≥10000小时的证书；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29.为保证产品在不同环境中不被明显腐蚀、性能稳定，须提供符合GB/T2423.17-2008测试标准并由国家权威检验中心出具的≥72h盐雾检测证书；</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30.为保证产品所含铅、镉、汞、六价铬、多溴联苯和多溴二苯醚及邻苯二甲酸酯等有害物质在安全值范围内，须提供符合中华人民共和国国家标准的检测报告及证书。</w:t>
            </w:r>
          </w:p>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31.本设备使用的触控一体机须与本设备为同一品牌，须提供该触控一体机通过IEC/TR 62778-2014标准检测，相关色温、蓝光危害辐亮度风险等级为RG0的检测报告；</w:t>
            </w:r>
          </w:p>
        </w:tc>
        <w:tc>
          <w:tcPr>
            <w:tcW w:w="407" w:type="dxa"/>
            <w:tcBorders>
              <w:tl2br w:val="nil"/>
              <w:tr2bl w:val="nil"/>
            </w:tcBorders>
            <w:shd w:val="clear" w:color="auto" w:fill="auto"/>
            <w:vAlign w:val="center"/>
          </w:tcPr>
          <w:p>
            <w:pPr>
              <w:ind w:firstLine="0" w:firstLineChars="0"/>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After w:w="0" w:type="auto"/>
          <w:trHeight w:val="2154" w:hRule="atLeast"/>
        </w:trPr>
        <w:tc>
          <w:tcPr>
            <w:tcW w:w="600" w:type="dxa"/>
            <w:tcBorders>
              <w:tl2br w:val="nil"/>
              <w:tr2bl w:val="nil"/>
            </w:tcBorders>
            <w:shd w:val="clear" w:color="auto" w:fill="auto"/>
            <w:vAlign w:val="top"/>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9</w:t>
            </w:r>
          </w:p>
        </w:tc>
        <w:tc>
          <w:tcPr>
            <w:tcW w:w="769" w:type="dxa"/>
            <w:gridSpan w:val="2"/>
            <w:tcBorders>
              <w:tl2br w:val="nil"/>
              <w:tr2bl w:val="nil"/>
            </w:tcBorders>
            <w:shd w:val="clear" w:color="auto" w:fill="auto"/>
            <w:vAlign w:val="top"/>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★RFID安全门</w:t>
            </w:r>
          </w:p>
        </w:tc>
        <w:tc>
          <w:tcPr>
            <w:tcW w:w="656" w:type="dxa"/>
            <w:gridSpan w:val="3"/>
            <w:tcBorders>
              <w:tl2br w:val="nil"/>
              <w:tr2bl w:val="nil"/>
            </w:tcBorders>
            <w:shd w:val="clear" w:color="auto" w:fill="auto"/>
            <w:vAlign w:val="top"/>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628" w:type="dxa"/>
            <w:tcBorders>
              <w:tl2br w:val="nil"/>
              <w:tr2bl w:val="nil"/>
            </w:tcBorders>
            <w:shd w:val="clear" w:color="auto" w:fill="auto"/>
            <w:vAlign w:val="top"/>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片</w:t>
            </w:r>
          </w:p>
        </w:tc>
        <w:tc>
          <w:tcPr>
            <w:tcW w:w="6422"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安全门系统是专为智慧图书馆设计的高性能防盗设备，通过读取粘贴在书籍上的RFID标签来对书籍借阅状态进行判断，以达到防盗和监控的目的，此系列安全门采用RFID技术和三维全向感应设计，支持电子标签任意方向的检测；支持多种报警检测模式；同一系列可支持多片安全门并排安装使用。</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2.单片产品规格：长≥696mm*宽≥140mm*高≥1679mm；</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3.通道规格：单通道宽度≥100cm；</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4.安全门（单通道）底座：长≥925mm*宽≥690mm；</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5.工作频率：13.56MHz；</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6.符合协议：要求符合ISO18000-3/ISO15693；</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7.通信接口：支持以太网、RS232、RS485；</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8.告警方式：通道具有声光报警功能；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9.语音提示：要求具有自定义语音提示功能，支持MP3格式，可配置不少于5个告警、提示等语音文件，配置方式简单易操作；</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10.喇叭功率：要求内置5W*2个扬声器，提供清晰、量感充沛的音质输出；</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11.信号联动：要求每片安全门支持不少于5路数字信号联动输出，其中一路可直接控制220V电源的通断；（须提供相关佐证材料，不限于功能截图、</w:t>
            </w:r>
            <w:r>
              <w:rPr>
                <w:rFonts w:hint="eastAsia" w:ascii="宋体" w:hAnsi="宋体" w:eastAsia="宋体" w:cs="宋体"/>
                <w:sz w:val="24"/>
                <w:szCs w:val="24"/>
                <w:lang w:val="en-US" w:eastAsia="zh-Hans"/>
              </w:rPr>
              <w:t>彩页、</w:t>
            </w:r>
            <w:r>
              <w:rPr>
                <w:rFonts w:hint="eastAsia" w:ascii="宋体" w:hAnsi="宋体" w:eastAsia="宋体" w:cs="宋体"/>
                <w:sz w:val="24"/>
                <w:szCs w:val="24"/>
                <w:lang w:val="en-US" w:eastAsia="zh-CN"/>
              </w:rPr>
              <w:t xml:space="preserve">检测报告等形式）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12.固件升级：要求安全门所有固件均可通过软件升级，无需专用设备；</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13.要求支持多种报警检测模式：EAS、AFI、EAS+AFI、AFI+DSFID；</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14.标签识别：非接触式的快速识别粘贴在流通资料上的RFID标签；</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15.安全扫描：对图书馆内的印刷品、视听出版物、CD及DVD等流通资料进行安全扫描操作，要求不损坏粘贴在流通资料中的磁性介质的资料；</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16.设备系统：具有高侦测性能系统，能够进行三维监测，要求无误报，无漏报；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17.人流量统计：检测人员流动，自动判别进、出方向，自动保存人流量数据，断网、断电数据不丢失；18.数码显示：要求每片安全门可轮流显示日期、时间和人流量等信息；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19.状态指示：要求每片安全门具有独立射频状态指示灯，无需打开设备罩壳就可以观察到天线的工作状态；</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20.参数配置：要求安全门具有Micro-USB接口，连接电脑即可直接读取和修改安全门配置；（须提供相关佐证材料，不限于功能截图、</w:t>
            </w:r>
            <w:r>
              <w:rPr>
                <w:rFonts w:hint="eastAsia" w:ascii="宋体" w:hAnsi="宋体" w:eastAsia="宋体" w:cs="宋体"/>
                <w:sz w:val="24"/>
                <w:szCs w:val="24"/>
                <w:lang w:val="en-US" w:eastAsia="zh-Hans"/>
              </w:rPr>
              <w:t>彩页、</w:t>
            </w:r>
            <w:r>
              <w:rPr>
                <w:rFonts w:hint="eastAsia" w:ascii="宋体" w:hAnsi="宋体" w:eastAsia="宋体" w:cs="宋体"/>
                <w:sz w:val="24"/>
                <w:szCs w:val="24"/>
                <w:lang w:val="en-US" w:eastAsia="zh-CN"/>
              </w:rPr>
              <w:t xml:space="preserve">检测报告等形式）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21.自检功能：要求安全门具备上电自检功能，如有故障，可语音提示；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eastAsia="zh-CN"/>
              </w:rPr>
              <w:t>22</w:t>
            </w:r>
            <w:r>
              <w:rPr>
                <w:rFonts w:hint="eastAsia" w:ascii="宋体" w:hAnsi="宋体" w:eastAsia="宋体" w:cs="宋体"/>
                <w:sz w:val="24"/>
                <w:szCs w:val="24"/>
                <w:lang w:val="en-US" w:eastAsia="zh-CN"/>
              </w:rPr>
              <w:t>.投标产品须具备安全门防尾随软件著作权登记证书；</w:t>
            </w:r>
          </w:p>
          <w:p>
            <w:pPr>
              <w:ind w:firstLine="0" w:firstLineChars="0"/>
              <w:rPr>
                <w:rFonts w:hint="eastAsia" w:ascii="宋体" w:hAnsi="宋体" w:eastAsia="宋体" w:cs="宋体"/>
                <w:sz w:val="24"/>
                <w:szCs w:val="24"/>
              </w:rPr>
            </w:pPr>
            <w:r>
              <w:rPr>
                <w:rFonts w:hint="eastAsia" w:ascii="宋体" w:hAnsi="宋体" w:eastAsia="宋体" w:cs="宋体"/>
                <w:sz w:val="24"/>
                <w:szCs w:val="24"/>
                <w:lang w:eastAsia="zh-CN"/>
              </w:rPr>
              <w:t>23</w:t>
            </w:r>
            <w:r>
              <w:rPr>
                <w:rFonts w:hint="eastAsia" w:ascii="宋体" w:hAnsi="宋体" w:eastAsia="宋体" w:cs="宋体"/>
                <w:sz w:val="24"/>
                <w:szCs w:val="24"/>
                <w:lang w:val="en-US" w:eastAsia="zh-CN"/>
              </w:rPr>
              <w:t>.为保障投标产品在不同温度的环境中均能正常使用，须提供由第三方检测机构出具的依据GB/T2423.1-2008、GB/T2423.2-2008测试标的高低温检测报告；</w:t>
            </w:r>
          </w:p>
        </w:tc>
        <w:tc>
          <w:tcPr>
            <w:tcW w:w="407" w:type="dxa"/>
            <w:tcBorders>
              <w:tl2br w:val="nil"/>
              <w:tr2bl w:val="nil"/>
            </w:tcBorders>
            <w:shd w:val="clear" w:color="auto" w:fill="auto"/>
            <w:noWrap/>
            <w:vAlign w:val="center"/>
          </w:tcPr>
          <w:p>
            <w:pPr>
              <w:ind w:firstLine="0" w:firstLineChars="0"/>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After w:w="0" w:type="auto"/>
          <w:trHeight w:val="23" w:hRule="atLeast"/>
        </w:trPr>
        <w:tc>
          <w:tcPr>
            <w:tcW w:w="600"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10</w:t>
            </w:r>
          </w:p>
        </w:tc>
        <w:tc>
          <w:tcPr>
            <w:tcW w:w="769"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★办公电脑</w:t>
            </w:r>
          </w:p>
        </w:tc>
        <w:tc>
          <w:tcPr>
            <w:tcW w:w="656" w:type="dxa"/>
            <w:gridSpan w:val="3"/>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w:t>
            </w:r>
          </w:p>
        </w:tc>
        <w:tc>
          <w:tcPr>
            <w:tcW w:w="628"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台</w:t>
            </w:r>
          </w:p>
        </w:tc>
        <w:tc>
          <w:tcPr>
            <w:tcW w:w="6422"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具体参数：</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主要需求或性能描述：</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1.CPU：≥Intel第十代 Core i5处理器；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2.主板：≥Intel B460芯片组；</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3.内存：≥4GB DDR4 2666MHz；</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4.硬盘：≥256G  固态硬盘，</w:t>
            </w:r>
          </w:p>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5.显卡：高性能集成显卡；</w:t>
            </w:r>
          </w:p>
        </w:tc>
        <w:tc>
          <w:tcPr>
            <w:tcW w:w="407" w:type="dxa"/>
            <w:tcBorders>
              <w:tl2br w:val="nil"/>
              <w:tr2bl w:val="nil"/>
            </w:tcBorders>
            <w:shd w:val="clear" w:color="auto" w:fill="auto"/>
            <w:noWrap/>
            <w:vAlign w:val="center"/>
          </w:tcPr>
          <w:p>
            <w:pPr>
              <w:ind w:firstLine="0" w:firstLineChars="0"/>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After w:w="0" w:type="auto"/>
          <w:trHeight w:val="90" w:hRule="atLeast"/>
        </w:trPr>
        <w:tc>
          <w:tcPr>
            <w:tcW w:w="600"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11</w:t>
            </w:r>
          </w:p>
        </w:tc>
        <w:tc>
          <w:tcPr>
            <w:tcW w:w="769" w:type="dxa"/>
            <w:gridSpan w:val="2"/>
            <w:tcBorders>
              <w:tl2br w:val="nil"/>
              <w:tr2bl w:val="nil"/>
            </w:tcBorders>
            <w:shd w:val="clear" w:color="auto" w:fill="auto"/>
            <w:vAlign w:val="top"/>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★阅读器</w:t>
            </w:r>
          </w:p>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（中小学）</w:t>
            </w:r>
          </w:p>
        </w:tc>
        <w:tc>
          <w:tcPr>
            <w:tcW w:w="656" w:type="dxa"/>
            <w:gridSpan w:val="3"/>
            <w:tcBorders>
              <w:tl2br w:val="nil"/>
              <w:tr2bl w:val="nil"/>
            </w:tcBorders>
            <w:shd w:val="clear" w:color="auto" w:fill="auto"/>
            <w:vAlign w:val="top"/>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22</w:t>
            </w:r>
          </w:p>
        </w:tc>
        <w:tc>
          <w:tcPr>
            <w:tcW w:w="628" w:type="dxa"/>
            <w:tcBorders>
              <w:tl2br w:val="nil"/>
              <w:tr2bl w:val="nil"/>
            </w:tcBorders>
            <w:shd w:val="clear" w:color="auto" w:fill="auto"/>
            <w:vAlign w:val="top"/>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台</w:t>
            </w:r>
          </w:p>
        </w:tc>
        <w:tc>
          <w:tcPr>
            <w:tcW w:w="6422"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一、硬件参数:</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1.显示屏：≥10.3寸；</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2.屏幕：纯平；</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3.内存：≥32G；</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4.按键：开关键；</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5.CPU：≥四核；</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6.麦克风阵列：支持；</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7.无线连接方式：WIFI+蓝牙；</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8.前光：冷暖双色前光；</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9.扬声器：支持；</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10.电池：4000MAH锂聚合物；</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11.连接端口：USB TYPE-C；</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12.操作系统：安卓操作系统。</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二、软件功能: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（一）学生端</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1.通过在线书城直接阅读原版图书全文；</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2.可查看学生用户阅读时长、阅读量、足迹、最近七天阅读时长等；</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3.提供排行榜，可查看班级排行、年级排行、全校排名、全国排名等数据；</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3.学生用户支持图书阅读、阅读测试、评论、作业、朗读等功能；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4.支持PDF，EPUB， TXT，MOBI等格式的本地图书导入阅读；</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5.支持图书字体大小切换、进度调整、关键词搜索、查看目录、笔记、翻译、复制等阅读功能；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6.学生端用户支持手机端应用且同时支持以上所有功能；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（二）教师端</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1.老师可通过教师端书城给学生推荐优质书籍，学生在学生端书城首页点击老师导读，即可看到老师推荐的优质书籍；</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2.教师端支持发布公告至指定班级，可随时发布；</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支持布置作业，作业类型分别为书籍阅读、短篇阅读、朗读作业；书籍阅读作业可以引用书城内书籍的具体章节，学生点击即可跳转至阅读界面，高效方便完成阅读作业；短篇阅读支持OCR文字识别，随时随地、快速高效将优质文章数字化，分享给学生阅读；</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朗读作业提供海量精选朗读素材，支持录制领读音频，为学生提供朗读范例。包含名家散文、诗歌类、经典国学类、文学类等不少于10万余种资源；其中古诗词约9万余种（唐诗2.6万余种，宋词6.6万余种，诗经500余种，元曲80余种）；  散文+诗歌+国学经典（1000余种）；外国语言+经典文学（300余种）；学习书库+伟人诗词+党政（3000余种）；</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5.支持查看作业报告，可查看作业平均正确率、完成人数以及完成率，具体题目的准确率，且可切换查看学生个人具体的作业报告；</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支持查看阅读数据，统计班级阅读数据，如：总阅读时长、总阅读量、人均阅读时长、人均阅读量，最近七天阅读数据、学生阅读情况等，可直观明了地展示班级阅读数据，方便分析学生对不同种类图书偏好程度；</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7.学生阅读情况，分别为阅读字数、阅读数量、阅读时长，且可以对其进行排序，数据直观清晰；</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7.排行榜数据，可查看班级内学生的个人排名，以及班级在年级、全校、全国的排名。</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三、资源配置:</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图书资源：内置10000本电子图书，图书支持pdf、txt、epub、mobi等格式，图书能够自适应屏幕排版；每季度定时更新电子图书。图书内含分类：中小学必读书目、诺贝尔文学奖、全国优秀儿童文学奖、人文历史、世界文学名著、国学经典、百年百部中国儿童文学经典书系、文学艺术等，可满足多类型用户需求；</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2.朗读资源：提供不少于100000个朗读素材资源，包含如下分类：散文、诗歌、古诗词、中小学朗读素材、国学经典、童话故事、经典文学，且部分素材支持试听领读；</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3.名著导读：260本中小学生名著有声导读，覆盖小学三年级至高中三年级的必读书目；</w:t>
            </w:r>
          </w:p>
          <w:p>
            <w:pPr>
              <w:ind w:firstLine="0" w:firstLineChars="0"/>
              <w:rPr>
                <w:rFonts w:hint="eastAsia" w:ascii="宋体" w:hAnsi="宋体" w:eastAsia="宋体" w:cs="宋体"/>
                <w:sz w:val="24"/>
                <w:szCs w:val="24"/>
                <w:lang w:eastAsia="zh-Hans"/>
              </w:rPr>
            </w:pPr>
            <w:r>
              <w:rPr>
                <w:rFonts w:hint="eastAsia" w:ascii="宋体" w:hAnsi="宋体" w:eastAsia="宋体" w:cs="宋体"/>
                <w:sz w:val="24"/>
                <w:szCs w:val="24"/>
                <w:lang w:val="en-US" w:eastAsia="zh-CN"/>
              </w:rPr>
              <w:t>4.提供不少于100套适合中小学学生的图书测评题库，根据图书内容进行测评，可在线答题，在线获得测试结果。</w:t>
            </w:r>
          </w:p>
        </w:tc>
        <w:tc>
          <w:tcPr>
            <w:tcW w:w="407" w:type="dxa"/>
            <w:tcBorders>
              <w:tl2br w:val="nil"/>
              <w:tr2bl w:val="nil"/>
            </w:tcBorders>
            <w:shd w:val="clear" w:color="auto" w:fill="auto"/>
            <w:vAlign w:val="center"/>
          </w:tcPr>
          <w:p>
            <w:pPr>
              <w:ind w:firstLine="0" w:firstLineChars="0"/>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After w:w="0" w:type="auto"/>
          <w:trHeight w:val="23" w:hRule="atLeast"/>
        </w:trPr>
        <w:tc>
          <w:tcPr>
            <w:tcW w:w="600"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12</w:t>
            </w:r>
          </w:p>
        </w:tc>
        <w:tc>
          <w:tcPr>
            <w:tcW w:w="769"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Hans"/>
              </w:rPr>
              <w:t>★阅读器</w:t>
            </w:r>
            <w:r>
              <w:rPr>
                <w:rFonts w:hint="eastAsia" w:ascii="宋体" w:hAnsi="宋体" w:eastAsia="宋体" w:cs="宋体"/>
                <w:sz w:val="24"/>
                <w:szCs w:val="24"/>
                <w:lang w:val="en-US" w:eastAsia="zh-CN"/>
              </w:rPr>
              <w:t>支架</w:t>
            </w:r>
          </w:p>
        </w:tc>
        <w:tc>
          <w:tcPr>
            <w:tcW w:w="656" w:type="dxa"/>
            <w:gridSpan w:val="3"/>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22</w:t>
            </w:r>
          </w:p>
        </w:tc>
        <w:tc>
          <w:tcPr>
            <w:tcW w:w="628"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个</w:t>
            </w:r>
          </w:p>
        </w:tc>
        <w:tc>
          <w:tcPr>
            <w:tcW w:w="6422"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特点：折叠便捷易携带，多场合使用，使用于全系列智能手机及7~14寸平板阅读器等。</w:t>
            </w:r>
          </w:p>
        </w:tc>
        <w:tc>
          <w:tcPr>
            <w:tcW w:w="407" w:type="dxa"/>
            <w:tcBorders>
              <w:tl2br w:val="nil"/>
              <w:tr2bl w:val="nil"/>
            </w:tcBorders>
            <w:shd w:val="clear" w:color="auto" w:fill="auto"/>
            <w:vAlign w:val="center"/>
          </w:tcPr>
          <w:p>
            <w:pPr>
              <w:ind w:firstLine="0" w:firstLineChars="0"/>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After w:w="0" w:type="auto"/>
          <w:trHeight w:val="798" w:hRule="atLeast"/>
        </w:trPr>
        <w:tc>
          <w:tcPr>
            <w:tcW w:w="600"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13</w:t>
            </w:r>
          </w:p>
        </w:tc>
        <w:tc>
          <w:tcPr>
            <w:tcW w:w="769" w:type="dxa"/>
            <w:gridSpan w:val="2"/>
            <w:tcBorders>
              <w:tl2br w:val="nil"/>
              <w:tr2bl w:val="nil"/>
            </w:tcBorders>
            <w:shd w:val="clear" w:color="auto" w:fill="auto"/>
            <w:vAlign w:val="top"/>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★充电车</w:t>
            </w:r>
          </w:p>
        </w:tc>
        <w:tc>
          <w:tcPr>
            <w:tcW w:w="656" w:type="dxa"/>
            <w:gridSpan w:val="3"/>
            <w:tcBorders>
              <w:tl2br w:val="nil"/>
              <w:tr2bl w:val="nil"/>
            </w:tcBorders>
            <w:shd w:val="clear" w:color="auto" w:fill="auto"/>
            <w:vAlign w:val="top"/>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w:t>
            </w:r>
          </w:p>
        </w:tc>
        <w:tc>
          <w:tcPr>
            <w:tcW w:w="628" w:type="dxa"/>
            <w:tcBorders>
              <w:tl2br w:val="nil"/>
              <w:tr2bl w:val="nil"/>
            </w:tcBorders>
            <w:shd w:val="clear" w:color="auto" w:fill="auto"/>
            <w:vAlign w:val="top"/>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台</w:t>
            </w:r>
          </w:p>
        </w:tc>
        <w:tc>
          <w:tcPr>
            <w:tcW w:w="6422"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1、整机支持60台设备同时充电；整机尺寸需满足：长880*宽550*高1070（mm）；柜体工位可放置最大设备尺寸≤340*240*30（mm）；</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2、主体材质1.0-3.0（mm）SPCC冷轧碳素钢与环保ABS工程塑料相结合;采用全封闭防盗结构、工艺上耐酸碱腐蚀、耐磨、防静电等。</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3、整体外型三方整体大圆弧过度，圆弧D80MM，外观颜色采用黑白相间的经典配置，美观大气，安全稳固。</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采用分舱设计，前部为老师、学生使用区域，后部为设备调试维护区域。前后使用不同防盗锁（其中前门为双重防盗天地锁），注重前仓设备的安全保护。内部分舱，强弱电分离，学生无法接触强电部分。（前舱为平板放置充电区域，学生接触区域，无强电；后舱为电源管理控制区域，由专业管理人员控制）。</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5、高品质超静音脚轮（四轮万向，两轮带刹车）和内嵌式左右人体工学把手。</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6，柜体侧面带有隐藏式置物槽，可存放电源线，无线AP等。</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7，独创专利智能互循环散热结构，辅以温控感应控制风扇强制散热。</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8、环保 ABS 工程塑料单机隔断，保证隔断塑料面板厚度不低于7MM，以保证隔板强度，同时在设计上采用新颖的ABS隔板四面包围方式，以保障设备用电安全，其中内置隔板上带有卡线槽且不划伤屏幕，柜内USB线走线顺畅，美观。同时又预留凹槽方便拿取电脑。</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供电安全方面采用独有的USB接口后置供电模式，5V/0.5-2A之间智能输出，电源管理芯片式集成电路设计，自动检测平板允许输入电流，优先供应低电位设备。根据电池电量自动以普通，快速，涓流三种模式供电，满电自动断电。USB接口出现故障和短路情况（比如USB线短路，平板的短路等情况）电源管理芯片具备智能化自适应、自检测、自恢复功能，保障设备的及时供电和用电安全。</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10、外置LED数字指示灯对应柜内相应位置的设备，集中显示，实时反映每台平板充电状态，无需开门即可轻松观测设备状态。</w:t>
            </w:r>
          </w:p>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11、配有一体化电源管理系统，集防漏电，防短路，防过载，多模式显示数码智能开关机功能为一体。可随心设置时间，节约能源，具有优先供电功能。使用（自动）时，系统默认为全天充电。</w:t>
            </w:r>
          </w:p>
        </w:tc>
        <w:tc>
          <w:tcPr>
            <w:tcW w:w="407" w:type="dxa"/>
            <w:tcBorders>
              <w:tl2br w:val="nil"/>
              <w:tr2bl w:val="nil"/>
            </w:tcBorders>
            <w:shd w:val="clear" w:color="auto" w:fill="auto"/>
            <w:vAlign w:val="center"/>
          </w:tcPr>
          <w:p>
            <w:pPr>
              <w:ind w:firstLine="0" w:firstLineChars="0"/>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After w:w="0" w:type="auto"/>
          <w:trHeight w:val="23" w:hRule="atLeast"/>
        </w:trPr>
        <w:tc>
          <w:tcPr>
            <w:tcW w:w="600"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14</w:t>
            </w:r>
          </w:p>
        </w:tc>
        <w:tc>
          <w:tcPr>
            <w:tcW w:w="769"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★朗读亭</w:t>
            </w:r>
          </w:p>
        </w:tc>
        <w:tc>
          <w:tcPr>
            <w:tcW w:w="656" w:type="dxa"/>
            <w:gridSpan w:val="3"/>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w:t>
            </w:r>
          </w:p>
        </w:tc>
        <w:tc>
          <w:tcPr>
            <w:tcW w:w="628"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台</w:t>
            </w:r>
          </w:p>
        </w:tc>
        <w:tc>
          <w:tcPr>
            <w:tcW w:w="6422"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rPr>
              <w:t>(一)设备主体： 1个朗读亭, 外形尺寸</w:t>
            </w:r>
            <w:r>
              <w:rPr>
                <w:rFonts w:hint="eastAsia" w:ascii="宋体" w:hAnsi="宋体" w:eastAsia="宋体" w:cs="宋体"/>
                <w:sz w:val="24"/>
                <w:szCs w:val="24"/>
                <w:lang w:val="en-US" w:eastAsia="zh-CN"/>
              </w:rPr>
              <w:t>≥</w:t>
            </w:r>
            <w:r>
              <w:rPr>
                <w:rFonts w:hint="eastAsia" w:ascii="宋体" w:hAnsi="宋体" w:eastAsia="宋体" w:cs="宋体"/>
                <w:sz w:val="24"/>
                <w:szCs w:val="24"/>
              </w:rPr>
              <w:t>: 1.3*1.3*2.5m，制作工艺：500兆帕强度四级钢框架+钢化玻璃，定制隔音层，安全环保高效隔音， 一体式冷凝空调，防滑木纹地板，柔和灯光，保障舒适体验，门控系统, 定制窗帘让朗读亭内外互不打扰， 门头内容LOGO可定制.</w:t>
            </w:r>
          </w:p>
          <w:p>
            <w:pPr>
              <w:ind w:firstLine="0" w:firstLineChars="0"/>
              <w:rPr>
                <w:rFonts w:hint="eastAsia" w:ascii="宋体" w:hAnsi="宋体" w:eastAsia="宋体" w:cs="宋体"/>
                <w:sz w:val="24"/>
                <w:szCs w:val="24"/>
              </w:rPr>
            </w:pPr>
            <w:r>
              <w:rPr>
                <w:rFonts w:hint="eastAsia" w:ascii="宋体" w:hAnsi="宋体" w:eastAsia="宋体" w:cs="宋体"/>
                <w:sz w:val="24"/>
                <w:szCs w:val="24"/>
              </w:rPr>
              <w:t xml:space="preserve"> (二)功能主件： </w:t>
            </w:r>
          </w:p>
          <w:p>
            <w:pPr>
              <w:ind w:firstLine="0" w:firstLineChars="0"/>
              <w:rPr>
                <w:rFonts w:hint="eastAsia" w:ascii="宋体" w:hAnsi="宋体" w:eastAsia="宋体" w:cs="宋体"/>
                <w:sz w:val="24"/>
                <w:szCs w:val="24"/>
              </w:rPr>
            </w:pPr>
            <w:r>
              <w:rPr>
                <w:rFonts w:hint="eastAsia" w:ascii="宋体" w:hAnsi="宋体" w:eastAsia="宋体" w:cs="宋体"/>
                <w:sz w:val="24"/>
                <w:szCs w:val="24"/>
              </w:rPr>
              <w:t>1个21.5寸多点触控Full HD触摸操作屏,分辨率</w:t>
            </w:r>
            <w:r>
              <w:rPr>
                <w:rFonts w:hint="eastAsia" w:ascii="宋体" w:hAnsi="宋体" w:eastAsia="宋体" w:cs="宋体"/>
                <w:sz w:val="24"/>
                <w:szCs w:val="24"/>
                <w:lang w:val="en-US" w:eastAsia="zh-CN"/>
              </w:rPr>
              <w:t>需满足</w:t>
            </w:r>
            <w:r>
              <w:rPr>
                <w:rFonts w:hint="eastAsia" w:ascii="宋体" w:hAnsi="宋体" w:eastAsia="宋体" w:cs="宋体"/>
                <w:sz w:val="24"/>
                <w:szCs w:val="24"/>
              </w:rPr>
              <w:t xml:space="preserve">1920*1080; </w:t>
            </w:r>
          </w:p>
          <w:p>
            <w:pPr>
              <w:ind w:firstLine="0" w:firstLineChars="0"/>
              <w:rPr>
                <w:rFonts w:hint="eastAsia" w:ascii="宋体" w:hAnsi="宋体" w:eastAsia="宋体" w:cs="宋体"/>
                <w:sz w:val="24"/>
                <w:szCs w:val="24"/>
              </w:rPr>
            </w:pPr>
            <w:r>
              <w:rPr>
                <w:rFonts w:hint="eastAsia" w:ascii="宋体" w:hAnsi="宋体" w:eastAsia="宋体" w:cs="宋体"/>
                <w:sz w:val="24"/>
                <w:szCs w:val="24"/>
              </w:rPr>
              <w:t>1个32寸高清影像字幕显示屏,分辨率</w:t>
            </w:r>
            <w:r>
              <w:rPr>
                <w:rFonts w:hint="eastAsia" w:ascii="宋体" w:hAnsi="宋体" w:eastAsia="宋体" w:cs="宋体"/>
                <w:sz w:val="24"/>
                <w:szCs w:val="24"/>
                <w:lang w:val="en-US" w:eastAsia="zh-CN"/>
              </w:rPr>
              <w:t>需满足</w:t>
            </w:r>
            <w:r>
              <w:rPr>
                <w:rFonts w:hint="eastAsia" w:ascii="宋体" w:hAnsi="宋体" w:eastAsia="宋体" w:cs="宋体"/>
                <w:sz w:val="24"/>
                <w:szCs w:val="24"/>
              </w:rPr>
              <w:t xml:space="preserve">1920*1080; </w:t>
            </w:r>
          </w:p>
          <w:p>
            <w:pPr>
              <w:ind w:firstLine="0" w:firstLineChars="0"/>
              <w:rPr>
                <w:rFonts w:hint="eastAsia" w:ascii="宋体" w:hAnsi="宋体" w:eastAsia="宋体" w:cs="宋体"/>
                <w:sz w:val="24"/>
                <w:szCs w:val="24"/>
              </w:rPr>
            </w:pPr>
            <w:r>
              <w:rPr>
                <w:rFonts w:hint="eastAsia" w:ascii="宋体" w:hAnsi="宋体" w:eastAsia="宋体" w:cs="宋体"/>
                <w:sz w:val="24"/>
                <w:szCs w:val="24"/>
              </w:rPr>
              <w:t>1台主控机，内置自主研发安卓主板, 录音音效主板，饱满丰富声线；内置SSD固态硬盘或4TB大容量机械储存硬盘。</w:t>
            </w:r>
          </w:p>
          <w:p>
            <w:pPr>
              <w:ind w:firstLine="0" w:firstLineChars="0"/>
              <w:rPr>
                <w:rFonts w:hint="eastAsia" w:ascii="宋体" w:hAnsi="宋体" w:eastAsia="宋体" w:cs="宋体"/>
                <w:sz w:val="24"/>
                <w:szCs w:val="24"/>
              </w:rPr>
            </w:pPr>
            <w:r>
              <w:rPr>
                <w:rFonts w:hint="eastAsia" w:ascii="宋体" w:hAnsi="宋体" w:eastAsia="宋体" w:cs="宋体"/>
                <w:sz w:val="24"/>
                <w:szCs w:val="24"/>
              </w:rPr>
              <w:t xml:space="preserve">(三)设备附件： </w:t>
            </w:r>
          </w:p>
          <w:p>
            <w:pPr>
              <w:ind w:firstLine="0" w:firstLineChars="0"/>
              <w:rPr>
                <w:rFonts w:hint="eastAsia" w:ascii="宋体" w:hAnsi="宋体" w:eastAsia="宋体" w:cs="宋体"/>
                <w:sz w:val="24"/>
                <w:szCs w:val="24"/>
              </w:rPr>
            </w:pPr>
            <w:r>
              <w:rPr>
                <w:rFonts w:hint="eastAsia" w:ascii="宋体" w:hAnsi="宋体" w:eastAsia="宋体" w:cs="宋体"/>
                <w:sz w:val="24"/>
                <w:szCs w:val="24"/>
              </w:rPr>
              <w:t>2只录音室专用高解析度监听耳机，40mm径驱动单元,以稀土磁铁及通报铝线音圈结构，包围耳朵轮廓设计, 耳壳支持90度回转，输出灵敏度98Db/mw；频率响应15~20000Hz;  阻抗47ohms.</w:t>
            </w:r>
          </w:p>
          <w:p>
            <w:pPr>
              <w:ind w:firstLine="0" w:firstLineChars="0"/>
              <w:rPr>
                <w:rFonts w:hint="eastAsia" w:ascii="宋体" w:hAnsi="宋体" w:eastAsia="宋体" w:cs="宋体"/>
                <w:sz w:val="24"/>
                <w:szCs w:val="24"/>
              </w:rPr>
            </w:pPr>
            <w:r>
              <w:rPr>
                <w:rFonts w:hint="eastAsia" w:ascii="宋体" w:hAnsi="宋体" w:eastAsia="宋体" w:cs="宋体"/>
                <w:sz w:val="24"/>
                <w:szCs w:val="24"/>
              </w:rPr>
              <w:t xml:space="preserve">2套高性能镀金膜录音专用电容麦克风;  频率响应 30Hz-20KHz; 灵敏度 -34dB ±2db; 输出阻抗 400Ω±30% @ 1kHz; 等效噪声级≤18dB(IEC 581-5); 信噪比 76dB @1kHz 1Pa; </w:t>
            </w:r>
          </w:p>
          <w:p>
            <w:pPr>
              <w:ind w:firstLine="0" w:firstLineChars="0"/>
              <w:rPr>
                <w:rFonts w:hint="eastAsia" w:ascii="宋体" w:hAnsi="宋体" w:eastAsia="宋体" w:cs="宋体"/>
                <w:sz w:val="24"/>
                <w:szCs w:val="24"/>
              </w:rPr>
            </w:pPr>
            <w:r>
              <w:rPr>
                <w:rFonts w:hint="eastAsia" w:ascii="宋体" w:hAnsi="宋体" w:eastAsia="宋体" w:cs="宋体"/>
                <w:sz w:val="24"/>
                <w:szCs w:val="24"/>
              </w:rPr>
              <w:t xml:space="preserve">2 把升降座椅，人工力学设计，满足不同身高人群使用； </w:t>
            </w:r>
          </w:p>
          <w:p>
            <w:pPr>
              <w:ind w:firstLine="0" w:firstLineChars="0"/>
              <w:rPr>
                <w:rFonts w:hint="eastAsia" w:ascii="宋体" w:hAnsi="宋体" w:eastAsia="宋体" w:cs="宋体"/>
                <w:sz w:val="24"/>
                <w:szCs w:val="24"/>
              </w:rPr>
            </w:pPr>
            <w:r>
              <w:rPr>
                <w:rFonts w:hint="eastAsia" w:ascii="宋体" w:hAnsi="宋体" w:eastAsia="宋体" w:cs="宋体"/>
                <w:sz w:val="24"/>
                <w:szCs w:val="24"/>
              </w:rPr>
              <w:t xml:space="preserve">2 个小吧台； </w:t>
            </w:r>
          </w:p>
          <w:p>
            <w:pPr>
              <w:ind w:firstLine="0" w:firstLineChars="0"/>
              <w:rPr>
                <w:rFonts w:hint="eastAsia" w:ascii="宋体" w:hAnsi="宋体" w:eastAsia="宋体" w:cs="宋体"/>
                <w:sz w:val="24"/>
                <w:szCs w:val="24"/>
              </w:rPr>
            </w:pPr>
            <w:r>
              <w:rPr>
                <w:rFonts w:hint="eastAsia" w:ascii="宋体" w:hAnsi="宋体" w:eastAsia="宋体" w:cs="宋体"/>
                <w:sz w:val="24"/>
                <w:szCs w:val="24"/>
              </w:rPr>
              <w:t>1套电源线, 标配安装材料等;</w:t>
            </w:r>
          </w:p>
          <w:p>
            <w:pPr>
              <w:ind w:firstLine="0" w:firstLineChars="0"/>
              <w:rPr>
                <w:rFonts w:hint="eastAsia" w:ascii="宋体" w:hAnsi="宋体" w:eastAsia="宋体" w:cs="宋体"/>
                <w:sz w:val="24"/>
                <w:szCs w:val="24"/>
              </w:rPr>
            </w:pPr>
            <w:r>
              <w:rPr>
                <w:rFonts w:hint="eastAsia" w:ascii="宋体" w:hAnsi="宋体" w:eastAsia="宋体" w:cs="宋体"/>
                <w:sz w:val="24"/>
                <w:szCs w:val="24"/>
              </w:rPr>
              <w:t xml:space="preserve"> (四)控制主板：</w:t>
            </w:r>
          </w:p>
          <w:p>
            <w:pPr>
              <w:ind w:firstLine="0" w:firstLineChars="0"/>
              <w:rPr>
                <w:rFonts w:hint="eastAsia" w:ascii="宋体" w:hAnsi="宋体" w:eastAsia="宋体" w:cs="宋体"/>
                <w:sz w:val="24"/>
                <w:szCs w:val="24"/>
              </w:rPr>
            </w:pPr>
            <w:r>
              <w:rPr>
                <w:rFonts w:hint="eastAsia" w:ascii="宋体" w:hAnsi="宋体" w:eastAsia="宋体" w:cs="宋体"/>
                <w:sz w:val="24"/>
                <w:szCs w:val="24"/>
              </w:rPr>
              <w:t>操作系统： 高于等于 Android 7.0 系统(要求提供功能实景截图)；CPU：</w:t>
            </w:r>
            <w:r>
              <w:rPr>
                <w:rFonts w:hint="eastAsia" w:ascii="宋体" w:hAnsi="宋体" w:eastAsia="宋体" w:cs="宋体"/>
                <w:sz w:val="24"/>
                <w:szCs w:val="24"/>
                <w:lang w:val="en-US" w:eastAsia="zh-CN"/>
              </w:rPr>
              <w:t>≥</w:t>
            </w:r>
            <w:r>
              <w:rPr>
                <w:rFonts w:hint="eastAsia" w:ascii="宋体" w:hAnsi="宋体" w:eastAsia="宋体" w:cs="宋体"/>
                <w:sz w:val="24"/>
                <w:szCs w:val="24"/>
              </w:rPr>
              <w:t>64位 四核Cortex A53；</w:t>
            </w:r>
          </w:p>
          <w:p>
            <w:pPr>
              <w:ind w:firstLine="0" w:firstLineChars="0"/>
              <w:rPr>
                <w:rFonts w:hint="eastAsia" w:ascii="宋体" w:hAnsi="宋体" w:eastAsia="宋体" w:cs="宋体"/>
                <w:sz w:val="24"/>
                <w:szCs w:val="24"/>
              </w:rPr>
            </w:pPr>
            <w:r>
              <w:rPr>
                <w:rFonts w:hint="eastAsia" w:ascii="宋体" w:hAnsi="宋体" w:eastAsia="宋体" w:cs="宋体"/>
                <w:sz w:val="24"/>
                <w:szCs w:val="24"/>
              </w:rPr>
              <w:t xml:space="preserve">朗读亭可实现自动开关机， 远程应用重启 </w:t>
            </w:r>
          </w:p>
          <w:p>
            <w:pPr>
              <w:ind w:firstLine="0" w:firstLineChars="0"/>
              <w:rPr>
                <w:rFonts w:hint="eastAsia" w:ascii="宋体" w:hAnsi="宋体" w:eastAsia="宋体" w:cs="宋体"/>
                <w:sz w:val="24"/>
                <w:szCs w:val="24"/>
              </w:rPr>
            </w:pPr>
            <w:r>
              <w:rPr>
                <w:rFonts w:hint="eastAsia" w:ascii="宋体" w:hAnsi="宋体" w:eastAsia="宋体" w:cs="宋体"/>
                <w:sz w:val="24"/>
                <w:szCs w:val="24"/>
              </w:rPr>
              <w:t>(五)软件功能：</w:t>
            </w:r>
          </w:p>
          <w:p>
            <w:pPr>
              <w:ind w:firstLine="0" w:firstLineChars="0"/>
              <w:rPr>
                <w:rFonts w:hint="eastAsia" w:ascii="宋体" w:hAnsi="宋体" w:eastAsia="宋体" w:cs="宋体"/>
                <w:sz w:val="24"/>
                <w:szCs w:val="24"/>
              </w:rPr>
            </w:pPr>
            <w:r>
              <w:rPr>
                <w:rFonts w:hint="eastAsia" w:ascii="宋体" w:hAnsi="宋体" w:eastAsia="宋体" w:cs="宋体"/>
                <w:sz w:val="24"/>
                <w:szCs w:val="24"/>
              </w:rPr>
              <w:t>满足朗读+唱歌双系统</w:t>
            </w:r>
          </w:p>
          <w:p>
            <w:pPr>
              <w:ind w:firstLine="0" w:firstLineChars="0"/>
              <w:rPr>
                <w:rFonts w:hint="eastAsia" w:ascii="宋体" w:hAnsi="宋体" w:eastAsia="宋体" w:cs="宋体"/>
                <w:sz w:val="24"/>
                <w:szCs w:val="24"/>
              </w:rPr>
            </w:pPr>
            <w:r>
              <w:rPr>
                <w:rFonts w:hint="eastAsia" w:ascii="宋体" w:hAnsi="宋体" w:eastAsia="宋体" w:cs="宋体"/>
                <w:sz w:val="24"/>
                <w:szCs w:val="24"/>
              </w:rPr>
              <w:t>朗读素材及歌曲检索需： 支持关键字查找素材, 关键字查找作者, 支持首字母搜索, 支持汉字手写搜索. 支持歌星点歌，热门排行点歌等；</w:t>
            </w:r>
          </w:p>
          <w:p>
            <w:pPr>
              <w:ind w:firstLine="0" w:firstLineChars="0"/>
              <w:rPr>
                <w:rFonts w:hint="eastAsia" w:ascii="宋体" w:hAnsi="宋体" w:eastAsia="宋体" w:cs="宋体"/>
                <w:sz w:val="24"/>
                <w:szCs w:val="24"/>
              </w:rPr>
            </w:pPr>
            <w:r>
              <w:rPr>
                <w:rFonts w:hint="eastAsia" w:ascii="宋体" w:hAnsi="宋体" w:eastAsia="宋体" w:cs="宋体"/>
                <w:sz w:val="24"/>
                <w:szCs w:val="24"/>
              </w:rPr>
              <w:t>支持自由朗读: 读者可自带朗读作品(比如,纸质书本材料, 平板电脑, 手机等)进行朗读, 选择自由朗读时也支持背景音乐选择;列表页显示内容包括标题、概述、作者、文字数量、已朗读人数。</w:t>
            </w:r>
          </w:p>
          <w:p>
            <w:pPr>
              <w:ind w:firstLine="0" w:firstLineChars="0"/>
              <w:rPr>
                <w:rFonts w:hint="eastAsia" w:ascii="宋体" w:hAnsi="宋体" w:eastAsia="宋体" w:cs="宋体"/>
                <w:sz w:val="24"/>
                <w:szCs w:val="24"/>
              </w:rPr>
            </w:pPr>
            <w:r>
              <w:rPr>
                <w:rFonts w:hint="eastAsia" w:ascii="宋体" w:hAnsi="宋体" w:eastAsia="宋体" w:cs="宋体"/>
                <w:sz w:val="24"/>
                <w:szCs w:val="24"/>
              </w:rPr>
              <w:t xml:space="preserve">故障申报: 点击故障申报时弹窗列出常见故障类型和其他描述, 及上报故障按钮.帮助: 点击进入设备使用的帮助详情页。 </w:t>
            </w:r>
          </w:p>
          <w:p>
            <w:pPr>
              <w:ind w:firstLine="0" w:firstLineChars="0"/>
              <w:rPr>
                <w:rFonts w:hint="eastAsia" w:ascii="宋体" w:hAnsi="宋体" w:eastAsia="宋体" w:cs="宋体"/>
                <w:sz w:val="24"/>
                <w:szCs w:val="24"/>
              </w:rPr>
            </w:pPr>
            <w:r>
              <w:rPr>
                <w:rFonts w:hint="eastAsia" w:ascii="宋体" w:hAnsi="宋体" w:eastAsia="宋体" w:cs="宋体"/>
                <w:sz w:val="24"/>
                <w:szCs w:val="24"/>
              </w:rPr>
              <w:t xml:space="preserve">朗读界面支持： </w:t>
            </w:r>
          </w:p>
          <w:p>
            <w:pPr>
              <w:ind w:firstLine="0" w:firstLineChars="0"/>
              <w:rPr>
                <w:rFonts w:hint="eastAsia" w:ascii="宋体" w:hAnsi="宋体" w:eastAsia="宋体" w:cs="宋体"/>
                <w:sz w:val="24"/>
                <w:szCs w:val="24"/>
              </w:rPr>
            </w:pPr>
            <w:r>
              <w:rPr>
                <w:rFonts w:hint="eastAsia" w:ascii="宋体" w:hAnsi="宋体" w:eastAsia="宋体" w:cs="宋体"/>
                <w:sz w:val="24"/>
                <w:szCs w:val="24"/>
              </w:rPr>
              <w:t>1) 支持微信扫描二维码或定制刷卡(比如校园通)以及手环方式激活朗读亭并进入朗读界面；</w:t>
            </w:r>
          </w:p>
          <w:p>
            <w:pPr>
              <w:ind w:firstLine="0" w:firstLineChars="0"/>
              <w:rPr>
                <w:rFonts w:hint="eastAsia" w:ascii="宋体" w:hAnsi="宋体" w:eastAsia="宋体" w:cs="宋体"/>
                <w:sz w:val="24"/>
                <w:szCs w:val="24"/>
              </w:rPr>
            </w:pPr>
            <w:r>
              <w:rPr>
                <w:rFonts w:hint="eastAsia" w:ascii="宋体" w:hAnsi="宋体" w:eastAsia="宋体" w:cs="宋体"/>
                <w:sz w:val="24"/>
                <w:szCs w:val="24"/>
              </w:rPr>
              <w:t>2) 朗读时, 上屏显示文章内容，并根据系统设定的速度进行自动滚动,上屏提词速度可调节；</w:t>
            </w:r>
          </w:p>
          <w:p>
            <w:pPr>
              <w:ind w:firstLine="0" w:firstLineChars="0"/>
              <w:rPr>
                <w:rFonts w:hint="eastAsia" w:ascii="宋体" w:hAnsi="宋体" w:eastAsia="宋体" w:cs="宋体"/>
                <w:sz w:val="24"/>
                <w:szCs w:val="24"/>
              </w:rPr>
            </w:pPr>
            <w:r>
              <w:rPr>
                <w:rFonts w:hint="eastAsia" w:ascii="宋体" w:hAnsi="宋体" w:eastAsia="宋体" w:cs="宋体"/>
                <w:sz w:val="24"/>
                <w:szCs w:val="24"/>
              </w:rPr>
              <w:t>3) 下屏相关操作: 支持背景音乐选择，支持麦克风和耳机音量调节；</w:t>
            </w:r>
          </w:p>
          <w:p>
            <w:pPr>
              <w:ind w:firstLine="0" w:firstLineChars="0"/>
              <w:rPr>
                <w:rFonts w:hint="eastAsia" w:ascii="宋体" w:hAnsi="宋体" w:eastAsia="宋体" w:cs="宋体"/>
                <w:sz w:val="24"/>
                <w:szCs w:val="24"/>
              </w:rPr>
            </w:pPr>
            <w:r>
              <w:rPr>
                <w:rFonts w:hint="eastAsia" w:ascii="宋体" w:hAnsi="宋体" w:eastAsia="宋体" w:cs="宋体"/>
                <w:sz w:val="24"/>
                <w:szCs w:val="24"/>
              </w:rPr>
              <w:t>4) 朗读的同时自动录音, 点击朗读完毕之后即可看到朗读声音与背景音乐的合成进度，合成完毕之后可以进行试听；</w:t>
            </w:r>
          </w:p>
          <w:p>
            <w:pPr>
              <w:ind w:firstLine="0" w:firstLineChars="0"/>
              <w:rPr>
                <w:rFonts w:hint="eastAsia" w:ascii="宋体" w:hAnsi="宋体" w:eastAsia="宋体" w:cs="宋体"/>
                <w:sz w:val="24"/>
                <w:szCs w:val="24"/>
              </w:rPr>
            </w:pPr>
            <w:r>
              <w:rPr>
                <w:rFonts w:hint="eastAsia" w:ascii="宋体" w:hAnsi="宋体" w:eastAsia="宋体" w:cs="宋体"/>
                <w:sz w:val="24"/>
                <w:szCs w:val="24"/>
              </w:rPr>
              <w:t>5) 朗读完成后，可自动打分，作品可同步发送到扫码登录的手机微信端或任一绑定一卡通和手环的手机微信端；</w:t>
            </w:r>
          </w:p>
          <w:p>
            <w:pPr>
              <w:ind w:firstLine="0" w:firstLineChars="0"/>
              <w:rPr>
                <w:rFonts w:hint="eastAsia" w:ascii="宋体" w:hAnsi="宋体" w:eastAsia="宋体" w:cs="宋体"/>
                <w:sz w:val="24"/>
                <w:szCs w:val="24"/>
                <w:lang w:eastAsia="zh-CN"/>
              </w:rPr>
            </w:pPr>
            <w:r>
              <w:rPr>
                <w:rFonts w:hint="eastAsia" w:ascii="宋体" w:hAnsi="宋体" w:eastAsia="宋体" w:cs="宋体"/>
                <w:sz w:val="24"/>
                <w:szCs w:val="24"/>
              </w:rPr>
              <w:t>6) 针对同样的朗读资源，可支持试听他人朗读作品，并可以点赞或者吐槽；微信客户端支持: 包括公开朗读作品列表和私人朗读作品列表，私人作品点击发布并通过后台审核之后即可转为公开作品，作品记录的信息包括时间，作品长度，点赞人数；并且在作品完成审核之后后台均会发送消息提示到微信端，告知读者审核结果。用户朗读的作品可以一键分享给微信好友或朋友圈</w:t>
            </w:r>
            <w:r>
              <w:rPr>
                <w:rFonts w:hint="eastAsia" w:ascii="宋体" w:hAnsi="宋体" w:eastAsia="宋体" w:cs="宋体"/>
                <w:sz w:val="24"/>
                <w:szCs w:val="24"/>
                <w:lang w:eastAsia="zh-CN"/>
              </w:rPr>
              <w:t>。</w:t>
            </w:r>
          </w:p>
          <w:p>
            <w:pPr>
              <w:ind w:firstLine="0" w:firstLineChars="0"/>
              <w:rPr>
                <w:rFonts w:hint="eastAsia" w:ascii="宋体" w:hAnsi="宋体" w:eastAsia="宋体" w:cs="宋体"/>
                <w:sz w:val="24"/>
                <w:szCs w:val="24"/>
              </w:rPr>
            </w:pPr>
            <w:r>
              <w:rPr>
                <w:rFonts w:hint="eastAsia" w:ascii="宋体" w:hAnsi="宋体" w:eastAsia="宋体" w:cs="宋体"/>
                <w:sz w:val="24"/>
                <w:szCs w:val="24"/>
              </w:rPr>
              <w:t xml:space="preserve">(六)朗读亭后台管理系统: 可通过后台注册，生成管理员的账号密码，供用户方管理朗读亭; 后台数据统计包括: 机构总数, 设备总数、线设备数; 总用户数、增加用户数; 朗读数, 分享数, 播放数, 点赞数; 已发布作品数, 待审核作品数, 举报作品数； 作品播放排行top10，作品点赞排行top10等；支持用户管理员对朗读亭点播系统上屏和下屏的Banner图自定义修改； 设备管理：包括设备基本信息、在线状态、备注，自动开关机设置，故障上报、授权时间范围；. 支持用户自主建立素材分类, 专题朗读素材建设，如国庆节专题、毕业季专题等, 并添加相应的朗读素材资源;  支持添加文本, 视频, 音频格式文件;  用户后台也可对朗读素材进行推荐；支持后台管理朗读作品:后台可以对朗读作品进行管理, 试听, 审核, 删除, 下载等 ；支持朗读时间设定为了保证朗读亭的合理使用，避免被部分读者长期占用，要求后台支持最长朗读时间设置以及使用间隔设置，比如15分钟、20分钟、30分钟、60分钟等，可根据用户需求进行灵活设置；支持活动管理: 后台自带活动功能模块, 支持用户单位根据其自身需求举办线上朗读大赛等活动, 在用户管理后台可对活动的相关主题、活动名称、规则简介以及时间等内容进行在线编辑，完成之后即可发布到线上，供朗读者热情参与. </w:t>
            </w:r>
          </w:p>
          <w:p>
            <w:pPr>
              <w:ind w:firstLine="0" w:firstLineChars="0"/>
              <w:rPr>
                <w:rFonts w:hint="eastAsia" w:ascii="宋体" w:hAnsi="宋体" w:eastAsia="宋体" w:cs="宋体"/>
                <w:sz w:val="24"/>
                <w:szCs w:val="24"/>
              </w:rPr>
            </w:pPr>
            <w:r>
              <w:rPr>
                <w:rFonts w:hint="eastAsia" w:ascii="宋体" w:hAnsi="宋体" w:eastAsia="宋体" w:cs="宋体"/>
                <w:sz w:val="24"/>
                <w:szCs w:val="24"/>
              </w:rPr>
              <w:t xml:space="preserve">(七)素材库:  </w:t>
            </w:r>
          </w:p>
          <w:p>
            <w:pPr>
              <w:ind w:firstLine="0" w:firstLineChars="0"/>
              <w:rPr>
                <w:rFonts w:hint="eastAsia" w:ascii="宋体" w:hAnsi="宋体" w:eastAsia="宋体" w:cs="宋体"/>
                <w:sz w:val="24"/>
                <w:szCs w:val="24"/>
              </w:rPr>
            </w:pPr>
            <w:r>
              <w:rPr>
                <w:rFonts w:hint="eastAsia" w:ascii="宋体" w:hAnsi="宋体" w:eastAsia="宋体" w:cs="宋体"/>
                <w:sz w:val="24"/>
                <w:szCs w:val="24"/>
              </w:rPr>
              <w:t xml:space="preserve">朗读资源总数≥ 30000 篇以上, 素材分类≥ 9类； 名家朗读鉴赏视频/音频专业朗诵范文≥ 1600 篇, 供读者学习朗读技巧,提升朗读水平；唐诗宋词≥7900 篇；诗歌散文≥ 3000 篇; 亲子儿童 ≥2000 篇；经典文学选段 ≥3000 篇； 外语名篇 (带译文) ≥ 3000 篇; 红色经典 ≥ 2000 篇; 段子 ≥ 1500 篇; 节日主题精选集≥ 1000 篇;  并且支持用户自定义添加朗读资源， 推荐朗读素材； 素材内容需涉及唐诗、宋词、元曲、古诗、诗经、楚辞、中国古代哲学类著作:论语、孟子、中庸、大学， 以及四大名著， 近代大师如鲁迅，郭沫若、矛盾，老舍等经典著作选段；涉及党建党章素材，平语近人，建国70周年，建党100周年等； 涉及大型文化类节目如朗读者，见字入面等节目文章素材等； 节日精选素材涉及春节，元宵节，端午节，中秋节，国庆节，二十四节气，母亲节，父亲节，教师节，感恩节等…，平语近人，人教版全国统一部编版中小学语文课文；唐诗宋词带现代文译文，英文作品必须带译文。 </w:t>
            </w:r>
          </w:p>
          <w:p>
            <w:pPr>
              <w:ind w:firstLine="0" w:firstLineChars="0"/>
              <w:rPr>
                <w:rFonts w:hint="eastAsia" w:ascii="宋体" w:hAnsi="宋体" w:eastAsia="宋体" w:cs="宋体"/>
                <w:sz w:val="24"/>
                <w:szCs w:val="24"/>
              </w:rPr>
            </w:pPr>
            <w:r>
              <w:rPr>
                <w:rFonts w:hint="eastAsia" w:ascii="宋体" w:hAnsi="宋体" w:eastAsia="宋体" w:cs="宋体"/>
                <w:sz w:val="24"/>
                <w:szCs w:val="24"/>
              </w:rPr>
              <w:t xml:space="preserve">歌曲资源: 内含40万首任意选择，音乐资源定时联网更新，唱歌类资源总规划5大类， 50余种子分类 </w:t>
            </w:r>
            <w:r>
              <w:rPr>
                <w:rFonts w:hint="eastAsia" w:ascii="宋体" w:hAnsi="宋体" w:eastAsia="宋体" w:cs="宋体"/>
                <w:sz w:val="24"/>
                <w:szCs w:val="24"/>
                <w:lang w:eastAsia="zh-Hans"/>
              </w:rPr>
              <w:t>，</w:t>
            </w:r>
            <w:r>
              <w:rPr>
                <w:rFonts w:hint="eastAsia" w:ascii="宋体" w:hAnsi="宋体" w:eastAsia="宋体" w:cs="宋体"/>
                <w:sz w:val="24"/>
                <w:szCs w:val="24"/>
              </w:rPr>
              <w:t>系统内置全民K歌，爱奇艺，电视家app，可与手机全民K歌，爱奇艺APP无缝对接，支持手机点歌、切歌、保存、发布、分享；支持观影和央视等卫视节目观看。</w:t>
            </w:r>
          </w:p>
        </w:tc>
        <w:tc>
          <w:tcPr>
            <w:tcW w:w="407" w:type="dxa"/>
            <w:tcBorders>
              <w:tl2br w:val="nil"/>
              <w:tr2bl w:val="nil"/>
            </w:tcBorders>
            <w:shd w:val="clear" w:color="auto" w:fill="auto"/>
            <w:vAlign w:val="center"/>
          </w:tcPr>
          <w:p>
            <w:pPr>
              <w:ind w:firstLine="0" w:firstLineChars="0"/>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After w:w="0" w:type="auto"/>
          <w:trHeight w:val="23" w:hRule="atLeast"/>
        </w:trPr>
        <w:tc>
          <w:tcPr>
            <w:tcW w:w="600"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15</w:t>
            </w:r>
          </w:p>
        </w:tc>
        <w:tc>
          <w:tcPr>
            <w:tcW w:w="769"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★OPAC检索软件</w:t>
            </w:r>
          </w:p>
        </w:tc>
        <w:tc>
          <w:tcPr>
            <w:tcW w:w="656" w:type="dxa"/>
            <w:gridSpan w:val="3"/>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w:t>
            </w:r>
          </w:p>
        </w:tc>
        <w:tc>
          <w:tcPr>
            <w:tcW w:w="628"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套</w:t>
            </w:r>
          </w:p>
        </w:tc>
        <w:tc>
          <w:tcPr>
            <w:tcW w:w="6422"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1.OPAC查询为读者提供基本的信息查询功能，读者可以检索图书馆内的馆藏信息，也可浏览图书馆最新公布信息，联网后还可登录网站进行咨询和获取图书馆提供的数字资源等。</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2.通过此系统可进行图书信息、借阅情况等的查询，该系统还具有预约、催还、续借等功能；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3.读者可以查询所有馆藏书刊的馆藏地信息、书刊信息状态。该查询系统提供了题名、著者、索取号、出版社等多个检索入口；</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4.读者可以输入证件号和密码，登陆该查询系统，查看本人的适用规则、借阅书刊信息、借阅历史等；</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5.可以显示所有馆藏地近期到馆的新图书，用户可以设置查询的指定馆藏地或时间；</w:t>
            </w:r>
          </w:p>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6.服务器根据读者适用规则自动检测读者借阅图书是否超期，并将超期读者的姓名等信息显示在相关页面中，提醒读者到图书馆办理还书手续。</w:t>
            </w:r>
          </w:p>
        </w:tc>
        <w:tc>
          <w:tcPr>
            <w:tcW w:w="407" w:type="dxa"/>
            <w:tcBorders>
              <w:tl2br w:val="nil"/>
              <w:tr2bl w:val="nil"/>
            </w:tcBorders>
            <w:shd w:val="clear" w:color="auto" w:fill="auto"/>
            <w:vAlign w:val="center"/>
          </w:tcPr>
          <w:p>
            <w:pPr>
              <w:ind w:firstLine="0" w:firstLineChars="0"/>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wAfter w:w="0" w:type="auto"/>
          <w:trHeight w:val="1015" w:hRule="atLeast"/>
        </w:trPr>
        <w:tc>
          <w:tcPr>
            <w:tcW w:w="600" w:type="dxa"/>
            <w:tcBorders>
              <w:tl2br w:val="nil"/>
              <w:tr2bl w:val="nil"/>
            </w:tcBorders>
            <w:shd w:val="clear" w:color="auto" w:fill="auto"/>
            <w:vAlign w:val="center"/>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16</w:t>
            </w:r>
          </w:p>
        </w:tc>
        <w:tc>
          <w:tcPr>
            <w:tcW w:w="769" w:type="dxa"/>
            <w:gridSpan w:val="2"/>
            <w:tcBorders>
              <w:tl2br w:val="nil"/>
              <w:tr2bl w:val="nil"/>
            </w:tcBorders>
            <w:shd w:val="clear" w:color="auto" w:fill="auto"/>
            <w:vAlign w:val="top"/>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★电子借阅机</w:t>
            </w:r>
          </w:p>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（中小学版）</w:t>
            </w:r>
          </w:p>
        </w:tc>
        <w:tc>
          <w:tcPr>
            <w:tcW w:w="656" w:type="dxa"/>
            <w:gridSpan w:val="3"/>
            <w:tcBorders>
              <w:tl2br w:val="nil"/>
              <w:tr2bl w:val="nil"/>
            </w:tcBorders>
            <w:shd w:val="clear" w:color="auto" w:fill="auto"/>
            <w:vAlign w:val="top"/>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w:t>
            </w:r>
          </w:p>
        </w:tc>
        <w:tc>
          <w:tcPr>
            <w:tcW w:w="628" w:type="dxa"/>
            <w:tcBorders>
              <w:tl2br w:val="nil"/>
              <w:tr2bl w:val="nil"/>
            </w:tcBorders>
            <w:shd w:val="clear" w:color="auto" w:fill="auto"/>
            <w:vAlign w:val="top"/>
          </w:tcPr>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台</w:t>
            </w:r>
          </w:p>
        </w:tc>
        <w:tc>
          <w:tcPr>
            <w:tcW w:w="6422" w:type="dxa"/>
            <w:gridSpan w:val="2"/>
            <w:tcBorders>
              <w:tl2br w:val="nil"/>
              <w:tr2bl w:val="nil"/>
            </w:tcBorders>
            <w:shd w:val="clear" w:color="auto" w:fill="auto"/>
            <w:vAlign w:val="center"/>
          </w:tcPr>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平台功能K:</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1、阅读平台使用Android技术结合WEB网页开发，可以在Android、windows操作系统平台上完美运行，软件兼容性强。</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2、前台模块化展示，符合传统的阅读习惯。</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3、平台需要内置图书、有声资源均可通过移动设备直接扫描终端设备上的二维码下载资源到移动端在线阅读、收藏。支持移动APP下载，扫描在线图书资源二维码进行移动阅读，并记录阅读结果、续读等功能。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4、平台支持最新报纸期刊更新，保证用户在第一时间看到最新的数字报纸、期刊。</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5、支持资源分类检索与分类导航功能。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6、可根据客户需求协助管理展示相关特色资源及第三方厂商的内容资源。</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7、后台管理系统需要可以与所有终端设备进行统一管理，实时监控全部终端的运行情况。</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8、在联网情况下，支持系统远程定时内容及系统更新。</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9、所有功能都能自由组合根据客户受众不同可以自定义和设置适合的功能和内容。</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10、支持多种图书格式：阅读平台支持多种图书格式，如txt、epub、pdf等</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11、屏保服务：平台可设屏保、轮播图等宣传页面，支持图片、视屏等格式屏保展示。</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内置资源K:</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阅读平台提供图书馆、听书馆、富媒体馆、艺术馆、报纸、期刊等六大模块特色资源。</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图书馆"：分为小学生、初中生、高中生、诺贝尔奖、文学作品、历史军事、人文社科、国学经典、外语阅读等分类不少于5000种正版授权电子图书，年更新数量不少于1000册；涵盖：八十天环游地球、朝花夕拾、钢铁是怎样炼成的、木偶奇遇记、人生、生活在别处、守望的距离等图书资源，可查看图书的书名、作者、简介、点赞量、点击量等，可对图书点赞；支持字体、背景、字号调整切换，支持护眼模式。</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2、每本图书可在线全文阅读，同时支持读者扫描图书二维码进行移动下载。支持字体切换、护眼模式、章节跳转等工能。</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听书馆"：内置有声资源10000辑，需包含名人传记、故事小说、文学名著、国学启蒙、儿童英语、儿童教育、儿童科普、世界故事、影视动漫、家长必读、外国文学、国学新说等经典有声资源，资源全部为真人原声阅读同时支持移动设备扫码下载阅读。</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艺术馆"：涵盖了国内外多种派别的优秀作品。可查看艺术图片、标题、作者、流派、年代；可全屏查看艺术图片；可选择流派、作者、年代筛选图片。配置5000张艺术图片资源，楹联馆、插图馆、版画馆、宣传画馆、国画馆、年画馆、速写馆、篆刻馆、海报馆、楷书馆、隶书馆、篆书馆、手扎馆、行书馆、封面馆、草书馆、农民画馆、水彩馆、抗日馆。</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富媒体馆"：可输入关键词进行搜索；可查看视频的封面、标题、简介、视频时长、集数、点赞量、播放量；可倍数播放。包含神话故事、童话故事、国学诗词、开心英语、少儿歌曲、成语故事、历史故事、名著故事等资源。如：七步诗、夏日绝句、江畔独步寻花、小池、茅屋为秋风所破歌、塞下曲、山行、秋夕等视频资源。</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新闻报纸"：需提供适合读者阅读的国内主流报纸100份以上，报纸需每天实时更新，可以根据报纸名称进行搜索按报纸分类查找如：综合报、晨报、日报、晚报、都市报、经济报、生活报、法制报、农业报、军事报、体育报、青少年、保健报、其他等报纸分类。如：新华日报、人民日报、中国电子报、新京报、新华日报、中国铁道建设报、青年报、当代健康报等等</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新闻期刊"：内含900种期刊，期刊模块收录了大量期刊资源，如：走向世界、百科探秘、儿童故事画报、科学大众、红领巾（探索）、金色少年奇趣大自然、英语世界、参花、发明与创新（中学生）、课堂内外（科学Fans）、军事文摘、中学生博览、红蜻蜓、儿童时代、阅读与作文等等，其内容涵盖科普自然、英语学习、军事文摘、作文阅读等方面，满足不同年龄段的期刊阅读需求。</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8、本地风采模块"：可按</w:t>
            </w:r>
            <w:r>
              <w:rPr>
                <w:rFonts w:hint="eastAsia" w:ascii="宋体" w:hAnsi="宋体" w:eastAsia="宋体" w:cs="宋体"/>
                <w:sz w:val="24"/>
                <w:szCs w:val="24"/>
                <w:lang w:val="en-US" w:eastAsia="zh-Hans"/>
              </w:rPr>
              <w:t>采购人</w:t>
            </w:r>
            <w:r>
              <w:rPr>
                <w:rFonts w:hint="eastAsia" w:ascii="宋体" w:hAnsi="宋体" w:eastAsia="宋体" w:cs="宋体"/>
                <w:sz w:val="24"/>
                <w:szCs w:val="24"/>
                <w:lang w:val="en-US" w:eastAsia="zh-CN"/>
              </w:rPr>
              <w:t>求添加第三方资源展示。</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硬件参数K：</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1、CPU RK3288 1.8Ghz</w:t>
            </w:r>
          </w:p>
          <w:p>
            <w:pPr>
              <w:ind w:firstLine="0" w:firstLineChars="0"/>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2、系统 Android 7.1.2</w:t>
            </w:r>
            <w:r>
              <w:rPr>
                <w:rFonts w:hint="eastAsia" w:ascii="宋体" w:hAnsi="宋体" w:eastAsia="宋体" w:cs="宋体"/>
                <w:sz w:val="24"/>
                <w:szCs w:val="24"/>
                <w:lang w:val="en-US" w:eastAsia="zh-Hans"/>
              </w:rPr>
              <w:t>及以上</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3、内存≥4G</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4、SD卡 ≥128G</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5、屏幕材质 a-Si TFT-LCD 液晶玻璃</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6、屏幕尺寸需满足：43 inch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7、分辨率需满足：1080*1920</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8、触控类型：电容/红外</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9、网卡：集成10/100/1000M自适应网卡</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10、无线网卡：802.11a/b/g/n</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11、机柜：采用铝型材边框、防尘、防水、超薄设计 </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12、内件：采用钣金结构件，整体设计坚固耐用</w:t>
            </w:r>
          </w:p>
          <w:p>
            <w:pPr>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13、外壳：外表烤漆，防锈、防磁、防静电处理</w:t>
            </w:r>
          </w:p>
          <w:p>
            <w:pPr>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14、其他：主控采用嵌入式设计，保证全天候安全、稳定、高效运行</w:t>
            </w:r>
          </w:p>
        </w:tc>
        <w:tc>
          <w:tcPr>
            <w:tcW w:w="407" w:type="dxa"/>
            <w:tcBorders>
              <w:tl2br w:val="nil"/>
              <w:tr2bl w:val="nil"/>
            </w:tcBorders>
            <w:shd w:val="clear" w:color="auto" w:fill="auto"/>
            <w:vAlign w:val="center"/>
          </w:tcPr>
          <w:p>
            <w:pPr>
              <w:ind w:firstLine="0" w:firstLineChars="0"/>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1015" w:hRule="atLeast"/>
        </w:trPr>
        <w:tc>
          <w:tcPr>
            <w:tcW w:w="9482" w:type="dxa"/>
            <w:gridSpan w:val="10"/>
            <w:tcBorders>
              <w:tl2br w:val="nil"/>
              <w:tr2bl w:val="nil"/>
            </w:tcBorders>
            <w:shd w:val="clear" w:color="auto" w:fill="auto"/>
            <w:vAlign w:val="center"/>
          </w:tcPr>
          <w:p>
            <w:pPr>
              <w:ind w:firstLine="0" w:firstLineChars="0"/>
              <w:jc w:val="center"/>
              <w:rPr>
                <w:rFonts w:hint="eastAsia" w:ascii="宋体" w:hAnsi="宋体" w:eastAsia="宋体" w:cs="宋体"/>
                <w:sz w:val="24"/>
                <w:szCs w:val="24"/>
              </w:rPr>
            </w:pPr>
            <w:r>
              <w:rPr>
                <w:rFonts w:hint="eastAsia" w:ascii="宋体" w:hAnsi="宋体" w:eastAsia="宋体" w:cs="宋体"/>
                <w:sz w:val="24"/>
                <w:szCs w:val="24"/>
              </w:rPr>
              <w:t>西安市第二十六中学学生生涯指导智能咨询服务平台技术参数表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10" w:hRule="atLeast"/>
        </w:trPr>
        <w:tc>
          <w:tcPr>
            <w:tcW w:w="613" w:type="dxa"/>
            <w:gridSpan w:val="2"/>
            <w:tcBorders>
              <w:top w:val="single" w:color="000000" w:sz="8"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766" w:type="dxa"/>
            <w:gridSpan w:val="2"/>
            <w:tcBorders>
              <w:top w:val="single" w:color="000000" w:sz="8"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产品名称</w:t>
            </w:r>
          </w:p>
        </w:tc>
        <w:tc>
          <w:tcPr>
            <w:tcW w:w="637"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637" w:type="dxa"/>
            <w:gridSpan w:val="2"/>
            <w:tcBorders>
              <w:top w:val="single" w:color="000000" w:sz="8"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w:t>
            </w:r>
          </w:p>
        </w:tc>
        <w:tc>
          <w:tcPr>
            <w:tcW w:w="6422" w:type="dxa"/>
            <w:gridSpan w:val="2"/>
            <w:tcBorders>
              <w:top w:val="single" w:color="000000" w:sz="8"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参数要求</w:t>
            </w:r>
          </w:p>
        </w:tc>
        <w:tc>
          <w:tcPr>
            <w:tcW w:w="407"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90" w:hRule="atLeast"/>
        </w:trPr>
        <w:tc>
          <w:tcPr>
            <w:tcW w:w="613" w:type="dxa"/>
            <w:gridSpan w:val="2"/>
            <w:tcBorders>
              <w:top w:val="single" w:color="000000" w:sz="4" w:space="0"/>
              <w:left w:val="single" w:color="000000" w:sz="4" w:space="0"/>
              <w:bottom w:val="single" w:color="auto"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766" w:type="dxa"/>
            <w:gridSpan w:val="2"/>
            <w:tcBorders>
              <w:top w:val="single" w:color="000000" w:sz="4" w:space="0"/>
              <w:left w:val="single" w:color="000000" w:sz="4" w:space="0"/>
              <w:bottom w:val="single" w:color="auto"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校园智能咨询服务系统</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1</w:t>
            </w:r>
          </w:p>
        </w:tc>
        <w:tc>
          <w:tcPr>
            <w:tcW w:w="6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套</w:t>
            </w:r>
          </w:p>
        </w:tc>
        <w:tc>
          <w:tcPr>
            <w:tcW w:w="64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（一）智能咨询问答系统</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1.多渠道接入。支持与网站、APP、小程序、公众号、智能硬件多渠道接入，在以上渠道实现智能问答咨询。</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2.常见问题。在用户发起会话的同时，为用户枚举一部分常见问题列表供用户点选。</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上下文语义理解。智能客服软件拥有自主研发的自然语言处理（NLP）功能，拥有较强的文本解析能力，支持上下文关联，当学生的问题中缺少一些关键信息时，机器人需能够自动关联分析用户上文内容，判断学生意图，回复相应答案。</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4.动态问答交互。同一个问题，支持根据用户提供的信息（地点，身份等），回复与其信息相匹配的不同答案。</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多轮问答。支持多轮会话理解能力，针对复杂情境，支持流程化多轮引导能力，直至给出准确回复；支持对轮次内的意图节点进行多次澄清；具备轮次外的多轮会话引回能力，当用户中断流程性会话时，支持引回续接。</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6.关联推荐。用户模糊问，智能给用户推荐相关性最大的问题列表；用户标准问，推荐与该问题相关联的其他问题或知识链接。</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7.富文本回复。智能客服机器人的回复内容支持文字、图片、超链接、音频、视频、文件、富文本等多种形式。</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8.问题解决结果调查。支持每次会话结束后发起问题解决调查，管理员可以在后台查看反馈结果。</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 满意度评价。支持每次会话结束后发起“满意、一般、不满意”三档满意度评价，或用户主动对本次会话进行评价，评价内容需支持保存、查看和统计。</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（二）生涯咨询知识库管理平台</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1.知识库内容管理。知识库可以逐条添加，也可批量导入，维护简单方便。内容素材支持图片、文档、音频、视频、链接、接口调用等。</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2.知识展示。支持不同类型的问题分类展示；支持问答的分类展示；支持按照问答的更新时间、使用次数排序；支持按时效、状态展示。</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3.知识维护。提供业务知识库的增删改查和导入导出及时效管理；知识库导入时，系统附带知识模板，并支持重复内容检测；支持知识库的批量及分类导出。</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4.知识点应用。对同一个问题，可自定义生效渠道、生效时间，支持自定义回复答案，同时可关联多个问题，也可关联相关知识链接。</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 多轮问答管理。支持流程性多轮对话的后台可视化配置，便于管理人员增删改查；对于流程节点语义，可自定义词典、正则表达式、接口调用等多种方式实现；对于用户在对话过程中涉及到的一些实体（人名、地址、机构名等）可支持实体识别。</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6.未识别问题管理。对于机器人无法回复的问题，系统可以统一聚类管理和查看；支持对未识别问题一键忽略、添加为新问题、学习到已有问题、追溯聊天记录进行人工回复等操作。</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 知识库训练学习。平台需要支持语义训练学习平台，支持批量添加相似提问方式，支持从用户提问记录中搜索问题并添加学习。</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（三）数据统计分析</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总体数据概况。支持按时间维度查看各渠道的总体数据情况，包含浏览量、会话量、有效会话量、机器人会话量、机器人独立接待会话量、会话人数、有效会话人数满意度评价比、系统消息收发总量等多个维度指标的数据概况情况，以趋势图、饼状图等方式展示，并支持数据导出。</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2.访客分析。支持按时间维度查看各渠道的用户访问情况分析，包含热门城市、渠道会话占比、首次访问占比、操作平台占比等数据分析占比。</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热点咨询分析。支持按时间维度对用户的咨询内容进行分析，包含热词排行统计、各部门知识库热门业务排行统计、热门问题排行统计，支持统计报表的可视化呈现及统计数据的导出。</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4.机器人回复效果统计。支持按时间维度对机器人识别应答效果进行分析，包含回复标准问题数、推荐回复数、未识别问题数，支持统计报表的可视化呈现及统计数据的导出。</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5.知识库维护统计。支持对生涯咨询知识库的维护次数、新增答案、编辑答案、删除答案等操作维护情况统计。</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（四）权限管理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1.平台需支持角色自定义，权限可自由分配给不同的角色，角色至少包含管理员、主管、客服三类，超级管理员具有无限权限，可以定义并授权各类用户的权限。</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（五）日志管理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1、历史访客：支持所有会话记录永久留存，支持可按照时间、渠道、访客姓名、访客ID、关键词、会话有效性、消息收发条数、消息内容等维度筛选查询，支持一次性筛选6个月的历史访客会话记录并导出。</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2、支持操作日志记录，支持对所有后台账号登录、知识库增删改、未识别问题处理等操作行为进行日志记录。</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1169"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779" w:type="dxa"/>
            <w:gridSpan w:val="3"/>
            <w:tcBorders>
              <w:top w:val="single" w:color="auto"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生涯测评软件系统</w:t>
            </w:r>
          </w:p>
        </w:tc>
        <w:tc>
          <w:tcPr>
            <w:tcW w:w="637" w:type="dxa"/>
            <w:tcBorders>
              <w:top w:val="single" w:color="auto"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1</w:t>
            </w:r>
          </w:p>
        </w:tc>
        <w:tc>
          <w:tcPr>
            <w:tcW w:w="637"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套</w:t>
            </w:r>
          </w:p>
        </w:tc>
        <w:tc>
          <w:tcPr>
            <w:tcW w:w="6422"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1、采用微服务主流架构设计，对数据进行归档、清洗和建立符合业务形态的模型；</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2、支持web端和小程序端的系统服务入口；</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3、系统支持用户注册、登录、修改密码等基本功能，支持基于人脸识别、手机码验证确认用户身份信息；</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4、系统须包含测评概况、测评科目、账号管理、学校配置等功能项，支持根据学校不同阶段的诉求动态编排测评科目设置；</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5、系统须包含四种角色，管理员、校管理员、班管理员和测评人四个角色，能根据四种角色设置不同的权限；</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6、系统测评科目中要包含测评科目，包括但不限于应需要涵盖生涯、性格、职业、多元智能、数学和英语这六个维度；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7、支持包括但不限于生涯、性格、职业、多元智能、数学和英语六个维度的测评综合分析结果；</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8、系统针对班管理员、校管理员和管理员提供不同级别的数据分析报告，共计30个维度的直观图表和报告；</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9、系统针对班管理员给出每个班级的测评进度、性格类型分类统计、生涯分类统计、多元分类统计、职业分类统计，数学和英语高能力和低能力的分类统计，可以搜索、展示具体每个人的所有维度的信息；</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10、系统应针对校管理员给出每个年级的测评进度、整体学校的测评进度、性格类型分类、每个班级的性格类型分类等15个维度的统计信息，并根据大数据分析技术，给出每个学校的个性化建议报告；</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11、系统应具有每个科目与其他科目的关联分析查询，更精确地判断每个人情况的功能。</w:t>
            </w:r>
          </w:p>
        </w:tc>
        <w:tc>
          <w:tcPr>
            <w:tcW w:w="407"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1169"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779" w:type="dxa"/>
            <w:gridSpan w:val="3"/>
            <w:tcBorders>
              <w:top w:val="single" w:color="auto"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生涯指导激光全息软件系统</w:t>
            </w:r>
          </w:p>
        </w:tc>
        <w:tc>
          <w:tcPr>
            <w:tcW w:w="637" w:type="dxa"/>
            <w:tcBorders>
              <w:top w:val="single" w:color="auto"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1</w:t>
            </w:r>
          </w:p>
        </w:tc>
        <w:tc>
          <w:tcPr>
            <w:tcW w:w="637"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套</w:t>
            </w:r>
          </w:p>
        </w:tc>
        <w:tc>
          <w:tcPr>
            <w:tcW w:w="6422"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1、支持通过全息雷达方式对生涯指导文字、图片和视频投放；</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2、支持触碰、踩踏等方式进行互动；</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3、以文字和图形图片方式显示高中三年大事记，并有一定的互动交互动作；</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4、支持各个学科内容（包括但不限于物理、数学、化学、生物、英语、语文以及不限学科专业）的文字和视频讲解，支持互动交互动作；</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5、提供国内主流高校各专业的视频讲解，支持互动交互动作；</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6、提供不同学科所对应的专业涉及到的行业视频讲解；</w:t>
            </w:r>
          </w:p>
        </w:tc>
        <w:tc>
          <w:tcPr>
            <w:tcW w:w="407"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1169"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779" w:type="dxa"/>
            <w:gridSpan w:val="3"/>
            <w:tcBorders>
              <w:top w:val="single" w:color="auto"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生涯测评主机</w:t>
            </w:r>
          </w:p>
        </w:tc>
        <w:tc>
          <w:tcPr>
            <w:tcW w:w="637" w:type="dxa"/>
            <w:tcBorders>
              <w:top w:val="single" w:color="auto"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2</w:t>
            </w:r>
          </w:p>
        </w:tc>
        <w:tc>
          <w:tcPr>
            <w:tcW w:w="637"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台</w:t>
            </w:r>
          </w:p>
        </w:tc>
        <w:tc>
          <w:tcPr>
            <w:tcW w:w="6422"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1、intel i5处理器及以上，要求4核及以上，主频在2.5GHz及以上，内存要在16G及以上；</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2、硬盘空间要求500G及以上；</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3、预安装windows10及以上的操作系统。</w:t>
            </w:r>
          </w:p>
        </w:tc>
        <w:tc>
          <w:tcPr>
            <w:tcW w:w="407"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1351"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7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生涯咨询服务课程</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73</w:t>
            </w:r>
          </w:p>
        </w:tc>
        <w:tc>
          <w:tcPr>
            <w:tcW w:w="6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课时</w:t>
            </w:r>
          </w:p>
        </w:tc>
        <w:tc>
          <w:tcPr>
            <w:tcW w:w="64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供应商在服务期内，须通过线上和线下两种方式完成生涯咨询服务课程设计，线上采用视频方式进行，线下需要到甲方工作地进行现场授课，包含的课程及要求如下：</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1、新高考课程设计，要</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3个课时，每课时45分钟，线下方式进行；</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2、生涯能力模型实操指导课程设计，要</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22个课时，其中线上</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12个课时，线下</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10个课时，每课时45分钟；</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3、家庭教育及青少年发展课程设计，要</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18个课时，线上要</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9个课时，线下要</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9个课时，每课时45分钟；</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4、青少年教育个性化支持指导课程设计，要</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6个课时，采用线下方式；</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5、青少年心理发展状况评估课程设计，要</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6个课时，采用线上方式；</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6、青少年生涯成长课程设计，要</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9个课时，采用线上方式；</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7、青少年成长发展困惑课程设计，要</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9个课时，采用线下方式。</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270" w:hRule="atLeast"/>
        </w:trPr>
        <w:tc>
          <w:tcPr>
            <w:tcW w:w="600" w:type="dxa"/>
            <w:vMerge w:val="restart"/>
            <w:tcBorders>
              <w:top w:val="single" w:color="000000" w:sz="4" w:space="0"/>
              <w:left w:val="single" w:color="auto"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779" w:type="dxa"/>
            <w:gridSpan w:val="3"/>
            <w:vMerge w:val="restart"/>
            <w:tcBorders>
              <w:top w:val="single" w:color="000000" w:sz="4" w:space="0"/>
              <w:left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激光全息设备</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1</w:t>
            </w:r>
          </w:p>
        </w:tc>
        <w:tc>
          <w:tcPr>
            <w:tcW w:w="6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台</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激光全息设备（雷达-8m）</w:t>
            </w:r>
          </w:p>
        </w:tc>
        <w:tc>
          <w:tcPr>
            <w:tcW w:w="546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1、扫描误差：±30 mm范围内；</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2、扫描范围：</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270°</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3、支持点数范围：</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 xml:space="preserve">8点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4、工作频率：10-30 Hz</w:t>
            </w: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5、使用电源：</w:t>
            </w:r>
            <w:r>
              <w:rPr>
                <w:rFonts w:hint="eastAsia" w:asciiTheme="minorEastAsia" w:hAnsiTheme="minorEastAsia" w:eastAsiaTheme="minorEastAsia" w:cstheme="minorEastAsia"/>
                <w:sz w:val="24"/>
                <w:szCs w:val="24"/>
                <w:lang w:val="en-US" w:eastAsia="zh-CN"/>
              </w:rPr>
              <w:t>直流电源</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7、光波段：905 nm class I</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8、反应时间 ：＜10 s</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9、指示灯：电源指示灯、状态指示灯</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10、环境支持温度： 10 ℃~55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13、极限环境：功率减缓＜80%</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14、使用寿命：</w:t>
            </w:r>
            <w:r>
              <w:rPr>
                <w:rFonts w:hint="eastAsia" w:asciiTheme="minorEastAsia" w:hAnsiTheme="minorEastAsia" w:eastAsiaTheme="minorEastAsia" w:cstheme="minorEastAsia"/>
                <w:sz w:val="24"/>
                <w:szCs w:val="24"/>
                <w:lang w:val="en-US" w:eastAsia="zh-CN"/>
              </w:rPr>
              <w:t>不小于</w:t>
            </w:r>
            <w:r>
              <w:rPr>
                <w:rFonts w:hint="eastAsia" w:asciiTheme="minorEastAsia" w:hAnsiTheme="minorEastAsia" w:eastAsiaTheme="minorEastAsia" w:cstheme="minorEastAsia"/>
                <w:sz w:val="24"/>
                <w:szCs w:val="24"/>
              </w:rPr>
              <w:t>5年</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15、灵敏度：</w:t>
            </w:r>
            <w:r>
              <w:rPr>
                <w:rFonts w:hint="eastAsia" w:asciiTheme="minorEastAsia" w:hAnsiTheme="minorEastAsia" w:eastAsiaTheme="minorEastAsia" w:cstheme="minorEastAsia"/>
                <w:sz w:val="24"/>
                <w:szCs w:val="24"/>
                <w:lang w:val="en-US" w:eastAsia="zh-CN"/>
              </w:rPr>
              <w:t>≤0.1</w:t>
            </w:r>
            <w:r>
              <w:rPr>
                <w:rFonts w:hint="eastAsia" w:asciiTheme="minorEastAsia" w:hAnsiTheme="minorEastAsia" w:eastAsiaTheme="minorEastAsia" w:cstheme="minorEastAsia"/>
                <w:sz w:val="24"/>
                <w:szCs w:val="24"/>
              </w:rPr>
              <w:t>°</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270" w:hRule="atLeast"/>
        </w:trPr>
        <w:tc>
          <w:tcPr>
            <w:tcW w:w="600" w:type="dxa"/>
            <w:vMerge w:val="continue"/>
            <w:tcBorders>
              <w:left w:val="single" w:color="auto"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p>
        </w:tc>
        <w:tc>
          <w:tcPr>
            <w:tcW w:w="779" w:type="dxa"/>
            <w:gridSpan w:val="3"/>
            <w:vMerge w:val="continue"/>
            <w:tcBorders>
              <w:left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6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台</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激光全息设备（雷达-20m）</w:t>
            </w:r>
          </w:p>
        </w:tc>
        <w:tc>
          <w:tcPr>
            <w:tcW w:w="546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1、扫描误差：±30 mm范围内；</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2、扫描范围：</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270°</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3、支持点数范围：</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8点</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4、工作频率：10-30 Hz 20 Hz</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5、使用电源：DC12 V</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7、光波段：905 nm class I</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8、反应时间 ：＜10 s</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9、指示灯：电源指示灯、状态指示灯</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10、环境支持温度： 10 ℃~55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13、极限环境：功率减缓＜80%</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14、使用寿命：</w:t>
            </w:r>
            <w:r>
              <w:rPr>
                <w:rFonts w:hint="eastAsia" w:asciiTheme="minorEastAsia" w:hAnsiTheme="minorEastAsia" w:eastAsiaTheme="minorEastAsia" w:cstheme="minorEastAsia"/>
                <w:sz w:val="24"/>
                <w:szCs w:val="24"/>
                <w:lang w:val="en-US" w:eastAsia="zh-CN"/>
              </w:rPr>
              <w:t>不小于</w:t>
            </w:r>
            <w:r>
              <w:rPr>
                <w:rFonts w:hint="eastAsia" w:asciiTheme="minorEastAsia" w:hAnsiTheme="minorEastAsia" w:eastAsiaTheme="minorEastAsia" w:cstheme="minorEastAsia"/>
                <w:sz w:val="24"/>
                <w:szCs w:val="24"/>
              </w:rPr>
              <w:t>5年</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15、灵敏度：</w:t>
            </w:r>
            <w:r>
              <w:rPr>
                <w:rFonts w:hint="eastAsia" w:asciiTheme="minorEastAsia" w:hAnsiTheme="minorEastAsia" w:eastAsiaTheme="minorEastAsia" w:cstheme="minorEastAsia"/>
                <w:sz w:val="24"/>
                <w:szCs w:val="24"/>
                <w:lang w:val="en-US" w:eastAsia="zh-CN"/>
              </w:rPr>
              <w:t>≤0.1</w:t>
            </w:r>
            <w:r>
              <w:rPr>
                <w:rFonts w:hint="eastAsia" w:asciiTheme="minorEastAsia" w:hAnsiTheme="minorEastAsia" w:eastAsiaTheme="minorEastAsia" w:cstheme="minorEastAsia"/>
                <w:sz w:val="24"/>
                <w:szCs w:val="24"/>
              </w:rPr>
              <w:t>°</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270" w:hRule="atLeast"/>
        </w:trPr>
        <w:tc>
          <w:tcPr>
            <w:tcW w:w="600" w:type="dxa"/>
            <w:vMerge w:val="continue"/>
            <w:tcBorders>
              <w:left w:val="single" w:color="auto"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p>
        </w:tc>
        <w:tc>
          <w:tcPr>
            <w:tcW w:w="779" w:type="dxa"/>
            <w:gridSpan w:val="3"/>
            <w:vMerge w:val="continue"/>
            <w:tcBorders>
              <w:left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6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台</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激光全息设备（投影机）</w:t>
            </w:r>
          </w:p>
        </w:tc>
        <w:tc>
          <w:tcPr>
            <w:tcW w:w="546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1.光源类型：激光</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2.投射比：0.5:1</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3.亮度：≥5300流明</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4.分辨率：≥1080P(1920x1080)</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5.亮度均匀值：≥90%</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6.对比度：5000000:1</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7.光源寿命：25000小时(正常)/30000小时(节能)</w:t>
            </w:r>
          </w:p>
          <w:p>
            <w:pPr>
              <w:rPr>
                <w:rFonts w:hint="eastAsia"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8.投影尺寸：50-300吋</w:t>
            </w:r>
          </w:p>
          <w:p>
            <w:pPr>
              <w:rPr>
                <w:rFonts w:hint="eastAsia"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9.屏幕比例：16:9</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10.四点矫正：垂直:±20°_x005f_x005f_x005f_x005f_x005f_x005f_x005f_x005f_x0001_,水平:±20°，</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11.电源功率：290W，待机功率≤0.5W</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270" w:hRule="atLeast"/>
        </w:trPr>
        <w:tc>
          <w:tcPr>
            <w:tcW w:w="600" w:type="dxa"/>
            <w:vMerge w:val="continue"/>
            <w:tcBorders>
              <w:left w:val="single" w:color="auto" w:sz="4" w:space="0"/>
              <w:bottom w:val="single" w:color="auto"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p>
        </w:tc>
        <w:tc>
          <w:tcPr>
            <w:tcW w:w="779" w:type="dxa"/>
            <w:gridSpan w:val="3"/>
            <w:vMerge w:val="continue"/>
            <w:tcBorders>
              <w:left w:val="single" w:color="000000" w:sz="4" w:space="0"/>
              <w:bottom w:val="single" w:color="auto"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p>
        </w:tc>
        <w:tc>
          <w:tcPr>
            <w:tcW w:w="637"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637"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套</w:t>
            </w:r>
          </w:p>
        </w:tc>
        <w:tc>
          <w:tcPr>
            <w:tcW w:w="957"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全息透明光子投影膜</w:t>
            </w:r>
          </w:p>
        </w:tc>
        <w:tc>
          <w:tcPr>
            <w:tcW w:w="5465"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1、颜色为透明；</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2、厚度为：100-125微米；</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3、透射率：大于85%；</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4、雾度：小于35%；</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5、水平可视角：120-180°</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6、表面硬度：2-3H</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7、特征：宽视角</w:t>
            </w:r>
          </w:p>
        </w:tc>
        <w:tc>
          <w:tcPr>
            <w:tcW w:w="407"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rPr>
                <w:rFonts w:hint="eastAsia" w:asciiTheme="minorEastAsia" w:hAnsiTheme="minorEastAsia" w:eastAsiaTheme="minorEastAsia" w:cstheme="minorEastAsia"/>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270" w:hRule="atLeast"/>
        </w:trPr>
        <w:tc>
          <w:tcPr>
            <w:tcW w:w="60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rPr>
                <w:rFonts w:hint="eastAsia" w:asciiTheme="minorEastAsia" w:hAnsiTheme="minorEastAsia" w:eastAsiaTheme="minorEastAsia" w:cstheme="minorEastAsia"/>
                <w:sz w:val="24"/>
                <w:szCs w:val="24"/>
              </w:rPr>
            </w:pPr>
          </w:p>
        </w:tc>
        <w:tc>
          <w:tcPr>
            <w:tcW w:w="779" w:type="dxa"/>
            <w:gridSpan w:val="3"/>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rPr>
                <w:rFonts w:hint="eastAsia" w:asciiTheme="minorEastAsia" w:hAnsiTheme="minorEastAsia" w:eastAsiaTheme="minorEastAsia" w:cstheme="minorEastAsia"/>
                <w:sz w:val="24"/>
                <w:szCs w:val="24"/>
              </w:rPr>
            </w:pPr>
          </w:p>
        </w:tc>
        <w:tc>
          <w:tcPr>
            <w:tcW w:w="63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6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批</w:t>
            </w: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激光全息设备（辅料配件）</w:t>
            </w:r>
          </w:p>
        </w:tc>
        <w:tc>
          <w:tcPr>
            <w:tcW w:w="546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各类现场延长线（环境而定），线材、主机遥控、无线鼠标键盘，喇叭等</w:t>
            </w:r>
          </w:p>
        </w:tc>
        <w:tc>
          <w:tcPr>
            <w:tcW w:w="407" w:type="dxa"/>
            <w:tcBorders>
              <w:top w:val="single" w:color="auto" w:sz="4" w:space="0"/>
              <w:left w:val="single" w:color="auto" w:sz="4" w:space="0"/>
              <w:bottom w:val="single" w:color="auto" w:sz="4" w:space="0"/>
              <w:right w:val="single" w:color="auto" w:sz="4" w:space="0"/>
            </w:tcBorders>
            <w:shd w:val="clear" w:color="auto" w:fill="auto"/>
            <w:noWrap/>
            <w:vAlign w:val="center"/>
          </w:tcPr>
          <w:p>
            <w:pPr>
              <w:rPr>
                <w:rFonts w:hint="eastAsia" w:asciiTheme="minorEastAsia" w:hAnsiTheme="minorEastAsia" w:eastAsiaTheme="minorEastAsia" w:cstheme="minorEastAsia"/>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270" w:hRule="atLeast"/>
        </w:trPr>
        <w:tc>
          <w:tcPr>
            <w:tcW w:w="9482" w:type="dxa"/>
            <w:gridSpan w:val="10"/>
            <w:tcBorders>
              <w:top w:val="single" w:color="auto" w:sz="4" w:space="0"/>
              <w:left w:val="single" w:color="auto" w:sz="4" w:space="0"/>
              <w:bottom w:val="single" w:color="auto" w:sz="4" w:space="0"/>
              <w:right w:val="single" w:color="auto" w:sz="4" w:space="0"/>
            </w:tcBorders>
            <w:shd w:val="clear" w:color="auto" w:fill="auto"/>
            <w:noWrap/>
            <w:vAlign w:val="center"/>
          </w:tcPr>
          <w:p>
            <w:pPr>
              <w:rPr>
                <w:rFonts w:hint="eastAsia" w:asciiTheme="minorEastAsia" w:hAnsiTheme="minorEastAsia" w:cstheme="minorEastAsia"/>
                <w:sz w:val="24"/>
                <w:szCs w:val="24"/>
                <w:lang w:val="en-US" w:eastAsia="zh-CN"/>
              </w:rPr>
            </w:pPr>
            <w:bookmarkStart w:id="0" w:name="_GoBack"/>
            <w:r>
              <w:rPr>
                <w:rFonts w:hint="eastAsia" w:asciiTheme="minorEastAsia" w:hAnsiTheme="minorEastAsia" w:cstheme="minorEastAsia"/>
                <w:sz w:val="24"/>
                <w:szCs w:val="24"/>
                <w:lang w:val="en-US" w:eastAsia="zh-CN"/>
              </w:rPr>
              <w:t>备注：</w:t>
            </w: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本项目核心产品一体化馆员工作站、自助借还书机、校园智能咨询服务系统。</w:t>
            </w:r>
            <w:bookmarkEnd w:id="0"/>
          </w:p>
        </w:tc>
      </w:tr>
    </w:tbl>
    <w:p>
      <w:pPr>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xYjZhOWQ3Y2U1MGIzZGExNDBlOWU5ZTQ0YzlmNTgifQ=="/>
  </w:docVars>
  <w:rsids>
    <w:rsidRoot w:val="67746604"/>
    <w:rsid w:val="0501034B"/>
    <w:rsid w:val="39142C3E"/>
    <w:rsid w:val="67746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17921</Words>
  <Characters>19872</Characters>
  <Lines>0</Lines>
  <Paragraphs>0</Paragraphs>
  <TotalTime>0</TotalTime>
  <ScaleCrop>false</ScaleCrop>
  <LinksUpToDate>false</LinksUpToDate>
  <CharactersWithSpaces>20701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2023-07-31T02:01:00Z</dcterms:created>
  <dc:creator>囔囔</dc:creator>
  <cp:lastModifiedBy>囔囔</cp:lastModifiedBy>
  <dcterms:modified xsi:type="dcterms:W3CDTF">2023-07-31T06:18:32Z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730789D4849749C6BD742E8CA519553E_11</vt:lpwstr>
  </property>
</Properties>
</file>