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jc w:val="center"/>
        <w:rPr>
          <w:rFonts w:hint="eastAsia" w:ascii="宋体" w:hAnsi="宋体" w:eastAsia="宋体" w:cs="宋体"/>
        </w:rPr>
      </w:pPr>
      <w:bookmarkStart w:id="0" w:name="_Toc2854"/>
      <w:r>
        <w:rPr>
          <w:rFonts w:hint="eastAsia" w:ascii="宋体" w:hAnsi="宋体" w:eastAsia="宋体" w:cs="宋体"/>
        </w:rPr>
        <w:t>拟签订的合同文本</w:t>
      </w:r>
      <w:bookmarkEnd w:id="0"/>
    </w:p>
    <w:p>
      <w:pPr>
        <w:ind w:firstLine="0" w:firstLineChars="0"/>
        <w:rPr>
          <w:rFonts w:hint="eastAsia" w:ascii="宋体" w:hAnsi="宋体" w:eastAsia="宋体" w:cs="宋体"/>
          <w:b/>
          <w:bCs/>
        </w:rPr>
      </w:pPr>
      <w:r>
        <w:rPr>
          <w:rFonts w:hint="eastAsia" w:ascii="宋体" w:hAnsi="宋体" w:eastAsia="宋体" w:cs="宋体"/>
          <w:b/>
          <w:bCs/>
        </w:rPr>
        <w:t>（本格式条款供双方签订合同参考，采购人可根据项目的实际情况增减条款和内容）</w:t>
      </w:r>
    </w:p>
    <w:p>
      <w:pPr>
        <w:ind w:firstLine="480"/>
        <w:rPr>
          <w:rFonts w:hint="eastAsia" w:ascii="宋体" w:hAnsi="宋体" w:eastAsia="宋体" w:cs="宋体"/>
        </w:rPr>
      </w:pPr>
    </w:p>
    <w:p>
      <w:pPr>
        <w:ind w:firstLine="480"/>
        <w:rPr>
          <w:rFonts w:hint="eastAsia" w:ascii="宋体" w:hAnsi="宋体" w:eastAsia="宋体" w:cs="宋体"/>
        </w:rPr>
      </w:pPr>
      <w:r>
        <w:rPr>
          <w:rFonts w:hint="eastAsia" w:ascii="宋体" w:hAnsi="宋体" w:eastAsia="宋体" w:cs="宋体"/>
        </w:rPr>
        <w:br w:type="page"/>
      </w:r>
    </w:p>
    <w:p>
      <w:pPr>
        <w:keepNext w:val="0"/>
        <w:keepLines w:val="0"/>
        <w:shd w:val="clear" w:color="auto" w:fill="auto"/>
        <w:bidi w:val="0"/>
        <w:spacing w:before="0" w:after="0" w:line="240" w:lineRule="auto"/>
        <w:ind w:left="0" w:right="0" w:firstLine="0" w:firstLineChars="0"/>
        <w:jc w:val="left"/>
        <w:rPr>
          <w:rFonts w:hint="eastAsia" w:ascii="宋体" w:hAnsi="宋体" w:eastAsia="宋体" w:cs="宋体"/>
          <w:color w:val="000000"/>
          <w:spacing w:val="0"/>
          <w:w w:val="100"/>
          <w:kern w:val="0"/>
          <w:position w:val="0"/>
          <w:sz w:val="28"/>
          <w:szCs w:val="28"/>
          <w:shd w:val="clear" w:color="auto" w:fill="auto"/>
          <w:lang w:val="en-US" w:eastAsia="zh-CN" w:bidi="en-US"/>
        </w:rPr>
      </w:pPr>
      <w:r>
        <w:rPr>
          <w:rFonts w:hint="eastAsia" w:ascii="宋体" w:hAnsi="宋体" w:eastAsia="宋体" w:cs="宋体"/>
          <w:b/>
          <w:bCs/>
          <w:color w:val="000000"/>
          <w:spacing w:val="0"/>
          <w:w w:val="100"/>
          <w:kern w:val="0"/>
          <w:position w:val="0"/>
          <w:sz w:val="28"/>
          <w:szCs w:val="28"/>
          <w:shd w:val="clear" w:color="auto" w:fill="auto"/>
          <w:lang w:val="en-US" w:eastAsia="zh-CN" w:bidi="en-US"/>
        </w:rPr>
        <w:t xml:space="preserve">政府采购项目 </w:t>
      </w:r>
      <w:r>
        <w:rPr>
          <w:rFonts w:hint="eastAsia" w:ascii="宋体" w:hAnsi="宋体" w:eastAsia="宋体" w:cs="宋体"/>
          <w:color w:val="000000"/>
          <w:spacing w:val="0"/>
          <w:w w:val="100"/>
          <w:kern w:val="0"/>
          <w:position w:val="0"/>
          <w:sz w:val="28"/>
          <w:szCs w:val="28"/>
          <w:shd w:val="clear" w:color="auto" w:fill="auto"/>
          <w:lang w:val="en-US" w:eastAsia="zh-CN" w:bidi="en-US"/>
        </w:rPr>
        <w:t xml:space="preserve">                               </w:t>
      </w:r>
      <w:r>
        <w:rPr>
          <w:rFonts w:hint="eastAsia" w:ascii="宋体" w:hAnsi="宋体" w:eastAsia="宋体" w:cs="宋体"/>
          <w:color w:val="000000"/>
          <w:spacing w:val="0"/>
          <w:w w:val="100"/>
          <w:kern w:val="0"/>
          <w:position w:val="0"/>
          <w:sz w:val="28"/>
          <w:szCs w:val="28"/>
          <w:shd w:val="clear" w:color="auto" w:fill="auto"/>
          <w:lang w:val="en-US" w:eastAsia="zh-CN" w:bidi="en-US"/>
        </w:rPr>
        <w:t xml:space="preserve">    </w:t>
      </w:r>
      <w:r>
        <w:rPr>
          <w:rFonts w:hint="eastAsia" w:ascii="宋体" w:hAnsi="宋体" w:eastAsia="宋体" w:cs="宋体"/>
          <w:b/>
          <w:bCs/>
          <w:color w:val="000000"/>
          <w:spacing w:val="0"/>
          <w:w w:val="100"/>
          <w:kern w:val="0"/>
          <w:position w:val="0"/>
          <w:sz w:val="28"/>
          <w:szCs w:val="28"/>
          <w:bdr w:val="single" w:color="000000" w:sz="4" w:space="0"/>
          <w:shd w:val="clear" w:color="auto" w:fill="auto"/>
          <w:lang w:val="en-US" w:eastAsia="zh-CN" w:bidi="en-US"/>
        </w:rPr>
        <w:t>竞争性谈判</w:t>
      </w:r>
    </w:p>
    <w:p>
      <w:pPr>
        <w:ind w:firstLine="482"/>
        <w:jc w:val="right"/>
        <w:rPr>
          <w:rFonts w:hint="eastAsia" w:ascii="宋体" w:hAnsi="宋体" w:eastAsia="宋体" w:cs="宋体"/>
          <w:b/>
        </w:rPr>
      </w:pPr>
    </w:p>
    <w:p>
      <w:pPr>
        <w:keepNext/>
        <w:keepLines/>
        <w:widowControl w:val="0"/>
        <w:shd w:val="clear" w:color="auto" w:fill="auto"/>
        <w:bidi w:val="0"/>
        <w:spacing w:before="0" w:after="120" w:line="1133" w:lineRule="exact"/>
        <w:ind w:left="0" w:leftChars="0" w:right="0" w:firstLine="0" w:firstLineChars="0"/>
        <w:jc w:val="both"/>
        <w:outlineLvl w:val="0"/>
        <w:rPr>
          <w:rFonts w:hint="eastAsia" w:ascii="宋体" w:hAnsi="宋体" w:eastAsia="宋体" w:cs="宋体"/>
          <w:b/>
          <w:bCs/>
          <w:color w:val="auto"/>
          <w:spacing w:val="0"/>
          <w:w w:val="100"/>
          <w:position w:val="0"/>
          <w:sz w:val="52"/>
          <w:szCs w:val="52"/>
          <w:u w:val="none"/>
          <w:shd w:val="clear" w:color="auto" w:fill="auto"/>
          <w:lang w:val="en-US" w:eastAsia="en-US" w:bidi="en-US"/>
        </w:rPr>
      </w:pPr>
      <w:bookmarkStart w:id="1" w:name="bookmark0"/>
      <w:bookmarkStart w:id="2" w:name="bookmark1"/>
      <w:bookmarkStart w:id="3" w:name="bookmark2"/>
    </w:p>
    <w:p>
      <w:pPr>
        <w:keepNext/>
        <w:keepLines/>
        <w:widowControl w:val="0"/>
        <w:shd w:val="clear" w:color="auto" w:fill="auto"/>
        <w:bidi w:val="0"/>
        <w:spacing w:before="0" w:after="120" w:line="1133" w:lineRule="exact"/>
        <w:ind w:left="0" w:leftChars="0" w:right="0" w:firstLine="0" w:firstLineChars="0"/>
        <w:jc w:val="center"/>
        <w:outlineLvl w:val="0"/>
        <w:rPr>
          <w:rFonts w:hint="eastAsia" w:ascii="宋体" w:hAnsi="宋体" w:eastAsia="宋体" w:cs="宋体"/>
          <w:b/>
          <w:bCs/>
          <w:color w:val="auto"/>
          <w:spacing w:val="0"/>
          <w:w w:val="100"/>
          <w:position w:val="0"/>
          <w:sz w:val="52"/>
          <w:szCs w:val="52"/>
          <w:u w:val="none"/>
          <w:shd w:val="clear" w:color="auto" w:fill="auto"/>
          <w:lang w:val="en-US" w:eastAsia="zh-CN" w:bidi="en-US"/>
        </w:rPr>
      </w:pPr>
      <w:r>
        <w:rPr>
          <w:rFonts w:hint="eastAsia" w:ascii="宋体" w:hAnsi="宋体" w:eastAsia="宋体" w:cs="宋体"/>
          <w:b/>
          <w:bCs/>
          <w:color w:val="auto"/>
          <w:spacing w:val="0"/>
          <w:w w:val="100"/>
          <w:position w:val="0"/>
          <w:sz w:val="52"/>
          <w:szCs w:val="52"/>
          <w:u w:val="none"/>
          <w:shd w:val="clear" w:color="auto" w:fill="auto"/>
          <w:lang w:val="en-US" w:eastAsia="zh-CN" w:bidi="en-US"/>
        </w:rPr>
        <w:t>西安市第二十六中学学生生涯指导中心及图书馆管理系统设备采购项目</w:t>
      </w:r>
    </w:p>
    <w:p>
      <w:pPr>
        <w:keepNext/>
        <w:keepLines/>
        <w:widowControl w:val="0"/>
        <w:shd w:val="clear" w:color="auto" w:fill="auto"/>
        <w:bidi w:val="0"/>
        <w:spacing w:before="0" w:after="120" w:line="1133" w:lineRule="exact"/>
        <w:ind w:left="0" w:right="0" w:firstLine="3654" w:firstLineChars="700"/>
        <w:jc w:val="both"/>
        <w:outlineLvl w:val="0"/>
        <w:rPr>
          <w:rFonts w:hint="eastAsia" w:ascii="宋体" w:hAnsi="宋体" w:eastAsia="宋体" w:cs="宋体"/>
          <w:b/>
          <w:bCs/>
          <w:color w:val="auto"/>
          <w:spacing w:val="0"/>
          <w:w w:val="100"/>
          <w:position w:val="0"/>
          <w:sz w:val="52"/>
          <w:szCs w:val="52"/>
          <w:u w:val="none"/>
          <w:shd w:val="clear" w:color="auto" w:fill="auto"/>
          <w:lang w:val="zh-TW" w:eastAsia="zh-TW" w:bidi="zh-TW"/>
        </w:rPr>
      </w:pPr>
      <w:r>
        <w:rPr>
          <w:rFonts w:hint="eastAsia" w:ascii="宋体" w:hAnsi="宋体" w:eastAsia="宋体" w:cs="宋体"/>
          <w:b/>
          <w:bCs/>
          <w:color w:val="auto"/>
          <w:spacing w:val="0"/>
          <w:w w:val="100"/>
          <w:position w:val="0"/>
          <w:sz w:val="52"/>
          <w:szCs w:val="52"/>
          <w:u w:val="none"/>
          <w:shd w:val="clear" w:color="auto" w:fill="auto"/>
          <w:lang w:val="zh-TW" w:eastAsia="zh-TW" w:bidi="zh-TW"/>
        </w:rPr>
        <w:t>供货合同</w:t>
      </w:r>
      <w:bookmarkEnd w:id="1"/>
      <w:bookmarkEnd w:id="2"/>
      <w:bookmarkEnd w:id="3"/>
    </w:p>
    <w:p>
      <w:pPr>
        <w:keepNext w:val="0"/>
        <w:keepLines w:val="0"/>
        <w:widowControl w:val="0"/>
        <w:shd w:val="clear" w:color="auto" w:fill="auto"/>
        <w:bidi w:val="0"/>
        <w:spacing w:before="0" w:after="120" w:line="240" w:lineRule="auto"/>
        <w:ind w:left="0" w:right="0" w:firstLine="2700" w:firstLineChars="900"/>
        <w:jc w:val="both"/>
        <w:rPr>
          <w:rFonts w:hint="eastAsia" w:ascii="宋体" w:hAnsi="宋体" w:eastAsia="宋体" w:cs="宋体"/>
          <w:color w:val="auto"/>
          <w:spacing w:val="0"/>
          <w:w w:val="100"/>
          <w:position w:val="0"/>
          <w:sz w:val="30"/>
          <w:szCs w:val="30"/>
          <w:u w:val="none"/>
          <w:shd w:val="clear" w:color="auto" w:fill="auto"/>
          <w:lang w:val="en-US" w:eastAsia="en-US" w:bidi="en-US"/>
        </w:rPr>
      </w:pPr>
      <w:r>
        <w:rPr>
          <w:rFonts w:hint="eastAsia" w:ascii="宋体" w:hAnsi="宋体" w:eastAsia="宋体" w:cs="宋体"/>
          <w:color w:val="auto"/>
          <w:spacing w:val="0"/>
          <w:w w:val="100"/>
          <w:position w:val="0"/>
          <w:sz w:val="30"/>
          <w:szCs w:val="30"/>
          <w:u w:val="none"/>
          <w:shd w:val="clear" w:color="auto" w:fill="auto"/>
          <w:lang w:val="zh-TW" w:eastAsia="zh-TW" w:bidi="zh-TW"/>
        </w:rPr>
        <w:t>（编号：</w:t>
      </w:r>
      <w:r>
        <w:rPr>
          <w:rFonts w:hint="eastAsia" w:ascii="宋体" w:hAnsi="宋体" w:eastAsia="宋体" w:cs="宋体"/>
          <w:color w:val="auto"/>
          <w:spacing w:val="0"/>
          <w:w w:val="100"/>
          <w:position w:val="0"/>
          <w:sz w:val="30"/>
          <w:szCs w:val="30"/>
          <w:u w:val="single"/>
          <w:shd w:val="clear" w:color="auto" w:fill="auto"/>
          <w:lang w:val="en-US" w:eastAsia="zh-CN" w:bidi="en-US"/>
        </w:rPr>
        <w:t>HYTH-202307056</w:t>
      </w:r>
      <w:r>
        <w:rPr>
          <w:rFonts w:hint="eastAsia" w:ascii="宋体" w:hAnsi="宋体" w:eastAsia="宋体" w:cs="宋体"/>
          <w:color w:val="auto"/>
          <w:spacing w:val="0"/>
          <w:w w:val="100"/>
          <w:position w:val="0"/>
          <w:sz w:val="30"/>
          <w:szCs w:val="30"/>
          <w:u w:val="none"/>
          <w:shd w:val="clear" w:color="auto" w:fill="auto"/>
          <w:lang w:val="en-US" w:eastAsia="en-US" w:bidi="en-US"/>
        </w:rPr>
        <w:t>）</w:t>
      </w:r>
    </w:p>
    <w:p>
      <w:pPr>
        <w:keepNext w:val="0"/>
        <w:keepLines w:val="0"/>
        <w:widowControl w:val="0"/>
        <w:shd w:val="clear" w:color="auto" w:fill="auto"/>
        <w:bidi w:val="0"/>
        <w:spacing w:before="0" w:after="0" w:line="499" w:lineRule="exact"/>
        <w:ind w:left="0" w:right="0" w:firstLine="0"/>
        <w:jc w:val="both"/>
        <w:rPr>
          <w:rFonts w:hint="eastAsia" w:ascii="宋体" w:hAnsi="宋体" w:eastAsia="宋体" w:cs="宋体"/>
          <w:color w:val="auto"/>
          <w:spacing w:val="0"/>
          <w:w w:val="100"/>
          <w:position w:val="0"/>
          <w:sz w:val="30"/>
          <w:szCs w:val="30"/>
          <w:u w:val="none"/>
          <w:shd w:val="clear" w:color="auto" w:fill="auto"/>
          <w:lang w:val="zh-TW" w:eastAsia="zh-TW" w:bidi="zh-TW"/>
        </w:rPr>
      </w:pPr>
    </w:p>
    <w:p>
      <w:pPr>
        <w:keepNext w:val="0"/>
        <w:keepLines w:val="0"/>
        <w:widowControl w:val="0"/>
        <w:shd w:val="clear" w:color="auto" w:fill="auto"/>
        <w:bidi w:val="0"/>
        <w:spacing w:before="0" w:after="0" w:line="499" w:lineRule="exact"/>
        <w:ind w:left="0" w:leftChars="0" w:right="0" w:firstLine="0" w:firstLineChars="0"/>
        <w:jc w:val="both"/>
        <w:rPr>
          <w:rFonts w:hint="eastAsia" w:ascii="宋体" w:hAnsi="宋体" w:eastAsia="宋体" w:cs="宋体"/>
          <w:color w:val="auto"/>
          <w:spacing w:val="0"/>
          <w:w w:val="100"/>
          <w:position w:val="0"/>
          <w:sz w:val="30"/>
          <w:szCs w:val="30"/>
          <w:highlight w:val="none"/>
          <w:u w:val="none"/>
          <w:shd w:val="clear" w:color="auto" w:fill="auto"/>
          <w:lang w:val="zh-TW" w:eastAsia="zh-TW" w:bidi="zh-TW"/>
        </w:rPr>
      </w:pPr>
    </w:p>
    <w:p>
      <w:pPr>
        <w:keepNext w:val="0"/>
        <w:keepLines w:val="0"/>
        <w:widowControl w:val="0"/>
        <w:shd w:val="clear" w:color="auto" w:fill="auto"/>
        <w:bidi w:val="0"/>
        <w:spacing w:before="0" w:after="0" w:line="499" w:lineRule="exact"/>
        <w:ind w:left="0" w:right="0" w:firstLine="0"/>
        <w:jc w:val="both"/>
        <w:rPr>
          <w:rFonts w:hint="eastAsia" w:ascii="宋体" w:hAnsi="宋体" w:eastAsia="宋体" w:cs="宋体"/>
          <w:color w:val="auto"/>
          <w:spacing w:val="0"/>
          <w:w w:val="100"/>
          <w:position w:val="0"/>
          <w:sz w:val="30"/>
          <w:szCs w:val="30"/>
          <w:highlight w:val="none"/>
          <w:u w:val="none"/>
          <w:shd w:val="clear" w:color="auto" w:fill="auto"/>
          <w:lang w:val="zh-TW" w:eastAsia="zh-TW" w:bidi="zh-TW"/>
        </w:rPr>
      </w:pPr>
    </w:p>
    <w:p>
      <w:pPr>
        <w:keepNext w:val="0"/>
        <w:keepLines w:val="0"/>
        <w:widowControl w:val="0"/>
        <w:shd w:val="clear" w:color="auto" w:fill="auto"/>
        <w:bidi w:val="0"/>
        <w:spacing w:before="0" w:after="0" w:line="499" w:lineRule="exact"/>
        <w:ind w:left="3294" w:leftChars="700" w:right="0" w:hanging="1614" w:hangingChars="538"/>
        <w:jc w:val="both"/>
        <w:rPr>
          <w:rFonts w:hint="eastAsia" w:ascii="宋体" w:hAnsi="宋体" w:eastAsia="宋体" w:cs="宋体"/>
          <w:color w:val="auto"/>
          <w:spacing w:val="0"/>
          <w:w w:val="100"/>
          <w:position w:val="0"/>
          <w:sz w:val="30"/>
          <w:szCs w:val="30"/>
          <w:highlight w:val="none"/>
          <w:u w:val="none"/>
          <w:shd w:val="clear" w:color="auto" w:fill="auto"/>
          <w:lang w:val="en-US" w:eastAsia="zh-CN" w:bidi="en-US"/>
        </w:rPr>
      </w:pP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甲方：西安市第二十六中学</w:t>
      </w:r>
    </w:p>
    <w:p>
      <w:pPr>
        <w:keepNext w:val="0"/>
        <w:keepLines w:val="0"/>
        <w:widowControl w:val="0"/>
        <w:shd w:val="clear" w:color="auto" w:fill="auto"/>
        <w:bidi w:val="0"/>
        <w:spacing w:before="0" w:after="0" w:line="499" w:lineRule="exact"/>
        <w:ind w:left="3294" w:leftChars="700" w:right="0" w:hanging="1614" w:hangingChars="538"/>
        <w:jc w:val="both"/>
        <w:rPr>
          <w:rFonts w:hint="eastAsia" w:ascii="宋体" w:hAnsi="宋体" w:eastAsia="宋体" w:cs="宋体"/>
          <w:color w:val="auto"/>
          <w:spacing w:val="0"/>
          <w:w w:val="100"/>
          <w:position w:val="0"/>
          <w:sz w:val="30"/>
          <w:szCs w:val="30"/>
          <w:highlight w:val="none"/>
          <w:u w:val="none"/>
          <w:shd w:val="clear" w:color="auto" w:fill="auto"/>
          <w:lang w:val="en-US" w:eastAsia="zh-CN" w:bidi="en-US"/>
        </w:rPr>
      </w:pP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乙方:</w:t>
      </w:r>
      <w:r>
        <w:rPr>
          <w:rFonts w:hint="eastAsia" w:ascii="宋体" w:hAnsi="宋体" w:eastAsia="宋体" w:cs="宋体"/>
          <w:color w:val="auto"/>
          <w:spacing w:val="0"/>
          <w:w w:val="100"/>
          <w:position w:val="0"/>
          <w:sz w:val="30"/>
          <w:szCs w:val="30"/>
          <w:highlight w:val="none"/>
          <w:u w:val="none"/>
          <w:shd w:val="clear" w:color="auto" w:fill="auto"/>
          <w:lang w:val="en-US" w:eastAsia="zh-CN" w:bidi="zh-TW"/>
        </w:rPr>
        <w:t xml:space="preserve">                                 </w:t>
      </w:r>
    </w:p>
    <w:p>
      <w:pPr>
        <w:keepNext w:val="0"/>
        <w:keepLines w:val="0"/>
        <w:widowControl w:val="0"/>
        <w:shd w:val="clear" w:color="auto" w:fill="auto"/>
        <w:bidi w:val="0"/>
        <w:spacing w:before="0" w:after="660" w:line="499" w:lineRule="exact"/>
        <w:ind w:left="3294" w:leftChars="700" w:right="0" w:hanging="1614" w:hangingChars="538"/>
        <w:jc w:val="left"/>
        <w:rPr>
          <w:rFonts w:hint="eastAsia" w:ascii="宋体" w:hAnsi="宋体" w:eastAsia="宋体" w:cs="宋体"/>
          <w:color w:val="auto"/>
          <w:spacing w:val="0"/>
          <w:w w:val="100"/>
          <w:position w:val="0"/>
          <w:sz w:val="30"/>
          <w:szCs w:val="30"/>
          <w:highlight w:val="none"/>
          <w:u w:val="none"/>
          <w:shd w:val="clear" w:color="auto" w:fill="auto"/>
          <w:lang w:val="en-US" w:eastAsia="en-US" w:bidi="en-US"/>
        </w:rPr>
      </w:pP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鉴证方：陕西四方衡裕项目管理有限公司</w:t>
      </w:r>
    </w:p>
    <w:p>
      <w:pPr>
        <w:keepNext w:val="0"/>
        <w:keepLines w:val="0"/>
        <w:widowControl w:val="0"/>
        <w:shd w:val="clear" w:color="auto" w:fill="auto"/>
        <w:bidi w:val="0"/>
        <w:spacing w:before="0" w:after="0" w:line="348" w:lineRule="auto"/>
        <w:ind w:left="0" w:right="0" w:firstLine="0"/>
        <w:jc w:val="center"/>
        <w:rPr>
          <w:rFonts w:hint="eastAsia" w:ascii="宋体" w:hAnsi="宋体" w:eastAsia="宋体" w:cs="宋体"/>
          <w:color w:val="auto"/>
          <w:spacing w:val="0"/>
          <w:w w:val="100"/>
          <w:position w:val="0"/>
          <w:sz w:val="30"/>
          <w:szCs w:val="30"/>
          <w:highlight w:val="none"/>
          <w:u w:val="none"/>
          <w:shd w:val="clear" w:color="auto" w:fill="auto"/>
          <w:lang w:val="en-US" w:eastAsia="en-US" w:bidi="en-US"/>
        </w:rPr>
      </w:pPr>
      <w:r>
        <w:rPr>
          <w:rFonts w:hint="eastAsia" w:ascii="宋体" w:hAnsi="宋体" w:eastAsia="宋体" w:cs="宋体"/>
          <w:color w:val="auto"/>
          <w:spacing w:val="0"/>
          <w:w w:val="100"/>
          <w:position w:val="0"/>
          <w:sz w:val="30"/>
          <w:szCs w:val="30"/>
          <w:highlight w:val="none"/>
          <w:u w:val="none"/>
          <w:shd w:val="clear" w:color="auto" w:fill="auto"/>
          <w:lang w:val="en-US" w:eastAsia="en-US" w:bidi="en-US"/>
        </w:rPr>
        <w:t>202</w:t>
      </w:r>
      <w:r>
        <w:rPr>
          <w:rFonts w:hint="eastAsia" w:ascii="宋体" w:hAnsi="宋体" w:eastAsia="宋体" w:cs="宋体"/>
          <w:color w:val="auto"/>
          <w:spacing w:val="0"/>
          <w:w w:val="100"/>
          <w:position w:val="0"/>
          <w:sz w:val="30"/>
          <w:szCs w:val="30"/>
          <w:highlight w:val="none"/>
          <w:u w:val="none"/>
          <w:shd w:val="clear" w:color="auto" w:fill="auto"/>
          <w:lang w:val="en-US" w:eastAsia="zh-CN" w:bidi="en-US"/>
        </w:rPr>
        <w:t>3</w:t>
      </w: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年</w:t>
      </w:r>
      <w:r>
        <w:rPr>
          <w:rFonts w:hint="eastAsia" w:ascii="宋体" w:hAnsi="宋体" w:eastAsia="宋体" w:cs="宋体"/>
          <w:color w:val="auto"/>
          <w:spacing w:val="0"/>
          <w:w w:val="100"/>
          <w:position w:val="0"/>
          <w:sz w:val="30"/>
          <w:szCs w:val="30"/>
          <w:highlight w:val="none"/>
          <w:u w:val="none"/>
          <w:shd w:val="clear" w:color="auto" w:fill="auto"/>
          <w:lang w:val="en-US" w:eastAsia="zh-CN" w:bidi="zh-TW"/>
        </w:rPr>
        <w:t xml:space="preserve">  </w:t>
      </w: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月</w:t>
      </w:r>
    </w:p>
    <w:p>
      <w:pPr>
        <w:keepNext w:val="0"/>
        <w:keepLines w:val="0"/>
        <w:widowControl w:val="0"/>
        <w:shd w:val="clear" w:color="auto" w:fill="auto"/>
        <w:bidi w:val="0"/>
        <w:spacing w:before="0" w:after="0" w:line="499" w:lineRule="exact"/>
        <w:ind w:left="0" w:right="0" w:firstLine="0"/>
        <w:jc w:val="center"/>
        <w:rPr>
          <w:rFonts w:hint="eastAsia" w:ascii="宋体" w:hAnsi="宋体" w:eastAsia="宋体" w:cs="宋体"/>
          <w:color w:val="auto"/>
          <w:spacing w:val="0"/>
          <w:w w:val="100"/>
          <w:position w:val="0"/>
          <w:sz w:val="30"/>
          <w:szCs w:val="30"/>
          <w:highlight w:val="none"/>
          <w:u w:val="none"/>
          <w:shd w:val="clear" w:color="auto" w:fill="auto"/>
          <w:lang w:val="zh-TW" w:eastAsia="zh-TW" w:bidi="zh-TW"/>
        </w:rPr>
      </w:pP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中国西安</w:t>
      </w:r>
    </w:p>
    <w:p>
      <w:pPr>
        <w:keepNext w:val="0"/>
        <w:keepLines w:val="0"/>
        <w:shd w:val="clear" w:color="auto" w:fill="auto"/>
        <w:bidi w:val="0"/>
        <w:spacing w:before="0" w:after="0" w:line="240" w:lineRule="auto"/>
        <w:ind w:left="0" w:right="0" w:firstLine="0" w:firstLineChars="0"/>
        <w:jc w:val="left"/>
        <w:rPr>
          <w:rFonts w:hint="eastAsia" w:ascii="宋体" w:hAnsi="宋体" w:eastAsia="宋体" w:cs="宋体"/>
          <w:color w:val="auto"/>
          <w:spacing w:val="0"/>
          <w:w w:val="100"/>
          <w:kern w:val="0"/>
          <w:position w:val="0"/>
          <w:highlight w:val="none"/>
          <w:shd w:val="clear" w:color="auto" w:fill="auto"/>
          <w:lang w:eastAsia="en-US" w:bidi="en-US"/>
        </w:rPr>
      </w:pPr>
      <w:bookmarkStart w:id="4" w:name="bookmark4"/>
      <w:bookmarkStart w:id="5" w:name="bookmark3"/>
      <w:bookmarkStart w:id="6" w:name="bookmark5"/>
      <w:r>
        <w:rPr>
          <w:rFonts w:hint="eastAsia" w:ascii="宋体" w:hAnsi="宋体" w:eastAsia="宋体" w:cs="宋体"/>
          <w:color w:val="auto"/>
          <w:spacing w:val="0"/>
          <w:w w:val="100"/>
          <w:kern w:val="0"/>
          <w:position w:val="0"/>
          <w:highlight w:val="none"/>
          <w:shd w:val="clear" w:color="auto" w:fill="auto"/>
          <w:lang w:eastAsia="en-US" w:bidi="en-US"/>
        </w:rPr>
        <w:br w:type="page"/>
      </w:r>
    </w:p>
    <w:p>
      <w:pPr>
        <w:keepNext/>
        <w:keepLines/>
        <w:widowControl w:val="0"/>
        <w:shd w:val="clear" w:color="auto" w:fill="auto"/>
        <w:bidi w:val="0"/>
        <w:spacing w:before="0" w:after="380" w:line="240" w:lineRule="auto"/>
        <w:ind w:left="0" w:right="0" w:firstLine="0"/>
        <w:jc w:val="center"/>
        <w:outlineLvl w:val="1"/>
        <w:rPr>
          <w:rFonts w:hint="eastAsia" w:ascii="宋体" w:hAnsi="宋体" w:eastAsia="宋体" w:cs="宋体"/>
          <w:color w:val="auto"/>
          <w:spacing w:val="0"/>
          <w:w w:val="100"/>
          <w:position w:val="0"/>
          <w:sz w:val="36"/>
          <w:szCs w:val="36"/>
          <w:highlight w:val="none"/>
          <w:u w:val="none"/>
          <w:shd w:val="clear" w:color="auto" w:fill="auto"/>
          <w:lang w:val="zh-TW" w:eastAsia="zh-TW" w:bidi="zh-TW"/>
        </w:rPr>
      </w:pPr>
      <w:r>
        <w:rPr>
          <w:rFonts w:hint="eastAsia" w:ascii="宋体" w:hAnsi="宋体" w:eastAsia="宋体" w:cs="宋体"/>
          <w:color w:val="auto"/>
          <w:spacing w:val="0"/>
          <w:w w:val="100"/>
          <w:position w:val="0"/>
          <w:sz w:val="36"/>
          <w:szCs w:val="36"/>
          <w:highlight w:val="none"/>
          <w:u w:val="none"/>
          <w:shd w:val="clear" w:color="auto" w:fill="auto"/>
          <w:lang w:val="zh-TW" w:eastAsia="zh-TW" w:bidi="zh-TW"/>
        </w:rPr>
        <w:t>供货合同</w:t>
      </w:r>
      <w:bookmarkEnd w:id="4"/>
      <w:bookmarkEnd w:id="5"/>
      <w:bookmarkEnd w:id="6"/>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甲方</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zh-TW" w:eastAsia="zh-CN" w:bidi="zh-TW"/>
        </w:rPr>
        <w:t>采</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购人名称全称）</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：西安市第二十六中学</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（供应商名称全称）</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p>
    <w:p>
      <w:pPr>
        <w:keepNext w:val="0"/>
        <w:keepLines w:val="0"/>
        <w:pageBreakBefore w:val="0"/>
        <w:widowControl w:val="0"/>
        <w:shd w:val="clear" w:color="auto" w:fill="auto"/>
        <w:kinsoku/>
        <w:wordWrap w:val="0"/>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鉴证方：</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陕西四方衡裕项目管理有限公司</w:t>
      </w:r>
    </w:p>
    <w:p>
      <w:pPr>
        <w:keepNext w:val="0"/>
        <w:keepLines w:val="0"/>
        <w:pageBreakBefore w:val="0"/>
        <w:widowControl w:val="0"/>
        <w:shd w:val="clear" w:color="auto" w:fill="auto"/>
        <w:kinsoku/>
        <w:wordWrap w:val="0"/>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鉴证方就甲方所需货物，在西安市碑林区财政局的监督管理下，按照政府</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采</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购程序组织竞争性谈判，确定乙方为</w:t>
      </w:r>
      <w:r>
        <w:rPr>
          <w:rFonts w:hint="eastAsia" w:ascii="宋体" w:hAnsi="宋体" w:eastAsia="宋体" w:cs="宋体"/>
          <w:color w:val="auto"/>
          <w:spacing w:val="0"/>
          <w:w w:val="100"/>
          <w:position w:val="0"/>
          <w:sz w:val="24"/>
          <w:szCs w:val="24"/>
          <w:highlight w:val="none"/>
          <w:u w:val="single"/>
          <w:shd w:val="clear" w:color="auto" w:fill="auto"/>
          <w:lang w:val="zh-TW" w:eastAsia="zh-CN" w:bidi="zh-TW"/>
        </w:rPr>
        <w:t>西安市第二十六中学学生生涯指导中心及图书馆管理系统设备采购项目</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（项目编号：</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HYTH-202307056</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成交供应商。</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依</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据《中华人民共和国政府采购法》、《中华人民共和国民法典》以及</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陕西四方衡裕项目管理有限公司</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竞争性谈判文件、成交通知书，经甲、乙双方协商，鉴证方确认，达成如下合同条款。</w:t>
      </w:r>
    </w:p>
    <w:p>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7" w:name="bookmark6"/>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一</w:t>
      </w:r>
      <w:bookmarkEnd w:id="7"/>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、合同标的物内容（以响应文件正本和澄清表〈函〉为准）</w:t>
      </w:r>
    </w:p>
    <w:tbl>
      <w:tblPr>
        <w:tblStyle w:val="5"/>
        <w:tblW w:w="9102" w:type="dxa"/>
        <w:jc w:val="center"/>
        <w:tblLayout w:type="fixed"/>
        <w:tblCellMar>
          <w:top w:w="0" w:type="dxa"/>
          <w:left w:w="10" w:type="dxa"/>
          <w:bottom w:w="0" w:type="dxa"/>
          <w:right w:w="10" w:type="dxa"/>
        </w:tblCellMar>
      </w:tblPr>
      <w:tblGrid>
        <w:gridCol w:w="768"/>
        <w:gridCol w:w="1661"/>
        <w:gridCol w:w="1661"/>
        <w:gridCol w:w="1661"/>
        <w:gridCol w:w="1661"/>
        <w:gridCol w:w="1690"/>
      </w:tblGrid>
      <w:tr>
        <w:tblPrEx>
          <w:tblCellMar>
            <w:top w:w="0" w:type="dxa"/>
            <w:left w:w="10" w:type="dxa"/>
            <w:bottom w:w="0" w:type="dxa"/>
            <w:right w:w="10" w:type="dxa"/>
          </w:tblCellMar>
        </w:tblPrEx>
        <w:trPr>
          <w:trHeight w:val="528" w:hRule="exact"/>
          <w:jc w:val="center"/>
        </w:trPr>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序号</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货物名称</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规格型号</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单价（元）</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4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数量</w:t>
            </w: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40" w:after="0" w:line="240" w:lineRule="auto"/>
              <w:ind w:left="0" w:right="320" w:firstLine="0" w:firstLineChars="0"/>
              <w:jc w:val="righ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总价（元）</w:t>
            </w:r>
          </w:p>
        </w:tc>
      </w:tr>
      <w:tr>
        <w:tblPrEx>
          <w:tblCellMar>
            <w:top w:w="0" w:type="dxa"/>
            <w:left w:w="10" w:type="dxa"/>
            <w:bottom w:w="0" w:type="dxa"/>
            <w:right w:w="10" w:type="dxa"/>
          </w:tblCellMar>
        </w:tblPrEx>
        <w:trPr>
          <w:trHeight w:val="49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1</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0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2</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18"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3</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0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4</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49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5</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49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0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09" w:hRule="exact"/>
          <w:jc w:val="center"/>
        </w:trPr>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00" w:after="0" w:line="240" w:lineRule="auto"/>
              <w:ind w:left="0" w:right="0" w:firstLine="0" w:firstLineChars="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合计</w:t>
            </w:r>
          </w:p>
        </w:tc>
        <w:tc>
          <w:tcPr>
            <w:gridSpan w:val="5"/>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18" w:hRule="exact"/>
          <w:jc w:val="center"/>
        </w:trPr>
        <w:tc>
          <w:tcPr>
            <w:tcBorders>
              <w:top w:val="single" w:color="auto" w:sz="4" w:space="0"/>
              <w:left w:val="single" w:color="auto" w:sz="4" w:space="0"/>
              <w:bottom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备注</w:t>
            </w:r>
          </w:p>
        </w:tc>
        <w:tc>
          <w:tcPr>
            <w:gridSpan w:val="5"/>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bl>
    <w:p>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（技术</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参数可附附件</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或详见响应文件，需说明清楚，表格可根据实际情况调整）</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CN" w:bidi="zh-TW"/>
        </w:rPr>
      </w:pPr>
      <w:bookmarkStart w:id="8" w:name="bookmark7"/>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二</w:t>
      </w:r>
      <w:bookmarkEnd w:id="8"/>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交货</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条件：</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490" w:lineRule="exact"/>
        <w:ind w:left="240" w:leftChars="10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9" w:name="bookmark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交货</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地点：甲方指定地点。</w:t>
      </w:r>
    </w:p>
    <w:p>
      <w:pPr>
        <w:keepNext w:val="0"/>
        <w:keepLines w:val="0"/>
        <w:pageBreakBefore w:val="0"/>
        <w:widowControl w:val="0"/>
        <w:shd w:val="clear" w:color="auto" w:fill="auto"/>
        <w:tabs>
          <w:tab w:val="left" w:pos="1390"/>
        </w:tabs>
        <w:kinsoku/>
        <w:wordWrap/>
        <w:overflowPunct/>
        <w:topLinePunct w:val="0"/>
        <w:autoSpaceDE/>
        <w:autoSpaceDN/>
        <w:bidi w:val="0"/>
        <w:adjustRightInd/>
        <w:snapToGrid/>
        <w:spacing w:before="0" w:after="0" w:line="403" w:lineRule="exact"/>
        <w:ind w:left="240" w:leftChars="10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10" w:name="bookmark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1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二）交货期：</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自合同签订之日起       个日历日内安装调试完毕</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p>
    <w:p>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499" w:lineRule="exact"/>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11" w:name="bookmark10"/>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三</w:t>
      </w:r>
      <w:bookmarkEnd w:id="11"/>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合同价款</w:t>
      </w:r>
    </w:p>
    <w:p>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24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en-US"/>
        </w:rPr>
        <w:t>一</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合同总价款为人民币</w:t>
      </w:r>
      <w:r>
        <w:rPr>
          <w:rFonts w:hint="eastAsia" w:ascii="宋体" w:hAnsi="宋体" w:eastAsia="宋体" w:cs="宋体"/>
          <w:i w:val="0"/>
          <w:iCs w:val="0"/>
          <w:color w:val="auto"/>
          <w:spacing w:val="0"/>
          <w:w w:val="100"/>
          <w:position w:val="0"/>
          <w:sz w:val="24"/>
          <w:szCs w:val="24"/>
          <w:highlight w:val="none"/>
          <w:u w:val="none"/>
          <w:shd w:val="clear" w:color="auto" w:fill="auto"/>
          <w:lang w:val="zh-TW" w:eastAsia="zh-TW" w:bidi="zh-TW"/>
        </w:rPr>
        <w:t>（大写）</w:t>
      </w:r>
      <w:r>
        <w:rPr>
          <w:rFonts w:hint="eastAsia" w:ascii="宋体" w:hAnsi="宋体" w:eastAsia="宋体" w:cs="宋体"/>
          <w:i/>
          <w:iCs/>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i/>
          <w:iCs/>
          <w:color w:val="auto"/>
          <w:spacing w:val="0"/>
          <w:w w:val="100"/>
          <w:position w:val="0"/>
          <w:sz w:val="24"/>
          <w:szCs w:val="24"/>
          <w:highlight w:val="none"/>
          <w:u w:val="none"/>
          <w:shd w:val="clear" w:color="auto" w:fill="auto"/>
          <w:lang w:val="en-US" w:eastAsia="zh-CN" w:bidi="zh-TW"/>
        </w:rPr>
        <w:t xml:space="preserve"> </w:t>
      </w:r>
      <w:r>
        <w:rPr>
          <w:rFonts w:hint="eastAsia" w:ascii="宋体" w:hAnsi="宋体" w:eastAsia="宋体" w:cs="宋体"/>
          <w:i/>
          <w:i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single"/>
          <w:shd w:val="clear" w:color="auto" w:fill="auto"/>
          <w:lang w:val="zh-TW" w:eastAsia="zh-TW" w:bidi="zh-TW"/>
        </w:rPr>
        <w:tab/>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元。</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490" w:lineRule="exact"/>
        <w:ind w:left="0" w:right="0" w:firstLine="4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CN" w:eastAsia="zh-TW" w:bidi="zh-TW"/>
        </w:rPr>
      </w:pPr>
      <w:bookmarkStart w:id="12" w:name="bookmark1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1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二）合同总包括：</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供货</w:t>
      </w:r>
      <w:r>
        <w:rPr>
          <w:rFonts w:hint="eastAsia" w:ascii="宋体" w:hAnsi="宋体" w:eastAsia="宋体" w:cs="宋体"/>
          <w:color w:val="auto"/>
          <w:spacing w:val="0"/>
          <w:w w:val="100"/>
          <w:position w:val="0"/>
          <w:sz w:val="24"/>
          <w:szCs w:val="24"/>
          <w:highlight w:val="none"/>
          <w:u w:val="none"/>
          <w:shd w:val="clear" w:color="auto" w:fill="auto"/>
          <w:lang w:val="zh-CN" w:eastAsia="zh-TW" w:bidi="zh-TW"/>
        </w:rPr>
        <w:t>期内全部供货和服务内容可能发生的全部费用。</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413" w:lineRule="exact"/>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13" w:name="bookmark1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1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三）合同总价一次性包死，不受市场价格变化因素的影响。</w:t>
      </w:r>
    </w:p>
    <w:p>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509" w:lineRule="exact"/>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14" w:name="bookmark13"/>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四</w:t>
      </w:r>
      <w:bookmarkEnd w:id="14"/>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、款项结算</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bookmarkStart w:id="15" w:name="bookmark17"/>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一</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款项</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的支付：所有货物到达甲方指定地点，安装、调试完毕并且验收合格后，如无质量、技术、服务、安全等问题，甲方向乙方支付至合同价款的100%，一次性付清。达到付款条件30日内，支付合同总金额的100%。。</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15"/>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二</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）付款前乙方应向甲方提供合法有效的全额发票。乙方持成交通知书、供货合同、发票，与甲方结算。</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三</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支付方式：银行转账。</w:t>
      </w:r>
    </w:p>
    <w:p>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413" w:lineRule="exact"/>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16" w:name="bookmark19"/>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五</w:t>
      </w:r>
      <w:bookmarkEnd w:id="16"/>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双方的权利和义务</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17" w:name="bookmark2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1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甲方的权利和义务</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CN" w:bidi="zh-TW"/>
        </w:rPr>
      </w:pPr>
      <w:bookmarkStart w:id="18" w:name="bookmark21"/>
      <w:r>
        <w:rPr>
          <w:rFonts w:hint="eastAsia" w:ascii="宋体" w:hAnsi="宋体" w:eastAsia="宋体" w:cs="宋体"/>
          <w:b w:val="0"/>
          <w:bCs w:val="0"/>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甲方在收到货物通知后，应按</w:t>
      </w:r>
      <w:r>
        <w:rPr>
          <w:rFonts w:hint="eastAsia" w:ascii="宋体" w:hAnsi="宋体" w:eastAsia="宋体" w:cs="宋体"/>
          <w:b w:val="0"/>
          <w:bCs w:val="0"/>
          <w:color w:val="auto"/>
          <w:spacing w:val="0"/>
          <w:w w:val="100"/>
          <w:position w:val="0"/>
          <w:sz w:val="24"/>
          <w:szCs w:val="24"/>
          <w:highlight w:val="none"/>
          <w:u w:val="none"/>
          <w:shd w:val="clear" w:color="auto" w:fill="auto"/>
          <w:lang w:val="en-US" w:eastAsia="zh-CN" w:bidi="zh-TW"/>
        </w:rPr>
        <w:t>谈判</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文件的需求</w:t>
      </w:r>
      <w:r>
        <w:rPr>
          <w:rFonts w:hint="eastAsia" w:ascii="宋体" w:hAnsi="宋体" w:eastAsia="宋体" w:cs="宋体"/>
          <w:b w:val="0"/>
          <w:bCs w:val="0"/>
          <w:color w:val="auto"/>
          <w:spacing w:val="0"/>
          <w:w w:val="100"/>
          <w:position w:val="0"/>
          <w:sz w:val="24"/>
          <w:szCs w:val="24"/>
          <w:highlight w:val="none"/>
          <w:u w:val="none"/>
          <w:shd w:val="clear" w:color="auto" w:fill="auto"/>
          <w:lang w:val="en-US" w:eastAsia="zh-CN" w:bidi="zh-TW"/>
        </w:rPr>
        <w:t>及成交供应商响应文件响应内容</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进行核实，如发现不符合合同规定，及时提出</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CN" w:bidi="zh-TW"/>
        </w:rPr>
        <w:t>。</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val="0"/>
          <w:color w:val="auto"/>
          <w:spacing w:val="0"/>
          <w:w w:val="100"/>
          <w:position w:val="0"/>
          <w:sz w:val="24"/>
          <w:szCs w:val="24"/>
          <w:highlight w:val="none"/>
          <w:u w:val="none"/>
          <w:shd w:val="clear" w:color="auto" w:fill="auto"/>
          <w:lang w:val="en-US" w:eastAsia="zh-CN" w:bidi="zh-TW"/>
        </w:rPr>
        <w:t>2、</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甲方在收到货后，组织人员按提供的技术参数指标进行验收。</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w:t>
      </w:r>
      <w:bookmarkEnd w:id="18"/>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二）</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乙方的权利和义务</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val="0"/>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乙方在合同约定的时间内交付产品，并负责产品的检验。</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2、乙方所提供的产品必须保证原厂生产，符合采购技术需求，运输全过程中的安全由乙方负责。</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3、乙方应积极配合甲方，最终完成产品的检验工作。</w:t>
      </w:r>
    </w:p>
    <w:p>
      <w:pPr>
        <w:keepNext w:val="0"/>
        <w:keepLines w:val="0"/>
        <w:pageBreakBefore w:val="0"/>
        <w:widowControl w:val="0"/>
        <w:shd w:val="clear" w:color="auto" w:fill="auto"/>
        <w:tabs>
          <w:tab w:val="left" w:pos="996"/>
        </w:tabs>
        <w:kinsoku/>
        <w:wordWrap/>
        <w:overflowPunct/>
        <w:topLinePunct w:val="0"/>
        <w:autoSpaceDE/>
        <w:autoSpaceDN/>
        <w:bidi w:val="0"/>
        <w:adjustRightInd/>
        <w:snapToGrid/>
        <w:spacing w:before="0" w:after="0" w:line="494" w:lineRule="exact"/>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19" w:name="bookmark22"/>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六</w:t>
      </w:r>
      <w:bookmarkEnd w:id="19"/>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质量保证</w:t>
      </w:r>
    </w:p>
    <w:p>
      <w:pPr>
        <w:keepNext w:val="0"/>
        <w:keepLines w:val="0"/>
        <w:pageBreakBefore w:val="0"/>
        <w:widowControl w:val="0"/>
        <w:shd w:val="clear" w:color="auto" w:fill="auto"/>
        <w:tabs>
          <w:tab w:val="left" w:pos="1400"/>
        </w:tabs>
        <w:kinsoku/>
        <w:wordWrap/>
        <w:overflowPunct/>
        <w:topLinePunct w:val="0"/>
        <w:autoSpaceDE/>
        <w:autoSpaceDN/>
        <w:bidi w:val="0"/>
        <w:adjustRightInd/>
        <w:snapToGrid/>
        <w:spacing w:before="0" w:after="0" w:line="360" w:lineRule="auto"/>
        <w:ind w:left="240" w:leftChars="10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必须执行下列条款：</w:t>
      </w:r>
    </w:p>
    <w:p>
      <w:pPr>
        <w:keepNext w:val="0"/>
        <w:keepLines w:val="0"/>
        <w:pageBreakBefore w:val="0"/>
        <w:widowControl w:val="0"/>
        <w:shd w:val="clear" w:color="auto" w:fill="auto"/>
        <w:tabs>
          <w:tab w:val="left" w:pos="1400"/>
        </w:tabs>
        <w:kinsoku/>
        <w:wordWrap/>
        <w:overflowPunct/>
        <w:topLinePunct w:val="0"/>
        <w:autoSpaceDE/>
        <w:autoSpaceDN/>
        <w:bidi w:val="0"/>
        <w:adjustRightInd/>
        <w:snapToGrid/>
        <w:spacing w:before="0" w:after="0" w:line="360" w:lineRule="auto"/>
        <w:ind w:left="240" w:leftChars="10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（一）保证所供产品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的设计、制造、产品性能、材料的选择和材料的检验及产品的测试等，均应按国内外通行的现行标准和相应的技术规范，以及质量、安全、环保标准和要求执行，这些标准和技术规范应为合同签订日为止最新公布发行的标准和技术规范。</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0" w:name="bookmark2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二）保证所供产品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技术指标先进、质量性能可靠、配置合理、进货渠道正规，全面满足竞争性谈判文件要求，是全新、未使用过的、完整的、安全可靠的产品。严禁提供旧货翻新或假冒伪劣产品或次品、残品，并完全符合强制性的国家技术质量规范和</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竞争性谈判</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文件规定的质量、规格、性能和技术规范等的要求。并能按期交付。在交付甲方前发生的风险均由乙方负责。</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1" w:name="bookmark2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三）保证所供产品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在装卸、运输和仓储过程中有足够的包装保护，防止产品/设备受潮、锈蚀、遭受冲撞及其他不可预见的损坏。</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2" w:name="bookmark2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四）保证所供产品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具有良好的外观，适合各种安装场所的使用要求，确保达到最佳运行状态。</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3" w:name="bookmark2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五）乙方所供产品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因侵权而产生的一切后果由乙方负责，甲方保留索赔权。</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4" w:name="bookmark2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4"/>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六）乙方提供的货物经正确安装、正常运转和保养，在其使用寿命期内须具有符合质量要求和产品说明书的性能。在货物免费质保期之内，乙方须对由于设计、工艺或材料的缺陷而发生的任何不足或故障负责。</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七</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根据甲方按检验标准自己检验结果或委托有资质的相关质检机构的检验结果，发现货物的数量、质量、规格与合同不符；或者在质量保证期内，证实货物存在缺陷，包括潜在的缺陷或使用不符合要求的材料等，甲方应尽快以书面形式通知乙方。乙方在收到通知</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后</w:t>
      </w:r>
      <w:r>
        <w:rPr>
          <w:rFonts w:hint="eastAsia" w:ascii="宋体" w:hAnsi="宋体" w:eastAsia="宋体" w:cs="宋体"/>
          <w:color w:val="auto"/>
          <w:spacing w:val="0"/>
          <w:w w:val="100"/>
          <w:position w:val="0"/>
          <w:sz w:val="24"/>
          <w:szCs w:val="24"/>
          <w:highlight w:val="none"/>
          <w:u w:val="single"/>
          <w:shd w:val="clear" w:color="auto" w:fill="auto"/>
          <w:lang w:val="zh-TW" w:eastAsia="zh-CN" w:bidi="zh-TW"/>
        </w:rPr>
        <w:t xml:space="preserve">    </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日内应免费维修或更换有缺陷的货物或部件。如果乙方在收到通知后</w:t>
      </w:r>
      <w:r>
        <w:rPr>
          <w:rFonts w:hint="eastAsia" w:ascii="宋体" w:hAnsi="宋体" w:eastAsia="宋体" w:cs="宋体"/>
          <w:color w:val="auto"/>
          <w:spacing w:val="0"/>
          <w:w w:val="100"/>
          <w:position w:val="0"/>
          <w:sz w:val="24"/>
          <w:szCs w:val="24"/>
          <w:highlight w:val="none"/>
          <w:u w:val="single"/>
          <w:shd w:val="clear" w:color="auto" w:fill="auto"/>
          <w:lang w:val="zh-TW"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日内没有弥补缺陷，甲方可采取必要的补救措施，但由此引发的风险和费用将由乙方承担。</w:t>
      </w:r>
    </w:p>
    <w:p>
      <w:pPr>
        <w:pStyle w:val="4"/>
        <w:spacing w:line="360" w:lineRule="auto"/>
        <w:rPr>
          <w:rFonts w:hint="eastAsia" w:ascii="宋体" w:hAnsi="宋体" w:eastAsia="宋体" w:cs="宋体"/>
          <w:lang w:val="en-US" w:eastAsia="zh-CN"/>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八</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需保证</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提供的货物</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来源渠道合法，不会有任何第三方向甲方主张任何权利。</w:t>
      </w:r>
    </w:p>
    <w:p>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pPr>
      <w:bookmarkStart w:id="25" w:name="bookmark30"/>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七</w:t>
      </w:r>
      <w:bookmarkEnd w:id="25"/>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包装和储存</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6" w:name="bookmark3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及其备附件的包装应为出厂时的原包装，包装内应附有详细的装箱清单、出厂合格证明及其他相关资料。</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7" w:name="bookmark3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二）运输由乙方负责，运杂费已包含在合同总价内，包括从产品/设备供应地点运送至交付地点所含的运输费、装卸费、仓储费、保险费等。</w:t>
      </w:r>
    </w:p>
    <w:p>
      <w:pPr>
        <w:keepNext w:val="0"/>
        <w:keepLines w:val="0"/>
        <w:pageBreakBefore w:val="0"/>
        <w:widowControl w:val="0"/>
        <w:shd w:val="clear" w:color="auto" w:fill="auto"/>
        <w:tabs>
          <w:tab w:val="left" w:pos="140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8" w:name="bookmark3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三）运输方式由乙方自行选择，但必须保证按期交付。</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9" w:name="bookmark34"/>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及其备附件到达甲方指定地点后，乙方应按有关技术规程和甲方要求进行存放和保管。</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0" w:name="bookmark3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3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五）乙方在货物发运前对其进行满足运输距离、防潮、防震、防锈和防破损装卸等要求包装，以保证货物安全运达甲方指定地点。</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六</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 xml:space="preserve"> 乙方负责所有产品的运输。确保产品安全、完整到达使用地点，运杂费用包含在总价内，包括产品从供货地点到使用地点的运输费、保险费、搬运费、装卸费、仓储费等。</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七</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使用说明书、质量检验证明书、随配附件和工具以及清单一并附于货物内。</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八</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乙方在货物发运手续办理完毕后24小时内或货到甲方48小时前通知甲方，以准备接货。</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九</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货物在交付甲方前发生的风险均由乙方负责。</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货物在规定的交付期限内由乙方送达甲方指定的地点视为交付，乙方同时需通知甲方货物已送达。</w:t>
      </w:r>
    </w:p>
    <w:p>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31" w:name="bookmark36"/>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八</w:t>
      </w:r>
      <w:bookmarkEnd w:id="31"/>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验收</w:t>
      </w:r>
    </w:p>
    <w:p>
      <w:pPr>
        <w:keepNext w:val="0"/>
        <w:keepLines w:val="0"/>
        <w:pageBreakBefore w:val="0"/>
        <w:widowControl w:val="0"/>
        <w:shd w:val="clear" w:color="auto" w:fill="auto"/>
        <w:kinsoku/>
        <w:wordWrap/>
        <w:overflowPunct/>
        <w:topLinePunct w:val="0"/>
        <w:autoSpaceDE/>
        <w:autoSpaceDN/>
        <w:bidi w:val="0"/>
        <w:adjustRightInd/>
        <w:snapToGrid/>
        <w:spacing w:before="0" w:after="6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（一）外观验收：产品及其备附件到达甲方指定地点后，甲方</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根据</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合同要求，在乙方和甲方相关负责人双方同时在场的情况下，进行外观</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验收</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，确认产地、规格、型号和数量。</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2" w:name="bookmark3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3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二）安装调试：乙方应配合甲方的要求，负责在现场对产品进行安装、调试和试运行。</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3" w:name="bookmark3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3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三）最终验收：产品安装调试和运行后，由乙方向甲方递交产</w:t>
      </w:r>
      <w:r>
        <w:rPr>
          <w:rFonts w:hint="eastAsia" w:ascii="宋体" w:hAnsi="宋体" w:eastAsia="宋体" w:cs="宋体"/>
          <w:color w:val="auto"/>
          <w:spacing w:val="0"/>
          <w:w w:val="100"/>
          <w:position w:val="0"/>
          <w:sz w:val="24"/>
          <w:szCs w:val="24"/>
          <w:highlight w:val="none"/>
          <w:u w:val="none"/>
          <w:shd w:val="clear" w:color="auto" w:fill="auto"/>
          <w:lang w:val="en-US" w:eastAsia="zh-CN" w:bidi="en-US"/>
        </w:rPr>
        <w:t>品</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安装调试记录和验收文件，并列出交货清单，作为甲方收货验收和使用的技术条件依据，检验的结果应随货物交甲方。经甲方确认后，组织乙方进行系统</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验收</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（必要时甲方可委托具有相关资质的第三方检测机构/技术专家对产品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进行系统验收，由此产生的相关费用由乙方承担，需要国家法定检验部门进行检验或验收的由乙方负责联系）。验收合格后，填写政府</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采</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购项目覆约验收单（一式伍份）作为对产品/设备的最终认可。政府采购项目履约</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验收单</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（原件）送采购代理机构一份。</w:t>
      </w:r>
    </w:p>
    <w:p>
      <w:pPr>
        <w:keepNext w:val="0"/>
        <w:keepLines w:val="0"/>
        <w:pageBreakBefore w:val="0"/>
        <w:widowControl w:val="0"/>
        <w:shd w:val="clear" w:color="auto" w:fill="auto"/>
        <w:tabs>
          <w:tab w:val="left" w:pos="1428"/>
        </w:tabs>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bookmarkStart w:id="34" w:name="bookmark39"/>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w:t>
      </w:r>
      <w:bookmarkEnd w:id="34"/>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四）验收</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CN" w:bidi="zh-TW"/>
        </w:rPr>
        <w:t>依</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据</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5" w:name="bookmark4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1</w:t>
      </w:r>
      <w:bookmarkEnd w:id="3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、竞争性谈判文件、响应文件、澄清表（函）；</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6" w:name="bookmark4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2</w:t>
      </w:r>
      <w:bookmarkEnd w:id="3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、本合同及附件文本；</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7" w:name="bookmark4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3</w:t>
      </w:r>
      <w:bookmarkEnd w:id="3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、合同签订时国家及行业现行的标准和技术规范。</w:t>
      </w:r>
    </w:p>
    <w:p>
      <w:pPr>
        <w:keepNext w:val="0"/>
        <w:keepLines w:val="0"/>
        <w:pageBreakBefore w:val="0"/>
        <w:widowControl w:val="0"/>
        <w:shd w:val="clear" w:color="auto" w:fill="auto"/>
        <w:tabs>
          <w:tab w:val="left" w:pos="1410"/>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8" w:name="bookmark4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3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五）乙方应向甲方提交项目实施过程中的所有资料，以便甲方日后管理和维护。</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六</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必须符合</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竞争性谈判</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文件、采购合同以及国家规定的质量标准。</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基本要求</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1）货物为全新产品，无污染，无侵权行为、表面无划损、无任何缺陷隐患，在中国境内可依规安全合法使用。</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2）交付验收基本标准</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依次序对照适用标准为：①符合中华人民共和国国家安全质量标准、环保标准或行业标准；②符合采购文件和响应承诺中甲方认可的合理最佳配置、参数及各项要求；③货物来源国官方标准。上述标准必须是有关官方机构发布的最新版本的标准。</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3）验收由甲乙双方及相关人员依国家有关标准、合同及有关附件要求进行。乙方须为验收提供必需的相关条件及一切费用。</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4）技术资料</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begin"/>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instrText xml:space="preserve"> = 1 \* GB3 </w:instrTex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separate"/>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①</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end"/>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交货时，乙方应同时交付产品使用手册、质量检验证书（合格证）等相关资料。</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begin"/>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instrText xml:space="preserve"> = 2 \* GB3 </w:instrTex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separate"/>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②</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end"/>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验收后，乙方应向甲方提供验收报告。</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2、</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乙方必须保证提供全新的、完整的、安全可靠的产品。严禁提供旧货翻新或假冒伪劣产品或次品、残品。并且全部货物没有设计、材料或工艺上的缺陷。须提供厂家出具的合格证书、国家实行生产许可的应提交生产许可证，国家实行强制认证的应提交强制认证证书，国家实行计量检测认证的应提交计量检测体系合格证书。货物的技术参数及配置情况必须由乙方提供国家相关检测机构出具的检验报告、生产厂家公开发布的印刷资料等技术资料予以支持。</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九、售后服务</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乙方提供以下售后服务：</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质保期：</w:t>
      </w:r>
      <w:r>
        <w:rPr>
          <w:rFonts w:hint="eastAsia" w:ascii="宋体" w:hAnsi="宋体" w:eastAsia="宋体" w:cs="宋体"/>
          <w:color w:val="auto"/>
          <w:spacing w:val="0"/>
          <w:w w:val="100"/>
          <w:position w:val="0"/>
          <w:sz w:val="24"/>
          <w:szCs w:val="24"/>
          <w:highlight w:val="none"/>
          <w:u w:val="single"/>
          <w:shd w:val="clear" w:color="auto" w:fill="auto"/>
          <w:lang w:val="en-US" w:eastAsia="zh-CN" w:bidi="zh-CN"/>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，若该质量保证期小于国家标准，则以国家标准为准。产品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终身维修。</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en-US"/>
        </w:rPr>
        <w:t>一</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质保期内</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售后服务必须有保障，在规定或承诺时间范围内排除故障并解决问题，在节假日期间、售后放假休息时间、工休等期间需提前告知甲方或制定应急预案，但无论何种因素，乙方均必须保证售后服务及时，确保货物在免费质保期内正常使用。</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凡</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产品</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发生质量问题或出现其他故障，接到甲方通知后，服务响应时间不超过</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小时，</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小时内派专业维修人员到达现场，</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小时内排除故障。排除故障的期限最长不得超过两个工作日，若不能按期排除故障，乙方应能够提供</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其他设备</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代用，不得因此影响甲方正常工作。</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2</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免费提供每周</w:t>
      </w:r>
      <w:r>
        <w:rPr>
          <w:rFonts w:hint="eastAsia" w:ascii="宋体" w:hAnsi="宋体" w:eastAsia="宋体" w:cs="宋体"/>
          <w:color w:val="auto"/>
          <w:spacing w:val="0"/>
          <w:w w:val="100"/>
          <w:position w:val="0"/>
          <w:sz w:val="24"/>
          <w:szCs w:val="24"/>
          <w:highlight w:val="none"/>
          <w:u w:val="single"/>
          <w:shd w:val="clear" w:color="auto" w:fill="auto"/>
          <w:lang w:val="en-US" w:eastAsia="en-US" w:bidi="zh-TW"/>
        </w:rPr>
        <w:t>7x24</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小时不间断的电话支持服务,解答用户在使用过程中遇到的问题，及时提出解决问题的建议和对策。</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3</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、定期派专业维修人员到现场走访，给予检查维护。并向甲方提供巡检单（一式两份，由双方签字确认），内容包含但不限于巡检时间、巡检内容、巡检结果。</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9" w:name="bookmark5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3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二）质保期满后</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乙方应保证</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对</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货物终身维修，维修时只收取部件成本费（免工时费），当发生故障时，乙方应按质保期内相同的服务标准进行维护处理。</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十、</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技术</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与服务</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0" w:name="bookmark5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一）技术资料</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合格证；</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1" w:name="bookmark5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2</w:t>
      </w:r>
      <w:bookmarkEnd w:id="4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技术参数；</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2" w:name="bookmark5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3</w:t>
      </w:r>
      <w:bookmarkEnd w:id="4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使用维护说明书；</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3" w:name="bookmark57"/>
      <w:r>
        <w:rPr>
          <w:rFonts w:hint="eastAsia" w:ascii="宋体" w:hAnsi="宋体" w:eastAsia="宋体" w:cs="宋体"/>
          <w:color w:val="auto"/>
          <w:spacing w:val="0"/>
          <w:w w:val="100"/>
          <w:position w:val="0"/>
          <w:sz w:val="24"/>
          <w:szCs w:val="24"/>
          <w:highlight w:val="none"/>
          <w:u w:val="none"/>
          <w:shd w:val="clear" w:color="auto" w:fill="auto"/>
          <w:lang w:val="en-US" w:eastAsia="zh-CN" w:bidi="zh-TW"/>
        </w:rPr>
        <w:t>4、</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乙方按产生文件规定的时间向甲方提供使用货物的有关技术资料。</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5、</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没有甲方事先书面同意，乙方不得将由甲方提供的有关合同或任何合同条文、规格、计划、图纸、样品或资料提供给与履行本合同无关的任何其他人。</w:t>
      </w:r>
    </w:p>
    <w:bookmarkEnd w:id="43"/>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6</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、其它资料。</w:t>
      </w:r>
    </w:p>
    <w:p>
      <w:pPr>
        <w:keepNext w:val="0"/>
        <w:keepLines w:val="0"/>
        <w:pageBreakBefore w:val="0"/>
        <w:widowControl w:val="0"/>
        <w:shd w:val="clear" w:color="auto" w:fill="auto"/>
        <w:tabs>
          <w:tab w:val="left" w:pos="140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4" w:name="bookmark5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4"/>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二）服务承诺</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以响应文件、澄清表（函）、合同和随产品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的相关文件为准。</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5" w:name="bookmark5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三）服务要求</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所有设备均由乙方送货至甲方指定的交货地点并安装调试好，安装调试应以本需求书要求的技术参数指标为标准。</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2、</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所有货物交货后的拆箱、安装、调试等项工作(包括其费用)由乙方负责，但必须在用户指定人员的参与下进行。调试的原始记录需经各方签字后作为验收的文件之一。</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3、</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乙方应提供包括但不限于满足设备安装、使用和维护的技术文件。</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4、</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应按出厂标准及国家有关要求进行包装及运输。</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en-US" w:eastAsia="zh-CN" w:bidi="en-US"/>
        </w:rPr>
        <w:t>十一、违约</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责任</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en-US"/>
        </w:rPr>
        <w:t>一</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合同中未约定的，按《民法典》中的相关条款执行。</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（二）未按合同要求提供产品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或产品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质量不能满足合同要求，甲方应当将乙方违约的情况以及拟采取的措施以书面形式报政府</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采</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购监管部门，根据政府采购监管部门的处理意见，甲方有权</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依</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据《民法典》有关条款及合同约定解除合同，乙方应向甲方支付合同总价款</w:t>
      </w:r>
      <w:r>
        <w:rPr>
          <w:rFonts w:hint="eastAsia" w:ascii="宋体" w:hAnsi="宋体" w:eastAsia="宋体" w:cs="宋体"/>
          <w:color w:val="auto"/>
          <w:spacing w:val="0"/>
          <w:w w:val="100"/>
          <w:position w:val="0"/>
          <w:sz w:val="24"/>
          <w:szCs w:val="24"/>
          <w:highlight w:val="none"/>
          <w:u w:val="single"/>
          <w:shd w:val="clear" w:color="auto" w:fill="auto"/>
          <w:lang w:val="en-US" w:eastAsia="zh-CN" w:bidi="zh-CN"/>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％的违约金。同时，政府采购监管部门有权</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依</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据《政府采购法》及相关法律法规对乙方的违法行为进行相应的处罚。</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6" w:name="bookmark6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三）乙方逾期交付产品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的（包括返修、更换、补交等），应当自逾期之日起每日按逾期交付部分价款总额的</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%向甲方支付违约金。若因乙方原因逾期交货超过</w:t>
      </w:r>
    </w:p>
    <w:p>
      <w:pPr>
        <w:keepNext w:val="0"/>
        <w:keepLines w:val="0"/>
        <w:pageBreakBefore w:val="0"/>
        <w:widowControl w:val="0"/>
        <w:shd w:val="clear" w:color="auto" w:fill="auto"/>
        <w:tabs>
          <w:tab w:val="left" w:pos="1448"/>
          <w:tab w:val="left" w:pos="3629"/>
          <w:tab w:val="left" w:pos="6144"/>
        </w:tabs>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single"/>
          <w:shd w:val="clear" w:color="auto" w:fill="auto"/>
          <w:lang w:val="en-US" w:eastAsia="zh-CN" w:bidi="zh-CN"/>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天的，甲方有权拒收并解除本合同，且乙方应向甲方支付合同总价款</w:t>
      </w:r>
      <w:r>
        <w:rPr>
          <w:rFonts w:hint="eastAsia" w:ascii="宋体" w:hAnsi="宋体" w:eastAsia="宋体" w:cs="宋体"/>
          <w:color w:val="auto"/>
          <w:spacing w:val="0"/>
          <w:w w:val="100"/>
          <w:position w:val="0"/>
          <w:sz w:val="24"/>
          <w:szCs w:val="24"/>
          <w:highlight w:val="none"/>
          <w:u w:val="single"/>
          <w:shd w:val="clear" w:color="auto" w:fill="auto"/>
          <w:lang w:val="zh-TW" w:eastAsia="zh-TW" w:bidi="zh-TW"/>
        </w:rPr>
        <w:tab/>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%的违约金。</w:t>
      </w:r>
    </w:p>
    <w:p>
      <w:pPr>
        <w:keepNext w:val="0"/>
        <w:keepLines w:val="0"/>
        <w:pageBreakBefore w:val="0"/>
        <w:widowControl w:val="0"/>
        <w:shd w:val="clear" w:color="auto" w:fill="auto"/>
        <w:tabs>
          <w:tab w:val="left" w:pos="144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7" w:name="bookmark6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7"/>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四</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）如乙方所交的产品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经甲方验收不符合合同约定或规定标准的，甲方有权拒收，乙方应当在甲方指定期限内更换，由此导致乙方逾期交货的，乙方还应承担逾期交货的违约责任。</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8" w:name="bookmark6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8"/>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五</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）本合同中各条款约定的违约金可自甲方未支付款项中直接扣除，违约金若不能弥补甲方损失的，乙方还应赔偿甲方损失。</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十二、</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争议解决</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9" w:name="bookmark6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一）本合同在履行过程中发生的争议，由甲、乙双方当事人协商解决，协商不成的按下列第</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2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种方式解决：</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0" w:name="bookmark6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1</w:t>
      </w:r>
      <w:bookmarkEnd w:id="5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、提交西安仲裁委员会仲裁；</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1" w:name="bookmark67"/>
      <w:bookmarkEnd w:id="51"/>
      <w:r>
        <w:rPr>
          <w:rFonts w:hint="eastAsia" w:ascii="宋体" w:hAnsi="宋体" w:eastAsia="宋体" w:cs="宋体"/>
          <w:color w:val="auto"/>
          <w:spacing w:val="0"/>
          <w:w w:val="100"/>
          <w:position w:val="0"/>
          <w:sz w:val="24"/>
          <w:szCs w:val="24"/>
          <w:highlight w:val="none"/>
          <w:u w:val="none"/>
          <w:shd w:val="clear" w:color="auto" w:fill="auto"/>
          <w:lang w:val="en-US" w:eastAsia="zh-CN" w:bidi="zh-TW"/>
        </w:rPr>
        <w:t>2、</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依</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法向甲方所在地人民法院起诉。</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2" w:name="bookmark6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5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二）本条款为独立条款，本合同的无效、变更、解除和终止均不影响本条款的效力。</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pPr>
      <w:r>
        <w:rPr>
          <w:rFonts w:hint="eastAsia" w:ascii="宋体" w:hAnsi="宋体" w:eastAsia="宋体" w:cs="宋体"/>
          <w:b/>
          <w:bCs/>
          <w:color w:val="auto"/>
          <w:spacing w:val="0"/>
          <w:w w:val="100"/>
          <w:kern w:val="0"/>
          <w:position w:val="0"/>
          <w:sz w:val="24"/>
          <w:szCs w:val="24"/>
          <w:highlight w:val="none"/>
          <w:u w:val="none"/>
          <w:shd w:val="clear" w:color="auto" w:fill="auto"/>
          <w:lang w:val="zh-TW" w:eastAsia="zh-TW" w:bidi="zh-TW"/>
        </w:rPr>
        <w:t>十</w:t>
      </w:r>
      <w:r>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t>三</w:t>
      </w:r>
      <w:r>
        <w:rPr>
          <w:rFonts w:hint="eastAsia" w:ascii="宋体" w:hAnsi="宋体" w:eastAsia="宋体" w:cs="宋体"/>
          <w:b/>
          <w:bCs/>
          <w:color w:val="auto"/>
          <w:spacing w:val="0"/>
          <w:w w:val="100"/>
          <w:kern w:val="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t>合同纠纷处理</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因本合同或与本合同有关的一切事项发生争议，由双方友好协商解决。协商不成的，向</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甲方所在地</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人民法院提起诉讼。</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因一方违约致使本合同的履行产生争议，守约方为解决争议所产生的公证费、律师费、保险公司出具保全费用、翻译费、通讯费、差旅费、文印费等合理费用由违约方负担。双方相互违约，有履约先后顺序的，负先履行义务一方负担所有争议解决费用；无履约先后顺序的，争议解决费用双方自行承担。</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kern w:val="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t>十四、</w:t>
      </w:r>
      <w:r>
        <w:rPr>
          <w:rFonts w:hint="eastAsia" w:ascii="宋体" w:hAnsi="宋体" w:eastAsia="宋体" w:cs="宋体"/>
          <w:b/>
          <w:bCs/>
          <w:color w:val="auto"/>
          <w:spacing w:val="0"/>
          <w:w w:val="100"/>
          <w:kern w:val="0"/>
          <w:position w:val="0"/>
          <w:sz w:val="24"/>
          <w:szCs w:val="24"/>
          <w:highlight w:val="none"/>
          <w:u w:val="none"/>
          <w:shd w:val="clear" w:color="auto" w:fill="auto"/>
          <w:lang w:val="zh-TW" w:eastAsia="zh-TW" w:bidi="zh-TW"/>
        </w:rPr>
        <w:t>违约解除合同</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在乙方违约的情况下，甲方可向乙方发出书面通知，部分或全部终止合同，同时保留向对方追诉的权利。</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乙方未能在合同规定的限期或甲方同意延长的限期内提供全部或部分货物，</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甲方</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可以解除合同的。</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乙方有转让和未经甲方同意的分包行为，可以解除合同的。</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乙方未能履行合同规定的其它主要义务的。</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在本合同履行过程中有腐败和欺诈行为的。</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全部或部分解除合同之后，应当遵循诚实信用原则，全部或部分购买与未交付的货物类似的货物或服务，乙方应承担甲方购买类似货物或服务而产生的额外支出。部分解除合同的，乙方应继续履行合同中未解除的部分。</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pPr>
      <w:r>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t>十五、索赔</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 如果货物的质量、规格、数量、重量等与合同不符，或在质保期内证实货物存有缺陷，包括潜在的缺陷或使用不符合要求的材料等，甲方有权根据有资质的权威质检机构的检验结果向乙方提出索赔(但责任应由保险公司或运输部门承担的除外)。</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在根据合同规定的检验期和质保期内，如果乙方对甲方提出的索赔负有责任，乙方应按照甲方同意的下列一种或多种方式解决索赔事宜：</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甲方将货物款退还给乙方，乙方按合同规定将货款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根据货物低劣程度、损坏程度以及甲方所遭受损失的数额，经双方商定降低货物的价格，或由有权的部门评估，以降低后的价格或评估价格为准。</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用符合规格、质量和性能要求的新零件、部件或货物来更换有缺陷的部分或修补缺陷部分，乙方承担一切费用和风险并负担甲方所发生的一切直接费用。同时，乙方应相应延长修补或更换件的免费质保期。</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如果在甲方发出索赔通知后</w:t>
      </w:r>
      <w:r>
        <w:rPr>
          <w:rFonts w:hint="eastAsia" w:ascii="宋体" w:hAnsi="宋体" w:eastAsia="宋体" w:cs="宋体"/>
          <w:color w:val="auto"/>
          <w:spacing w:val="0"/>
          <w:w w:val="100"/>
          <w:position w:val="0"/>
          <w:sz w:val="24"/>
          <w:szCs w:val="24"/>
          <w:highlight w:val="none"/>
          <w:u w:val="single"/>
          <w:shd w:val="clear" w:color="auto" w:fill="auto"/>
          <w:lang w:val="zh-TW"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日内，乙方未作答复，上述索赔应视为已被乙方接受。如乙方未能在甲方提出索赔通知后</w:t>
      </w:r>
      <w:r>
        <w:rPr>
          <w:rFonts w:hint="eastAsia" w:ascii="宋体" w:hAnsi="宋体" w:eastAsia="宋体" w:cs="宋体"/>
          <w:color w:val="auto"/>
          <w:spacing w:val="0"/>
          <w:w w:val="100"/>
          <w:position w:val="0"/>
          <w:sz w:val="24"/>
          <w:szCs w:val="24"/>
          <w:highlight w:val="none"/>
          <w:u w:val="single"/>
          <w:shd w:val="clear" w:color="auto" w:fill="auto"/>
          <w:lang w:val="zh-TW"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日内或买方同意的更长时间内，按照本合同规定的任何一种方法解决索赔事宜，甲方将从合同款中扣回索赔金额。如果这些金额不足以补偿索赔金额，甲方有权向乙方提出不足部分的补偿。</w:t>
      </w:r>
    </w:p>
    <w:p>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十</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六</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关于送达</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的约定</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en-US"/>
        </w:rPr>
        <w:t>一</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本合同项下甲乙双方任何一方向对方发出的通知、信件、数据电文等，应当发送至本合同下列约定的地址、联系人和通信终端。</w:t>
      </w:r>
    </w:p>
    <w:p>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甲方联系人：</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联系电话：</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联系地址：</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邮编</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vertAlign w:val="subscript"/>
          <w:lang w:val="en-US" w:eastAsia="en-US" w:bidi="en-US"/>
        </w:rPr>
        <w:t>o</w:t>
      </w:r>
    </w:p>
    <w:p>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甲方（</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sym w:font="Wingdings 2" w:char="00A3"/>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同意</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sym w:font="Wingdings 2" w:char="00A3"/>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不同意）接受电子文件送达，电子终端信息如下：</w:t>
      </w:r>
    </w:p>
    <w:p>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移动电话：</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传真：</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微信号：</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电子邮箱：</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乙方联系人：</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联系电话：</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联系地址：</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邮编：</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vertAlign w:val="subscript"/>
          <w:lang w:val="en-US" w:eastAsia="en-US" w:bidi="en-US"/>
        </w:rPr>
        <w:t>o</w:t>
      </w:r>
    </w:p>
    <w:p>
      <w:pPr>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乙方（□同意□不同意）接受电子文件送达，电子终端信息如下：</w:t>
      </w:r>
    </w:p>
    <w:p>
      <w:pPr>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移动电话：</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传真：</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微信号：</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电子邮箱：</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（二）各种通讯方式应当按照下列方式确定其送达时间：</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3" w:name="bookmark6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1</w:t>
      </w:r>
      <w:bookmarkEnd w:id="5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、面呈之通知在被通知人签收时视为送达，被通知人未签收的不得视为有效的送达。</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4" w:name="bookmark7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2</w:t>
      </w:r>
      <w:bookmarkEnd w:id="54"/>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、以邮寄方式进行的通知均应采用邮政挂号快件或特快专递的方式进行，自信件交邮后的第7日视为送达。</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5" w:name="bookmark7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3</w:t>
      </w:r>
      <w:bookmarkEnd w:id="5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、发出的短信/传真/微信/电子邮件，自前述电子文件内容在发送方正确填写地址且未被系统退回的情况下，视为进入对方数据电文接收系统即视为送达。若送达日为非工作日，则视为在下一工作日送达。</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6" w:name="bookmark7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4</w:t>
      </w:r>
      <w:bookmarkEnd w:id="5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、一方当事人变更名称、地址、联系人或通信终端的，应当在变更后3日内及时书面通知对方当事人，对方当事人实际收到变更通知前的送达仍为有效送达，电子送达与书面送达具有同等法律效力。</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十</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七</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、合同变更</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十</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八</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、合同</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生效</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本合同一式</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份，甲方持</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份，乙方持</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份，本合同甲、乙各方签字并盖章后生效，合同执行完毕后，自动失效（合同的服务承诺则长期有效）。</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十九、</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其他事项</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7" w:name="bookmark7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5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一）鉴证方作为</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社会</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采购代理机构对合同进行确认。</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8" w:name="bookmark74"/>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5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二）西安市碑林区财政局在合同的履行期间以及履行期后，可以随时检查项目的执行情况，对采购标准、</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采</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购内容进行调查核实，并对发现的问题进行处理。</w:t>
      </w:r>
      <w:bookmarkStart w:id="59" w:name="bookmark75"/>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5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三）竞争性谈判文件、响应文件、澄清表（函）、成交通知书、合同附件均成为合同不可分割的部分。</w:t>
      </w:r>
    </w:p>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0" w:line="360" w:lineRule="auto"/>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60" w:name="bookmark7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6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四）不可抗力事件处理</w:t>
      </w:r>
    </w:p>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0" w:line="360" w:lineRule="auto"/>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甲乙双方因不可抗力导致本合同全部或部分不能履行时，发生不可抗力的一方应当在不可抗力发生后</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天内书面通知对方，以减轻可能给对方造成的损失。因不可抗力导致本合同全部或部分不能履行时，双方各自承担其因此而造成的损失、损害。</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2）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3）本合同中的不可抗力指不能预见、不能避免并不能克服的客观情况。包括但不限于：自然灾害如地震、台风、洪水、火灾；政府行为、法律规定或其适用的变化或者其他任何无法预见、避免或者控制的事件。</w:t>
      </w:r>
    </w:p>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360" w:lineRule="auto"/>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61" w:name="bookmark7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6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五）合同未尽事宜，由甲、乙双方协商并经鉴证方确认后签订政府采购补充合同，与原合同具有同等法律效力。</w:t>
      </w:r>
    </w:p>
    <w:p>
      <w:pPr>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br w:type="page"/>
      </w:r>
    </w:p>
    <w:p>
      <w:pPr>
        <w:pStyle w:val="4"/>
        <w:rPr>
          <w:rFonts w:hint="eastAsia" w:ascii="宋体" w:hAnsi="宋体" w:eastAsia="宋体" w:cs="宋体"/>
          <w:sz w:val="24"/>
          <w:szCs w:val="24"/>
          <w:lang w:val="zh-TW" w:eastAsia="zh-CN"/>
        </w:rPr>
      </w:pP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本页无正文</w:t>
      </w:r>
      <w:r>
        <w:rPr>
          <w:rFonts w:hint="eastAsia" w:ascii="宋体" w:hAnsi="宋体" w:eastAsia="宋体" w:cs="宋体"/>
          <w:sz w:val="24"/>
          <w:szCs w:val="24"/>
          <w:lang w:val="zh-TW" w:eastAsia="zh-CN"/>
        </w:rPr>
        <w:t>）</w:t>
      </w:r>
    </w:p>
    <w:tbl>
      <w:tblPr>
        <w:tblStyle w:val="5"/>
        <w:tblW w:w="8379" w:type="dxa"/>
        <w:jc w:val="center"/>
        <w:tblLayout w:type="fixed"/>
        <w:tblCellMar>
          <w:top w:w="0" w:type="dxa"/>
          <w:left w:w="10" w:type="dxa"/>
          <w:bottom w:w="0" w:type="dxa"/>
          <w:right w:w="10" w:type="dxa"/>
        </w:tblCellMar>
      </w:tblPr>
      <w:tblGrid>
        <w:gridCol w:w="2688"/>
        <w:gridCol w:w="2700"/>
        <w:gridCol w:w="2991"/>
      </w:tblGrid>
      <w:tr>
        <w:tblPrEx>
          <w:tblCellMar>
            <w:top w:w="0" w:type="dxa"/>
            <w:left w:w="10" w:type="dxa"/>
            <w:bottom w:w="0" w:type="dxa"/>
            <w:right w:w="10" w:type="dxa"/>
          </w:tblCellMar>
        </w:tblPrEx>
        <w:trPr>
          <w:trHeight w:val="535"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甲方</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960" w:firstLineChars="4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w:t>
            </w:r>
          </w:p>
        </w:tc>
        <w:tc>
          <w:tcPr>
            <w:tcW w:w="2991"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1200" w:firstLineChars="5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鉴证方</w:t>
            </w:r>
          </w:p>
        </w:tc>
      </w:tr>
      <w:tr>
        <w:tblPrEx>
          <w:tblCellMar>
            <w:top w:w="0" w:type="dxa"/>
            <w:left w:w="10" w:type="dxa"/>
            <w:bottom w:w="0" w:type="dxa"/>
            <w:right w:w="10" w:type="dxa"/>
          </w:tblCellMar>
        </w:tblPrEx>
        <w:trPr>
          <w:trHeight w:val="554"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采购人名称</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供应商全称</w:t>
            </w:r>
          </w:p>
        </w:tc>
        <w:tc>
          <w:tcPr>
            <w:tcW w:w="2991" w:type="dxa"/>
            <w:tcBorders>
              <w:top w:val="single" w:color="auto" w:sz="4" w:space="0"/>
              <w:left w:val="single" w:color="auto" w:sz="4" w:space="0"/>
              <w:bottom w:val="nil"/>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720" w:firstLineChars="3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采购代理机构</w:t>
            </w:r>
          </w:p>
        </w:tc>
      </w:tr>
      <w:tr>
        <w:tblPrEx>
          <w:tblCellMar>
            <w:top w:w="0" w:type="dxa"/>
            <w:left w:w="10" w:type="dxa"/>
            <w:bottom w:w="0" w:type="dxa"/>
            <w:right w:w="10" w:type="dxa"/>
          </w:tblCellMar>
        </w:tblPrEx>
        <w:trPr>
          <w:trHeight w:val="859" w:hRule="exact"/>
          <w:jc w:val="center"/>
        </w:trPr>
        <w:tc>
          <w:tcPr>
            <w:tcW w:w="2688" w:type="dxa"/>
            <w:tcBorders>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700" w:type="dxa"/>
            <w:tcBorders>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991" w:type="dxa"/>
            <w:tcBorders>
              <w:top w:val="nil"/>
              <w:left w:val="single" w:color="auto" w:sz="4" w:space="0"/>
              <w:bottom w:val="nil"/>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陕西四方衡裕项目管理有限公司</w:t>
            </w:r>
          </w:p>
        </w:tc>
      </w:tr>
      <w:tr>
        <w:tblPrEx>
          <w:tblCellMar>
            <w:top w:w="0" w:type="dxa"/>
            <w:left w:w="10" w:type="dxa"/>
            <w:bottom w:w="0" w:type="dxa"/>
            <w:right w:w="10" w:type="dxa"/>
          </w:tblCellMar>
        </w:tblPrEx>
        <w:trPr>
          <w:trHeight w:val="432" w:hRule="exact"/>
          <w:jc w:val="center"/>
        </w:trPr>
        <w:tc>
          <w:tcPr>
            <w:tcW w:w="2688" w:type="dxa"/>
            <w:tcBorders>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（盖章）</w:t>
            </w:r>
          </w:p>
        </w:tc>
        <w:tc>
          <w:tcPr>
            <w:tcW w:w="2700" w:type="dxa"/>
            <w:tcBorders>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（盖章）</w:t>
            </w:r>
          </w:p>
        </w:tc>
        <w:tc>
          <w:tcPr>
            <w:tcW w:w="2991" w:type="dxa"/>
            <w:tcBorders>
              <w:top w:val="nil"/>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（盖章）</w:t>
            </w:r>
          </w:p>
        </w:tc>
      </w:tr>
      <w:tr>
        <w:tblPrEx>
          <w:tblCellMar>
            <w:top w:w="0" w:type="dxa"/>
            <w:left w:w="10" w:type="dxa"/>
            <w:bottom w:w="0" w:type="dxa"/>
            <w:right w:w="10" w:type="dxa"/>
          </w:tblCellMar>
        </w:tblPrEx>
        <w:trPr>
          <w:trHeight w:val="930" w:hRule="exact"/>
          <w:jc w:val="center"/>
        </w:trPr>
        <w:tc>
          <w:tcPr>
            <w:tcW w:w="2688" w:type="dxa"/>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地址：</w:t>
            </w:r>
          </w:p>
        </w:tc>
        <w:tc>
          <w:tcPr>
            <w:tcW w:w="2700" w:type="dxa"/>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地址：</w:t>
            </w:r>
          </w:p>
        </w:tc>
        <w:tc>
          <w:tcPr>
            <w:tcW w:w="299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地址：</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ab/>
            </w:r>
          </w:p>
        </w:tc>
      </w:tr>
      <w:tr>
        <w:tblPrEx>
          <w:tblCellMar>
            <w:top w:w="0" w:type="dxa"/>
            <w:left w:w="10" w:type="dxa"/>
            <w:bottom w:w="0" w:type="dxa"/>
            <w:right w:w="10" w:type="dxa"/>
          </w:tblCellMar>
        </w:tblPrEx>
        <w:trPr>
          <w:trHeight w:val="720"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邮编：</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邮编：</w:t>
            </w:r>
          </w:p>
        </w:tc>
        <w:tc>
          <w:tcPr>
            <w:tcW w:w="2991" w:type="dxa"/>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邮编：</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ab/>
            </w:r>
          </w:p>
        </w:tc>
      </w:tr>
      <w:tr>
        <w:tblPrEx>
          <w:tblCellMar>
            <w:top w:w="0" w:type="dxa"/>
            <w:left w:w="10" w:type="dxa"/>
            <w:bottom w:w="0" w:type="dxa"/>
            <w:right w:w="10" w:type="dxa"/>
          </w:tblCellMar>
        </w:tblPrEx>
        <w:trPr>
          <w:trHeight w:val="711"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法定代表人：</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法定代表人：</w:t>
            </w:r>
          </w:p>
        </w:tc>
        <w:tc>
          <w:tcPr>
            <w:tcW w:w="2991" w:type="dxa"/>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leftChars="0" w:right="0" w:rightChars="0" w:firstLine="480" w:firstLineChars="200"/>
              <w:jc w:val="both"/>
              <w:textAlignment w:val="auto"/>
              <w:rPr>
                <w:rFonts w:hint="eastAsia" w:ascii="宋体" w:hAnsi="宋体" w:eastAsia="宋体" w:cs="宋体"/>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承办人（签字）:</w:t>
            </w:r>
          </w:p>
        </w:tc>
      </w:tr>
      <w:tr>
        <w:tblPrEx>
          <w:tblCellMar>
            <w:top w:w="0" w:type="dxa"/>
            <w:left w:w="10" w:type="dxa"/>
            <w:bottom w:w="0" w:type="dxa"/>
            <w:right w:w="10" w:type="dxa"/>
          </w:tblCellMar>
        </w:tblPrEx>
        <w:trPr>
          <w:trHeight w:val="711" w:hRule="exact"/>
          <w:jc w:val="center"/>
        </w:trPr>
        <w:tc>
          <w:tcPr>
            <w:tcW w:w="2688" w:type="dxa"/>
            <w:tcBorders>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700" w:type="dxa"/>
            <w:tcBorders>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991" w:type="dxa"/>
            <w:tcBorders>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leftChars="0" w:right="0" w:rightChars="0" w:firstLine="480" w:firstLineChars="200"/>
              <w:jc w:val="both"/>
              <w:textAlignment w:val="auto"/>
              <w:rPr>
                <w:rFonts w:hint="eastAsia" w:ascii="宋体" w:hAnsi="宋体" w:eastAsia="宋体" w:cs="宋体"/>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电话：</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ab/>
            </w:r>
          </w:p>
        </w:tc>
      </w:tr>
      <w:tr>
        <w:tblPrEx>
          <w:tblCellMar>
            <w:top w:w="0" w:type="dxa"/>
            <w:left w:w="10" w:type="dxa"/>
            <w:bottom w:w="0" w:type="dxa"/>
            <w:right w:w="10" w:type="dxa"/>
          </w:tblCellMar>
        </w:tblPrEx>
        <w:trPr>
          <w:trHeight w:val="730"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被授权代表：（签字）</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被授权代表：（签字）</w:t>
            </w:r>
          </w:p>
        </w:tc>
        <w:tc>
          <w:tcPr>
            <w:tcW w:w="299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leftChars="0" w:right="0" w:rightChars="0" w:firstLine="480" w:firstLineChars="200"/>
              <w:jc w:val="both"/>
              <w:textAlignment w:val="auto"/>
              <w:rPr>
                <w:rFonts w:hint="eastAsia" w:ascii="宋体" w:hAnsi="宋体" w:eastAsia="宋体" w:cs="宋体"/>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传真：</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ab/>
            </w:r>
          </w:p>
        </w:tc>
      </w:tr>
      <w:tr>
        <w:tblPrEx>
          <w:tblCellMar>
            <w:top w:w="0" w:type="dxa"/>
            <w:left w:w="10" w:type="dxa"/>
            <w:bottom w:w="0" w:type="dxa"/>
            <w:right w:w="10" w:type="dxa"/>
          </w:tblCellMar>
        </w:tblPrEx>
        <w:trPr>
          <w:trHeight w:val="711"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电话：</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电话：</w:t>
            </w:r>
          </w:p>
        </w:tc>
        <w:tc>
          <w:tcPr>
            <w:tcW w:w="2991" w:type="dxa"/>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r>
      <w:tr>
        <w:tblPrEx>
          <w:tblCellMar>
            <w:top w:w="0" w:type="dxa"/>
            <w:left w:w="10" w:type="dxa"/>
            <w:bottom w:w="0" w:type="dxa"/>
            <w:right w:w="10" w:type="dxa"/>
          </w:tblCellMar>
        </w:tblPrEx>
        <w:trPr>
          <w:trHeight w:val="720"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传真：</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传真：</w:t>
            </w:r>
          </w:p>
        </w:tc>
        <w:tc>
          <w:tcPr>
            <w:tcW w:w="299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r>
      <w:tr>
        <w:tblPrEx>
          <w:tblCellMar>
            <w:top w:w="0" w:type="dxa"/>
            <w:left w:w="10" w:type="dxa"/>
            <w:bottom w:w="0" w:type="dxa"/>
            <w:right w:w="10" w:type="dxa"/>
          </w:tblCellMar>
        </w:tblPrEx>
        <w:trPr>
          <w:trHeight w:val="720" w:hRule="exact"/>
          <w:jc w:val="center"/>
        </w:trPr>
        <w:tc>
          <w:tcPr>
            <w:tcW w:w="2688" w:type="dxa"/>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开户银行：</w:t>
            </w:r>
          </w:p>
        </w:tc>
        <w:tc>
          <w:tcPr>
            <w:tcW w:w="299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r>
      <w:tr>
        <w:tblPrEx>
          <w:tblCellMar>
            <w:top w:w="0" w:type="dxa"/>
            <w:left w:w="10" w:type="dxa"/>
            <w:bottom w:w="0" w:type="dxa"/>
            <w:right w:w="10" w:type="dxa"/>
          </w:tblCellMar>
        </w:tblPrEx>
        <w:trPr>
          <w:trHeight w:val="711" w:hRule="exact"/>
          <w:jc w:val="center"/>
        </w:trPr>
        <w:tc>
          <w:tcPr>
            <w:tcW w:w="2688" w:type="dxa"/>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帐号：</w:t>
            </w:r>
          </w:p>
        </w:tc>
        <w:tc>
          <w:tcPr>
            <w:tcW w:w="299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r>
      <w:tr>
        <w:tblPrEx>
          <w:tblCellMar>
            <w:top w:w="0" w:type="dxa"/>
            <w:left w:w="10" w:type="dxa"/>
            <w:bottom w:w="0" w:type="dxa"/>
            <w:right w:w="10" w:type="dxa"/>
          </w:tblCellMar>
        </w:tblPrEx>
        <w:trPr>
          <w:trHeight w:val="776" w:hRule="exact"/>
          <w:jc w:val="center"/>
        </w:trPr>
        <w:tc>
          <w:tcPr>
            <w:tcW w:w="268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日期：  年  月   日</w:t>
            </w:r>
          </w:p>
        </w:tc>
        <w:tc>
          <w:tcPr>
            <w:tcW w:w="270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日期：  年  月  日</w:t>
            </w:r>
          </w:p>
        </w:tc>
        <w:tc>
          <w:tcPr>
            <w:tcW w:w="299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日期：    年   月   日</w:t>
            </w:r>
          </w:p>
        </w:tc>
      </w:tr>
    </w:tbl>
    <w:p>
      <w:pPr>
        <w:rPr>
          <w:rFonts w:hint="eastAsia" w:ascii="宋体" w:hAnsi="宋体" w:eastAsia="宋体" w:cs="宋体"/>
        </w:rPr>
      </w:pPr>
      <w:bookmarkStart w:id="62" w:name="_GoBack"/>
      <w:bookmarkEnd w:id="6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2A88BD"/>
    <w:multiLevelType w:val="multilevel"/>
    <w:tmpl w:val="3D2A88BD"/>
    <w:lvl w:ilvl="0" w:tentative="0">
      <w:start w:val="1"/>
      <w:numFmt w:val="chineseCounting"/>
      <w:pStyle w:val="3"/>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71E2049A"/>
    <w:rsid w:val="71E20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eastAsia="楷体" w:asciiTheme="minorHAnsi" w:hAnsiTheme="minorHAnsi" w:cstheme="minorBidi"/>
      <w:kern w:val="2"/>
      <w:sz w:val="24"/>
      <w:szCs w:val="24"/>
      <w:lang w:val="en-US" w:eastAsia="zh-CN" w:bidi="ar-SA"/>
    </w:rPr>
  </w:style>
  <w:style w:type="paragraph" w:styleId="3">
    <w:name w:val="heading 1"/>
    <w:basedOn w:val="1"/>
    <w:next w:val="1"/>
    <w:qFormat/>
    <w:uiPriority w:val="0"/>
    <w:pPr>
      <w:keepNext/>
      <w:keepLines/>
      <w:numPr>
        <w:ilvl w:val="0"/>
        <w:numId w:val="1"/>
      </w:numPr>
      <w:spacing w:before="340" w:after="330" w:line="576" w:lineRule="auto"/>
      <w:ind w:firstLine="0" w:firstLineChars="0"/>
      <w:jc w:val="center"/>
      <w:outlineLvl w:val="0"/>
    </w:pPr>
    <w:rPr>
      <w:b/>
      <w:kern w:val="44"/>
      <w:sz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 w:type="paragraph" w:styleId="4">
    <w:name w:val="Body Text First Indent"/>
    <w:basedOn w:val="2"/>
    <w:unhideWhenUsed/>
    <w:qFormat/>
    <w:uiPriority w:val="99"/>
    <w:pPr>
      <w:spacing w:after="120" w:line="240" w:lineRule="auto"/>
      <w:ind w:firstLine="420" w:firstLineChars="100"/>
    </w:pPr>
    <w:rPr>
      <w:rFonts w:ascii="Times New Roman" w:hAnsi="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2023-08-01T05:53:00Z</dcterms:created>
  <dc:creator>囔囔</dc:creator>
  <cp:lastModifiedBy>囔囔</cp:lastModifiedBy>
  <dcterms:modified xsi:type="dcterms:W3CDTF">2023-08-01T05:57:50Z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4DEDC21298F941F295D54533EECC6C3B_11</vt:lpwstr>
  </property>
</Properties>
</file>