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32"/>
          <w:szCs w:val="32"/>
        </w:rPr>
        <w:t>方案说明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一、谈判供应商企业简介。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二、商务响应说明</w:t>
      </w:r>
      <w:r>
        <w:rPr>
          <w:rFonts w:hint="eastAsia" w:ascii="宋体" w:hAnsi="宋体" w:eastAsia="宋体" w:cs="宋体"/>
          <w:color w:val="000000"/>
          <w:sz w:val="24"/>
        </w:rPr>
        <w:t>（</w:t>
      </w:r>
      <w:r>
        <w:rPr>
          <w:rFonts w:hint="eastAsia" w:ascii="宋体" w:hAnsi="宋体" w:eastAsia="宋体" w:cs="宋体"/>
          <w:sz w:val="24"/>
        </w:rPr>
        <w:t>付款方式</w:t>
      </w:r>
      <w:r>
        <w:rPr>
          <w:rFonts w:hint="eastAsia" w:ascii="宋体" w:hAnsi="宋体" w:eastAsia="宋体" w:cs="宋体"/>
          <w:color w:val="auto"/>
          <w:sz w:val="24"/>
        </w:rPr>
        <w:t>、交货时间、地</w:t>
      </w:r>
      <w:r>
        <w:rPr>
          <w:rFonts w:hint="eastAsia" w:ascii="宋体" w:hAnsi="宋体" w:eastAsia="宋体" w:cs="宋体"/>
          <w:sz w:val="24"/>
        </w:rPr>
        <w:t>点、验收方式、售后服务）。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三、谈判供应商完成供货的组织机构、实施计划。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四、谈判供应商完成供货保障能力。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五、谈判响应产品（设备）的质量标准、检测标准（符合国家规定及行业标准）。</w:t>
      </w:r>
    </w:p>
    <w:p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六、谈判供应商认为有必要说明的问题。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1D7B390D"/>
    <w:rsid w:val="1D7B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2023-08-09T01:29:00Z</dcterms:created>
  <dc:creator>宝贝</dc:creator>
  <cp:lastModifiedBy>宝贝</cp:lastModifiedBy>
  <dcterms:modified xsi:type="dcterms:W3CDTF">2023-08-09T01:29:29Z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DC96FD8880684168876A0BF61C5D02FC_11</vt:lpwstr>
  </property>
</Properties>
</file>