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34" w:tblpY="373"/>
        <w:tblOverlap w:val="never"/>
        <w:tblW w:w="5247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9"/>
        <w:gridCol w:w="651"/>
        <w:gridCol w:w="1434"/>
        <w:gridCol w:w="1083"/>
        <w:gridCol w:w="3561"/>
        <w:gridCol w:w="139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</w:trPr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</w:rPr>
              <w:t>分项费用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</w:rPr>
              <w:t>序号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</w:rPr>
              <w:t>名称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</w:rPr>
              <w:t>品牌</w:t>
            </w:r>
          </w:p>
        </w:tc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</w:rPr>
              <w:t>型号或规格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</w:rPr>
              <w:t>数量</w:t>
            </w:r>
          </w:p>
        </w:tc>
      </w:tr>
      <w:tr>
        <w:trPr>
          <w:trHeight w:val="789" w:hRule="atLeast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智慧黑板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欧帝</w:t>
            </w:r>
          </w:p>
        </w:tc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DC860KH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25块</w:t>
            </w:r>
          </w:p>
        </w:tc>
      </w:tr>
      <w:tr>
        <w:trPr>
          <w:trHeight w:val="1538" w:hRule="atLeast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120" w:line="288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智慧教学软件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欧帝</w:t>
            </w:r>
          </w:p>
        </w:tc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白板7.0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0" w:hRule="atLeast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移动教学软件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欧帝</w:t>
            </w:r>
          </w:p>
        </w:tc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odinlinkV1.0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0" w:hRule="atLeast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集中控制管理平台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欧帝</w:t>
            </w:r>
          </w:p>
        </w:tc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集控V3.0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</w:tr>
      <w:tr>
        <w:trPr>
          <w:trHeight w:val="1050" w:hRule="atLeast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视频展台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欧帝</w:t>
            </w:r>
          </w:p>
        </w:tc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DC-ZT04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总报价：人民币捌拾捌万陆仟元整（¥886000.00元）；交货期：自合同签订之日起30个日历日完成全部项目内容，并交付采购人验收；质保期：终验合格后36个月。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jcwN2ZiODJhNjBiYWE0YWQyOGFlZGQ1NzRhYTAifQ=="/>
  </w:docVars>
  <w:rsids>
    <w:rsidRoot w:val="33B90418"/>
    <w:rsid w:val="33B9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customStyle="1" w:styleId="5">
    <w:name w:val="列表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2023-06-16T03:32:00Z</dcterms:created>
  <dc:creator>®</dc:creator>
  <cp:lastModifiedBy>®</cp:lastModifiedBy>
  <dcterms:modified xsi:type="dcterms:W3CDTF">2023-06-16T03:34:20Z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47C2F70DE93E4B1F8F181558A95A5135_11</vt:lpwstr>
  </property>
</Properties>
</file>