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210" w:after="210"/>
      </w:pPr>
      <w:r>
        <w:rPr>
          <w:rFonts w:hint="eastAsia"/>
        </w:rPr>
        <w:t>招标内容及要求</w:t>
      </w:r>
    </w:p>
    <w:p>
      <w:pPr>
        <w:pStyle w:val="7"/>
        <w:ind w:firstLine="0" w:firstLineChars="0"/>
        <w:rPr>
          <w:b/>
          <w:bCs/>
        </w:rPr>
      </w:pPr>
      <w:r>
        <w:rPr>
          <w:rFonts w:hint="eastAsia"/>
          <w:b/>
          <w:bCs/>
        </w:rPr>
        <w:t>一、项目概况</w:t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360" w:lineRule="auto"/>
        <w:ind w:left="0" w:leftChars="0" w:firstLine="480" w:firstLineChars="200"/>
        <w:jc w:val="left"/>
        <w:textAlignment w:val="auto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为</w:t>
      </w:r>
      <w:r>
        <w:rPr>
          <w:rFonts w:hint="eastAsia" w:ascii="宋体" w:hAnsi="宋体" w:eastAsia="宋体" w:cs="宋体"/>
          <w:sz w:val="24"/>
          <w:szCs w:val="24"/>
        </w:rPr>
        <w:t>满足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未央区看守所</w:t>
      </w:r>
      <w:r>
        <w:rPr>
          <w:rFonts w:hint="eastAsia" w:ascii="宋体" w:hAnsi="宋体" w:eastAsia="宋体" w:cs="宋体"/>
          <w:sz w:val="24"/>
          <w:szCs w:val="24"/>
        </w:rPr>
        <w:t>在押人员日常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食物</w:t>
      </w:r>
      <w:r>
        <w:rPr>
          <w:rFonts w:hint="eastAsia" w:ascii="宋体" w:hAnsi="宋体" w:eastAsia="宋体" w:cs="宋体"/>
          <w:sz w:val="24"/>
          <w:szCs w:val="24"/>
        </w:rPr>
        <w:t>供应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现采购一批食材</w:t>
      </w:r>
      <w:r>
        <w:rPr>
          <w:rFonts w:hint="eastAsia" w:ascii="宋体" w:hAnsi="宋体" w:eastAsia="宋体" w:cs="宋体"/>
          <w:sz w:val="24"/>
          <w:szCs w:val="24"/>
        </w:rPr>
        <w:t>。</w:t>
      </w:r>
    </w:p>
    <w:p>
      <w:pPr>
        <w:widowControl w:val="0"/>
        <w:topLinePunct/>
        <w:jc w:val="both"/>
      </w:pPr>
    </w:p>
    <w:p>
      <w:pPr>
        <w:pStyle w:val="4"/>
        <w:keepNext/>
        <w:keepLines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413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/>
          <w:b/>
          <w:bCs/>
        </w:rPr>
        <w:t>二、</w:t>
      </w:r>
      <w:bookmarkStart w:id="0" w:name="bookmark38"/>
      <w:bookmarkStart w:id="1" w:name="bookmark40"/>
      <w:bookmarkStart w:id="2" w:name="bookmark37"/>
      <w:r>
        <w:rPr>
          <w:rFonts w:hint="eastAsia" w:ascii="宋体" w:hAnsi="宋体" w:eastAsia="宋体" w:cs="宋体"/>
          <w:b/>
          <w:sz w:val="28"/>
          <w:szCs w:val="28"/>
        </w:rPr>
        <w:t>采购内容</w:t>
      </w:r>
      <w:bookmarkEnd w:id="0"/>
      <w:bookmarkEnd w:id="1"/>
      <w:bookmarkEnd w:id="2"/>
    </w:p>
    <w:tbl>
      <w:tblPr>
        <w:tblStyle w:val="5"/>
        <w:tblpPr w:leftFromText="180" w:rightFromText="180" w:vertAnchor="text" w:horzAnchor="page" w:tblpX="1538" w:tblpY="275"/>
        <w:tblOverlap w:val="never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3"/>
        <w:gridCol w:w="2229"/>
        <w:gridCol w:w="2229"/>
        <w:gridCol w:w="3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tblHeader/>
        </w:trPr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类别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序号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食材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名称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规格/单位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主食材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面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25kg/袋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16.3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升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/桶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米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25kg/袋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纯牛奶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16袋/箱，227克/袋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叶菜类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大白菜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青菜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菠菜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韭菜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莲花白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果菜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青椒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西葫芦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黄瓜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根茎类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白萝卜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蒜薹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大头菜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冬瓜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生姜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大葱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19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大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红萝卜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蒜苗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土豆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莲菜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菜花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菌类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蘑菇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肉蛋类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牛肉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猪肉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虾丸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29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鱼丸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鸡蛋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干货类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木耳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粉条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海带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豆制品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老豆腐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35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豆芽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36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腐竹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37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绿豆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restar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  <w:t>调料类</w:t>
            </w: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38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盐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39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味精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40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碱面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41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酱油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42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醋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43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  <w:t>豆瓣酱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606" w:type="pct"/>
            <w:vMerge w:val="continue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</w:p>
        </w:tc>
        <w:tc>
          <w:tcPr>
            <w:tcW w:w="2369" w:type="dxa"/>
            <w:noWrap w:val="0"/>
            <w:vAlign w:val="bottom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44</w:t>
            </w:r>
          </w:p>
        </w:tc>
        <w:tc>
          <w:tcPr>
            <w:tcW w:w="1308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tabs>
                <w:tab w:val="left" w:pos="4769"/>
              </w:tabs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混合调料</w:t>
            </w:r>
          </w:p>
        </w:tc>
        <w:tc>
          <w:tcPr>
            <w:tcW w:w="1775" w:type="pct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line="360" w:lineRule="auto"/>
              <w:jc w:val="center"/>
              <w:textAlignment w:val="auto"/>
              <w:outlineLvl w:val="9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highlight w:val="none"/>
                <w:lang w:val="en-US" w:eastAsia="zh-CN"/>
              </w:rPr>
              <w:t>kg</w:t>
            </w:r>
          </w:p>
        </w:tc>
      </w:tr>
    </w:tbl>
    <w:p>
      <w:pPr>
        <w:widowControl w:val="0"/>
        <w:topLinePunct/>
        <w:jc w:val="both"/>
        <w:rPr>
          <w:b/>
          <w:bCs/>
        </w:rPr>
      </w:pP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left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注：后期供货以甲方实际采购内容为主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，报价执行统一价格，每月据实结算。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供货时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以每月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25日当日甲方认可的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政府指导价作为结算依据，个别产品和未列出产品价格浮动过大时，在不高于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市场同期平均价格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时以甲方最终确定的价格为准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否则，不予以结算。</w:t>
      </w:r>
    </w:p>
    <w:p>
      <w:pPr>
        <w:bidi w:val="0"/>
        <w:spacing w:line="360" w:lineRule="auto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</w:rPr>
      </w:pPr>
      <w:bookmarkStart w:id="3" w:name="bookmark44"/>
      <w:bookmarkStart w:id="4" w:name="bookmark41"/>
      <w:bookmarkStart w:id="5" w:name="bookmark42"/>
      <w:r>
        <w:rPr>
          <w:rFonts w:hint="eastAsia" w:ascii="宋体" w:hAnsi="宋体" w:eastAsia="宋体" w:cs="宋体"/>
          <w:b/>
          <w:sz w:val="24"/>
          <w:szCs w:val="24"/>
        </w:rPr>
        <w:t>技术要求</w:t>
      </w:r>
      <w:bookmarkEnd w:id="3"/>
      <w:bookmarkEnd w:id="4"/>
      <w:bookmarkEnd w:id="5"/>
    </w:p>
    <w:p>
      <w:pPr>
        <w:keepNext w:val="0"/>
        <w:keepLines w:val="0"/>
        <w:pageBreakBefore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、质量要求：</w:t>
      </w: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纯牛奶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实际供货中可能涉及的预包装食品须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为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正规生产企业的产品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）质量要求：大米：国标二等；包装袋上有注册商标，有检验合格证、生产日期和保质期；面粉：特制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一等粉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；包装袋上有注册商标，有检验合格证、生产日期和保质期；食用油：非转基因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一级豆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油；包装袋上有注册商标，有检验合格证、生产日期和保质期。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包装要求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供应商所提供的产品必须是正规企业生产的品牌产品，产品包装须是符合国家规定标准的环保材料。</w:t>
      </w:r>
    </w:p>
    <w:p>
      <w:pPr>
        <w:pStyle w:val="10"/>
        <w:keepNext w:val="0"/>
        <w:keepLines w:val="0"/>
        <w:pageBreakBefore w:val="0"/>
        <w:widowControl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spacing w:line="360" w:lineRule="auto"/>
        <w:ind w:firstLineChars="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纯牛奶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为独立包装，且产品包装上必须有完好的生产厂家、规格、出厂日期、质保期等有效信息。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-57" w:firstLine="241" w:firstLineChars="100"/>
        <w:jc w:val="both"/>
        <w:textAlignment w:val="auto"/>
        <w:outlineLvl w:val="9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b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="宋体" w:hAnsi="宋体" w:eastAsia="宋体" w:cs="宋体"/>
          <w:b/>
          <w:sz w:val="24"/>
          <w:szCs w:val="24"/>
          <w:highlight w:val="none"/>
        </w:rPr>
        <w:t>配送要求：</w:t>
      </w:r>
      <w:r>
        <w:rPr>
          <w:rFonts w:hint="eastAsia" w:ascii="宋体" w:hAnsi="宋体" w:eastAsia="宋体" w:cs="宋体"/>
          <w:b/>
          <w:sz w:val="24"/>
          <w:szCs w:val="24"/>
          <w:highlight w:val="none"/>
          <w:lang w:eastAsia="zh-CN"/>
        </w:rPr>
        <w:t>所供货物（叶菜类、根茎类、干货类、果菜、菌类、肉蛋类（鸡蛋除外）以及豆制品）每天配送一次；调料类、大米、面粉、油每两周配送一次（具体配送时间根据西安市未央区看守所要求进行确定）；纯牛奶及鸡蛋每周配送两次（具体配送时间根据西安市未央区看守所要求进行确定），供应商负责货物的运输配送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因运输装卸过程中造成的损耗（例如包装严重变形、破损、食品污染、变异等）、发现的破损、变异食品必须无条件一对一更换，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否则采购人拒绝接收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spacing w:line="360" w:lineRule="auto"/>
        <w:jc w:val="both"/>
        <w:textAlignment w:val="auto"/>
        <w:outlineLvl w:val="9"/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、其他要求:</w:t>
      </w:r>
    </w:p>
    <w:p>
      <w:pPr>
        <w:keepNext w:val="0"/>
        <w:keepLines w:val="0"/>
        <w:pageBreakBefore w:val="0"/>
        <w:widowControl w:val="0"/>
        <w:tabs>
          <w:tab w:val="left" w:pos="4769"/>
        </w:tabs>
        <w:kinsoku/>
        <w:wordWrap/>
        <w:overflowPunct/>
        <w:topLinePunct w:val="0"/>
        <w:autoSpaceDE/>
        <w:autoSpaceDN/>
        <w:bidi w:val="0"/>
        <w:spacing w:line="360" w:lineRule="auto"/>
        <w:ind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（1）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本项目在押人员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900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人,供货期限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自合同签订之日起一年（365天）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  <w:t>。根据配送单和汇总单据实结算，每月结算一次，具体内容双方在合同中自行商议。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统一执行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单价包含了投标人为此项目所支付的一切费用（含原料、生产、税费、包装、运输等一切费用）。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right="-57" w:firstLine="240" w:firstLineChars="100"/>
        <w:jc w:val="both"/>
        <w:textAlignment w:val="auto"/>
        <w:outlineLvl w:val="9"/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3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）投标人应做出按照相关标准为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在押人员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食品安全责任保险的承诺，并在中标后切实履行该承诺。</w:t>
      </w:r>
    </w:p>
    <w:p>
      <w:pPr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br w:type="page"/>
      </w:r>
    </w:p>
    <w:p>
      <w:pPr>
        <w:pStyle w:val="4"/>
        <w:keepNext/>
        <w:keepLines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40" w:after="140" w:line="360" w:lineRule="auto"/>
        <w:textAlignment w:val="auto"/>
        <w:rPr>
          <w:rFonts w:hint="eastAsia" w:ascii="宋体" w:hAnsi="宋体" w:eastAsia="宋体" w:cs="宋体"/>
          <w:b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b/>
          <w:sz w:val="24"/>
          <w:szCs w:val="24"/>
          <w:lang w:eastAsia="zh-CN"/>
        </w:rPr>
        <w:t>商务要求</w:t>
      </w:r>
    </w:p>
    <w:p>
      <w:pPr>
        <w:tabs>
          <w:tab w:val="left" w:pos="3485"/>
        </w:tabs>
        <w:spacing w:line="360" w:lineRule="auto"/>
        <w:rPr>
          <w:rFonts w:hint="eastAsia" w:ascii="宋体" w:hAnsi="宋体" w:eastAsia="宋体" w:cs="宋体"/>
          <w:b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一、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及地点：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6" w:name="_Toc167714037"/>
      <w:bookmarkStart w:id="7" w:name="_Toc167715234"/>
      <w:bookmarkStart w:id="8" w:name="_Toc167712839"/>
      <w:r>
        <w:rPr>
          <w:rFonts w:hint="eastAsia" w:ascii="宋体" w:hAnsi="宋体" w:eastAsia="宋体" w:cs="宋体"/>
          <w:sz w:val="24"/>
          <w:szCs w:val="24"/>
          <w:highlight w:val="none"/>
        </w:rPr>
        <w:t>1、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服务期限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  <w:bookmarkEnd w:id="6"/>
      <w:bookmarkEnd w:id="7"/>
      <w:bookmarkEnd w:id="8"/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自合同签订之日起一年（365天）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2、交货地点：采购方指定地点。</w:t>
      </w:r>
    </w:p>
    <w:p>
      <w:pPr>
        <w:adjustRightInd w:val="0"/>
        <w:snapToGri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二、送  货：</w:t>
      </w:r>
      <w:bookmarkStart w:id="9" w:name="_Toc167714039"/>
      <w:bookmarkStart w:id="10" w:name="_Toc167715236"/>
      <w:bookmarkStart w:id="11" w:name="_Toc167712841"/>
      <w:r>
        <w:rPr>
          <w:rFonts w:hint="eastAsia" w:ascii="宋体" w:hAnsi="宋体" w:eastAsia="宋体" w:cs="宋体"/>
          <w:sz w:val="24"/>
          <w:szCs w:val="24"/>
          <w:highlight w:val="none"/>
        </w:rPr>
        <w:t>中标人</w:t>
      </w:r>
      <w:bookmarkEnd w:id="9"/>
      <w:bookmarkEnd w:id="10"/>
      <w:bookmarkEnd w:id="11"/>
      <w:r>
        <w:rPr>
          <w:rFonts w:hint="eastAsia" w:ascii="宋体" w:hAnsi="宋体" w:eastAsia="宋体" w:cs="宋体"/>
          <w:sz w:val="24"/>
          <w:szCs w:val="24"/>
          <w:highlight w:val="none"/>
        </w:rPr>
        <w:t>负责每次订单所有货物的运输、保险。</w:t>
      </w:r>
    </w:p>
    <w:p>
      <w:pPr>
        <w:spacing w:line="360" w:lineRule="auto"/>
        <w:ind w:left="560" w:hanging="480" w:hangingChars="200"/>
        <w:rPr>
          <w:rFonts w:hint="eastAsia" w:ascii="宋体" w:hAnsi="宋体" w:eastAsia="宋体" w:cs="宋体"/>
          <w:color w:val="auto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三、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付款方式：</w:t>
      </w:r>
      <w:bookmarkStart w:id="12" w:name="_Toc167714040"/>
      <w:bookmarkStart w:id="13" w:name="_Toc167715237"/>
      <w:bookmarkStart w:id="14" w:name="_Toc167712842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后期供货以甲方实际采购内容为主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，报价执行统一价格，每月据实结算。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供货时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以每月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25日当日甲方认可的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政府指导价作为结算依据，个别产品和未列出产品价格浮动过大时，在不高于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市场同期平均价格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时以甲方最终确定的价格为准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。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否则，不予以结算。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四、验  收</w:t>
      </w:r>
      <w:bookmarkEnd w:id="12"/>
      <w:bookmarkEnd w:id="13"/>
      <w:bookmarkEnd w:id="14"/>
      <w:bookmarkStart w:id="15" w:name="_Toc167712843"/>
      <w:bookmarkStart w:id="16" w:name="_Toc167714041"/>
      <w:bookmarkStart w:id="17" w:name="_Toc167715238"/>
      <w:r>
        <w:rPr>
          <w:rFonts w:hint="eastAsia" w:ascii="宋体" w:hAnsi="宋体" w:eastAsia="宋体" w:cs="宋体"/>
          <w:sz w:val="24"/>
          <w:szCs w:val="24"/>
          <w:highlight w:val="none"/>
        </w:rPr>
        <w:t>:</w:t>
      </w:r>
    </w:p>
    <w:bookmarkEnd w:id="15"/>
    <w:bookmarkEnd w:id="16"/>
    <w:bookmarkEnd w:id="17"/>
    <w:p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18" w:name="_Toc167714044"/>
      <w:bookmarkStart w:id="19" w:name="_Toc167715241"/>
      <w:bookmarkStart w:id="20" w:name="_Toc167712846"/>
      <w:bookmarkStart w:id="21" w:name="_Toc167715242"/>
      <w:bookmarkStart w:id="22" w:name="_Toc167712847"/>
      <w:bookmarkStart w:id="23" w:name="_Toc167714045"/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  <w:t>西安市未央区看守所负责货物的验收。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1.</w:t>
      </w: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若验收不合格，中标单位必须及时换货，保证使用单位的的正常使用，否则将终止其供货合同，并赔偿采购人的损失。</w:t>
      </w:r>
    </w:p>
    <w:p>
      <w:pPr>
        <w:adjustRightInd w:val="0"/>
        <w:snapToGrid w:val="0"/>
        <w:spacing w:line="360" w:lineRule="auto"/>
        <w:ind w:firstLine="600" w:firstLineChars="25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2、验收依据</w:t>
      </w:r>
      <w:bookmarkEnd w:id="18"/>
      <w:bookmarkEnd w:id="19"/>
      <w:bookmarkEnd w:id="20"/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（1）合同文本及合同补充文件（条款）</w:t>
      </w:r>
      <w:bookmarkEnd w:id="21"/>
      <w:bookmarkEnd w:id="22"/>
      <w:bookmarkEnd w:id="23"/>
      <w:r>
        <w:rPr>
          <w:rFonts w:hint="eastAsia" w:ascii="宋体" w:hAnsi="宋体" w:eastAsia="宋体" w:cs="宋体"/>
          <w:sz w:val="24"/>
          <w:szCs w:val="24"/>
          <w:highlight w:val="none"/>
        </w:rPr>
        <w:t xml:space="preserve">。 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（2）国家有关的验收标准及规范。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（3）招标文件。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（4）中标人的投标文件及食品检验报告单。</w:t>
      </w:r>
    </w:p>
    <w:p>
      <w:pPr>
        <w:adjustRightInd w:val="0"/>
        <w:snapToGrid w:val="0"/>
        <w:spacing w:line="360" w:lineRule="auto"/>
        <w:ind w:firstLine="470" w:firstLineChars="196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（5）生产厂家的企业资质、检验报告、货物的执行标准。</w:t>
      </w:r>
    </w:p>
    <w:p>
      <w:pPr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24" w:name="_Toc167712849"/>
      <w:bookmarkStart w:id="25" w:name="_Toc167714047"/>
      <w:bookmarkStart w:id="26" w:name="_Toc167715244"/>
      <w:r>
        <w:rPr>
          <w:rFonts w:hint="eastAsia" w:ascii="宋体" w:hAnsi="宋体" w:eastAsia="宋体" w:cs="宋体"/>
          <w:sz w:val="24"/>
          <w:szCs w:val="24"/>
          <w:highlight w:val="none"/>
        </w:rPr>
        <w:t>五、</w:t>
      </w:r>
      <w:bookmarkEnd w:id="24"/>
      <w:bookmarkEnd w:id="25"/>
      <w:bookmarkEnd w:id="26"/>
      <w:bookmarkStart w:id="27" w:name="_Toc167714051"/>
      <w:bookmarkStart w:id="28" w:name="_Toc167715248"/>
      <w:bookmarkStart w:id="29" w:name="_Toc167712853"/>
      <w:r>
        <w:rPr>
          <w:rFonts w:hint="eastAsia" w:ascii="宋体" w:hAnsi="宋体" w:eastAsia="宋体" w:cs="宋体"/>
          <w:sz w:val="24"/>
          <w:szCs w:val="24"/>
          <w:highlight w:val="none"/>
        </w:rPr>
        <w:t>质量保证</w:t>
      </w:r>
      <w:bookmarkEnd w:id="27"/>
      <w:bookmarkEnd w:id="28"/>
      <w:bookmarkEnd w:id="29"/>
      <w:r>
        <w:rPr>
          <w:rFonts w:hint="eastAsia" w:ascii="宋体" w:hAnsi="宋体" w:eastAsia="宋体" w:cs="宋体"/>
          <w:sz w:val="24"/>
          <w:szCs w:val="24"/>
          <w:highlight w:val="none"/>
        </w:rPr>
        <w:t>：</w:t>
      </w:r>
    </w:p>
    <w:p>
      <w:pPr>
        <w:spacing w:line="360" w:lineRule="auto"/>
        <w:ind w:firstLine="723" w:firstLineChars="300"/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1、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纯牛奶外包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装完好无损、无杂质、无污染、商标图案清晰、有生产日期、无霉变情况，保质期不得超过一个月（30个日历日）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；食用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eastAsia="zh-CN"/>
        </w:rPr>
        <w:t>油保质期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</w:rPr>
        <w:t>不少于</w:t>
      </w:r>
      <w:r>
        <w:rPr>
          <w:rFonts w:hint="eastAsia" w:ascii="宋体" w:hAnsi="宋体" w:eastAsia="宋体" w:cs="宋体"/>
          <w:b/>
          <w:bCs/>
          <w:color w:val="auto"/>
          <w:sz w:val="24"/>
          <w:szCs w:val="24"/>
          <w:highlight w:val="none"/>
          <w:lang w:val="en-US" w:eastAsia="zh-CN"/>
        </w:rPr>
        <w:t>12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个月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；鸡蛋无破损、无明显质量问题、所供鸡蛋为三个日历日之内新鲜鸡蛋；大米、面粉、干货类、调味类保质期不少于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个月；蔬菜类须每天配送，因运输装卸过程中造成的损耗（例如包装严重变形、破损、食品污染、变异等）、发现的破损、变异食品必须无条件一对一更换，</w:t>
      </w: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否则采购人拒绝接收</w:t>
      </w:r>
      <w:bookmarkStart w:id="30" w:name="_Toc167712856"/>
      <w:bookmarkStart w:id="31" w:name="_Toc167715251"/>
      <w:bookmarkStart w:id="32" w:name="_Toc167714054"/>
      <w:bookmarkStart w:id="33" w:name="_Toc167715252"/>
      <w:bookmarkStart w:id="34" w:name="_Toc167714055"/>
      <w:bookmarkStart w:id="35" w:name="_Toc167712857"/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eastAsia="zh-CN"/>
        </w:rPr>
        <w:t>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</w:rPr>
        <w:t>保质期出现的质量问题由中标人负责解决并承担所有费用。</w:t>
      </w:r>
      <w:bookmarkEnd w:id="30"/>
      <w:bookmarkEnd w:id="31"/>
      <w:bookmarkEnd w:id="32"/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3、防疫要求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一、配送人员防疫要求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严格执行“绿码行、黄码管、红码禁”的标准，领取绿码且体温低于37.3℃的工作人员，方能参与配送服务。领取红码、黄码以及体温超过37.3℃的工作人员须按规定隔离。严格落实员工晨午检制度，每天应检测体温，体温正常(不超过37.3℃)，且无发热、感冒、咳嗽、呼吸道感染等疑似症状方可上岗工作。设立相对独立、通风良好的单独房间作为临时隔离点（区域），并配备口罩、消毒液、消毒工具等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二、食品原料防疫要求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认真执行食品原料采购索证索票和进货査验记录制度，建立健全食品原料入出库台账。不得采购经营证照不全畜禽肉及来源不明的原料，禁止采购加工野生动物，禁止圈养及宰杀活禽。禽蛋等应单独存放，避免交叉污染。落实进货查验和索证索票。采购冷冻冷藏食品的，要查验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begin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instrText xml:space="preserve"> HYPERLINK "https://news.163.com/news/search?keyword=%E4%BE%9B%E8%B4%A7%E8%80%85" </w:instrTex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供货者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fldChar w:fldCharType="end"/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许可证、食品合格证明文件，留存每笔采购凭证。严禁采购、使用病死、毒死或者死因不明的禽、畜、兽、水产动物肉类及其制品；严禁采购、使用未按规定进行检疫或者检疫不合格的肉类，或者未经检验或者检验不合格的肉类制品。采购冷链食品的，还须于冷链食品到达本市行政区域前24小时，向目的地县级市场监管部门报备，写清提供者名称、食品的名称、规格、数量、生产日期或者批号和供货者的名称、地址、联系方式等内容，并查验《新冠病毒核酸检测合格证明》。实行统一配送经营方式的，及时查询、获取相关证明文件复印件或凭证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三、清洁消毒防疫要求</w:t>
      </w:r>
    </w:p>
    <w:p>
      <w:pPr>
        <w:adjustRightInd w:val="0"/>
        <w:snapToGrid w:val="0"/>
        <w:spacing w:line="360" w:lineRule="auto"/>
        <w:ind w:firstLine="710" w:firstLineChars="296"/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/>
        </w:rPr>
        <w:t>加强环境卫生消杀工作。安排专人对食品处理区、就餐区及其他人员活动场所和相关物品定时清洁消毒。要按照《陕西省食品新冠肺炎疫情防控技术指引》要求，科学消毒，避免过度消杀，防止对食品产生二次污染。加强室内环境通风，密闭区域要正确使用空调等机械通风。</w:t>
      </w:r>
    </w:p>
    <w:bookmarkEnd w:id="33"/>
    <w:bookmarkEnd w:id="34"/>
    <w:bookmarkEnd w:id="35"/>
    <w:p>
      <w:pPr>
        <w:adjustRightIn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bookmarkStart w:id="36" w:name="_Toc167712868"/>
      <w:bookmarkStart w:id="37" w:name="_Toc167715263"/>
      <w:bookmarkStart w:id="38" w:name="_Toc167714066"/>
      <w:r>
        <w:rPr>
          <w:rFonts w:hint="eastAsia" w:ascii="宋体" w:hAnsi="宋体" w:eastAsia="宋体" w:cs="宋体"/>
          <w:sz w:val="24"/>
          <w:szCs w:val="24"/>
          <w:highlight w:val="none"/>
        </w:rPr>
        <w:t>六、合同实施：</w:t>
      </w:r>
      <w:bookmarkEnd w:id="36"/>
      <w:bookmarkEnd w:id="37"/>
      <w:bookmarkEnd w:id="38"/>
      <w:bookmarkStart w:id="39" w:name="_Toc167712869"/>
      <w:bookmarkStart w:id="40" w:name="_Toc167715264"/>
      <w:bookmarkStart w:id="41" w:name="_Toc167714067"/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</w:t>
      </w:r>
      <w:bookmarkEnd w:id="39"/>
      <w:bookmarkEnd w:id="40"/>
      <w:bookmarkEnd w:id="41"/>
      <w:r>
        <w:rPr>
          <w:rFonts w:hint="eastAsia" w:ascii="宋体" w:hAnsi="宋体" w:eastAsia="宋体" w:cs="宋体"/>
          <w:sz w:val="24"/>
          <w:szCs w:val="24"/>
          <w:highlight w:val="none"/>
        </w:rPr>
        <w:t>、中标人应在合同签订后7个日历日内安排人员与采购方就送货等工作进行安排。</w:t>
      </w:r>
      <w:bookmarkStart w:id="42" w:name="_Toc167714068"/>
      <w:bookmarkStart w:id="43" w:name="_Toc167715265"/>
      <w:bookmarkStart w:id="44" w:name="_Toc167712870"/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</w:t>
      </w:r>
      <w:bookmarkEnd w:id="42"/>
      <w:bookmarkEnd w:id="43"/>
      <w:bookmarkEnd w:id="44"/>
      <w:r>
        <w:rPr>
          <w:rFonts w:hint="eastAsia" w:ascii="宋体" w:hAnsi="宋体" w:eastAsia="宋体" w:cs="宋体"/>
          <w:sz w:val="24"/>
          <w:szCs w:val="24"/>
          <w:highlight w:val="none"/>
        </w:rPr>
        <w:t>、若未能在交货期内完成合同规定的义务，由此对采购人造成的延误和一切损失，由中标人承担和赔偿。</w:t>
      </w:r>
    </w:p>
    <w:p>
      <w:pPr>
        <w:adjustRightInd w:val="0"/>
        <w:spacing w:line="360" w:lineRule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七、违约责任：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1、按《中华人民共和国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》中的相关条款执行。</w:t>
      </w:r>
    </w:p>
    <w:p>
      <w:pPr>
        <w:adjustRightInd w:val="0"/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sz w:val="24"/>
          <w:szCs w:val="24"/>
          <w:highlight w:val="none"/>
        </w:rPr>
        <w:t>2、未按合同要求提供货物质量不能满足技术要求，采购人有权终止合同，并对供方违约行为进行追究，同时按《政府采购法》、《</w:t>
      </w:r>
      <w:r>
        <w:rPr>
          <w:rFonts w:hint="eastAsia" w:ascii="宋体" w:hAnsi="宋体" w:eastAsia="宋体" w:cs="宋体"/>
          <w:sz w:val="24"/>
          <w:szCs w:val="24"/>
          <w:highlight w:val="none"/>
          <w:lang w:eastAsia="zh-CN"/>
        </w:rPr>
        <w:t>民法典</w:t>
      </w:r>
      <w:r>
        <w:rPr>
          <w:rFonts w:hint="eastAsia" w:ascii="宋体" w:hAnsi="宋体" w:eastAsia="宋体" w:cs="宋体"/>
          <w:sz w:val="24"/>
          <w:szCs w:val="24"/>
          <w:highlight w:val="none"/>
        </w:rPr>
        <w:t>》等有关规定进行处罚。</w:t>
      </w:r>
    </w:p>
    <w:p>
      <w:bookmarkStart w:id="45" w:name="_GoBack"/>
      <w:bookmarkEnd w:id="45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DF495E"/>
    <w:multiLevelType w:val="singleLevel"/>
    <w:tmpl w:val="58DF495E"/>
    <w:lvl w:ilvl="0" w:tentative="0">
      <w:start w:val="1"/>
      <w:numFmt w:val="decimal"/>
      <w:suff w:val="nothing"/>
      <w:lvlText w:val="（%1）"/>
      <w:lvlJc w:val="left"/>
      <w:rPr>
        <w:rFonts w:ascii="仿宋_GB2312" w:hAnsi="Times New Roman" w:eastAsia="仿宋_GB2312" w:cs="Times New Roman"/>
      </w:rPr>
    </w:lvl>
  </w:abstractNum>
  <w:abstractNum w:abstractNumId="1">
    <w:nsid w:val="61B04EF5"/>
    <w:multiLevelType w:val="singleLevel"/>
    <w:tmpl w:val="61B04EF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6D4132C2"/>
    <w:multiLevelType w:val="multilevel"/>
    <w:tmpl w:val="6D4132C2"/>
    <w:lvl w:ilvl="0" w:tentative="0">
      <w:start w:val="1"/>
      <w:numFmt w:val="none"/>
      <w:pStyle w:val="3"/>
      <w:suff w:val="nothing"/>
      <w:lvlText w:val=""/>
      <w:lvlJc w:val="center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44"/>
        <w:position w:val="0"/>
        <w:sz w:val="32"/>
        <w:vertAlign w:val="baseline"/>
      </w:rPr>
    </w:lvl>
    <w:lvl w:ilvl="1" w:tentative="0">
      <w:start w:val="1"/>
      <w:numFmt w:val="none"/>
      <w:suff w:val="nothing"/>
      <w:lvlText w:val=""/>
      <w:lvlJc w:val="left"/>
      <w:pPr>
        <w:ind w:left="0" w:firstLine="0"/>
      </w:pPr>
      <w:rPr>
        <w:rFonts w:hint="default" w:ascii="Calibri" w:hAnsi="Calibri" w:eastAsia="黑体"/>
        <w:b w:val="0"/>
        <w:i w:val="0"/>
        <w:caps w:val="0"/>
        <w:strike w:val="0"/>
        <w:dstrike w:val="0"/>
        <w:snapToGrid/>
        <w:vanish w:val="0"/>
        <w:spacing w:val="0"/>
        <w:w w:val="100"/>
        <w:kern w:val="32"/>
        <w:position w:val="0"/>
        <w:sz w:val="32"/>
        <w:vertAlign w:val="baseline"/>
      </w:rPr>
    </w:lvl>
    <w:lvl w:ilvl="2" w:tentative="0">
      <w:start w:val="1"/>
      <w:numFmt w:val="none"/>
      <w:pStyle w:val="4"/>
      <w:suff w:val="nothing"/>
      <w:lvlText w:val=""/>
      <w:lvlJc w:val="left"/>
      <w:pPr>
        <w:ind w:left="0" w:firstLine="289"/>
      </w:pPr>
      <w:rPr>
        <w:rFonts w:hint="default" w:ascii="Calibri Light" w:hAnsi="Calibri Light" w:eastAsia="宋体"/>
        <w:b/>
        <w:i w:val="0"/>
        <w:caps w:val="0"/>
        <w:strike w:val="0"/>
        <w:dstrike w:val="0"/>
        <w:snapToGrid/>
        <w:vanish w:val="0"/>
        <w:spacing w:val="0"/>
        <w:w w:val="100"/>
        <w:kern w:val="30"/>
        <w:position w:val="0"/>
        <w:sz w:val="30"/>
        <w:vertAlign w:val="baseline"/>
      </w:rPr>
    </w:lvl>
    <w:lvl w:ilvl="3" w:tentative="0">
      <w:start w:val="1"/>
      <w:numFmt w:val="decimal"/>
      <w:lvlText w:val="%1.%2.%3.%4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152" w:hanging="1152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1584" w:hanging="1584"/>
      </w:pPr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0M2RlMjYwMTk2MzU1NDFmY2JmMDlkOWQ1ODM2Y2IifQ=="/>
  </w:docVars>
  <w:rsids>
    <w:rsidRoot w:val="00000000"/>
    <w:rsid w:val="18853F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numPr>
        <w:ilvl w:val="0"/>
        <w:numId w:val="1"/>
      </w:numPr>
      <w:spacing w:beforeLines="50" w:afterLines="50"/>
      <w:jc w:val="center"/>
      <w:outlineLvl w:val="0"/>
    </w:pPr>
    <w:rPr>
      <w:rFonts w:ascii="Calibri" w:hAnsi="Calibri" w:eastAsia="黑体"/>
      <w:bCs/>
      <w:kern w:val="36"/>
      <w:sz w:val="32"/>
      <w:szCs w:val="32"/>
    </w:rPr>
  </w:style>
  <w:style w:type="paragraph" w:styleId="4">
    <w:name w:val="heading 3"/>
    <w:basedOn w:val="1"/>
    <w:next w:val="1"/>
    <w:unhideWhenUsed/>
    <w:qFormat/>
    <w:uiPriority w:val="9"/>
    <w:pPr>
      <w:keepNext/>
      <w:numPr>
        <w:ilvl w:val="2"/>
        <w:numId w:val="1"/>
      </w:numPr>
      <w:spacing w:before="60" w:after="60"/>
      <w:ind w:firstLine="200" w:firstLineChars="200"/>
      <w:outlineLvl w:val="2"/>
    </w:pPr>
    <w:rPr>
      <w:rFonts w:ascii="Calibri Light" w:hAnsi="Calibri Light" w:eastAsia="宋体"/>
      <w:b/>
      <w:bCs/>
      <w:kern w:val="30"/>
      <w:szCs w:val="26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next w:val="1"/>
    <w:qFormat/>
    <w:uiPriority w:val="99"/>
    <w:rPr>
      <w:rFonts w:ascii="宋体" w:hAnsi="Courier New"/>
      <w:szCs w:val="20"/>
    </w:rPr>
  </w:style>
  <w:style w:type="paragraph" w:customStyle="1" w:styleId="7">
    <w:name w:val="@正文"/>
    <w:basedOn w:val="8"/>
    <w:qFormat/>
    <w:uiPriority w:val="0"/>
    <w:pPr>
      <w:wordWrap/>
      <w:spacing w:line="240" w:lineRule="auto"/>
      <w:ind w:firstLine="200" w:firstLineChars="200"/>
      <w:jc w:val="both"/>
    </w:pPr>
    <w:rPr>
      <w:rFonts w:ascii="Calibri" w:hAnsi="Calibri" w:eastAsia="宋体" w:cstheme="minorHAnsi"/>
      <w:color w:val="000000"/>
      <w:kern w:val="24"/>
      <w:sz w:val="24"/>
      <w:szCs w:val="24"/>
    </w:rPr>
  </w:style>
  <w:style w:type="paragraph" w:customStyle="1" w:styleId="8">
    <w:name w:val="※正文"/>
    <w:basedOn w:val="1"/>
    <w:next w:val="1"/>
    <w:qFormat/>
    <w:uiPriority w:val="0"/>
    <w:pPr>
      <w:wordWrap w:val="0"/>
      <w:spacing w:line="400" w:lineRule="exact"/>
    </w:pPr>
    <w:rPr>
      <w:rFonts w:ascii="Calibri Light" w:hAnsi="Calibri Light" w:eastAsia="华文仿宋"/>
      <w:sz w:val="28"/>
      <w:szCs w:val="28"/>
    </w:rPr>
  </w:style>
  <w:style w:type="paragraph" w:customStyle="1" w:styleId="9">
    <w:name w:val="Body text|2"/>
    <w:basedOn w:val="1"/>
    <w:qFormat/>
    <w:uiPriority w:val="0"/>
    <w:pPr>
      <w:spacing w:after="90" w:line="400" w:lineRule="exact"/>
      <w:ind w:left="470" w:firstLine="580"/>
      <w:jc w:val="left"/>
    </w:pPr>
    <w:rPr>
      <w:rFonts w:ascii="宋体" w:hAnsi="宋体" w:eastAsia="宋体" w:cs="宋体"/>
      <w:kern w:val="0"/>
      <w:sz w:val="20"/>
      <w:szCs w:val="20"/>
      <w:lang w:val="zh-TW" w:eastAsia="zh-TW" w:bidi="zh-TW"/>
    </w:rPr>
  </w:style>
  <w:style w:type="paragraph" w:styleId="10">
    <w:name w:val="List Paragraph"/>
    <w:basedOn w:val="1"/>
    <w:qFormat/>
    <w:uiPriority w:val="0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2023-12-26T02:47:32Z</dcterms:created>
  <dc:creator>Lenovo</dc:creator>
  <cp:lastModifiedBy>七</cp:lastModifiedBy>
  <dcterms:modified xsi:type="dcterms:W3CDTF">2023-12-26T02:47:40Z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D8F7A66DF637405894DF524A44B38E0E_12</vt:lpwstr>
  </property>
</Properties>
</file>