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ZJXG2023044-4</w:t>
      </w:r>
    </w:p>
    <w:p>
      <w:pPr>
        <w:jc w:val="center"/>
        <w:rPr>
          <w:rFonts w:hint="eastAsia" w:ascii="宋体" w:hAnsi="宋体" w:eastAsia="宋体" w:cs="宋体"/>
          <w:color w:val="000000" w:themeColor="text1"/>
          <w:sz w:val="44"/>
          <w:szCs w:val="44"/>
          <w:highlight w:val="none"/>
          <w14:textFill>
            <w14:solidFill>
              <w14:schemeClr w14:val="tx1"/>
            </w14:solidFill>
          </w14:textFill>
        </w:rPr>
      </w:pPr>
      <w:bookmarkStart w:id="330" w:name="_GoBack"/>
      <w:bookmarkEnd w:id="330"/>
    </w:p>
    <w:p>
      <w:pPr>
        <w:jc w:val="both"/>
        <w:rPr>
          <w:rFonts w:hint="eastAsia" w:ascii="宋体" w:hAnsi="宋体" w:eastAsia="宋体" w:cs="宋体"/>
          <w:color w:val="000000" w:themeColor="text1"/>
          <w:sz w:val="56"/>
          <w:szCs w:val="56"/>
          <w:highlight w:val="none"/>
          <w14:textFill>
            <w14:solidFill>
              <w14:schemeClr w14:val="tx1"/>
            </w14:solidFill>
          </w14:textFill>
        </w:rPr>
      </w:pPr>
    </w:p>
    <w:p>
      <w:pPr>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西安市未央区市场监督管理局2023年度食品安全检测项目（谭家、六村堡市场监管所管辖区域内）</w:t>
      </w:r>
    </w:p>
    <w:p>
      <w:pPr>
        <w:jc w:val="center"/>
        <w:rPr>
          <w:rFonts w:hint="eastAsia" w:ascii="宋体" w:hAnsi="宋体" w:eastAsia="宋体" w:cs="宋体"/>
          <w:b/>
          <w:bCs/>
          <w:color w:val="000000" w:themeColor="text1"/>
          <w:sz w:val="96"/>
          <w:szCs w:val="96"/>
          <w:highlight w:val="none"/>
          <w14:textFill>
            <w14:solidFill>
              <w14:schemeClr w14:val="tx1"/>
            </w14:solidFill>
          </w14:textFill>
        </w:rPr>
      </w:pPr>
    </w:p>
    <w:p>
      <w:pPr>
        <w:jc w:val="center"/>
        <w:rPr>
          <w:rFonts w:hint="eastAsia"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bookmarkStart w:id="0" w:name="_Toc100219612"/>
      <w:r>
        <w:rPr>
          <w:rFonts w:hint="eastAsia" w:ascii="宋体" w:hAnsi="宋体" w:eastAsia="宋体" w:cs="宋体"/>
          <w:b/>
          <w:bCs/>
          <w:color w:val="000000" w:themeColor="text1"/>
          <w:sz w:val="36"/>
          <w:szCs w:val="36"/>
          <w:highlight w:val="none"/>
          <w:lang w:eastAsia="zh-CN"/>
          <w14:textFill>
            <w14:solidFill>
              <w14:schemeClr w14:val="tx1"/>
            </w14:solidFill>
          </w14:textFill>
        </w:rPr>
        <w:t>陕西中鉴项目管理有限公司</w:t>
      </w: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〇</w:t>
      </w:r>
      <w:r>
        <w:rPr>
          <w:rFonts w:hint="eastAsia" w:ascii="宋体" w:hAnsi="宋体" w:eastAsia="宋体" w:cs="宋体"/>
          <w:b/>
          <w:bCs/>
          <w:color w:val="000000" w:themeColor="text1"/>
          <w:sz w:val="36"/>
          <w:szCs w:val="36"/>
          <w:highlight w:val="none"/>
          <w14:textFill>
            <w14:solidFill>
              <w14:schemeClr w14:val="tx1"/>
            </w14:solidFill>
          </w14:textFill>
        </w:rPr>
        <w:t>二</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年</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b/>
          <w:bCs/>
          <w:color w:val="000000" w:themeColor="text1"/>
          <w:sz w:val="36"/>
          <w:szCs w:val="36"/>
          <w:highlight w:val="none"/>
          <w14:textFill>
            <w14:solidFill>
              <w14:schemeClr w14:val="tx1"/>
            </w14:solidFill>
          </w14:textFill>
        </w:rPr>
        <w:t>月</w:t>
      </w:r>
    </w:p>
    <w:p>
      <w:pPr>
        <w:pStyle w:val="26"/>
        <w:spacing w:before="312" w:after="312"/>
        <w:rPr>
          <w:rFonts w:hint="eastAsia" w:ascii="宋体" w:hAnsi="宋体" w:eastAsia="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hint="eastAsia" w:ascii="宋体" w:hAnsi="宋体" w:eastAsia="宋体" w:cs="宋体"/>
              <w:b/>
              <w:bCs/>
              <w:color w:val="000000" w:themeColor="text1"/>
              <w:highlight w:val="none"/>
              <w14:textFill>
                <w14:solidFill>
                  <w14:schemeClr w14:val="tx1"/>
                </w14:solidFill>
              </w14:textFill>
            </w:rPr>
          </w:pPr>
          <w:bookmarkStart w:id="1" w:name="_Toc23953"/>
          <w:bookmarkStart w:id="2" w:name="_Toc22212"/>
          <w:r>
            <w:rPr>
              <w:rFonts w:hint="eastAsia" w:ascii="宋体" w:hAnsi="宋体" w:eastAsia="宋体" w:cs="宋体"/>
              <w:b/>
              <w:bCs/>
              <w:color w:val="000000" w:themeColor="text1"/>
              <w:highlight w:val="none"/>
              <w14:textFill>
                <w14:solidFill>
                  <w14:schemeClr w14:val="tx1"/>
                </w14:solidFill>
              </w14:textFill>
            </w:rPr>
            <w:t>目录</w:t>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"_Toc23953" </w:instrText>
          </w:r>
          <w:r>
            <w:rPr>
              <w:rFonts w:hint="eastAsia" w:ascii="宋体" w:hAnsi="宋体" w:eastAsia="宋体" w:cs="宋体"/>
              <w:highlight w:val="none"/>
            </w:rPr>
            <w:fldChar w:fldCharType="separate"/>
          </w:r>
          <w:r>
            <w:rPr>
              <w:rFonts w:hint="eastAsia" w:ascii="宋体" w:hAnsi="宋体" w:eastAsia="宋体" w:cs="宋体"/>
              <w:sz w:val="24"/>
              <w:highlight w:val="none"/>
            </w:rPr>
            <w:t xml:space="preserve">第一章  </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_Toc23953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"_Toc19037"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第二章  供应商须知</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_Toc19037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10</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"_Toc15617" </w:instrText>
          </w:r>
          <w:r>
            <w:rPr>
              <w:rFonts w:hint="eastAsia" w:ascii="宋体" w:hAnsi="宋体" w:eastAsia="宋体" w:cs="宋体"/>
              <w:highlight w:val="none"/>
            </w:rPr>
            <w:fldChar w:fldCharType="separate"/>
          </w:r>
          <w:r>
            <w:rPr>
              <w:rFonts w:hint="eastAsia" w:ascii="宋体" w:hAnsi="宋体" w:eastAsia="宋体" w:cs="宋体"/>
              <w:sz w:val="24"/>
              <w:highlight w:val="none"/>
            </w:rPr>
            <w:t>第三章  招标内容及要求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_Toc15617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"_Toc19583" </w:instrText>
          </w:r>
          <w:r>
            <w:rPr>
              <w:rFonts w:hint="eastAsia" w:ascii="宋体" w:hAnsi="宋体" w:eastAsia="宋体" w:cs="宋体"/>
              <w:highlight w:val="none"/>
            </w:rPr>
            <w:fldChar w:fldCharType="separate"/>
          </w:r>
          <w:r>
            <w:rPr>
              <w:rFonts w:hint="eastAsia" w:ascii="宋体" w:hAnsi="宋体" w:eastAsia="宋体" w:cs="宋体"/>
              <w:sz w:val="24"/>
              <w:highlight w:val="none"/>
            </w:rPr>
            <w:t>第四章  合同文本</w:t>
          </w:r>
          <w:r>
            <w:rPr>
              <w:rFonts w:hint="eastAsia" w:ascii="宋体" w:hAnsi="宋体" w:eastAsia="宋体" w:cs="宋体"/>
              <w:sz w:val="24"/>
              <w:highlight w:val="none"/>
            </w:rPr>
            <w:tab/>
          </w:r>
          <w:r>
            <w:rPr>
              <w:rFonts w:hint="eastAsia" w:ascii="宋体" w:hAnsi="宋体" w:cs="宋体"/>
              <w:sz w:val="24"/>
              <w:highlight w:val="none"/>
              <w:lang w:val="en-US" w:eastAsia="zh-CN"/>
            </w:rPr>
            <w:t>54</w:t>
          </w:r>
          <w:r>
            <w:rPr>
              <w:rFonts w:hint="eastAsia" w:ascii="宋体" w:hAnsi="宋体" w:eastAsia="宋体" w:cs="宋体"/>
              <w:sz w:val="24"/>
              <w:highlight w:val="none"/>
            </w:rPr>
            <w:fldChar w:fldCharType="end"/>
          </w:r>
        </w:p>
        <w:p>
          <w:pPr>
            <w:pStyle w:val="26"/>
            <w:tabs>
              <w:tab w:val="right" w:leader="dot" w:pos="9451"/>
            </w:tabs>
            <w:spacing w:before="240" w:after="240"/>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"_Toc27364" </w:instrText>
          </w:r>
          <w:r>
            <w:rPr>
              <w:rFonts w:hint="eastAsia" w:ascii="宋体" w:hAnsi="宋体" w:eastAsia="宋体" w:cs="宋体"/>
              <w:highlight w:val="none"/>
            </w:rPr>
            <w:fldChar w:fldCharType="separate"/>
          </w:r>
          <w:r>
            <w:rPr>
              <w:rFonts w:hint="eastAsia" w:ascii="宋体" w:hAnsi="宋体" w:eastAsia="宋体" w:cs="宋体"/>
              <w:sz w:val="24"/>
              <w:highlight w:val="none"/>
            </w:rPr>
            <w:t>第五章  投标文件构成及格式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_Toc27364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67</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pPr>
            <w:pStyle w:val="29"/>
            <w:tabs>
              <w:tab w:val="right" w:leader="dot" w:pos="9451"/>
            </w:tabs>
            <w:ind w:left="480"/>
            <w:rPr>
              <w:rFonts w:hint="eastAsia" w:ascii="宋体" w:hAnsi="宋体" w:eastAsia="宋体" w:cs="宋体"/>
              <w:highlight w:val="none"/>
            </w:rPr>
          </w:pPr>
        </w:p>
        <w:p>
          <w:pPr>
            <w:pStyle w:val="3"/>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3"/>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418" w:right="1133" w:bottom="1418" w:left="755" w:header="907" w:footer="1021" w:gutter="567"/>
          <w:pgNumType w:fmt="numberInDash" w:start="1"/>
          <w:cols w:space="720" w:num="1"/>
          <w:docGrid w:linePitch="312" w:charSpace="0"/>
        </w:sectPr>
      </w:pPr>
    </w:p>
    <w:bookmarkEnd w:id="0"/>
    <w:bookmarkEnd w:id="1"/>
    <w:bookmarkEnd w:id="2"/>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2023年度食品安全检测项目招标项目的潜在投标人应在全国公共资源交易平台（陕西省·西安市）（以下简称西安市公共资源交易平台，官网地址：http://sxggzyjy.xa.gov.cn/）获取招标文件，并于 2023年04月06日 09时00分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项目编号：ZJXG2023044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项目名称：2023年度食品安全检测项目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预算金额：2,800,000.00元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合同包预算金额：826,000.00元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合同包最高限价：826,000.00元</w:t>
      </w:r>
    </w:p>
    <w:tbl>
      <w:tblPr>
        <w:tblStyle w:val="3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合同包预算金额：780,000.00元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合同包最高限价：780,000.00元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780,000.00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合同包预算金额：642,000.00元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合同包最高限价：642,000.00元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642,000.00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合同包预算金额：552,000.00元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合同包最高限价：552,000.00元</w:t>
      </w:r>
    </w:p>
    <w:tbl>
      <w:tblPr>
        <w:tblStyle w:val="3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306"/>
        <w:gridCol w:w="1306"/>
        <w:gridCol w:w="1136"/>
        <w:gridCol w:w="1551"/>
        <w:gridCol w:w="1546"/>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技术检测和分析服务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合同包1(西安市未央区市场监督管理局2023年度食品安全检测项目（大明宫（含辛家庙）、张家堡市场监管所管辖区域内）)特定资格要求如下: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合同包2(西安市未央区市场监督管理局2023年度食品安全检测项目（未央湖（含草滩）、汉城市场监管所管辖区域内）)特定资格要求如下: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合同包3(西安市未央区市场监督管理局2023年度食品安全检测项目（徐家湾、未央宫市场监管所管辖区域内）)特定资格要求如下: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合同包4(西安市未央区市场监督管理局2023年度食品安全检测项目（谭家、六村堡市场监管所管辖区域内）)特定资格要求如下: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2023年03月17日 至 2023年03月23日 ，每天上午 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2023年04月06日 09时00分00秒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(一)招标文件获取方式详情：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制作电子投标文件(*.SXSTF) 需要使用专用制作工具。软件下载及操作说明 详见西安市公共资源交易平台〖首页〉服务指南〉下载专区〗中的《政府采购项目投标文件制作软件及操作手册》。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(二)提交投标文件方式详情：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2．开标形式：本项目将采用“不见面开标”形式。操作说明详见平台〖首页〉服务指南〉下载专区〗中的《西安公共资源交易不见面开标大厅投标人操作手册》。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 执行的其他政府采购政策：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 按照陕西省财政厅《关于政府采购投标人注册登记有关事项的通知》中的要求，投标人应通过陕西省政府采购网( http://www.ccgp-shaanxi.gov.cn/) 注册登记，加入陕西省政府采购投标人库。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名称：西安市未央区市场监督管理局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地址：未央区二府庄路3号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联系方式：029-86269962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地址：陕西省西安市高新区丈八街办高新三路8号913室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联系方式：029-88229191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项目联系人：董清漩</w:t>
      </w:r>
    </w:p>
    <w:p>
      <w:pPr>
        <w:pStyle w:val="34"/>
        <w:numPr>
          <w:ilvl w:val="0"/>
          <w:numId w:val="0"/>
        </w:numPr>
        <w:ind w:firstLine="480" w:firstLineChars="200"/>
        <w:rPr>
          <w:rFonts w:hint="eastAsia" w:ascii="宋体" w:hAnsi="宋体" w:eastAsia="宋体" w:cs="宋体"/>
        </w:rPr>
      </w:pPr>
      <w:r>
        <w:rPr>
          <w:rFonts w:hint="eastAsia" w:ascii="宋体" w:hAnsi="宋体" w:eastAsia="宋体" w:cs="宋体"/>
          <w:sz w:val="24"/>
          <w:szCs w:val="24"/>
        </w:rPr>
        <w:t>电话：029-88229191</w:t>
      </w: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640" w:firstLineChars="200"/>
        <w:jc w:val="both"/>
        <w:rPr>
          <w:rFonts w:hint="eastAsia" w:ascii="宋体" w:hAnsi="宋体" w:eastAsia="宋体" w:cs="宋体"/>
          <w:color w:val="000000" w:themeColor="text1"/>
          <w:sz w:val="32"/>
          <w:szCs w:val="32"/>
          <w:highlight w:val="none"/>
          <w14:textFill>
            <w14:solidFill>
              <w14:schemeClr w14:val="tx1"/>
            </w14:solidFill>
          </w14:textFill>
        </w:rPr>
      </w:pPr>
      <w:bookmarkStart w:id="3" w:name="_Toc445407251"/>
      <w:bookmarkStart w:id="4" w:name="_Toc498349068"/>
      <w:bookmarkStart w:id="5" w:name="_Toc533363262"/>
      <w:bookmarkStart w:id="6" w:name="_Toc534656409"/>
      <w:bookmarkStart w:id="7" w:name="_Toc533363235"/>
      <w:bookmarkStart w:id="8" w:name="_Toc100219613"/>
      <w:bookmarkStart w:id="9" w:name="_Toc97563329"/>
      <w:bookmarkStart w:id="10" w:name="_Toc534656414"/>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spacing w:line="240" w:lineRule="auto"/>
        <w:rPr>
          <w:rFonts w:hint="eastAsia" w:ascii="宋体" w:hAnsi="宋体" w:eastAsia="宋体" w:cs="宋体"/>
          <w:color w:val="000000" w:themeColor="text1"/>
          <w:highlight w:val="none"/>
          <w14:textFill>
            <w14:solidFill>
              <w14:schemeClr w14:val="tx1"/>
            </w14:solidFill>
          </w14:textFill>
        </w:rPr>
      </w:pPr>
      <w:bookmarkStart w:id="11" w:name="_Toc19037"/>
      <w:bookmarkStart w:id="12" w:name="_Toc2975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4"/>
        <w:spacing w:line="24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bookmarkStart w:id="13" w:name="_Toc22770"/>
      <w:bookmarkStart w:id="14" w:name="_Toc30178"/>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西安市未央区市场监督管理局2023年度食品安全检测项目（谭家、六村堡市场监管所管辖区域内）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ZJXG2023044-4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YS-未央区-2023-00075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826,000.00</w:t>
            </w:r>
            <w:r>
              <w:rPr>
                <w:rFonts w:hint="eastAsia" w:ascii="宋体" w:hAnsi="宋体" w:eastAsia="宋体" w:cs="宋体"/>
                <w:color w:val="000000" w:themeColor="text1"/>
                <w:sz w:val="21"/>
                <w:szCs w:val="21"/>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投标供应商无需提供；</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未央区</w:t>
            </w:r>
            <w:r>
              <w:rPr>
                <w:rFonts w:hint="eastAsia" w:ascii="宋体" w:hAnsi="宋体" w:eastAsia="宋体" w:cs="宋体"/>
                <w:color w:val="000000" w:themeColor="text1"/>
                <w:sz w:val="21"/>
                <w:szCs w:val="21"/>
                <w:highlight w:val="none"/>
                <w14:textFill>
                  <w14:solidFill>
                    <w14:schemeClr w14:val="tx1"/>
                  </w14:solidFill>
                </w14:textFill>
              </w:rPr>
              <w:t>财政局</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w:t>
            </w:r>
            <w:r>
              <w:rPr>
                <w:rFonts w:hint="eastAsia" w:ascii="宋体" w:hAnsi="宋体" w:eastAsia="宋体" w:cs="宋体"/>
                <w:color w:val="000000" w:themeColor="text1"/>
                <w:sz w:val="21"/>
                <w:szCs w:val="21"/>
                <w:highlight w:val="none"/>
                <w:lang w:eastAsia="zh-CN"/>
                <w14:textFill>
                  <w14:solidFill>
                    <w14:schemeClr w14:val="tx1"/>
                  </w14:solidFill>
                </w14:textFill>
              </w:rPr>
              <w:t>029-86276259</w:t>
            </w:r>
          </w:p>
          <w:p>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号）的规定收取。由中标人在领取中标通知书时向代理机构缴纳代理服务费，代理服务费金额详见结果公告</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代理服务收费标准及金额：</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lang w:eastAsia="zh-CN"/>
                <w14:textFill>
                  <w14:solidFill>
                    <w14:schemeClr w14:val="tx1"/>
                  </w14:solidFill>
                </w14:textFill>
              </w:rPr>
              <w:t>陕西中鉴项目管理有限公司</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r>
              <w:rPr>
                <w:rFonts w:hint="eastAsia" w:ascii="宋体" w:hAnsi="宋体" w:eastAsia="宋体" w:cs="宋体"/>
                <w:color w:val="000000" w:themeColor="text1"/>
                <w:sz w:val="21"/>
                <w:szCs w:val="21"/>
                <w:highlight w:val="none"/>
                <w:lang w:eastAsia="zh-CN"/>
                <w14:textFill>
                  <w14:solidFill>
                    <w14:schemeClr w14:val="tx1"/>
                  </w14:solidFill>
                </w14:textFill>
              </w:rPr>
              <w:t>招商银行股份有限公司西安分行营业部</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lang w:eastAsia="zh-CN"/>
                <w14:textFill>
                  <w14:solidFill>
                    <w14:schemeClr w14:val="tx1"/>
                  </w14:solidFill>
                </w14:textFill>
              </w:rPr>
              <w:t>129911072510777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核心产品</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bl>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"http://www.sxggzyjy.cn:9002/TPBidder/memberLogin"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5"/>
        <w:jc w:val="center"/>
        <w:rPr>
          <w:rFonts w:hint="eastAsia"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7" w:name="_Toc14756"/>
      <w:bookmarkStart w:id="18" w:name="_Toc8868"/>
      <w:bookmarkStart w:id="19" w:name="_Toc20407"/>
      <w:bookmarkStart w:id="20" w:name="_Toc30137"/>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widowControl w:val="0"/>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办理数字认证（CA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 w:name="_Toc6459"/>
      <w:bookmarkStart w:id="22" w:name="_Toc2759"/>
      <w:bookmarkStart w:id="23" w:name="_Toc5831"/>
      <w:bookmarkStart w:id="24" w:name="_Toc24461"/>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5" w:name="_Toc15516"/>
      <w:bookmarkStart w:id="26" w:name="_Toc15623"/>
      <w:bookmarkStart w:id="27" w:name="_Toc4510"/>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28" w:name="_Toc11611"/>
      <w:bookmarkStart w:id="29" w:name="_Toc11622"/>
      <w:bookmarkStart w:id="30" w:name="_Toc31375"/>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"http://download.ccgp.gov.cn/2018/zhiyihanfanben.zip"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1" w:name="_Toc20429"/>
      <w:bookmarkStart w:id="32" w:name="_Toc19223"/>
      <w:bookmarkStart w:id="33" w:name="_Toc29985"/>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提出投诉。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"http://download.ccgp.gov.cn/2018/tousushufanben.zip"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34" w:name="_Toc18052"/>
      <w:bookmarkStart w:id="35" w:name="_Toc7447"/>
      <w:bookmarkStart w:id="36" w:name="_Toc4027"/>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37" w:name="_Toc27472"/>
      <w:bookmarkStart w:id="38" w:name="_Toc21499"/>
      <w:bookmarkStart w:id="39" w:name="_Toc30104"/>
      <w:bookmarkStart w:id="40" w:name="_Toc136"/>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1" w:name="_Toc6123"/>
      <w:bookmarkStart w:id="42" w:name="_Toc16559"/>
      <w:bookmarkStart w:id="43" w:name="_Toc9131"/>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"http://xaczj.xa.gov.cn/zfcg/cgfg/5db90552fd850863a9e4594d.html"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"http://xaczj.xa.gov.cn/zfcg/cgfg/5db9054565cbd804f69e97e0.html"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4" w:name="_Toc20565"/>
      <w:bookmarkStart w:id="45" w:name="_Toc629"/>
      <w:bookmarkStart w:id="46" w:name="_Toc911"/>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47" w:name="_Toc15288"/>
      <w:bookmarkStart w:id="48" w:name="_Toc25849"/>
      <w:bookmarkStart w:id="49" w:name="_Toc22998"/>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0" w:name="_Toc1911"/>
      <w:bookmarkStart w:id="51" w:name="_Toc13221"/>
      <w:bookmarkStart w:id="52" w:name="_Toc12900"/>
      <w:bookmarkStart w:id="53" w:name="_Toc25938"/>
      <w:r>
        <w:rPr>
          <w:rFonts w:hint="eastAsia" w:ascii="宋体" w:hAnsi="宋体" w:eastAsia="宋体" w:cs="宋体"/>
          <w:color w:val="000000" w:themeColor="text1"/>
          <w:sz w:val="28"/>
          <w:szCs w:val="28"/>
          <w:highlight w:val="none"/>
          <w:lang w:val="en-US" w:eastAsia="zh-CN"/>
          <w14:textFill>
            <w14:solidFill>
              <w14:schemeClr w14:val="tx1"/>
            </w14:solidFill>
          </w14:textFill>
        </w:rPr>
        <w:t>不收取</w:t>
      </w:r>
    </w:p>
    <w:p>
      <w:pPr>
        <w:spacing w:line="560" w:lineRule="exact"/>
        <w:ind w:firstLine="562" w:firstLineChars="20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财政部关于进一步加大政府采购支持中小企业力度的通知》（财库〔2022〕19号）大中型企业与小微企业组成联合体或者大中型企业向小微企业分包的，评审优惠幅度由2%-3%提高至4%-6%，用扣除后的价格参加评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中载明“接受联合体”时，两个以上供应商可以组成一个联合体，以一个供应商的身份参与投标。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中基本资格要求。《法定代表人委托授权书》由联合体牵头人的法定代表人（法人单位）或负责人（非法人单位）代表联合体各方进行签字、盖章，并对联合体各方负责。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4" w:name="_Toc3859"/>
      <w:bookmarkStart w:id="55" w:name="_Toc11831"/>
      <w:bookmarkStart w:id="56" w:name="_Toc5209"/>
      <w:bookmarkStart w:id="57" w:name="_Toc29747"/>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将明确载明“允许进口产品参与”，此时满足招标文件要求的国产产品仍然可以参与竞争。否则，视为拒绝进口产品参与，供应商以进口产品参与投标时，将作无效投标处理。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58" w:name="_Toc15417"/>
      <w:bookmarkStart w:id="59" w:name="_Toc4734"/>
      <w:bookmarkStart w:id="60" w:name="_Toc22855"/>
      <w:bookmarkStart w:id="61" w:name="_Toc1509"/>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2" w:name="_Toc6126"/>
      <w:bookmarkStart w:id="63" w:name="_Toc21485"/>
      <w:bookmarkStart w:id="64" w:name="_Toc10187"/>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bookmarkStart w:id="65" w:name="_Toc5394"/>
      <w:bookmarkStart w:id="66" w:name="_Toc8987"/>
      <w:bookmarkStart w:id="67" w:name="_Toc2556"/>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06"/>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68" w:name="_Toc15090"/>
      <w:bookmarkStart w:id="69" w:name="_Toc18572"/>
      <w:bookmarkStart w:id="70" w:name="_Toc26083"/>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"http://www.ccgp-shaanxi.gov.cn/zcdservice/zcd/shanxi/article/zcdt/1390497710741917696"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1" w:name="_Toc3783"/>
      <w:bookmarkStart w:id="72" w:name="_Toc21474"/>
      <w:bookmarkStart w:id="73" w:name="_Toc23131"/>
      <w:bookmarkStart w:id="74" w:name="_Toc903"/>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中明确载明安排上述活动的，各供应商应派出技术、预算等相关人员，在招标文件约定的时间、地点参加现场踏勘\标前集中答疑。</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5" w:name="_Toc22889"/>
      <w:bookmarkStart w:id="76" w:name="_Toc21460"/>
      <w:bookmarkStart w:id="77" w:name="_Toc11425"/>
      <w:bookmarkStart w:id="78" w:name="_Toc11850"/>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79" w:name="_Toc21312"/>
      <w:bookmarkStart w:id="80" w:name="_Toc5554"/>
      <w:bookmarkStart w:id="81" w:name="_Toc4702"/>
      <w:bookmarkStart w:id="82" w:name="_Toc30039"/>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3" w:name="_Toc31993"/>
      <w:bookmarkStart w:id="84" w:name="_Toc2960"/>
      <w:bookmarkStart w:id="85" w:name="_Toc873"/>
      <w:bookmarkStart w:id="86" w:name="_Toc27768"/>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87" w:name="_Toc13558"/>
      <w:bookmarkStart w:id="88" w:name="_Toc20950"/>
      <w:bookmarkStart w:id="89" w:name="_Toc7336"/>
      <w:bookmarkStart w:id="90" w:name="_Toc31802"/>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2" w:name="_Toc13951"/>
      <w:bookmarkStart w:id="93" w:name="_Toc17994"/>
      <w:bookmarkStart w:id="94" w:name="_Toc22177"/>
      <w:bookmarkStart w:id="95" w:name="_Toc25768"/>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96" w:name="_Toc27003"/>
      <w:bookmarkStart w:id="97" w:name="_Toc29738"/>
      <w:bookmarkStart w:id="98" w:name="_Toc932"/>
      <w:bookmarkStart w:id="99" w:name="_Toc31173"/>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第1章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0" w:name="_Toc29373"/>
      <w:bookmarkStart w:id="101" w:name="_Toc28534"/>
      <w:bookmarkStart w:id="102" w:name="_Toc12003"/>
      <w:bookmarkStart w:id="103" w:name="_Toc9476"/>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4" w:name="_Toc16075"/>
      <w:bookmarkStart w:id="105" w:name="_Toc6838"/>
      <w:bookmarkStart w:id="106" w:name="_Toc22897"/>
      <w:bookmarkStart w:id="107" w:name="_Toc15105"/>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"http://xa.sxggzyjy.cn/"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09" w:name="_Toc7988"/>
      <w:bookmarkStart w:id="110" w:name="_Toc27491"/>
      <w:bookmarkStart w:id="111" w:name="_Toc32648"/>
      <w:bookmarkStart w:id="112" w:name="_Toc26487"/>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3" w:name="_Toc7870"/>
      <w:bookmarkStart w:id="114" w:name="_Toc4380"/>
      <w:bookmarkStart w:id="115" w:name="_Toc10324"/>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6" w:name="_Toc6421"/>
      <w:bookmarkStart w:id="117" w:name="_Toc2969"/>
      <w:bookmarkStart w:id="118" w:name="_Toc7406"/>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19" w:name="_Toc5789"/>
      <w:bookmarkStart w:id="120" w:name="_Toc9006"/>
      <w:bookmarkStart w:id="121" w:name="_Toc3202"/>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2" w:name="_Toc13964"/>
      <w:bookmarkStart w:id="123" w:name="_Toc29110"/>
      <w:bookmarkStart w:id="124" w:name="_Toc32395"/>
      <w:bookmarkStart w:id="125" w:name="_Toc19653"/>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26" w:name="_Toc24036"/>
      <w:bookmarkStart w:id="127" w:name="_Toc10386"/>
      <w:bookmarkStart w:id="128" w:name="_Toc24676"/>
      <w:bookmarkStart w:id="129" w:name="_Toc931"/>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投标报价是供应商响应采购项目要求的全部工作内容的价格体现，包括完成采购内容所需的人工费、</w:t>
      </w:r>
      <w:r>
        <w:rPr>
          <w:rFonts w:hint="eastAsia" w:ascii="宋体" w:hAnsi="宋体" w:eastAsia="宋体" w:cs="宋体"/>
          <w:color w:val="000000" w:themeColor="text1"/>
          <w:sz w:val="28"/>
          <w:szCs w:val="28"/>
          <w:highlight w:val="none"/>
          <w:lang w:val="en-US" w:eastAsia="zh-CN"/>
          <w14:textFill>
            <w14:solidFill>
              <w14:schemeClr w14:val="tx1"/>
            </w14:solidFill>
          </w14:textFill>
        </w:rPr>
        <w:t>检测费、</w:t>
      </w:r>
      <w:r>
        <w:rPr>
          <w:rFonts w:hint="eastAsia" w:ascii="宋体" w:hAnsi="宋体" w:eastAsia="宋体" w:cs="宋体"/>
          <w:color w:val="000000" w:themeColor="text1"/>
          <w:sz w:val="28"/>
          <w:szCs w:val="28"/>
          <w:highlight w:val="none"/>
          <w14:textFill>
            <w14:solidFill>
              <w14:schemeClr w14:val="tx1"/>
            </w14:solidFill>
          </w14:textFill>
        </w:rPr>
        <w:t>材料费、</w:t>
      </w:r>
      <w:r>
        <w:rPr>
          <w:rFonts w:hint="eastAsia" w:ascii="宋体" w:hAnsi="宋体" w:eastAsia="宋体" w:cs="宋体"/>
          <w:color w:val="000000" w:themeColor="text1"/>
          <w:sz w:val="28"/>
          <w:szCs w:val="28"/>
          <w:highlight w:val="none"/>
          <w:lang w:val="en-US" w:eastAsia="zh-CN"/>
          <w14:textFill>
            <w14:solidFill>
              <w14:schemeClr w14:val="tx1"/>
            </w14:solidFill>
          </w14:textFill>
        </w:rPr>
        <w:t>交通</w:t>
      </w:r>
      <w:r>
        <w:rPr>
          <w:rFonts w:hint="eastAsia" w:ascii="宋体" w:hAnsi="宋体" w:eastAsia="宋体" w:cs="宋体"/>
          <w:color w:val="000000" w:themeColor="text1"/>
          <w:sz w:val="28"/>
          <w:szCs w:val="28"/>
          <w:highlight w:val="none"/>
          <w14:textFill>
            <w14:solidFill>
              <w14:schemeClr w14:val="tx1"/>
            </w14:solidFill>
          </w14:textFill>
        </w:rPr>
        <w:t>费、利润、税金及评审过程中其它相关的一切费用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具体报价要求详见开标一览表要求</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0" w:name="_Toc19004"/>
      <w:bookmarkStart w:id="131" w:name="_Toc20169"/>
      <w:bookmarkStart w:id="132" w:name="_Toc29068"/>
      <w:bookmarkStart w:id="133" w:name="_Toc3121"/>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"http://sxggzyjy.xa.gov.cn/fwzn/004003/20181115/4d59c184-e8f6-4d5a-a416-c2f6b0601e66.html"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3"/>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4" w:name="_Toc16688"/>
      <w:bookmarkStart w:id="135" w:name="_Toc809"/>
      <w:bookmarkStart w:id="136" w:name="_Toc3908"/>
      <w:bookmarkStart w:id="137" w:name="_Toc19771"/>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5229"/>
      <w:bookmarkStart w:id="140" w:name="_Toc1286"/>
      <w:bookmarkStart w:id="141" w:name="_Toc10498"/>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2" w:name="_Toc23655"/>
      <w:bookmarkStart w:id="143" w:name="_Toc18903"/>
      <w:bookmarkStart w:id="144" w:name="_Toc9753"/>
      <w:bookmarkStart w:id="145" w:name="_Toc8326"/>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6" w:name="_Toc22062"/>
      <w:bookmarkStart w:id="147" w:name="_Toc26136"/>
      <w:bookmarkStart w:id="148" w:name="_Toc32375"/>
      <w:bookmarkStart w:id="149" w:name="_Toc9954"/>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"http://sxggzyjy.xa.gov.cn/fwzn/004003/20200426/bc8b2c1e-abe2-4168-913c-68ff93345faf.html"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1" w:name="_Toc12424"/>
      <w:bookmarkStart w:id="152" w:name="_Toc7605"/>
      <w:bookmarkStart w:id="153" w:name="_Toc9214"/>
      <w:bookmarkStart w:id="154" w:name="_Toc10446"/>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5" w:name="_Toc4986"/>
      <w:bookmarkStart w:id="156" w:name="_Toc10968"/>
      <w:bookmarkStart w:id="157" w:name="_Toc21249"/>
      <w:bookmarkStart w:id="158" w:name="_Toc25819"/>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7"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4"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财务状况报告</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2021或2022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0" w:hRule="atLeast"/>
          <w:jc w:val="center"/>
        </w:trPr>
        <w:tc>
          <w:tcPr>
            <w:tcW w:w="836"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税收缴纳证明</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提供2022年至今已缴纳的1个月的纳税证明或完税证明，依法免税的单位应提供相关证明材料；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提供2022年至今已缴纳的1个月的社会保障资金缴存单据或社保机构开具的社会保险参保缴费情况证明，依法不需要缴纳社会保障资金的单位应提供相关证明材料；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履行合同所必需的设备和专业技术能力</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提供具有履行合同所必需的设备和专业技术能力的承诺；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前三年</w:t>
            </w: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授权书被授权人身份证</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法定代表人授权书及被授权人身份证（法定代表人直接参加投标的须提供其法人身份证），非法人单位参照执行；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信用查询</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资质证书</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供应商须提供检验检测机构资质认定证书CMA（证书附表包含食品)及农产品质量安全检测机构考核合格证书CATL；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8" w:hRule="atLeast"/>
          <w:jc w:val="center"/>
        </w:trPr>
        <w:tc>
          <w:tcPr>
            <w:tcW w:w="8868" w:type="dxa"/>
            <w:gridSpan w:val="3"/>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注意事项：</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3．以联合体形式参与投标时，应提供有效的《联合体协议书》，并遵循招标文件第二章中“关于联合体”的相关规定。</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4"/>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rPr>
          <w:rFonts w:hint="eastAsia" w:ascii="宋体" w:hAnsi="宋体" w:eastAsia="宋体" w:cs="宋体"/>
          <w:color w:val="000000" w:themeColor="text1"/>
          <w:sz w:val="28"/>
          <w:szCs w:val="28"/>
          <w:highlight w:val="none"/>
          <w14:textFill>
            <w14:solidFill>
              <w14:schemeClr w14:val="tx1"/>
            </w14:solidFill>
          </w14:textFill>
        </w:rPr>
      </w:pP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1" w:name="_Toc29299"/>
      <w:bookmarkStart w:id="162" w:name="_Toc17161"/>
      <w:bookmarkStart w:id="163" w:name="_Toc14101"/>
      <w:bookmarkStart w:id="164" w:name="_Toc3761"/>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65" w:name="_Toc26336"/>
      <w:bookmarkStart w:id="166" w:name="_Toc20873"/>
      <w:bookmarkStart w:id="167" w:name="_Toc14944"/>
      <w:bookmarkStart w:id="168" w:name="_Toc27527"/>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69" w:name="_Toc18155"/>
      <w:bookmarkStart w:id="170" w:name="_Toc5086"/>
      <w:bookmarkStart w:id="171" w:name="_Toc32585"/>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72" w:name="_Toc28107"/>
      <w:bookmarkStart w:id="173" w:name="_Toc19123"/>
      <w:bookmarkStart w:id="174" w:name="_Toc1702"/>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6"/>
        <w:tblW w:w="94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2586"/>
        <w:gridCol w:w="58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58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890"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6" w:type="dxa"/>
            <w:tcBorders>
              <w:top w:val="single" w:color="auto" w:sz="2" w:space="0"/>
            </w:tcBorders>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890" w:type="dxa"/>
            <w:tcBorders>
              <w:top w:val="single" w:color="auto" w:sz="2" w:space="0"/>
            </w:tcBorders>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是否满足招标文件要求</w:t>
            </w:r>
          </w:p>
        </w:tc>
        <w:tc>
          <w:tcPr>
            <w:tcW w:w="5890"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服务质量</w:t>
            </w:r>
            <w:r>
              <w:rPr>
                <w:rFonts w:hint="eastAsia" w:ascii="宋体" w:hAnsi="宋体" w:eastAsia="宋体" w:cs="宋体"/>
                <w:color w:val="000000" w:themeColor="text1"/>
                <w:sz w:val="28"/>
                <w:szCs w:val="28"/>
                <w:highlight w:val="none"/>
                <w14:textFill>
                  <w14:solidFill>
                    <w14:schemeClr w14:val="tx1"/>
                  </w14:solidFill>
                </w14:textFill>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890" w:type="dxa"/>
            <w:vAlign w:val="center"/>
          </w:tcPr>
          <w:p>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75" w:name="_Toc26455"/>
            <w:bookmarkStart w:id="176" w:name="_Toc21491"/>
            <w:bookmarkStart w:id="177" w:name="_Toc9318"/>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5890"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完全响应招标文件商务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要求，不得出现负偏离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实质性条款响应</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电子投标文件雷同性分析</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6"/>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459"/>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74"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bookmarkStart w:id="178" w:name="_Toc29982"/>
            <w:bookmarkStart w:id="179" w:name="_Toc16015"/>
            <w:bookmarkStart w:id="180" w:name="_Toc14692"/>
            <w:r>
              <w:rPr>
                <w:rFonts w:hint="eastAsia" w:ascii="宋体" w:hAnsi="宋体" w:eastAsia="宋体" w:cs="宋体"/>
                <w:color w:val="000000" w:themeColor="text1"/>
                <w:highlight w:val="none"/>
                <w14:textFill>
                  <w14:solidFill>
                    <w14:schemeClr w14:val="tx1"/>
                  </w14:solidFill>
                </w14:textFill>
              </w:rPr>
              <w:t>评审项</w:t>
            </w:r>
          </w:p>
        </w:tc>
        <w:tc>
          <w:tcPr>
            <w:tcW w:w="145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389" w:type="dxa"/>
            <w:noWrap/>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报价</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lang w:val="en-US" w:eastAsia="zh-CN"/>
              </w:rPr>
              <w:t>资格性及符合性审查</w:t>
            </w:r>
            <w:r>
              <w:rPr>
                <w:rFonts w:hint="eastAsia" w:ascii="宋体" w:hAnsi="宋体" w:eastAsia="宋体" w:cs="宋体"/>
                <w:color w:val="auto"/>
                <w:highlight w:val="none"/>
              </w:rPr>
              <w:t>合格的供应商，其投标报价为有效报价。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评标基准价：即满足采购文件要求且报价最低的为评标基准价。</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其他供应商的价格分统一按照下列公式计算。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报价得分=(评标基准价/投标报价)×</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000000"/>
                <w:sz w:val="24"/>
                <w:szCs w:val="22"/>
                <w:highlight w:val="none"/>
                <w:lang w:val="en-US" w:eastAsia="zh-CN"/>
              </w:rPr>
              <w:t>盲样考核</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参加各级市场监督管理局组织的2022年食品安全抽检检测承检机构盲样考核，全部满意（含基本满意）得15.0分，出现不满意项目一项结果扣5.0分，扣完为止，不计负分。（提供相关证明材料复印件加盖公章，提供虚假资料按无效投标处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靶向性抽检不合格率</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靶向性抽检不合格率（提供相关证明材料复印件加盖公章，提供虚假资料按无效投标处理）：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供应商提供2022年已合作三家单位抽检200批次以上的抽检不合格率证明材料（包括签订的抽检合同及抽检不合格率的证明材料），</w:t>
            </w:r>
            <w:r>
              <w:rPr>
                <w:rFonts w:hint="eastAsia" w:ascii="宋体" w:hAnsi="宋体" w:eastAsia="宋体" w:cs="宋体"/>
                <w:color w:val="000000"/>
                <w:sz w:val="24"/>
                <w:szCs w:val="22"/>
                <w:lang w:val="zh-CN" w:eastAsia="zh-CN"/>
              </w:rPr>
              <w:t>根据</w:t>
            </w:r>
            <w:r>
              <w:rPr>
                <w:rFonts w:hint="eastAsia" w:ascii="宋体" w:hAnsi="宋体" w:eastAsia="宋体" w:cs="宋体"/>
                <w:color w:val="000000"/>
                <w:sz w:val="24"/>
                <w:szCs w:val="22"/>
                <w:lang w:val="en-US" w:eastAsia="zh-CN"/>
              </w:rPr>
              <w:t>抽检不合格率横向比较，按</w:t>
            </w:r>
            <w:r>
              <w:rPr>
                <w:rFonts w:hint="eastAsia" w:ascii="宋体" w:hAnsi="宋体" w:eastAsia="宋体" w:cs="宋体"/>
                <w:color w:val="000000"/>
                <w:sz w:val="24"/>
                <w:szCs w:val="22"/>
                <w:lang w:val="zh-CN" w:eastAsia="zh-CN"/>
              </w:rPr>
              <w:t>响应程度</w:t>
            </w:r>
            <w:r>
              <w:rPr>
                <w:rFonts w:hint="eastAsia" w:ascii="宋体" w:hAnsi="宋体" w:eastAsia="宋体" w:cs="宋体"/>
                <w:color w:val="000000"/>
                <w:sz w:val="24"/>
                <w:szCs w:val="22"/>
                <w:lang w:val="en-US" w:eastAsia="zh-CN"/>
              </w:rPr>
              <w:t>：</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达到3.5%-4.0%（含3.5%）得15.0-10.0分；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达到3.0%-3.5%（含3.0%，不含3.5%）得9.9-5.0分；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达到2.5%-3.0%（含2.5%，不含3.0%）得4.9-1.0分；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000000"/>
                <w:sz w:val="24"/>
                <w:szCs w:val="22"/>
                <w:lang w:val="en-US" w:eastAsia="zh-CN"/>
              </w:rPr>
              <w:t>低于2.5%及无证明材料的不计分。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人员组织方案</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拟派项目组成员，成员分工，专业素养，岗位职责（提供相关证明材料复印件加盖公章，提供虚假资料按无效投标处理）：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拟投入项目人员设置合理，管理人员及技术人员配备数量充足、专业素养强大、人员职责明确、分工清晰合理、相关项目实施经验丰富，得15.0-10.0分；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拟投入项目人员设置较为合理，管理人员及技术人员配备数量较充足、专业素养较强、职责较明确、分工较清晰合理、相关项目实施经验较丰富，得9.9-5.0分；</w:t>
            </w:r>
          </w:p>
          <w:p>
            <w:pPr>
              <w:pStyle w:val="34"/>
              <w:spacing w:line="360" w:lineRule="auto"/>
              <w:ind w:firstLine="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拟投入项目人员设置一般，管理人员及技术人员配备数量不够充足、专业素养一般、职责不够明确、分工不够清晰合理，不具备相关项目实施经验，得4.9-1.0分；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74" w:type="dxa"/>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000000"/>
                <w:sz w:val="24"/>
                <w:szCs w:val="22"/>
                <w:lang w:val="en-US" w:eastAsia="zh-CN"/>
              </w:rPr>
              <w:t>配备的检测仪器</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针对本项目配备的检测仪器的技术指标、配置、功能、质量标准、检测标准符合或高于国家标准（提供购置发票、相关图片和仪器检定或校准合格证书，复印件加盖单位公章为准），根据响应程度：</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检测仪器设备完全满足本项目检测要求得15.0-10.0分；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检测仪器设备基本满足本项目检测要求得9.9-5.0分；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检测仪器设备无法完全满足本项目检测要求得4.9-1.0分；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SA"/>
              </w:rPr>
              <w:t>合理化建议</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10.0分</w:t>
            </w:r>
          </w:p>
        </w:tc>
        <w:tc>
          <w:tcPr>
            <w:tcW w:w="7389" w:type="dxa"/>
            <w:noWrap/>
            <w:vAlign w:val="center"/>
          </w:tcPr>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对本项目的合理化建议：</w:t>
            </w:r>
          </w:p>
          <w:p>
            <w:pPr>
              <w:pStyle w:val="34"/>
              <w:spacing w:line="360" w:lineRule="auto"/>
              <w:ind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有利于本项目工作顺利进行的合理化建议详细合理，针对性强得10.0-6.0；</w:t>
            </w:r>
          </w:p>
          <w:p>
            <w:pPr>
              <w:pStyle w:val="34"/>
              <w:spacing w:line="360" w:lineRule="auto"/>
              <w:ind w:firstLine="0"/>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ar-SA"/>
              </w:rPr>
              <w:t>合理化建议简洁，针对性一般得5.9-1.0分；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zh-CN" w:eastAsia="zh-CN" w:bidi="ar-SA"/>
              </w:rPr>
              <w:t>质量保证措施</w:t>
            </w:r>
          </w:p>
        </w:tc>
        <w:tc>
          <w:tcPr>
            <w:tcW w:w="1459" w:type="dxa"/>
            <w:noWrap/>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tc>
        <w:tc>
          <w:tcPr>
            <w:tcW w:w="7389" w:type="dxa"/>
            <w:noWrap/>
            <w:vAlign w:val="center"/>
          </w:tcPr>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服务质量保证措施，根据响应程度：</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有具体可行的质量保证措施</w:t>
            </w:r>
            <w:r>
              <w:rPr>
                <w:rFonts w:hint="eastAsia" w:ascii="宋体" w:hAnsi="宋体" w:eastAsia="宋体" w:cs="宋体"/>
                <w:color w:val="auto"/>
                <w:kern w:val="0"/>
                <w:sz w:val="24"/>
                <w:szCs w:val="24"/>
                <w:highlight w:val="none"/>
                <w:lang w:val="en-US" w:eastAsia="zh-CN" w:bidi="ar-SA"/>
              </w:rPr>
              <w:t>方案</w:t>
            </w:r>
            <w:r>
              <w:rPr>
                <w:rFonts w:hint="eastAsia" w:ascii="宋体" w:hAnsi="宋体" w:eastAsia="宋体" w:cs="宋体"/>
                <w:color w:val="auto"/>
                <w:kern w:val="0"/>
                <w:sz w:val="24"/>
                <w:szCs w:val="24"/>
                <w:highlight w:val="none"/>
                <w:lang w:val="zh-CN" w:eastAsia="zh-CN" w:bidi="ar-SA"/>
              </w:rPr>
              <w:t>，方案具体、完整、可操作性强的得</w:t>
            </w:r>
            <w:r>
              <w:rPr>
                <w:rFonts w:hint="eastAsia" w:ascii="宋体" w:hAnsi="宋体" w:eastAsia="宋体" w:cs="宋体"/>
                <w:color w:val="000000"/>
                <w:sz w:val="24"/>
                <w:szCs w:val="22"/>
                <w:lang w:val="en-US" w:eastAsia="zh-CN"/>
              </w:rPr>
              <w:t>15.0-10.0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方案中服务质量保证描述合理，措施得当，可操作性较强得</w:t>
            </w:r>
            <w:r>
              <w:rPr>
                <w:rFonts w:hint="eastAsia" w:ascii="宋体" w:hAnsi="宋体" w:eastAsia="宋体" w:cs="宋体"/>
                <w:color w:val="000000"/>
                <w:sz w:val="24"/>
                <w:szCs w:val="22"/>
                <w:lang w:val="en-US" w:eastAsia="zh-CN"/>
              </w:rPr>
              <w:t>9.9-5.0</w:t>
            </w:r>
            <w:r>
              <w:rPr>
                <w:rFonts w:hint="eastAsia" w:ascii="宋体" w:hAnsi="宋体" w:eastAsia="宋体" w:cs="宋体"/>
                <w:color w:val="auto"/>
                <w:kern w:val="0"/>
                <w:sz w:val="24"/>
                <w:szCs w:val="24"/>
                <w:highlight w:val="none"/>
                <w:lang w:val="en-US" w:eastAsia="zh-CN" w:bidi="ar-SA"/>
              </w:rPr>
              <w:t>分；</w:t>
            </w:r>
          </w:p>
          <w:p>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方案有明显缺漏项，不能完全保证服务期内质量保证需求，可操作性</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zh-CN" w:eastAsia="zh-CN" w:bidi="ar-SA"/>
              </w:rPr>
              <w:t>的</w:t>
            </w:r>
            <w:r>
              <w:rPr>
                <w:rFonts w:hint="eastAsia" w:ascii="宋体" w:hAnsi="宋体" w:eastAsia="宋体" w:cs="宋体"/>
                <w:color w:val="auto"/>
                <w:kern w:val="0"/>
                <w:sz w:val="24"/>
                <w:szCs w:val="24"/>
                <w:highlight w:val="none"/>
                <w:lang w:val="en-US" w:eastAsia="zh-CN" w:bidi="ar-SA"/>
              </w:rPr>
              <w:t>得</w:t>
            </w:r>
            <w:r>
              <w:rPr>
                <w:rFonts w:hint="eastAsia" w:ascii="宋体" w:hAnsi="宋体" w:eastAsia="宋体" w:cs="宋体"/>
                <w:color w:val="000000"/>
                <w:sz w:val="24"/>
                <w:szCs w:val="22"/>
                <w:lang w:val="en-US" w:eastAsia="zh-CN"/>
              </w:rPr>
              <w:t>4.9-1.0</w:t>
            </w:r>
            <w:r>
              <w:rPr>
                <w:rFonts w:hint="eastAsia" w:ascii="宋体" w:hAnsi="宋体" w:eastAsia="宋体" w:cs="宋体"/>
                <w:color w:val="auto"/>
                <w:kern w:val="0"/>
                <w:sz w:val="24"/>
                <w:szCs w:val="24"/>
                <w:highlight w:val="none"/>
                <w:lang w:val="zh-CN" w:eastAsia="zh-CN" w:bidi="ar-SA"/>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未提供不计分</w:t>
            </w: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业绩</w:t>
            </w:r>
          </w:p>
        </w:tc>
        <w:tc>
          <w:tcPr>
            <w:tcW w:w="1459"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5.0分</w:t>
            </w:r>
          </w:p>
        </w:tc>
        <w:tc>
          <w:tcPr>
            <w:tcW w:w="7389" w:type="dxa"/>
            <w:noWrap/>
            <w:vAlign w:val="center"/>
          </w:tcPr>
          <w:p>
            <w:pPr>
              <w:spacing w:line="360" w:lineRule="auto"/>
              <w:rPr>
                <w:rFonts w:hint="eastAsia" w:ascii="宋体" w:hAnsi="宋体" w:eastAsia="宋体" w:cs="宋体"/>
                <w:lang w:eastAsia="zh-CN"/>
              </w:rPr>
            </w:pPr>
            <w:r>
              <w:rPr>
                <w:rFonts w:hint="eastAsia" w:ascii="宋体" w:hAnsi="宋体" w:eastAsia="宋体" w:cs="宋体"/>
              </w:rPr>
              <w:t>具有同类项目业绩，每提供一个计1</w:t>
            </w:r>
            <w:r>
              <w:rPr>
                <w:rFonts w:hint="eastAsia" w:ascii="宋体" w:hAnsi="宋体" w:eastAsia="宋体" w:cs="宋体"/>
                <w:lang w:val="en-US" w:eastAsia="zh-CN"/>
              </w:rPr>
              <w:t>.0</w:t>
            </w:r>
            <w:r>
              <w:rPr>
                <w:rFonts w:hint="eastAsia" w:ascii="宋体" w:hAnsi="宋体" w:eastAsia="宋体" w:cs="宋体"/>
              </w:rPr>
              <w:t>分，满分</w:t>
            </w:r>
            <w:r>
              <w:rPr>
                <w:rFonts w:hint="eastAsia" w:ascii="宋体" w:hAnsi="宋体" w:eastAsia="宋体" w:cs="宋体"/>
                <w:lang w:val="en-US" w:eastAsia="zh-CN"/>
              </w:rPr>
              <w:t>5.0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供应</w:t>
            </w:r>
            <w:r>
              <w:rPr>
                <w:rFonts w:hint="eastAsia" w:ascii="宋体" w:hAnsi="宋体" w:eastAsia="宋体" w:cs="宋体"/>
                <w:lang w:val="en-US" w:eastAsia="zh-CN"/>
              </w:rPr>
              <w:t>在</w:t>
            </w:r>
            <w:r>
              <w:rPr>
                <w:rFonts w:hint="eastAsia" w:ascii="宋体" w:hAnsi="宋体" w:eastAsia="宋体" w:cs="宋体"/>
              </w:rPr>
              <w:t>响应文件中提供合同复印件加盖</w:t>
            </w:r>
            <w:r>
              <w:rPr>
                <w:rFonts w:hint="eastAsia" w:ascii="宋体" w:hAnsi="宋体" w:eastAsia="宋体" w:cs="宋体"/>
                <w:lang w:val="en-US" w:eastAsia="zh-CN"/>
              </w:rPr>
              <w:t>单位公章，</w:t>
            </w:r>
            <w:r>
              <w:rPr>
                <w:rFonts w:hint="eastAsia" w:ascii="宋体" w:hAnsi="宋体" w:eastAsia="宋体" w:cs="宋体"/>
              </w:rPr>
              <w:t>弄虚作假者，取消其</w:t>
            </w:r>
            <w:r>
              <w:rPr>
                <w:rFonts w:hint="eastAsia" w:ascii="宋体" w:hAnsi="宋体" w:eastAsia="宋体" w:cs="宋体"/>
                <w:lang w:eastAsia="zh-CN"/>
              </w:rPr>
              <w:t>成交</w:t>
            </w:r>
            <w:r>
              <w:rPr>
                <w:rFonts w:hint="eastAsia" w:ascii="宋体" w:hAnsi="宋体" w:eastAsia="宋体" w:cs="宋体"/>
              </w:rPr>
              <w:t>资格</w:t>
            </w:r>
            <w:r>
              <w:rPr>
                <w:rFonts w:hint="eastAsia" w:ascii="宋体" w:hAnsi="宋体" w:eastAsia="宋体" w:cs="宋体"/>
                <w:lang w:eastAsia="zh-CN"/>
              </w:rPr>
              <w:t>）；</w:t>
            </w:r>
          </w:p>
          <w:p>
            <w:pPr>
              <w:pStyle w:val="34"/>
              <w:ind w:left="0" w:leftChars="0" w:firstLine="0" w:firstLineChars="0"/>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bidi="ar-SA"/>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4" w:type="dxa"/>
            <w:noWrap/>
            <w:vAlign w:val="center"/>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848" w:type="dxa"/>
            <w:gridSpan w:val="2"/>
            <w:noWrap/>
            <w:vAlign w:val="center"/>
          </w:tcPr>
          <w:p>
            <w:pPr>
              <w:pStyle w:val="2"/>
              <w:pBdr>
                <w:between w:val="single" w:color="auto" w:sz="4" w:space="1"/>
              </w:pBd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r>
              <w:rPr>
                <w:rFonts w:hint="eastAsia" w:ascii="宋体" w:hAnsi="宋体" w:eastAsia="宋体" w:cs="宋体"/>
                <w:color w:val="000000" w:themeColor="text1"/>
                <w:highlight w:val="none"/>
                <w:lang w:eastAsia="zh-CN"/>
                <w14:textFill>
                  <w14:solidFill>
                    <w14:schemeClr w14:val="tx1"/>
                  </w14:solidFill>
                </w14:textFill>
              </w:rPr>
              <w:t>。</w:t>
            </w:r>
          </w:p>
        </w:tc>
      </w:tr>
    </w:tbl>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78"/>
      <w:bookmarkEnd w:id="179"/>
      <w:bookmarkEnd w:id="180"/>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6"/>
        <w:outlineLvl w:val="9"/>
        <w:rPr>
          <w:rFonts w:hint="eastAsia" w:ascii="宋体" w:hAnsi="宋体" w:eastAsia="宋体" w:cs="宋体"/>
          <w:color w:val="000000" w:themeColor="text1"/>
          <w:sz w:val="28"/>
          <w:szCs w:val="28"/>
          <w:highlight w:val="none"/>
          <w14:textFill>
            <w14:solidFill>
              <w14:schemeClr w14:val="tx1"/>
            </w14:solidFill>
          </w14:textFill>
        </w:rPr>
      </w:pPr>
      <w:bookmarkStart w:id="181" w:name="_Toc9776"/>
      <w:bookmarkStart w:id="182" w:name="_Toc10501"/>
      <w:bookmarkStart w:id="183" w:name="_Toc19896"/>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1"/>
      <w:bookmarkEnd w:id="182"/>
      <w:bookmarkEnd w:id="18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4" w:name="_Toc17734"/>
      <w:bookmarkStart w:id="185" w:name="_Toc26208"/>
      <w:bookmarkStart w:id="186" w:name="_Toc10890"/>
      <w:bookmarkStart w:id="187" w:name="_Toc19320"/>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4"/>
      <w:bookmarkEnd w:id="185"/>
      <w:bookmarkEnd w:id="186"/>
      <w:bookmarkEnd w:id="18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8" w:name="_Toc2631"/>
      <w:bookmarkStart w:id="189" w:name="_Toc23269"/>
      <w:bookmarkStart w:id="190" w:name="_Toc14406"/>
      <w:bookmarkStart w:id="191" w:name="_Toc5591"/>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88"/>
      <w:bookmarkEnd w:id="189"/>
      <w:bookmarkEnd w:id="190"/>
      <w:bookmarkEnd w:id="19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2" w:name="_Toc21723"/>
      <w:bookmarkStart w:id="193" w:name="_Toc17739"/>
      <w:bookmarkStart w:id="194" w:name="_Toc10213"/>
      <w:bookmarkStart w:id="195" w:name="_Toc22694"/>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2"/>
      <w:bookmarkEnd w:id="193"/>
      <w:bookmarkEnd w:id="194"/>
      <w:bookmarkEnd w:id="19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5"/>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96"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个工作日内将评标报告送达采购单位，采购单位在收到评标报告后</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个工作日内，按照评标报告中推荐的中标候选人顺序确认第一中标候选人为中标单位，同时书面复函代理机构。</w:t>
      </w:r>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个工作日内，在【</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"http://www.ccgp-shaanxi.gov.cn/" </w:instrText>
      </w:r>
      <w:r>
        <w:rPr>
          <w:rFonts w:hint="eastAsia" w:ascii="宋体" w:hAnsi="宋体" w:eastAsia="宋体" w:cs="宋体"/>
          <w:highlight w:val="none"/>
        </w:rPr>
        <w:fldChar w:fldCharType="separate"/>
      </w:r>
      <w:r>
        <w:rPr>
          <w:rStyle w:val="43"/>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3"/>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中标公告期限为1个工作日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197"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7"/>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198" w:name="_Toc444"/>
      <w:bookmarkStart w:id="199" w:name="_Toc24344"/>
      <w:bookmarkStart w:id="200" w:name="_Toc15766"/>
      <w:bookmarkStart w:id="201" w:name="_Toc26458"/>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198"/>
      <w:bookmarkEnd w:id="199"/>
      <w:bookmarkEnd w:id="200"/>
      <w:bookmarkEnd w:id="201"/>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2" w:name="_Toc876"/>
      <w:bookmarkStart w:id="203" w:name="_Toc14412"/>
      <w:bookmarkStart w:id="204" w:name="_Toc26383"/>
      <w:bookmarkStart w:id="205" w:name="_Toc13157"/>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2"/>
      <w:bookmarkEnd w:id="203"/>
      <w:bookmarkEnd w:id="204"/>
      <w:bookmarkEnd w:id="205"/>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06" w:name="_Toc11766"/>
      <w:bookmarkStart w:id="207" w:name="_Toc22359"/>
      <w:bookmarkStart w:id="208" w:name="_Toc5592"/>
      <w:bookmarkStart w:id="209" w:name="_Toc25755"/>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6"/>
      <w:bookmarkEnd w:id="207"/>
      <w:bookmarkEnd w:id="208"/>
      <w:bookmarkEnd w:id="209"/>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7"/>
        <w:spacing w:before="120" w:after="120"/>
        <w:ind w:firstLine="562"/>
        <w:outlineLvl w:val="3"/>
        <w:rPr>
          <w:rFonts w:hint="eastAsia" w:ascii="宋体" w:hAnsi="宋体" w:eastAsia="宋体" w:cs="宋体"/>
          <w:color w:val="000000" w:themeColor="text1"/>
          <w:sz w:val="28"/>
          <w:szCs w:val="28"/>
          <w:highlight w:val="none"/>
          <w14:textFill>
            <w14:solidFill>
              <w14:schemeClr w14:val="tx1"/>
            </w14:solidFill>
          </w14:textFill>
        </w:rPr>
      </w:pPr>
      <w:bookmarkStart w:id="210" w:name="_Toc1478"/>
      <w:bookmarkStart w:id="211" w:name="_Toc7346"/>
      <w:bookmarkStart w:id="212" w:name="_Toc1104"/>
      <w:bookmarkStart w:id="213" w:name="_Toc602"/>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0"/>
      <w:bookmarkEnd w:id="211"/>
      <w:bookmarkEnd w:id="212"/>
      <w:bookmarkEnd w:id="213"/>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5"/>
        <w:rPr>
          <w:rFonts w:hint="eastAsia" w:ascii="宋体" w:hAnsi="宋体" w:eastAsia="宋体" w:cs="宋体"/>
          <w:color w:val="000000" w:themeColor="text1"/>
          <w:sz w:val="28"/>
          <w:szCs w:val="28"/>
          <w:highlight w:val="none"/>
          <w14:textFill>
            <w14:solidFill>
              <w14:schemeClr w14:val="tx1"/>
            </w14:solidFill>
          </w14:textFill>
        </w:rPr>
      </w:pPr>
      <w:bookmarkStart w:id="214"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4"/>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hint="eastAsia" w:ascii="宋体" w:hAnsi="宋体" w:eastAsia="宋体" w:cs="宋体"/>
          <w:color w:val="000000" w:themeColor="text1"/>
          <w:sz w:val="32"/>
          <w:szCs w:val="32"/>
          <w:highlight w:val="none"/>
          <w14:textFill>
            <w14:solidFill>
              <w14:schemeClr w14:val="tx1"/>
            </w14:solidFill>
          </w14:textFill>
        </w:rPr>
      </w:pPr>
      <w:bookmarkStart w:id="215"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16" w:name="_Toc15617"/>
      <w:bookmarkStart w:id="217" w:name="_Toc15548"/>
      <w:r>
        <w:rPr>
          <w:rFonts w:hint="eastAsia" w:ascii="宋体" w:hAnsi="宋体" w:eastAsia="宋体" w:cs="宋体"/>
          <w:color w:val="000000" w:themeColor="text1"/>
          <w:highlight w:val="none"/>
          <w14:textFill>
            <w14:solidFill>
              <w14:schemeClr w14:val="tx1"/>
            </w14:solidFill>
          </w14:textFill>
        </w:rPr>
        <w:t>第三章  招标内容及要求</w:t>
      </w:r>
      <w:bookmarkEnd w:id="215"/>
      <w:bookmarkEnd w:id="216"/>
      <w:bookmarkEnd w:id="217"/>
    </w:p>
    <w:p>
      <w:pPr>
        <w:snapToGrid w:val="0"/>
        <w:spacing w:line="360" w:lineRule="auto"/>
        <w:outlineLvl w:val="1"/>
        <w:rPr>
          <w:rFonts w:hint="eastAsia" w:ascii="宋体" w:hAnsi="宋体" w:eastAsia="宋体" w:cs="宋体"/>
          <w:b/>
          <w:sz w:val="28"/>
          <w:szCs w:val="28"/>
        </w:rPr>
      </w:pPr>
      <w:bookmarkStart w:id="218" w:name="_Toc1791"/>
      <w:bookmarkStart w:id="219" w:name="_Toc26386"/>
      <w:bookmarkStart w:id="220" w:name="_Toc19583"/>
      <w:bookmarkStart w:id="221" w:name="_Toc100219615"/>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采购内容</w:t>
      </w:r>
      <w:bookmarkEnd w:id="218"/>
    </w:p>
    <w:p>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p>
      <w:pPr>
        <w:pStyle w:val="2"/>
        <w:rPr>
          <w:rFonts w:hint="eastAsia"/>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68"/>
        <w:gridCol w:w="2288"/>
        <w:gridCol w:w="1325"/>
        <w:gridCol w:w="282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288"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13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w:t>
            </w:r>
          </w:p>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（万元）</w:t>
            </w:r>
          </w:p>
        </w:tc>
        <w:tc>
          <w:tcPr>
            <w:tcW w:w="282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1169"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抽检900批次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（快检1060批次）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82.6</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大明宫（含辛家庙）、张家堡市场监管所管辖区域内</w:t>
            </w:r>
          </w:p>
        </w:tc>
        <w:tc>
          <w:tcPr>
            <w:tcW w:w="1169"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西安市未央区市场监督管理局2023年食品安全监督抽检任务总批次3050批次，快检3600批次，日常检测项目及要求详见下文。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抽检850批次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（快检1000批次）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未央湖（含草滩）、汉城市场监管所管辖区域内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抽检700批次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（快检830批次）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徐家湾、未央宫市场监管所管辖区域内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68" w:type="dxa"/>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2288"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抽检600批次</w:t>
            </w:r>
          </w:p>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（快检710批次）</w:t>
            </w:r>
          </w:p>
        </w:tc>
        <w:tc>
          <w:tcPr>
            <w:tcW w:w="1325" w:type="dxa"/>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55.2</w:t>
            </w:r>
          </w:p>
        </w:tc>
        <w:tc>
          <w:tcPr>
            <w:tcW w:w="2825" w:type="dxa"/>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谭家、六村堡市场监管所管辖区域内</w:t>
            </w:r>
          </w:p>
        </w:tc>
        <w:tc>
          <w:tcPr>
            <w:tcW w:w="1169"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12"/>
        <w:rPr>
          <w:rFonts w:hint="eastAsia" w:ascii="宋体" w:hAnsi="宋体" w:eastAsia="宋体" w:cs="宋体"/>
          <w:sz w:val="24"/>
          <w:szCs w:val="24"/>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sz w:val="24"/>
          <w:szCs w:val="24"/>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numPr>
          <w:ilvl w:val="0"/>
          <w:numId w:val="3"/>
        </w:numPr>
        <w:spacing w:beforeLines="50"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4"/>
        </w:numPr>
        <w:snapToGrid w:val="0"/>
        <w:spacing w:line="360" w:lineRule="auto"/>
        <w:outlineLvl w:val="1"/>
        <w:rPr>
          <w:rFonts w:hint="eastAsia" w:ascii="宋体" w:hAnsi="宋体" w:eastAsia="宋体" w:cs="宋体"/>
          <w:b/>
          <w:bCs/>
          <w:color w:val="auto"/>
          <w:sz w:val="28"/>
          <w:szCs w:val="28"/>
          <w:highlight w:val="none"/>
          <w:lang w:val="en-US" w:eastAsia="zh-CN"/>
        </w:rPr>
      </w:pPr>
      <w:bookmarkStart w:id="222" w:name="_Toc22690"/>
      <w:r>
        <w:rPr>
          <w:rFonts w:hint="eastAsia" w:ascii="宋体" w:hAnsi="宋体" w:eastAsia="宋体" w:cs="宋体"/>
          <w:b/>
          <w:bCs/>
          <w:color w:val="auto"/>
          <w:sz w:val="28"/>
          <w:szCs w:val="28"/>
          <w:highlight w:val="none"/>
          <w:lang w:val="en-US" w:eastAsia="zh-CN"/>
        </w:rPr>
        <w:t>商务要求</w:t>
      </w:r>
      <w:bookmarkEnd w:id="222"/>
    </w:p>
    <w:p>
      <w:pPr>
        <w:numPr>
          <w:ilvl w:val="0"/>
          <w:numId w:val="0"/>
        </w:num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w:t>
      </w:r>
      <w:r>
        <w:rPr>
          <w:rFonts w:hint="eastAsia" w:ascii="宋体" w:hAnsi="宋体" w:eastAsia="宋体" w:cs="宋体"/>
          <w:color w:val="auto"/>
          <w:sz w:val="24"/>
          <w:szCs w:val="24"/>
          <w:highlight w:val="none"/>
          <w:lang w:val="en-US" w:eastAsia="zh-CN"/>
        </w:rPr>
        <w:t>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2.服务期限：合同签订之日起一年</w:t>
      </w:r>
    </w:p>
    <w:p>
      <w:pPr>
        <w:pStyle w:val="34"/>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3.服务质量：合格</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4.付款方式：</w:t>
      </w: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采购人所需服务要求后，成交供应商向采购人提供合规发票，采购人一次性向成交单位支付所有款项（按照实际抽检的批次和检验的项目及成交供应商的最终投标单价据实结算。即按照</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sz w:val="24"/>
          <w:szCs w:val="24"/>
          <w:highlight w:val="none"/>
          <w:lang w:val="en-US" w:eastAsia="zh-CN"/>
        </w:rPr>
        <w:t>内实际发生检测次数、检测的项目分类统计，以成交供应商投标文件中提供的各项报价为单价，计算总价），</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合同文本</w:t>
      </w:r>
      <w:bookmarkEnd w:id="219"/>
      <w:bookmarkEnd w:id="220"/>
      <w:bookmarkEnd w:id="221"/>
    </w:p>
    <w:p>
      <w:pPr>
        <w:spacing w:before="120" w:line="360" w:lineRule="auto"/>
        <w:jc w:val="center"/>
        <w:rPr>
          <w:rFonts w:hint="eastAsia" w:ascii="宋体" w:hAnsi="宋体" w:eastAsia="宋体" w:cs="宋体"/>
          <w:b/>
          <w:bCs/>
          <w:sz w:val="36"/>
          <w:szCs w:val="36"/>
        </w:rPr>
      </w:pPr>
      <w:bookmarkStart w:id="223" w:name="_Toc100219616"/>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p>
    <w:p>
      <w:pPr>
        <w:spacing w:before="120" w:line="360" w:lineRule="auto"/>
        <w:jc w:val="center"/>
        <w:outlineLvl w:val="1"/>
        <w:rPr>
          <w:rFonts w:hint="eastAsia" w:ascii="宋体" w:hAnsi="宋体" w:eastAsia="宋体" w:cs="宋体"/>
          <w:b/>
          <w:bCs/>
          <w:sz w:val="36"/>
          <w:szCs w:val="36"/>
        </w:rPr>
      </w:pPr>
      <w:bookmarkStart w:id="224" w:name="_Toc23375"/>
      <w:r>
        <w:rPr>
          <w:rFonts w:hint="eastAsia" w:ascii="宋体" w:hAnsi="宋体" w:eastAsia="宋体" w:cs="宋体"/>
          <w:b/>
          <w:bCs/>
          <w:sz w:val="36"/>
          <w:szCs w:val="36"/>
        </w:rPr>
        <w:t>政 府 采 购 合 同</w:t>
      </w:r>
      <w:bookmarkEnd w:id="224"/>
    </w:p>
    <w:p>
      <w:pPr>
        <w:spacing w:before="120" w:line="360" w:lineRule="auto"/>
        <w:jc w:val="center"/>
        <w:rPr>
          <w:rFonts w:hint="eastAsia" w:ascii="宋体" w:hAnsi="宋体" w:eastAsia="宋体" w:cs="宋体"/>
          <w:sz w:val="28"/>
          <w:szCs w:val="28"/>
        </w:rPr>
      </w:pPr>
    </w:p>
    <w:p>
      <w:pPr>
        <w:spacing w:before="120" w:line="360" w:lineRule="auto"/>
        <w:jc w:val="center"/>
        <w:rPr>
          <w:rFonts w:hint="eastAsia" w:ascii="宋体" w:hAnsi="宋体" w:eastAsia="宋体" w:cs="宋体"/>
          <w:sz w:val="28"/>
          <w:szCs w:val="28"/>
        </w:rPr>
      </w:pPr>
      <w:bookmarkStart w:id="225" w:name="_Toc109543216"/>
      <w:bookmarkStart w:id="226" w:name="_Toc109542396"/>
      <w:r>
        <w:rPr>
          <w:rFonts w:hint="eastAsia" w:ascii="宋体" w:hAnsi="宋体" w:eastAsia="宋体" w:cs="宋体"/>
          <w:b/>
          <w:bCs/>
          <w:sz w:val="28"/>
          <w:szCs w:val="28"/>
        </w:rPr>
        <w:t>合同编号：</w:t>
      </w:r>
      <w:bookmarkEnd w:id="225"/>
      <w:bookmarkEnd w:id="226"/>
      <w:r>
        <w:rPr>
          <w:rFonts w:hint="eastAsia" w:ascii="宋体" w:hAnsi="宋体" w:eastAsia="宋体" w:cs="宋体"/>
          <w:b/>
          <w:bCs/>
          <w:sz w:val="28"/>
          <w:szCs w:val="28"/>
          <w:lang w:val="en-US" w:eastAsia="zh-CN"/>
        </w:rPr>
        <w:t>__________</w:t>
      </w:r>
    </w:p>
    <w:p>
      <w:pPr>
        <w:pStyle w:val="12"/>
        <w:spacing w:before="120" w:line="360" w:lineRule="auto"/>
        <w:ind w:firstLine="0"/>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pStyle w:val="17"/>
        <w:rPr>
          <w:rFonts w:hint="eastAsia" w:ascii="宋体" w:hAnsi="宋体" w:eastAsia="宋体" w:cs="宋体"/>
          <w:b/>
          <w:bCs/>
          <w:szCs w:val="28"/>
        </w:rPr>
      </w:pPr>
    </w:p>
    <w:p>
      <w:pPr>
        <w:rPr>
          <w:rFonts w:hint="eastAsia" w:ascii="宋体" w:hAnsi="宋体" w:eastAsia="宋体" w:cs="宋体"/>
          <w:b/>
          <w:bCs/>
          <w:sz w:val="28"/>
          <w:szCs w:val="28"/>
        </w:rPr>
      </w:pPr>
    </w:p>
    <w:p>
      <w:pPr>
        <w:pStyle w:val="17"/>
        <w:rPr>
          <w:rFonts w:hint="eastAsia" w:ascii="宋体" w:hAnsi="宋体" w:eastAsia="宋体" w:cs="宋体"/>
        </w:rPr>
      </w:pPr>
    </w:p>
    <w:p>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采购项目名称 ：</w:t>
      </w:r>
      <w:r>
        <w:rPr>
          <w:rFonts w:hint="eastAsia" w:ascii="宋体" w:hAnsi="宋体" w:eastAsia="宋体" w:cs="宋体"/>
          <w:b/>
          <w:bCs/>
          <w:sz w:val="28"/>
          <w:szCs w:val="28"/>
          <w:lang w:val="en-US" w:eastAsia="zh-CN"/>
        </w:rPr>
        <w:t>___________________________</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采购人（甲方）：</w:t>
      </w:r>
      <w:r>
        <w:rPr>
          <w:rFonts w:hint="eastAsia" w:ascii="宋体" w:hAnsi="宋体" w:eastAsia="宋体" w:cs="宋体"/>
          <w:b/>
          <w:bCs/>
          <w:sz w:val="28"/>
          <w:szCs w:val="28"/>
          <w:lang w:val="en-US" w:eastAsia="zh-CN"/>
        </w:rPr>
        <w:t>_______________________________</w:t>
      </w:r>
    </w:p>
    <w:p>
      <w:pPr>
        <w:spacing w:before="120" w:line="360" w:lineRule="auto"/>
        <w:ind w:left="960"/>
        <w:rPr>
          <w:rFonts w:hint="eastAsia" w:ascii="宋体" w:hAnsi="宋体" w:eastAsia="宋体" w:cs="宋体"/>
          <w:b/>
          <w:bCs/>
          <w:sz w:val="28"/>
          <w:szCs w:val="28"/>
          <w:lang w:val="en-US" w:eastAsia="zh-CN"/>
        </w:rPr>
      </w:pPr>
      <w:r>
        <w:rPr>
          <w:rFonts w:hint="eastAsia" w:ascii="宋体" w:hAnsi="宋体" w:eastAsia="宋体" w:cs="宋体"/>
          <w:b/>
          <w:bCs/>
          <w:sz w:val="28"/>
          <w:szCs w:val="28"/>
        </w:rPr>
        <w:t>成交供应商（乙方）：</w:t>
      </w:r>
      <w:r>
        <w:rPr>
          <w:rFonts w:hint="eastAsia" w:ascii="宋体" w:hAnsi="宋体" w:eastAsia="宋体" w:cs="宋体"/>
          <w:b/>
          <w:bCs/>
          <w:sz w:val="28"/>
          <w:szCs w:val="28"/>
          <w:lang w:val="en-US" w:eastAsia="zh-CN"/>
        </w:rPr>
        <w:t>___________________________</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签署地点 ：</w:t>
      </w:r>
      <w:r>
        <w:rPr>
          <w:rFonts w:hint="eastAsia" w:ascii="宋体" w:hAnsi="宋体" w:eastAsia="宋体" w:cs="宋体"/>
          <w:b/>
          <w:bCs/>
          <w:sz w:val="28"/>
          <w:szCs w:val="28"/>
          <w:lang w:val="en-US" w:eastAsia="zh-CN"/>
        </w:rPr>
        <w:t>____________________________________</w:t>
      </w:r>
    </w:p>
    <w:p>
      <w:pPr>
        <w:spacing w:before="120" w:line="360" w:lineRule="auto"/>
        <w:ind w:left="960"/>
        <w:rPr>
          <w:rFonts w:hint="eastAsia" w:ascii="宋体" w:hAnsi="宋体" w:eastAsia="宋体" w:cs="宋体"/>
          <w:b/>
          <w:bCs/>
          <w:sz w:val="28"/>
          <w:szCs w:val="28"/>
        </w:rPr>
        <w:sectPr>
          <w:footerReference r:id="rId6" w:type="default"/>
          <w:pgSz w:w="11906" w:h="16838"/>
          <w:pgMar w:top="1418" w:right="1423" w:bottom="1418" w:left="1644" w:header="720" w:footer="720" w:gutter="0"/>
          <w:pgNumType w:fmt="decimal" w:start="1"/>
          <w:cols w:space="720" w:num="1"/>
          <w:docGrid w:linePitch="288" w:charSpace="-3449"/>
        </w:sectPr>
      </w:pPr>
      <w:r>
        <w:rPr>
          <w:rFonts w:hint="eastAsia" w:ascii="宋体" w:hAnsi="宋体" w:eastAsia="宋体" w:cs="宋体"/>
          <w:b/>
          <w:bCs/>
          <w:sz w:val="28"/>
          <w:szCs w:val="28"/>
        </w:rPr>
        <w:t>签署日期 ：</w:t>
      </w:r>
      <w:r>
        <w:rPr>
          <w:rFonts w:hint="eastAsia" w:ascii="宋体" w:hAnsi="宋体" w:eastAsia="宋体" w:cs="宋体"/>
          <w:b/>
          <w:bCs/>
          <w:sz w:val="28"/>
          <w:szCs w:val="28"/>
          <w:lang w:val="en-US" w:eastAsia="zh-CN"/>
        </w:rPr>
        <w:t>____________________________________</w:t>
      </w:r>
      <w:r>
        <w:rPr>
          <w:rFonts w:hint="eastAsia" w:ascii="宋体" w:hAnsi="宋体" w:eastAsia="宋体" w:cs="宋体"/>
          <w:b/>
          <w:bCs/>
          <w:sz w:val="28"/>
          <w:szCs w:val="28"/>
        </w:rPr>
        <w:t>　　　　　　　　　　　                  　</w:t>
      </w:r>
    </w:p>
    <w:p>
      <w:pPr>
        <w:spacing w:before="120" w:line="360" w:lineRule="auto"/>
        <w:ind w:right="560"/>
        <w:jc w:val="both"/>
        <w:rPr>
          <w:rFonts w:hint="eastAsia" w:ascii="宋体" w:hAnsi="宋体" w:eastAsia="宋体" w:cs="宋体"/>
          <w:sz w:val="24"/>
          <w:szCs w:val="24"/>
        </w:rPr>
      </w:pP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》、《中华人民共和国政府采购法》与项目行业有关的法律法规，以及</w:t>
      </w:r>
      <w:r>
        <w:rPr>
          <w:rFonts w:hint="eastAsia" w:ascii="宋体" w:hAnsi="宋体" w:eastAsia="宋体" w:cs="宋体"/>
          <w:sz w:val="24"/>
          <w:szCs w:val="24"/>
        </w:rPr>
        <w:t>西安市未央区市场监督管理局2023年度食品安全检测项目（谭家、六村堡市场监管所管辖区域内）</w:t>
      </w:r>
      <w:r>
        <w:rPr>
          <w:rFonts w:hint="eastAsia" w:ascii="宋体" w:hAnsi="宋体" w:eastAsia="宋体" w:cs="宋体"/>
          <w:color w:val="000000"/>
          <w:sz w:val="24"/>
          <w:szCs w:val="24"/>
        </w:rPr>
        <w:t>项目（项目编号：</w:t>
      </w:r>
      <w:r>
        <w:rPr>
          <w:rFonts w:hint="eastAsia" w:ascii="宋体" w:hAnsi="宋体" w:eastAsia="宋体" w:cs="宋体"/>
          <w:sz w:val="24"/>
          <w:szCs w:val="24"/>
          <w:lang w:eastAsia="zh-CN"/>
        </w:rPr>
        <w:t>ZJXG2023044-4</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招标文件</w:t>
      </w:r>
      <w:r>
        <w:rPr>
          <w:rFonts w:hint="eastAsia" w:ascii="宋体" w:hAnsi="宋体" w:eastAsia="宋体" w:cs="宋体"/>
          <w:color w:val="000000"/>
          <w:sz w:val="24"/>
          <w:szCs w:val="24"/>
        </w:rPr>
        <w:t>》，乙方的《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文件》及《</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通知书》，甲、乙双方同意签订本合同。详细技术说明及其他有关合同项目的特定信息由合同附件予以说明，合同附件及本项目的《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 xml:space="preserve">通知书》等均为本合同的组成部分。 </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7" w:name="_Toc15269"/>
      <w:r>
        <w:rPr>
          <w:rFonts w:hint="eastAsia" w:ascii="宋体" w:hAnsi="宋体" w:eastAsia="宋体" w:cs="宋体"/>
          <w:b/>
          <w:color w:val="000000"/>
          <w:sz w:val="24"/>
          <w:szCs w:val="24"/>
        </w:rPr>
        <w:t>项目基本情况</w:t>
      </w:r>
      <w:bookmarkEnd w:id="227"/>
    </w:p>
    <w:p>
      <w:pPr>
        <w:keepNext w:val="0"/>
        <w:keepLines w:val="0"/>
        <w:pageBreakBefore w:val="0"/>
        <w:kinsoku/>
        <w:wordWrap/>
        <w:overflowPunct/>
        <w:topLinePunct w:val="0"/>
        <w:autoSpaceDE w:val="0"/>
        <w:autoSpaceDN w:val="0"/>
        <w:bidi w:val="0"/>
        <w:adjustRightInd w:val="0"/>
        <w:snapToGrid w:val="0"/>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618"/>
        <w:gridCol w:w="1704"/>
        <w:gridCol w:w="1184"/>
        <w:gridCol w:w="2548"/>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抽检批次</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预算金额（万元）</w:t>
            </w:r>
          </w:p>
        </w:tc>
        <w:tc>
          <w:tcPr>
            <w:tcW w:w="0" w:type="auto"/>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抽检区域</w:t>
            </w:r>
          </w:p>
        </w:tc>
        <w:tc>
          <w:tcPr>
            <w:tcW w:w="3365" w:type="dxa"/>
            <w:noWrap w:val="0"/>
            <w:vAlign w:val="center"/>
          </w:tcPr>
          <w:p>
            <w:pPr>
              <w:pStyle w:val="12"/>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9</w:t>
            </w:r>
            <w:r>
              <w:rPr>
                <w:rFonts w:hint="eastAsia" w:ascii="宋体" w:hAnsi="宋体" w:cs="宋体"/>
                <w:sz w:val="24"/>
                <w:szCs w:val="24"/>
                <w:vertAlign w:val="baseline"/>
                <w:lang w:val="en-US" w:eastAsia="zh-CN"/>
              </w:rPr>
              <w:t>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（快检1060批次）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82.6</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大明宫</w:t>
            </w:r>
            <w:r>
              <w:rPr>
                <w:rFonts w:hint="eastAsia" w:ascii="宋体" w:hAnsi="宋体" w:cs="宋体"/>
                <w:sz w:val="24"/>
                <w:szCs w:val="24"/>
                <w:vertAlign w:val="baseline"/>
                <w:lang w:val="en-US" w:eastAsia="zh-CN"/>
              </w:rPr>
              <w:t>（含</w:t>
            </w:r>
            <w:r>
              <w:rPr>
                <w:rFonts w:hint="eastAsia" w:ascii="宋体" w:hAnsi="宋体" w:eastAsia="宋体" w:cs="宋体"/>
                <w:sz w:val="24"/>
                <w:szCs w:val="24"/>
                <w:vertAlign w:val="baseline"/>
                <w:lang w:val="en-US" w:eastAsia="zh-CN"/>
              </w:rPr>
              <w:t>辛家庙</w:t>
            </w:r>
            <w:r>
              <w:rPr>
                <w:rFonts w:hint="eastAsia" w:ascii="宋体" w:hAnsi="宋体" w:cs="宋体"/>
                <w:sz w:val="24"/>
                <w:szCs w:val="24"/>
                <w:vertAlign w:val="baseline"/>
                <w:lang w:val="en-US" w:eastAsia="zh-CN"/>
              </w:rPr>
              <w:t>）、张家堡</w:t>
            </w:r>
            <w:r>
              <w:rPr>
                <w:rFonts w:hint="eastAsia" w:ascii="宋体" w:hAnsi="宋体" w:eastAsia="宋体" w:cs="宋体"/>
                <w:sz w:val="24"/>
                <w:szCs w:val="24"/>
                <w:vertAlign w:val="baseline"/>
                <w:lang w:val="en-US" w:eastAsia="zh-CN"/>
              </w:rPr>
              <w:t>市场监管所管辖区域内</w:t>
            </w:r>
          </w:p>
        </w:tc>
        <w:tc>
          <w:tcPr>
            <w:tcW w:w="3365" w:type="dxa"/>
            <w:vMerge w:val="restart"/>
            <w:noWrap w:val="0"/>
            <w:vAlign w:val="center"/>
          </w:tcPr>
          <w:p>
            <w:pPr>
              <w:pStyle w:val="1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西安市未央区市场监督管理局202</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年食品安全</w:t>
            </w:r>
            <w:r>
              <w:rPr>
                <w:rFonts w:hint="eastAsia" w:ascii="宋体" w:hAnsi="宋体" w:cs="宋体"/>
                <w:sz w:val="24"/>
                <w:szCs w:val="24"/>
                <w:vertAlign w:val="baseline"/>
                <w:lang w:val="en-US" w:eastAsia="zh-CN"/>
              </w:rPr>
              <w:t>监督</w:t>
            </w:r>
            <w:r>
              <w:rPr>
                <w:rFonts w:hint="eastAsia" w:ascii="宋体" w:hAnsi="宋体" w:eastAsia="宋体" w:cs="宋体"/>
                <w:sz w:val="24"/>
                <w:szCs w:val="24"/>
                <w:vertAlign w:val="baseline"/>
                <w:lang w:val="en-US" w:eastAsia="zh-CN"/>
              </w:rPr>
              <w:t>抽检任务</w:t>
            </w:r>
            <w:r>
              <w:rPr>
                <w:rFonts w:hint="eastAsia" w:ascii="宋体" w:hAnsi="宋体" w:cs="宋体"/>
                <w:sz w:val="24"/>
                <w:szCs w:val="24"/>
                <w:vertAlign w:val="baseline"/>
                <w:lang w:val="en-US" w:eastAsia="zh-CN"/>
              </w:rPr>
              <w:t>总批次3050批次，快检3600批次，</w:t>
            </w:r>
            <w:r>
              <w:rPr>
                <w:rFonts w:hint="eastAsia" w:ascii="宋体" w:hAnsi="宋体" w:eastAsia="宋体" w:cs="宋体"/>
                <w:sz w:val="24"/>
                <w:szCs w:val="24"/>
                <w:vertAlign w:val="baseline"/>
                <w:lang w:val="en-US" w:eastAsia="zh-CN"/>
              </w:rPr>
              <w:t>日常检测项目及要求详见下文。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第二包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w:t>
            </w:r>
            <w:r>
              <w:rPr>
                <w:rFonts w:hint="eastAsia" w:ascii="宋体" w:hAnsi="宋体" w:eastAsia="宋体" w:cs="宋体"/>
                <w:sz w:val="24"/>
                <w:szCs w:val="24"/>
                <w:vertAlign w:val="baseline"/>
                <w:lang w:val="en-US" w:eastAsia="zh-CN"/>
              </w:rPr>
              <w:t>8</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（快检1000批次）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78.0</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未央湖</w:t>
            </w:r>
            <w:r>
              <w:rPr>
                <w:rFonts w:hint="eastAsia" w:ascii="宋体" w:hAnsi="宋体" w:cs="宋体"/>
                <w:sz w:val="24"/>
                <w:szCs w:val="24"/>
                <w:vertAlign w:val="baseline"/>
                <w:lang w:val="en-US" w:eastAsia="zh-CN"/>
              </w:rPr>
              <w:t>（含草滩）</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汉城</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第三包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抽检700</w:t>
            </w:r>
            <w:r>
              <w:rPr>
                <w:rFonts w:hint="eastAsia" w:ascii="宋体" w:hAnsi="宋体" w:eastAsia="宋体" w:cs="宋体"/>
                <w:sz w:val="24"/>
                <w:szCs w:val="24"/>
                <w:vertAlign w:val="baseline"/>
                <w:lang w:val="en-US" w:eastAsia="zh-CN"/>
              </w:rPr>
              <w:t>批次</w:t>
            </w:r>
            <w:r>
              <w:rPr>
                <w:rFonts w:hint="eastAsia" w:ascii="宋体" w:hAnsi="宋体" w:cs="宋体"/>
                <w:sz w:val="24"/>
                <w:szCs w:val="24"/>
                <w:vertAlign w:val="baseline"/>
                <w:lang w:val="en-US" w:eastAsia="zh-CN"/>
              </w:rPr>
              <w:t>（快检830批次）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64.2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徐家湾</w:t>
            </w: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未央宫</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第四包</w:t>
            </w:r>
          </w:p>
        </w:tc>
        <w:tc>
          <w:tcPr>
            <w:tcW w:w="0" w:type="auto"/>
            <w:noWrap w:val="0"/>
            <w:vAlign w:val="center"/>
          </w:tcPr>
          <w:p>
            <w:pPr>
              <w:pStyle w:val="1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抽检60</w:t>
            </w:r>
            <w:r>
              <w:rPr>
                <w:rFonts w:hint="eastAsia" w:ascii="宋体" w:hAnsi="宋体" w:eastAsia="宋体" w:cs="宋体"/>
                <w:sz w:val="24"/>
                <w:szCs w:val="24"/>
                <w:vertAlign w:val="baseline"/>
                <w:lang w:val="en-US" w:eastAsia="zh-CN"/>
              </w:rPr>
              <w:t>0批次</w:t>
            </w:r>
            <w:r>
              <w:rPr>
                <w:rFonts w:hint="eastAsia" w:ascii="宋体" w:hAnsi="宋体" w:cs="宋体"/>
                <w:sz w:val="24"/>
                <w:szCs w:val="24"/>
                <w:vertAlign w:val="baseline"/>
                <w:lang w:val="en-US" w:eastAsia="zh-CN"/>
              </w:rPr>
              <w:t>（快检710批次）</w:t>
            </w:r>
          </w:p>
        </w:tc>
        <w:tc>
          <w:tcPr>
            <w:tcW w:w="0" w:type="auto"/>
            <w:noWrap w:val="0"/>
            <w:vAlign w:val="center"/>
          </w:tcPr>
          <w:p>
            <w:pPr>
              <w:pStyle w:val="12"/>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55.2</w:t>
            </w:r>
          </w:p>
        </w:tc>
        <w:tc>
          <w:tcPr>
            <w:tcW w:w="0" w:type="auto"/>
            <w:noWrap w:val="0"/>
            <w:vAlign w:val="center"/>
          </w:tcPr>
          <w:p>
            <w:pPr>
              <w:pStyle w:val="12"/>
              <w:ind w:left="0" w:lef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谭家、</w:t>
            </w:r>
            <w:r>
              <w:rPr>
                <w:rFonts w:hint="eastAsia" w:ascii="宋体" w:hAnsi="宋体" w:cs="宋体"/>
                <w:sz w:val="24"/>
                <w:szCs w:val="24"/>
                <w:vertAlign w:val="baseline"/>
                <w:lang w:val="en-US" w:eastAsia="zh-CN"/>
              </w:rPr>
              <w:t>六村堡</w:t>
            </w:r>
            <w:r>
              <w:rPr>
                <w:rFonts w:hint="eastAsia" w:ascii="宋体" w:hAnsi="宋体" w:eastAsia="宋体" w:cs="宋体"/>
                <w:sz w:val="24"/>
                <w:szCs w:val="24"/>
                <w:vertAlign w:val="baseline"/>
                <w:lang w:val="en-US" w:eastAsia="zh-CN"/>
              </w:rPr>
              <w:t>市场监管所管辖区域内</w:t>
            </w:r>
          </w:p>
        </w:tc>
        <w:tc>
          <w:tcPr>
            <w:tcW w:w="3365" w:type="dxa"/>
            <w:vMerge w:val="continue"/>
            <w:noWrap w:val="0"/>
            <w:vAlign w:val="center"/>
          </w:tcPr>
          <w:p>
            <w:pPr>
              <w:pStyle w:val="12"/>
              <w:jc w:val="center"/>
              <w:rPr>
                <w:rFonts w:hint="eastAsia" w:ascii="宋体" w:hAnsi="宋体" w:eastAsia="宋体" w:cs="宋体"/>
                <w:sz w:val="24"/>
                <w:szCs w:val="24"/>
                <w:vertAlign w:val="baseline"/>
              </w:rPr>
            </w:pPr>
          </w:p>
        </w:tc>
      </w:tr>
    </w:tbl>
    <w:p>
      <w:pPr>
        <w:pStyle w:val="34"/>
        <w:ind w:left="0" w:leftChars="0" w:firstLine="0" w:firstLineChars="0"/>
        <w:rPr>
          <w:rFonts w:hint="eastAsia"/>
        </w:rPr>
      </w:pP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8" w:name="_Toc26562"/>
      <w:r>
        <w:rPr>
          <w:rFonts w:hint="eastAsia" w:ascii="宋体" w:hAnsi="宋体" w:eastAsia="宋体" w:cs="宋体"/>
          <w:b/>
          <w:color w:val="000000"/>
          <w:sz w:val="24"/>
          <w:szCs w:val="24"/>
        </w:rPr>
        <w:t>合同期限</w:t>
      </w:r>
      <w:bookmarkEnd w:id="228"/>
    </w:p>
    <w:p>
      <w:pPr>
        <w:pStyle w:val="34"/>
        <w:ind w:left="0" w:leftChars="0" w:firstLine="496" w:firstLineChars="200"/>
        <w:rPr>
          <w:rFonts w:hint="eastAsia"/>
        </w:rPr>
      </w:pPr>
      <w:r>
        <w:rPr>
          <w:rFonts w:hint="eastAsia" w:ascii="宋体" w:hAnsi="宋体" w:eastAsia="宋体" w:cs="宋体"/>
          <w:color w:val="auto"/>
          <w:sz w:val="24"/>
          <w:szCs w:val="24"/>
          <w:highlight w:val="none"/>
          <w:lang w:val="en-US" w:eastAsia="zh-CN"/>
        </w:rPr>
        <w:t>合同签订之日起一年</w:t>
      </w:r>
    </w:p>
    <w:p>
      <w:pPr>
        <w:numPr>
          <w:ilvl w:val="0"/>
          <w:numId w:val="5"/>
        </w:numPr>
        <w:spacing w:line="360" w:lineRule="auto"/>
        <w:ind w:left="1591" w:leftChars="0" w:firstLineChars="0"/>
        <w:outlineLvl w:val="1"/>
        <w:rPr>
          <w:rFonts w:hint="eastAsia" w:ascii="宋体" w:hAnsi="宋体" w:eastAsia="宋体" w:cs="宋体"/>
          <w:b/>
          <w:color w:val="000000"/>
          <w:sz w:val="24"/>
          <w:szCs w:val="24"/>
        </w:rPr>
      </w:pPr>
      <w:bookmarkStart w:id="229" w:name="_Toc21697"/>
      <w:bookmarkStart w:id="230" w:name="_Toc282696226"/>
      <w:bookmarkStart w:id="231" w:name="_Toc286993786"/>
      <w:bookmarkStart w:id="232" w:name="_Toc239568418"/>
      <w:bookmarkStart w:id="233" w:name="_Toc237145406"/>
      <w:bookmarkStart w:id="234" w:name="_Toc232492928"/>
      <w:bookmarkStart w:id="235" w:name="_Toc225654644"/>
      <w:bookmarkStart w:id="236" w:name="_Toc211854449"/>
      <w:bookmarkStart w:id="237" w:name="_Toc241833903"/>
      <w:bookmarkStart w:id="238" w:name="_Toc283019214"/>
      <w:bookmarkStart w:id="239" w:name="_Toc251768862"/>
      <w:bookmarkStart w:id="240" w:name="_Toc211911348"/>
      <w:bookmarkStart w:id="241" w:name="_Toc185395249"/>
      <w:bookmarkStart w:id="242" w:name="_Toc225244852"/>
      <w:bookmarkStart w:id="243" w:name="_Toc239233914"/>
      <w:bookmarkStart w:id="244" w:name="_Toc247334841"/>
      <w:bookmarkStart w:id="245" w:name="_Toc212019594"/>
      <w:bookmarkStart w:id="246" w:name="_Toc225670751"/>
      <w:bookmarkStart w:id="247" w:name="_Toc238984975"/>
      <w:r>
        <w:rPr>
          <w:rFonts w:hint="eastAsia" w:ascii="宋体" w:hAnsi="宋体" w:eastAsia="宋体" w:cs="宋体"/>
          <w:b/>
          <w:color w:val="000000"/>
          <w:sz w:val="24"/>
          <w:szCs w:val="24"/>
        </w:rPr>
        <w:t>服务内容与质量标准</w:t>
      </w:r>
      <w:bookmarkEnd w:id="229"/>
    </w:p>
    <w:p>
      <w:pPr>
        <w:spacing w:before="48" w:beforeLines="20" w:after="48" w:afterLines="20"/>
        <w:jc w:val="center"/>
        <w:rPr>
          <w:rFonts w:hint="eastAsia" w:ascii="宋体" w:hAnsi="宋体" w:eastAsia="宋体" w:cs="宋体"/>
          <w:b/>
          <w:bCs/>
          <w:color w:val="000000"/>
          <w:sz w:val="24"/>
          <w:szCs w:val="24"/>
          <w:highlight w:val="none"/>
          <w:lang w:val="en-US" w:eastAsia="zh-CN"/>
        </w:rPr>
      </w:pPr>
      <w:bookmarkStart w:id="248" w:name="_Toc28597"/>
      <w:r>
        <w:rPr>
          <w:rFonts w:hint="eastAsia" w:ascii="宋体" w:hAnsi="宋体" w:eastAsia="宋体" w:cs="宋体"/>
          <w:b/>
          <w:bCs/>
          <w:color w:val="000000"/>
          <w:sz w:val="24"/>
          <w:szCs w:val="24"/>
          <w:highlight w:val="none"/>
          <w:lang w:val="en-US" w:eastAsia="zh-CN"/>
        </w:rPr>
        <w:t>抽检检测项目表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
        <w:gridCol w:w="3734"/>
        <w:gridCol w:w="696"/>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73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9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373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520" w:lineRule="exact"/>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r>
    </w:tbl>
    <w:p>
      <w:pPr>
        <w:rPr>
          <w:rFonts w:hint="eastAsia" w:ascii="宋体" w:hAnsi="宋体" w:eastAsia="宋体" w:cs="宋体"/>
          <w:b/>
          <w:bCs/>
          <w:color w:val="000000"/>
          <w:sz w:val="24"/>
          <w:szCs w:val="24"/>
          <w:highlight w:val="none"/>
          <w:lang w:val="en-US" w:eastAsia="zh-CN"/>
        </w:rPr>
      </w:pP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07"/>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pPr>
        <w:pStyle w:val="34"/>
        <w:rPr>
          <w:rFonts w:hint="eastAsia" w:ascii="宋体" w:hAnsi="宋体" w:eastAsia="宋体" w:cs="宋体"/>
          <w:lang w:val="en-US" w:eastAsia="zh-CN"/>
        </w:rPr>
      </w:pP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备注：采购要求未涉及的抽检品目、检验项目可根据采购人实际情况予以增补。</w:t>
      </w:r>
    </w:p>
    <w:p>
      <w:pPr>
        <w:rPr>
          <w:rFonts w:hint="eastAsia" w:ascii="宋体" w:hAnsi="宋体" w:eastAsia="宋体" w:cs="宋体"/>
          <w:b/>
          <w:bCs/>
          <w:color w:val="000000"/>
          <w:sz w:val="24"/>
          <w:szCs w:val="24"/>
          <w:highlight w:val="none"/>
          <w:lang w:val="en-US" w:eastAsia="zh-CN"/>
        </w:rPr>
      </w:pP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抽检检测技术要求</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能提供高效、专业的抽检服务，能接受抽样工作委托；</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有专门团队负责配合采样。有能满足采样、运输、检验等工作车辆、设备等硬件；</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抽检样品必须在当天进入食品检测实验室，以确保样品检测报告的准确性；</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若投标单位的符合率未达到100%时，应承诺其余参数在服务合同签订后三个月内完成扩项。</w:t>
      </w:r>
      <w:r>
        <w:rPr>
          <w:rFonts w:hint="eastAsia" w:ascii="宋体" w:hAnsi="宋体" w:eastAsia="宋体" w:cs="宋体"/>
          <w:color w:val="auto"/>
          <w:sz w:val="24"/>
          <w:szCs w:val="24"/>
          <w:highlight w:val="none"/>
          <w:lang w:val="en-US" w:eastAsia="zh-CN"/>
        </w:rPr>
        <w:t>本次抽检问题发现率不得低于4%。</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能够熟练运用各级抽检系统，及时准确的录入抽检、检验信息，辅助区市场监管局完成统计报表、信息公示等工作。</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不得将检验任务外包或分包给其他检测机构检验；</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若投标人出具虚假、错误检验数据和结论，一经发现，立即取消合作资格；</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须提供相关的业务咨询、报告分析等服务；</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进度要求：检验机构收到检品后15个工作日出具检验报告。对于特殊、涉案样品的检验，3天出结果，7天出报告；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有完善的绿色通道及投诉受理机制，能够对委托检验人提出的异议做出有效回应。</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有用于食品低温储存的自建冷库；</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具备相关的检测设备：液相色谱/质谱联用仪-三重四级杆（LC/MS/MS）、气质联用仪（GC/MS）、电感耦合等离子体质谱仪（ICP/MS）、高效液相色谱仪（HPLC）、气相色谱仪（GC）、紫外分光光度计（UV）、原子吸收光谱仪（AAS）、离子色谱仪；</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有应急预案，若我局辖区出现食品安全事故或案件调查等应急类事件时，可立即派遣技术专家及采样人员、车辆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小时内到达指定地点，配合采购方进行采样、调查，并提出相关技术建议；</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成果交付要求：出具检测报告。</w:t>
      </w:r>
    </w:p>
    <w:p>
      <w:pPr>
        <w:pStyle w:val="12"/>
        <w:keepNext w:val="0"/>
        <w:keepLines w:val="0"/>
        <w:pageBreakBefore w:val="0"/>
        <w:widowControl w:val="0"/>
        <w:kinsoku/>
        <w:wordWrap/>
        <w:overflowPunct/>
        <w:topLinePunct w:val="0"/>
        <w:autoSpaceDE/>
        <w:autoSpaceDN/>
        <w:bidi w:val="0"/>
        <w:adjustRightInd w:val="0"/>
        <w:snapToGrid/>
        <w:spacing w:line="360" w:lineRule="auto"/>
        <w:ind w:left="0" w:leftChars="0"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pPr>
        <w:spacing w:line="360" w:lineRule="auto"/>
        <w:ind w:firstLine="496"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快检检测技术要求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pPr>
        <w:pStyle w:val="17"/>
        <w:spacing w:line="360" w:lineRule="auto"/>
        <w:ind w:firstLine="496"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pPr>
        <w:numPr>
          <w:ilvl w:val="0"/>
          <w:numId w:val="0"/>
        </w:numPr>
        <w:spacing w:line="360" w:lineRule="auto"/>
        <w:ind w:left="426" w:leftChars="0"/>
        <w:outlineLvl w:val="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pPr>
        <w:numPr>
          <w:ilvl w:val="0"/>
          <w:numId w:val="0"/>
        </w:numPr>
        <w:spacing w:line="360" w:lineRule="auto"/>
        <w:ind w:left="426" w:leftChars="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 xml:space="preserve">第四条  </w:t>
      </w:r>
      <w:r>
        <w:rPr>
          <w:rFonts w:hint="eastAsia" w:ascii="宋体" w:hAnsi="宋体" w:eastAsia="宋体" w:cs="宋体"/>
          <w:b/>
          <w:color w:val="000000"/>
          <w:sz w:val="24"/>
          <w:szCs w:val="24"/>
        </w:rPr>
        <w:t>服务费用及支付方式</w:t>
      </w:r>
      <w:bookmarkEnd w:id="248"/>
    </w:p>
    <w:p>
      <w:pPr>
        <w:numPr>
          <w:ilvl w:val="0"/>
          <w:numId w:val="0"/>
        </w:numPr>
        <w:spacing w:line="360" w:lineRule="auto"/>
        <w:ind w:leftChars="0" w:firstLine="496" w:firstLineChars="200"/>
        <w:rPr>
          <w:rFonts w:hint="eastAsia" w:ascii="宋体" w:hAnsi="宋体" w:eastAsia="宋体" w:cs="宋体"/>
          <w:b/>
          <w:color w:val="000000"/>
          <w:sz w:val="24"/>
          <w:szCs w:val="24"/>
        </w:rPr>
      </w:pPr>
      <w:r>
        <w:rPr>
          <w:rFonts w:hint="eastAsia" w:ascii="宋体" w:hAnsi="宋体" w:eastAsia="宋体" w:cs="宋体"/>
          <w:sz w:val="24"/>
          <w:szCs w:val="24"/>
          <w:highlight w:val="none"/>
        </w:rPr>
        <w:t>项目整体完成</w:t>
      </w:r>
      <w:r>
        <w:rPr>
          <w:rFonts w:hint="eastAsia" w:ascii="宋体" w:hAnsi="宋体" w:eastAsia="宋体" w:cs="宋体"/>
          <w:sz w:val="24"/>
          <w:szCs w:val="24"/>
          <w:highlight w:val="none"/>
          <w:lang w:val="en-US" w:eastAsia="zh-CN"/>
        </w:rPr>
        <w:t>采购人所需服务要求后，中标单位向采购人提供合规发票，采购人一次性向成交单位支付所有款项（</w:t>
      </w:r>
      <w:r>
        <w:rPr>
          <w:rFonts w:hint="eastAsia" w:ascii="宋体" w:hAnsi="宋体" w:cs="宋体"/>
          <w:sz w:val="24"/>
          <w:szCs w:val="24"/>
          <w:highlight w:val="none"/>
          <w:lang w:val="en-US" w:eastAsia="zh-CN"/>
        </w:rPr>
        <w:t>按照</w:t>
      </w:r>
      <w:r>
        <w:rPr>
          <w:rFonts w:hint="default" w:ascii="宋体" w:hAnsi="宋体" w:eastAsia="宋体" w:cs="宋体"/>
          <w:sz w:val="24"/>
          <w:szCs w:val="24"/>
          <w:highlight w:val="none"/>
          <w:lang w:val="en-US" w:eastAsia="zh-CN"/>
        </w:rPr>
        <w:t>实际抽检的批次和检验的项目及</w:t>
      </w:r>
      <w:r>
        <w:rPr>
          <w:rFonts w:hint="eastAsia" w:ascii="宋体" w:hAnsi="宋体" w:eastAsia="宋体" w:cs="宋体"/>
          <w:sz w:val="24"/>
          <w:szCs w:val="24"/>
          <w:highlight w:val="none"/>
          <w:lang w:val="en-US" w:eastAsia="zh-CN"/>
        </w:rPr>
        <w:t>中标单位</w:t>
      </w:r>
      <w:r>
        <w:rPr>
          <w:rFonts w:hint="default"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US" w:eastAsia="zh-CN"/>
        </w:rPr>
        <w:t>最终投标</w:t>
      </w:r>
      <w:r>
        <w:rPr>
          <w:rFonts w:hint="default" w:ascii="宋体" w:hAnsi="宋体" w:eastAsia="宋体" w:cs="宋体"/>
          <w:sz w:val="24"/>
          <w:szCs w:val="24"/>
          <w:highlight w:val="none"/>
          <w:lang w:val="en-US" w:eastAsia="zh-CN"/>
        </w:rPr>
        <w:t>单价据实结算。即按照有效期内实际发生检测次数、检测的项目分类统计，以</w:t>
      </w:r>
      <w:r>
        <w:rPr>
          <w:rFonts w:hint="eastAsia" w:ascii="宋体" w:hAnsi="宋体" w:eastAsia="宋体" w:cs="宋体"/>
          <w:sz w:val="24"/>
          <w:szCs w:val="24"/>
          <w:highlight w:val="none"/>
          <w:lang w:val="en-US" w:eastAsia="zh-CN"/>
        </w:rPr>
        <w:t>供应商投标文件中</w:t>
      </w:r>
      <w:r>
        <w:rPr>
          <w:rFonts w:hint="default" w:ascii="宋体" w:hAnsi="宋体" w:eastAsia="宋体" w:cs="宋体"/>
          <w:sz w:val="24"/>
          <w:szCs w:val="24"/>
          <w:highlight w:val="none"/>
          <w:lang w:val="en-US" w:eastAsia="zh-CN"/>
        </w:rPr>
        <w:t>提供的各项目报价为单价，计算总价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最终据实结算不超过本包设定的最高限价</w:t>
      </w:r>
      <w:r>
        <w:rPr>
          <w:rFonts w:hint="eastAsia" w:ascii="宋体" w:hAnsi="宋体" w:eastAsia="宋体" w:cs="宋体"/>
          <w:sz w:val="24"/>
          <w:szCs w:val="24"/>
          <w:highlight w:val="none"/>
          <w:lang w:val="en-US" w:eastAsia="zh-CN"/>
        </w:rPr>
        <w:t>。</w:t>
      </w:r>
      <w:r>
        <w:rPr>
          <w:rFonts w:hint="eastAsia" w:ascii="宋体" w:hAnsi="宋体" w:eastAsia="宋体" w:cs="宋体"/>
          <w:b/>
          <w:color w:val="000000"/>
          <w:sz w:val="24"/>
          <w:szCs w:val="24"/>
        </w:rPr>
        <w:t xml:space="preserve"> </w:t>
      </w:r>
    </w:p>
    <w:p>
      <w:pPr>
        <w:numPr>
          <w:ilvl w:val="0"/>
          <w:numId w:val="0"/>
        </w:numPr>
        <w:spacing w:line="360" w:lineRule="auto"/>
        <w:ind w:firstLine="496" w:firstLineChars="200"/>
        <w:outlineLvl w:val="1"/>
        <w:rPr>
          <w:rFonts w:hint="eastAsia" w:ascii="宋体" w:hAnsi="宋体" w:eastAsia="宋体" w:cs="宋体"/>
          <w:b/>
          <w:color w:val="000000"/>
          <w:sz w:val="24"/>
          <w:szCs w:val="24"/>
        </w:rPr>
      </w:pPr>
      <w:bookmarkStart w:id="249" w:name="_Toc5940"/>
      <w:r>
        <w:rPr>
          <w:rFonts w:hint="eastAsia" w:ascii="宋体" w:hAnsi="宋体" w:eastAsia="宋体" w:cs="宋体"/>
          <w:b/>
          <w:color w:val="000000"/>
          <w:sz w:val="24"/>
          <w:szCs w:val="24"/>
          <w:lang w:val="en-US" w:eastAsia="zh-CN"/>
        </w:rPr>
        <w:t xml:space="preserve">第五条  </w:t>
      </w:r>
      <w:r>
        <w:rPr>
          <w:rFonts w:hint="eastAsia" w:ascii="宋体" w:hAnsi="宋体" w:eastAsia="宋体" w:cs="宋体"/>
          <w:b/>
          <w:color w:val="000000"/>
          <w:sz w:val="24"/>
          <w:szCs w:val="24"/>
        </w:rPr>
        <w:t>知识产权</w:t>
      </w:r>
      <w:bookmarkEnd w:id="249"/>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乙方应保证所提供的服务或其任何一部分均不会侵犯任何第三方的专利权、商标权或著作权。</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0" w:name="_Toc7446"/>
      <w:r>
        <w:rPr>
          <w:rFonts w:hint="eastAsia" w:ascii="宋体" w:hAnsi="宋体" w:eastAsia="宋体" w:cs="宋体"/>
          <w:b/>
          <w:color w:val="000000"/>
          <w:sz w:val="24"/>
          <w:szCs w:val="24"/>
          <w:lang w:val="en-US" w:eastAsia="zh-CN"/>
        </w:rPr>
        <w:t xml:space="preserve">第六条  </w:t>
      </w:r>
      <w:r>
        <w:rPr>
          <w:rFonts w:hint="eastAsia" w:ascii="宋体" w:hAnsi="宋体" w:eastAsia="宋体" w:cs="宋体"/>
          <w:b/>
          <w:color w:val="000000"/>
          <w:sz w:val="24"/>
          <w:szCs w:val="24"/>
        </w:rPr>
        <w:t>无产权瑕疵条款</w:t>
      </w:r>
      <w:bookmarkEnd w:id="250"/>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乙方保证所提供的服务的所有权完全属于乙方且无任何抵押、查封等产权瑕疵。如有产权瑕疵的，视为乙方违约。乙方应负担由此而产生的一切损失。</w:t>
      </w:r>
    </w:p>
    <w:p>
      <w:pPr>
        <w:numPr>
          <w:ilvl w:val="0"/>
          <w:numId w:val="0"/>
        </w:numPr>
        <w:tabs>
          <w:tab w:val="left" w:pos="1470"/>
        </w:tabs>
        <w:spacing w:line="360" w:lineRule="auto"/>
        <w:ind w:firstLine="496" w:firstLineChars="200"/>
        <w:outlineLvl w:val="1"/>
        <w:rPr>
          <w:rFonts w:hint="eastAsia" w:ascii="宋体" w:hAnsi="宋体" w:eastAsia="宋体" w:cs="宋体"/>
          <w:b/>
          <w:color w:val="000000"/>
          <w:sz w:val="24"/>
          <w:szCs w:val="24"/>
        </w:rPr>
      </w:pPr>
      <w:bookmarkStart w:id="251" w:name="_Toc9727"/>
      <w:r>
        <w:rPr>
          <w:rFonts w:hint="eastAsia" w:ascii="宋体" w:hAnsi="宋体" w:eastAsia="宋体" w:cs="宋体"/>
          <w:b/>
          <w:color w:val="000000"/>
          <w:sz w:val="24"/>
          <w:szCs w:val="24"/>
          <w:lang w:val="en-US" w:eastAsia="zh-CN"/>
        </w:rPr>
        <w:t xml:space="preserve">第七条  </w:t>
      </w:r>
      <w:r>
        <w:rPr>
          <w:rFonts w:hint="eastAsia" w:ascii="宋体" w:hAnsi="宋体" w:eastAsia="宋体" w:cs="宋体"/>
          <w:b/>
          <w:color w:val="000000"/>
          <w:sz w:val="24"/>
          <w:szCs w:val="24"/>
        </w:rPr>
        <w:t>履约保证金</w:t>
      </w:r>
      <w:bookmarkEnd w:id="251"/>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1、乙方交纳人民币</w:t>
      </w:r>
      <w:r>
        <w:rPr>
          <w:rFonts w:hint="eastAsia" w:ascii="宋体" w:hAnsi="宋体" w:eastAsia="宋体" w:cs="宋体"/>
          <w:color w:val="000000"/>
          <w:sz w:val="24"/>
          <w:szCs w:val="24"/>
          <w:lang w:val="en-US" w:eastAsia="zh-CN"/>
        </w:rPr>
        <w:t>0</w:t>
      </w:r>
      <w:r>
        <w:rPr>
          <w:rFonts w:hint="eastAsia" w:ascii="宋体" w:hAnsi="宋体" w:eastAsia="宋体" w:cs="宋体"/>
          <w:bCs/>
          <w:color w:val="000000"/>
          <w:sz w:val="24"/>
          <w:szCs w:val="24"/>
        </w:rPr>
        <w:t>元作为本合同的履约保证金。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2、履约保证金作为违约金的一部分及用于补偿甲方因乙方不能履行合同义务而蒙受的损失。</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2" w:name="_Toc19589"/>
      <w:r>
        <w:rPr>
          <w:rFonts w:hint="eastAsia" w:ascii="宋体" w:hAnsi="宋体" w:eastAsia="宋体" w:cs="宋体"/>
          <w:b/>
          <w:color w:val="000000"/>
          <w:sz w:val="24"/>
          <w:szCs w:val="24"/>
          <w:lang w:val="en-US" w:eastAsia="zh-CN"/>
        </w:rPr>
        <w:t xml:space="preserve">第八条  </w:t>
      </w:r>
      <w:r>
        <w:rPr>
          <w:rFonts w:hint="eastAsia" w:ascii="宋体" w:hAnsi="宋体" w:eastAsia="宋体" w:cs="宋体"/>
          <w:b/>
          <w:color w:val="000000"/>
          <w:sz w:val="24"/>
          <w:szCs w:val="24"/>
        </w:rPr>
        <w:t>甲方的权利和义务</w:t>
      </w:r>
      <w:bookmarkEnd w:id="252"/>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2、甲方有权依据双方签订的考评办法对乙方提供的服务进行定期考评。当考评结果未达到标准时，有权依据考评办法约定的数额扣除履约保证金。</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3、负责检查监督乙方管理工作的实施及制度的执行情况。</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4、根据本合同规定，按时向乙方支付应付服务费用。</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5、国家法律、法规所规定由甲方承担的其它责任。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3" w:name="_Toc8800"/>
      <w:r>
        <w:rPr>
          <w:rFonts w:hint="eastAsia" w:ascii="宋体" w:hAnsi="宋体" w:eastAsia="宋体" w:cs="宋体"/>
          <w:b/>
          <w:color w:val="000000"/>
          <w:sz w:val="24"/>
          <w:szCs w:val="24"/>
          <w:lang w:val="en-US" w:eastAsia="zh-CN"/>
        </w:rPr>
        <w:t xml:space="preserve">第九条  </w:t>
      </w:r>
      <w:r>
        <w:rPr>
          <w:rFonts w:hint="eastAsia" w:ascii="宋体" w:hAnsi="宋体" w:eastAsia="宋体" w:cs="宋体"/>
          <w:b/>
          <w:color w:val="000000"/>
          <w:sz w:val="24"/>
          <w:szCs w:val="24"/>
        </w:rPr>
        <w:t>乙方的权利和义务</w:t>
      </w:r>
      <w:bookmarkEnd w:id="253"/>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1、对本合同规定的委托服务范围内的项目享有管理权及服务义务。</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2、根据本合同的规定向甲方收取相关服务费用，并有权在本项目管理范围内管理及合理使用。</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3、及时向甲方通告本项目服务范围内有关服务的重大事项，及时配合处理投诉。</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4、</w:t>
      </w:r>
      <w:r>
        <w:rPr>
          <w:rFonts w:hint="eastAsia" w:ascii="宋体" w:hAnsi="宋体" w:eastAsia="宋体" w:cs="宋体"/>
          <w:bCs/>
          <w:color w:val="000000"/>
          <w:sz w:val="24"/>
          <w:szCs w:val="24"/>
        </w:rPr>
        <w:t>接受项目行业管理部门及政府有关部门的指导，接受甲方的监督。</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5、国家法律、法规所规定由乙方承担的其它责任。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4" w:name="_Toc23804"/>
      <w:r>
        <w:rPr>
          <w:rFonts w:hint="eastAsia" w:ascii="宋体" w:hAnsi="宋体" w:eastAsia="宋体" w:cs="宋体"/>
          <w:b/>
          <w:color w:val="000000"/>
          <w:sz w:val="24"/>
          <w:szCs w:val="24"/>
          <w:lang w:val="en-US" w:eastAsia="zh-CN"/>
        </w:rPr>
        <w:t xml:space="preserve">第十条  </w:t>
      </w:r>
      <w:r>
        <w:rPr>
          <w:rFonts w:hint="eastAsia" w:ascii="宋体" w:hAnsi="宋体" w:eastAsia="宋体" w:cs="宋体"/>
          <w:b/>
          <w:color w:val="000000"/>
          <w:sz w:val="24"/>
          <w:szCs w:val="24"/>
        </w:rPr>
        <w:t>违约责任</w:t>
      </w:r>
      <w:bookmarkEnd w:id="254"/>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1、甲乙双方必须遵守本合同并执行合同中的各项规定，保证本合同的正常履行。</w:t>
      </w:r>
    </w:p>
    <w:p>
      <w:p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55" w:name="_Toc28495"/>
      <w:r>
        <w:rPr>
          <w:rFonts w:hint="eastAsia" w:ascii="宋体" w:hAnsi="宋体" w:eastAsia="宋体" w:cs="宋体"/>
          <w:b/>
          <w:color w:val="000000"/>
          <w:sz w:val="24"/>
          <w:szCs w:val="24"/>
          <w:lang w:val="en-US" w:eastAsia="zh-CN"/>
        </w:rPr>
        <w:t xml:space="preserve">第十一条  </w:t>
      </w:r>
      <w:r>
        <w:rPr>
          <w:rFonts w:hint="eastAsia" w:ascii="宋体" w:hAnsi="宋体" w:eastAsia="宋体" w:cs="宋体"/>
          <w:b/>
          <w:color w:val="000000"/>
          <w:sz w:val="24"/>
          <w:szCs w:val="24"/>
        </w:rPr>
        <w:t>不可抗力事件处理</w:t>
      </w:r>
      <w:bookmarkEnd w:id="255"/>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1、在合同有效期内，任何一方因不可抗力事件导致不能履行合同，则合同履行期可延长，其延长期与不可抗力影响期相同。</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2、不可抗力事件发生后，应立即通知对方，并寄送有关权威机构出具的证明。</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3、不可抗力事件延续XX天以上，双方应通过友好协商，确定是否继续履行合同。</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56" w:name="_Toc225654649"/>
      <w:bookmarkStart w:id="257" w:name="_Toc286993792"/>
      <w:bookmarkStart w:id="258" w:name="_Toc211854454"/>
      <w:bookmarkStart w:id="259" w:name="_Toc241833908"/>
      <w:bookmarkStart w:id="260" w:name="_Toc225244857"/>
      <w:bookmarkStart w:id="261" w:name="_Toc212019599"/>
      <w:bookmarkStart w:id="262" w:name="_Toc225670756"/>
      <w:bookmarkStart w:id="263" w:name="_Toc19921"/>
      <w:bookmarkStart w:id="264" w:name="_Toc211911353"/>
      <w:bookmarkStart w:id="265" w:name="_Toc239568423"/>
      <w:bookmarkStart w:id="266" w:name="_Toc238984980"/>
      <w:bookmarkStart w:id="267" w:name="_Toc237145411"/>
      <w:bookmarkStart w:id="268" w:name="_Toc185395254"/>
      <w:bookmarkStart w:id="269" w:name="_Toc239233919"/>
      <w:bookmarkStart w:id="270" w:name="_Toc247334846"/>
      <w:bookmarkStart w:id="271" w:name="_Toc251768867"/>
      <w:bookmarkStart w:id="272" w:name="_Toc232492933"/>
      <w:r>
        <w:rPr>
          <w:rFonts w:hint="eastAsia" w:ascii="宋体" w:hAnsi="宋体" w:eastAsia="宋体" w:cs="宋体"/>
          <w:b/>
          <w:color w:val="000000"/>
          <w:sz w:val="24"/>
          <w:szCs w:val="24"/>
          <w:lang w:val="en-US" w:eastAsia="zh-CN"/>
        </w:rPr>
        <w:t xml:space="preserve">第十二条  </w:t>
      </w:r>
      <w:r>
        <w:rPr>
          <w:rFonts w:hint="eastAsia" w:ascii="宋体" w:hAnsi="宋体" w:eastAsia="宋体" w:cs="宋体"/>
          <w:b/>
          <w:color w:val="000000"/>
          <w:sz w:val="24"/>
          <w:szCs w:val="24"/>
        </w:rPr>
        <w:t>解决合同纠纷的方式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bookmarkStart w:id="273" w:name="_Toc225670757"/>
      <w:bookmarkStart w:id="274" w:name="_Toc211854455"/>
      <w:bookmarkStart w:id="275" w:name="_Toc241833909"/>
      <w:bookmarkStart w:id="276" w:name="_Toc237145412"/>
      <w:bookmarkStart w:id="277" w:name="_Toc247334847"/>
      <w:bookmarkStart w:id="278" w:name="_Toc225244858"/>
      <w:bookmarkStart w:id="279" w:name="_Toc239568424"/>
      <w:bookmarkStart w:id="280" w:name="_Toc225654650"/>
      <w:bookmarkStart w:id="281" w:name="_Toc239233920"/>
      <w:bookmarkStart w:id="282" w:name="_Toc211911354"/>
      <w:bookmarkStart w:id="283" w:name="_Toc282696231"/>
      <w:bookmarkStart w:id="284" w:name="_Toc212019600"/>
      <w:bookmarkStart w:id="285" w:name="_Toc286993793"/>
      <w:bookmarkStart w:id="286" w:name="_Toc251768868"/>
      <w:bookmarkStart w:id="287" w:name="_Toc185395255"/>
      <w:bookmarkStart w:id="288" w:name="_Toc283019219"/>
      <w:bookmarkStart w:id="289" w:name="_Toc232492934"/>
      <w:bookmarkStart w:id="290" w:name="_Toc238984981"/>
      <w:r>
        <w:rPr>
          <w:rFonts w:hint="eastAsia" w:ascii="宋体" w:hAnsi="宋体" w:eastAsia="宋体" w:cs="宋体"/>
          <w:color w:val="000000"/>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408" w:lineRule="auto"/>
        <w:ind w:left="496" w:leftChars="0"/>
        <w:textAlignment w:val="auto"/>
        <w:outlineLvl w:val="1"/>
        <w:rPr>
          <w:rFonts w:hint="eastAsia" w:ascii="宋体" w:hAnsi="宋体" w:eastAsia="宋体" w:cs="宋体"/>
          <w:b/>
          <w:color w:val="000000"/>
          <w:sz w:val="24"/>
          <w:szCs w:val="24"/>
        </w:rPr>
      </w:pPr>
      <w:bookmarkStart w:id="291" w:name="_Toc7684"/>
      <w:r>
        <w:rPr>
          <w:rFonts w:hint="eastAsia" w:ascii="宋体" w:hAnsi="宋体" w:eastAsia="宋体" w:cs="宋体"/>
          <w:b/>
          <w:color w:val="000000"/>
          <w:sz w:val="24"/>
          <w:szCs w:val="24"/>
          <w:lang w:val="en-US" w:eastAsia="zh-CN"/>
        </w:rPr>
        <w:t xml:space="preserve">第十三条  </w:t>
      </w:r>
      <w:r>
        <w:rPr>
          <w:rFonts w:hint="eastAsia" w:ascii="宋体" w:hAnsi="宋体" w:eastAsia="宋体" w:cs="宋体"/>
          <w:b/>
          <w:color w:val="000000"/>
          <w:sz w:val="24"/>
          <w:szCs w:val="24"/>
        </w:rPr>
        <w:t>合同</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宋体" w:hAnsi="宋体" w:eastAsia="宋体" w:cs="宋体"/>
          <w:b/>
          <w:color w:val="000000"/>
          <w:sz w:val="24"/>
          <w:szCs w:val="24"/>
        </w:rPr>
        <w:t>生效及其他</w:t>
      </w:r>
      <w:bookmarkEnd w:id="291"/>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1、甲、乙双方做为合同执行的主体，有义务及时完全履行合同。西安市临潼区政府采购服务中心监督履行。</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3、招标文件和乙方的投标文件以及合同附件均为合同不可分割的部分。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408" w:lineRule="auto"/>
        <w:ind w:firstLine="49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4、合同一式</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份，甲方、乙方各贰份。甲方、乙方及方签字盖章后生效，合同执行完毕自动失效。</w:t>
      </w:r>
    </w:p>
    <w:p>
      <w:pPr>
        <w:numPr>
          <w:ilvl w:val="0"/>
          <w:numId w:val="0"/>
        </w:numPr>
        <w:spacing w:line="360" w:lineRule="auto"/>
        <w:ind w:left="496" w:leftChars="0"/>
        <w:outlineLvl w:val="1"/>
        <w:rPr>
          <w:rFonts w:hint="eastAsia" w:ascii="宋体" w:hAnsi="宋体" w:eastAsia="宋体" w:cs="宋体"/>
          <w:b/>
          <w:color w:val="000000"/>
          <w:sz w:val="24"/>
          <w:szCs w:val="24"/>
        </w:rPr>
      </w:pPr>
      <w:bookmarkStart w:id="292" w:name="_Toc9653"/>
      <w:r>
        <w:rPr>
          <w:rFonts w:hint="eastAsia" w:ascii="宋体" w:hAnsi="宋体" w:eastAsia="宋体" w:cs="宋体"/>
          <w:b/>
          <w:color w:val="000000"/>
          <w:sz w:val="24"/>
          <w:szCs w:val="24"/>
          <w:lang w:val="en-US" w:eastAsia="zh-CN"/>
        </w:rPr>
        <w:t xml:space="preserve">第十四条  </w:t>
      </w:r>
      <w:r>
        <w:rPr>
          <w:rFonts w:hint="eastAsia" w:ascii="宋体" w:hAnsi="宋体" w:eastAsia="宋体" w:cs="宋体"/>
          <w:b/>
          <w:color w:val="000000"/>
          <w:sz w:val="24"/>
          <w:szCs w:val="24"/>
        </w:rPr>
        <w:t>附件</w:t>
      </w:r>
      <w:bookmarkEnd w:id="292"/>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1、项目</w:t>
      </w:r>
      <w:r>
        <w:rPr>
          <w:rFonts w:hint="eastAsia" w:ascii="宋体" w:hAnsi="宋体" w:eastAsia="宋体" w:cs="宋体"/>
          <w:color w:val="000000"/>
          <w:sz w:val="24"/>
          <w:szCs w:val="24"/>
          <w:lang w:val="en-US" w:eastAsia="zh-CN"/>
        </w:rPr>
        <w:t>招标文件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2、项目修改澄清文件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3、项目</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通知书</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w:t>
      </w:r>
    </w:p>
    <w:p>
      <w:pPr>
        <w:spacing w:line="360" w:lineRule="auto"/>
        <w:rPr>
          <w:rFonts w:hint="eastAsia" w:ascii="宋体" w:hAnsi="宋体" w:eastAsia="宋体" w:cs="宋体"/>
          <w:color w:val="000000"/>
          <w:sz w:val="24"/>
          <w:szCs w:val="24"/>
        </w:rPr>
      </w:pPr>
    </w:p>
    <w:p>
      <w:pPr>
        <w:pStyle w:val="34"/>
        <w:rPr>
          <w:rFonts w:hint="eastAsia" w:ascii="宋体" w:hAnsi="宋体" w:eastAsia="宋体" w:cs="宋体"/>
          <w:color w:val="000000"/>
          <w:sz w:val="24"/>
          <w:szCs w:val="24"/>
        </w:rPr>
      </w:pPr>
    </w:p>
    <w:p>
      <w:pPr>
        <w:pStyle w:val="35"/>
        <w:rPr>
          <w:rFonts w:hint="eastAsia"/>
        </w:rPr>
      </w:pP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方：（公章）                          乙  方：（公章）</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址：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地    址： </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代理人：（签字）</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p>
    <w:p>
      <w:pPr>
        <w:adjustRightInd w:val="0"/>
        <w:snapToGrid w:val="0"/>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签订日期：   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pStyle w:val="20"/>
        <w:spacing w:line="360" w:lineRule="auto"/>
        <w:ind w:firstLine="496" w:firstLineChars="200"/>
        <w:rPr>
          <w:rFonts w:hint="eastAsia" w:ascii="宋体" w:hAnsi="宋体" w:eastAsia="宋体" w:cs="宋体"/>
          <w:sz w:val="24"/>
          <w:szCs w:val="24"/>
          <w:lang w:eastAsia="zh-CN"/>
        </w:rPr>
      </w:pPr>
    </w:p>
    <w:p>
      <w:pPr>
        <w:spacing w:line="360" w:lineRule="auto"/>
        <w:rPr>
          <w:rFonts w:hint="eastAsia" w:ascii="宋体" w:hAnsi="宋体" w:eastAsia="宋体" w:cs="宋体"/>
          <w:b/>
          <w:bCs/>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293" w:name="_Toc5730"/>
      <w:r>
        <w:rPr>
          <w:rFonts w:hint="eastAsia" w:ascii="宋体" w:hAnsi="宋体" w:eastAsia="宋体" w:cs="宋体"/>
          <w:color w:val="000000" w:themeColor="text1"/>
          <w:highlight w:val="none"/>
          <w14:textFill>
            <w14:solidFill>
              <w14:schemeClr w14:val="tx1"/>
            </w14:solidFill>
          </w14:textFill>
        </w:rPr>
        <w:br w:type="page"/>
      </w:r>
    </w:p>
    <w:p>
      <w:pPr>
        <w:pStyle w:val="3"/>
        <w:rPr>
          <w:rFonts w:hint="eastAsia" w:ascii="宋体" w:hAnsi="宋体" w:eastAsia="宋体" w:cs="宋体"/>
          <w:color w:val="000000" w:themeColor="text1"/>
          <w:highlight w:val="none"/>
          <w14:textFill>
            <w14:solidFill>
              <w14:schemeClr w14:val="tx1"/>
            </w14:solidFill>
          </w14:textFill>
        </w:rPr>
      </w:pPr>
      <w:bookmarkStart w:id="294"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23"/>
      <w:bookmarkEnd w:id="293"/>
      <w:bookmarkEnd w:id="294"/>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bookmarkStart w:id="295" w:name="_Toc17434"/>
      <w:r>
        <w:rPr>
          <w:rFonts w:hint="eastAsia" w:ascii="宋体" w:hAnsi="宋体" w:eastAsia="宋体" w:cs="宋体"/>
          <w:b/>
          <w:bCs/>
          <w:color w:val="000000" w:themeColor="text1"/>
          <w:sz w:val="56"/>
          <w:szCs w:val="56"/>
          <w:highlight w:val="none"/>
          <w14:textFill>
            <w14:solidFill>
              <w14:schemeClr w14:val="tx1"/>
            </w14:solidFill>
          </w14:textFill>
        </w:rPr>
        <w:t>西安市未央区市场监督管理局2023年度食品安全检测项目（谭家、六村堡市场监管所管辖区域内）</w:t>
      </w:r>
    </w:p>
    <w:p>
      <w:pPr>
        <w:pStyle w:val="45"/>
        <w:rPr>
          <w:rFonts w:hint="eastAsia" w:ascii="宋体" w:hAnsi="宋体" w:eastAsia="宋体" w:cs="宋体"/>
        </w:rPr>
      </w:pPr>
    </w:p>
    <w:p>
      <w:pPr>
        <w:snapToGrid w:val="0"/>
        <w:jc w:val="center"/>
        <w:rPr>
          <w:rFonts w:hint="eastAsia"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95"/>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96" w:name="_Toc31589"/>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296"/>
      <w:r>
        <w:rPr>
          <w:rFonts w:hint="eastAsia" w:ascii="宋体" w:hAnsi="宋体" w:eastAsia="宋体" w:cs="宋体"/>
          <w:b/>
          <w:bCs/>
          <w:color w:val="000000" w:themeColor="text1"/>
          <w:sz w:val="32"/>
          <w:szCs w:val="32"/>
          <w:highlight w:val="none"/>
          <w:lang w:eastAsia="zh-CN"/>
          <w14:textFill>
            <w14:solidFill>
              <w14:schemeClr w14:val="tx1"/>
            </w14:solidFill>
          </w14:textFill>
        </w:rPr>
        <w:t>ZJXG2023044-4</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hint="eastAsia" w:ascii="宋体" w:hAnsi="宋体" w:eastAsia="宋体" w:cs="宋体"/>
          <w:color w:val="000000" w:themeColor="text1"/>
          <w:sz w:val="44"/>
          <w:szCs w:val="44"/>
          <w:highlight w:val="none"/>
          <w14:textFill>
            <w14:solidFill>
              <w14:schemeClr w14:val="tx1"/>
            </w14:solidFill>
          </w14:textFill>
        </w:rPr>
      </w:pPr>
      <w:bookmarkStart w:id="297"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97"/>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第三部分   </w:t>
      </w:r>
      <w:r>
        <w:rPr>
          <w:rFonts w:hint="eastAsia" w:ascii="宋体"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color w:val="000000" w:themeColor="text1"/>
          <w:sz w:val="28"/>
          <w:szCs w:val="28"/>
          <w:highlight w:val="none"/>
          <w14:textFill>
            <w14:solidFill>
              <w14:schemeClr w14:val="tx1"/>
            </w14:solidFill>
          </w14:textFill>
        </w:rPr>
        <w:t>方案</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第六</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第七部分   供应商认为有必要说明的其他问题</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298" w:name="_Toc22015"/>
      <w:bookmarkStart w:id="299" w:name="_Toc9160"/>
      <w:r>
        <w:rPr>
          <w:rFonts w:hint="eastAsia" w:ascii="宋体" w:hAnsi="宋体" w:eastAsia="宋体" w:cs="宋体"/>
          <w:color w:val="000000" w:themeColor="text1"/>
          <w:highlight w:val="none"/>
          <w14:textFill>
            <w14:solidFill>
              <w14:schemeClr w14:val="tx1"/>
            </w14:solidFill>
          </w14:textFill>
        </w:rPr>
        <w:t>第一部分  投标函</w:t>
      </w:r>
      <w:bookmarkEnd w:id="298"/>
      <w:bookmarkEnd w:id="299"/>
    </w:p>
    <w:p>
      <w:pPr>
        <w:spacing w:line="560" w:lineRule="exact"/>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陕西中鉴项目管理有限公司</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76"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日    期：    年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6"/>
        </w:numPr>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00" w:name="_Toc9518"/>
      <w:bookmarkStart w:id="301" w:name="_Toc3282"/>
      <w:r>
        <w:rPr>
          <w:rFonts w:hint="eastAsia" w:ascii="宋体" w:hAnsi="宋体" w:eastAsia="宋体" w:cs="宋体"/>
          <w:color w:val="000000" w:themeColor="text1"/>
          <w:highlight w:val="none"/>
          <w14:textFill>
            <w14:solidFill>
              <w14:schemeClr w14:val="tx1"/>
            </w14:solidFill>
          </w14:textFill>
        </w:rPr>
        <w:t>开标一览表</w:t>
      </w:r>
      <w:bookmarkEnd w:id="300"/>
      <w:bookmarkEnd w:id="301"/>
    </w:p>
    <w:p>
      <w:pPr>
        <w:jc w:val="center"/>
        <w:rPr>
          <w:rFonts w:hint="eastAsia"/>
        </w:rPr>
      </w:pPr>
      <w:r>
        <w:rPr>
          <w:rFonts w:hint="eastAsia" w:ascii="宋体" w:hAnsi="宋体" w:eastAsia="宋体" w:cs="宋体"/>
          <w:color w:val="000000" w:themeColor="text1"/>
          <w:sz w:val="32"/>
          <w:szCs w:val="32"/>
          <w:highlight w:val="none"/>
          <w14:textFill>
            <w14:solidFill>
              <w14:schemeClr w14:val="tx1"/>
            </w14:solidFill>
          </w14:textFill>
        </w:rPr>
        <w:t>2.</w:t>
      </w:r>
      <w:r>
        <w:rPr>
          <w:rFonts w:hint="eastAsia" w:ascii="宋体" w:hAnsi="宋体" w:eastAsia="宋体" w:cs="宋体"/>
          <w:color w:val="000000" w:themeColor="text1"/>
          <w:sz w:val="32"/>
          <w:szCs w:val="32"/>
          <w:highlight w:val="none"/>
          <w:lang w:val="en-US" w:eastAsia="zh-CN"/>
          <w14:textFill>
            <w14:solidFill>
              <w14:schemeClr w14:val="tx1"/>
            </w14:solidFill>
          </w14:textFill>
        </w:rPr>
        <w:t>1投标</w:t>
      </w:r>
      <w:r>
        <w:rPr>
          <w:rFonts w:hint="eastAsia" w:ascii="宋体" w:hAnsi="宋体" w:eastAsia="宋体" w:cs="宋体"/>
          <w:color w:val="000000" w:themeColor="text1"/>
          <w:sz w:val="32"/>
          <w:szCs w:val="32"/>
          <w:highlight w:val="none"/>
          <w14:textFill>
            <w14:solidFill>
              <w14:schemeClr w14:val="tx1"/>
            </w14:solidFill>
          </w14:textFill>
        </w:rPr>
        <w:t>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项目名称：西安市未央区市场监督管理局2023年度食品安全检测项目（谭家、六村堡市场监管所管辖区域内）   </w:t>
      </w:r>
    </w:p>
    <w:p>
      <w:pPr>
        <w:wordWrap w:val="0"/>
        <w:spacing w:line="240" w:lineRule="auto"/>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ZJXG2023044-4</w:t>
      </w:r>
    </w:p>
    <w:tbl>
      <w:tblPr>
        <w:tblStyle w:val="3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87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240" w:lineRule="auto"/>
              <w:ind w:firstLine="992" w:firstLine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各分项报价之和</w:t>
            </w:r>
            <w:r>
              <w:rPr>
                <w:rFonts w:hint="eastAsia" w:ascii="宋体" w:hAnsi="宋体" w:eastAsia="宋体" w:cs="宋体"/>
                <w:sz w:val="24"/>
                <w:szCs w:val="24"/>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875" w:type="dxa"/>
            <w:vAlign w:val="center"/>
          </w:tcPr>
          <w:p>
            <w:pPr>
              <w:kinsoku w:val="0"/>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2799" w:type="dxa"/>
            <w:vAlign w:val="center"/>
          </w:tcPr>
          <w:p>
            <w:pPr>
              <w:kinsoku w:val="0"/>
              <w:spacing w:line="24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24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西安市未央区市场监督管理局2023年度食品安全检测项目（谭家、六村堡市场监管所管辖区域内）</w:t>
            </w:r>
          </w:p>
        </w:tc>
        <w:tc>
          <w:tcPr>
            <w:tcW w:w="2485" w:type="dxa"/>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p>
        </w:tc>
        <w:tc>
          <w:tcPr>
            <w:tcW w:w="2875"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c>
          <w:tcPr>
            <w:tcW w:w="2799" w:type="dxa"/>
            <w:vAlign w:val="center"/>
          </w:tcPr>
          <w:p>
            <w:pPr>
              <w:kinsoku w:val="0"/>
              <w:spacing w:line="240" w:lineRule="auto"/>
              <w:ind w:firstLine="496" w:firstLineChars="200"/>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spacing w:line="240" w:lineRule="auto"/>
              <w:ind w:firstLine="496"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spacing w:line="240" w:lineRule="auto"/>
              <w:ind w:firstLine="496"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2、此表所填写报价为抽检检测项目+快检检测项目各</w:t>
            </w:r>
            <w:r>
              <w:rPr>
                <w:rFonts w:hint="eastAsia" w:ascii="宋体" w:hAnsi="宋体" w:eastAsia="宋体" w:cs="宋体"/>
                <w:sz w:val="24"/>
                <w:szCs w:val="24"/>
                <w:lang w:val="en-US" w:eastAsia="zh-CN"/>
              </w:rPr>
              <w:t>分项报价之和。</w:t>
            </w:r>
          </w:p>
        </w:tc>
      </w:tr>
    </w:tbl>
    <w:p>
      <w:pPr>
        <w:tabs>
          <w:tab w:val="left" w:pos="4000"/>
        </w:tabs>
        <w:snapToGrid w:val="0"/>
        <w:spacing w:line="300" w:lineRule="auto"/>
        <w:rPr>
          <w:rFonts w:hint="eastAsia"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项目名称：西安市未央区市场监督管理局2023年度食品安全检测项目（谭家、六村堡市场监管所管辖区域内）   </w:t>
      </w:r>
    </w:p>
    <w:p>
      <w:pPr>
        <w:wordWrap w:val="0"/>
        <w:spacing w:line="24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ZJXG2023044-4</w:t>
      </w:r>
    </w:p>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抽检检测项目分项报价表</w:t>
      </w: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2612"/>
        <w:gridCol w:w="1429"/>
        <w:gridCol w:w="765"/>
        <w:gridCol w:w="2598"/>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612"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4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c>
          <w:tcPr>
            <w:tcW w:w="765"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98"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检测项目名称</w:t>
            </w:r>
          </w:p>
        </w:tc>
        <w:tc>
          <w:tcPr>
            <w:tcW w:w="134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spacing w:line="24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6-苄基腺嘌呤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那可丁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界限指标-溶解性总固体</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安赛蜜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脲酶活性</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乙酰甲胺磷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氨基酸态氮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纽甜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罂粟碱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百菌清</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硼砂或硼酸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荧光增白剂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地美硝唑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苯并（α）芘</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游离性余氯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氰化物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原麦汁浓度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硼酸盐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丙酸及其钠盐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展青霉素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耗氧量</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不溶于水杂质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茶多酚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粪链球菌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呈味核苷酸二钠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志贺氏菌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三氯甲烷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大肠菌群</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杀螟硫磷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四氯化碳</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沙丁胺醇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总灰分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沙门氏菌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滴滴涕</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敌敌畏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山梨酸钾</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脲酶试验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蒂巴因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商业无菌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总糖</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咖啡因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丁基羟基茴香醚</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S-氰戊菊酯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酸性橙Ⅱ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四环素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二丁基羟基甲苯（BHT）</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玉米赤霉烯酮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苏丹红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灭多威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脱氧雪腐镰刀菌烯酮</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二氧化硫残留量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糖精钠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三氯杀螨醇</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特丁基对苯二酚</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二氧化碳</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甜蜜素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泛酸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铜绿假单胞菌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非糖固形物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土霉素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赭曲霉毒素A</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脱氢乙酸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氟氰戊菊酯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维生素A</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维生素B1</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富马酸二甲酯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霉菌和酵母菌计数</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多菌灵</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二甲硝咪唑/洛硝哒唑代谢物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副溶血性弧菌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甲基毒死蜱</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维生素B2</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甲萘威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挥发性盐基氮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干浸出物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果糖和葡萄糖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蔗糖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溶剂残留量</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特丁硫磷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吡蚜酮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苯甲酸盐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谷氨酸钠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钡（以Ba计）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极性组分</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过氧化苯甲酰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丙二醛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硝基呋喃代谢物（AMOZ、SEM、AHD、AOZ）</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过氧化值</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过氧化氢</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还原糖分</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铵盐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合成着色剂（亮蓝、柠檬黄、日落黄、苋菜红、诱惑红、赤藓红、新红）</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溴氰菊酯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乙酰磺胺酸钾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滑石粉</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亚硫酸盐（以二氧化硫计）</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环己基氨基磺酸钠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洛硝哒唑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黄曲霉毒素B1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亚硝酸盐</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游离矿酸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黄曲霉毒素M1</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克伦特罗</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碱性橙</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氧乐果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己酸乙酯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阿维菌素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抗氧化剂（BHA，BHT、TBHQ）</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丙溴磷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三唑磷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恩诺沙星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N-二甲基亚硝胺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氟苯尼考</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甲醇</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甲拌磷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甲基对硫磷</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联苯肼酯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单核细胞增生李斯特氏菌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苯醚甲环唑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杀扑磷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大肠埃希氏菌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灭线磷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甲醛次硫酸氢钠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洛美沙星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钾</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双甲脒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非脂乳固体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氧氟沙星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酵母菌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诺氟沙星</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金黄色葡萄球菌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啶虫脒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酒精度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菌落总数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烯酰吗啉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可待因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噻嗪酮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阿斯巴甜</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噻虫嗪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克百威</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虫酰肼</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日落黄及其铝色淀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氯氟氰菊酯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孔雀石绿及隐色孔雀石绿</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甲基异柳磷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胭脂红及其铝色淀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蚍虫啉</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莱克多巴胺</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嘧霉胺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亮蓝及其铝色淀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磺胺类</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硫酸盐</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马拉硫磷</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柠檬黄及其铝色淀</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氟胺氰菊酯</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六六六</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丙环唑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复原乳酸度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那红地那非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罗丹明B</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杂质度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西地那非</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地西泮</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总乳固体</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可溶性糖</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铝</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氨苯砜</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纳他霉素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羟基甲硝唑</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金刚烷胺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氯菊酯</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蛋白质</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色度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脂肪</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氯霉素</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浑浊度</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界限指标-锂</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吗啡</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硒</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117</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界限指标-锶</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镁</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118</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螨</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叶酸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119</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生物素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120</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没食子酸丙酯类</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245</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亚油酸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界限指标-碘化物</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246</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α-亚麻酸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247</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三聚氰胺</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界限指标-偏硅酸</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248</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草甘膦</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霉菌计数</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249</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烟酸</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4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w:t>
            </w:r>
          </w:p>
        </w:tc>
        <w:tc>
          <w:tcPr>
            <w:tcW w:w="261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界限指标-硒</w:t>
            </w:r>
          </w:p>
        </w:tc>
        <w:tc>
          <w:tcPr>
            <w:tcW w:w="14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c>
          <w:tcPr>
            <w:tcW w:w="76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250</w:t>
            </w:r>
          </w:p>
        </w:tc>
        <w:tc>
          <w:tcPr>
            <w:tcW w:w="259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香兰素</w:t>
            </w:r>
          </w:p>
        </w:tc>
        <w:tc>
          <w:tcPr>
            <w:tcW w:w="134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jc w:val="center"/>
              <w:rPr>
                <w:rFonts w:hint="eastAsia" w:ascii="宋体" w:hAnsi="宋体" w:eastAsia="宋体" w:cs="宋体"/>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auto"/>
              <w:ind w:left="0" w:firstLine="0" w:firstLineChars="0"/>
              <w:rPr>
                <w:rFonts w:hint="default" w:ascii="宋体" w:hAnsi="宋体" w:eastAsia="宋体" w:cs="宋体"/>
                <w:color w:val="000000"/>
                <w:sz w:val="24"/>
                <w:szCs w:val="24"/>
                <w:highlight w:val="none"/>
                <w:lang w:val="en-US"/>
              </w:rPr>
            </w:pPr>
            <w:r>
              <w:rPr>
                <w:rFonts w:hint="eastAsia" w:ascii="宋体" w:hAnsi="宋体" w:eastAsia="宋体" w:cs="宋体"/>
                <w:b/>
                <w:bCs/>
                <w:color w:val="000000"/>
                <w:sz w:val="24"/>
                <w:szCs w:val="24"/>
                <w:highlight w:val="none"/>
                <w:lang w:val="en-US" w:eastAsia="zh-CN"/>
              </w:rPr>
              <w:t>抽检检测项目分项报价合计（元）：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497" w:type="dxa"/>
            <w:gridSpan w:val="6"/>
            <w:tcBorders>
              <w:top w:val="single" w:color="auto" w:sz="6" w:space="0"/>
              <w:left w:val="single" w:color="auto" w:sz="6" w:space="0"/>
              <w:bottom w:val="single" w:color="auto" w:sz="6" w:space="0"/>
              <w:right w:val="single" w:color="auto" w:sz="6" w:space="0"/>
              <w:tl2br w:val="nil"/>
              <w:tr2bl w:val="nil"/>
            </w:tcBorders>
            <w:noWrap/>
            <w:vAlign w:val="center"/>
          </w:tcPr>
          <w:p>
            <w:pPr>
              <w:adjustRightInd w:val="0"/>
              <w:snapToGrid w:val="0"/>
              <w:spacing w:line="24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表内报价内容以元为单位，精确到小数点后两位</w:t>
            </w:r>
            <w:r>
              <w:rPr>
                <w:rFonts w:hint="eastAsia" w:ascii="宋体" w:hAnsi="宋体" w:eastAsia="宋体" w:cs="宋体"/>
                <w:b/>
                <w:bCs/>
                <w:color w:val="000000" w:themeColor="text1"/>
                <w:highlight w:val="none"/>
                <w:lang w:eastAsia="zh-CN"/>
                <w14:textFill>
                  <w14:solidFill>
                    <w14:schemeClr w14:val="tx1"/>
                  </w14:solidFill>
                </w14:textFill>
              </w:rPr>
              <w:t>。</w:t>
            </w:r>
          </w:p>
        </w:tc>
      </w:tr>
    </w:tbl>
    <w:p>
      <w:pPr>
        <w:spacing w:before="48" w:beforeLines="20" w:after="48" w:afterLines="2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快检检测项目分项报价表</w:t>
      </w:r>
    </w:p>
    <w:tbl>
      <w:tblPr>
        <w:tblStyle w:val="36"/>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30"/>
        <w:gridCol w:w="628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28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c>
          <w:tcPr>
            <w:tcW w:w="1410" w:type="dxa"/>
            <w:tcBorders>
              <w:tl2br w:val="nil"/>
              <w:tr2bl w:val="nil"/>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57"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30"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287"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w:t>
            </w:r>
          </w:p>
        </w:tc>
        <w:tc>
          <w:tcPr>
            <w:tcW w:w="1410" w:type="dxa"/>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84" w:type="dxa"/>
            <w:gridSpan w:val="4"/>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sz w:val="24"/>
                <w:szCs w:val="24"/>
                <w:highlight w:val="none"/>
                <w:lang w:val="en-US" w:eastAsia="zh-CN"/>
              </w:rPr>
              <w:t>快检检测项目分项报价合计（元）：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84" w:type="dxa"/>
            <w:gridSpan w:val="4"/>
            <w:tcBorders>
              <w:tl2br w:val="nil"/>
              <w:tr2bl w:val="nil"/>
            </w:tcBorders>
            <w:noWrap w:val="0"/>
            <w:vAlign w:val="center"/>
          </w:tcPr>
          <w:p>
            <w:pPr>
              <w:adjustRightInd w:val="0"/>
              <w:snapToGrid w:val="0"/>
              <w:spacing w:line="480" w:lineRule="auto"/>
              <w:rPr>
                <w:rFonts w:hint="default"/>
                <w:lang w:val="en-US" w:eastAsia="zh-CN"/>
              </w:rPr>
            </w:pPr>
            <w:r>
              <w:rPr>
                <w:rFonts w:hint="eastAsia" w:ascii="宋体" w:hAnsi="宋体" w:eastAsia="宋体" w:cs="宋体"/>
                <w:b/>
                <w:bCs/>
                <w:color w:val="000000" w:themeColor="text1"/>
                <w:highlight w:val="none"/>
                <w:lang w:val="en-US" w:eastAsia="zh-CN"/>
                <w14:textFill>
                  <w14:solidFill>
                    <w14:schemeClr w14:val="tx1"/>
                  </w14:solidFill>
                </w14:textFill>
              </w:rPr>
              <w:t>注：1、表内报价内容以元为单位，精确到小数点后两位。</w:t>
            </w:r>
          </w:p>
        </w:tc>
      </w:tr>
    </w:tbl>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adjustRightInd w:val="0"/>
        <w:snapToGrid w:val="0"/>
        <w:spacing w:line="480" w:lineRule="auto"/>
        <w:rPr>
          <w:rFonts w:hint="eastAsia"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083" w:bottom="1440" w:left="1083" w:header="850" w:footer="992" w:gutter="0"/>
          <w:pgNumType w:fmt="numberInDash"/>
          <w:cols w:space="0" w:num="1"/>
          <w:titlePg/>
          <w:docGrid w:type="linesAndChars" w:linePitch="395" w:charSpace="1724"/>
        </w:sectPr>
      </w:pPr>
    </w:p>
    <w:p>
      <w:pPr>
        <w:pStyle w:val="4"/>
        <w:ind w:firstLine="657"/>
        <w:jc w:val="center"/>
        <w:rPr>
          <w:rFonts w:hint="eastAsia" w:ascii="宋体" w:hAnsi="宋体" w:eastAsia="宋体" w:cs="宋体"/>
          <w:color w:val="000000" w:themeColor="text1"/>
          <w:highlight w:val="none"/>
          <w14:textFill>
            <w14:solidFill>
              <w14:schemeClr w14:val="tx1"/>
            </w14:solidFill>
          </w14:textFill>
        </w:rPr>
      </w:pPr>
      <w:bookmarkStart w:id="302" w:name="_Toc27005"/>
      <w:bookmarkStart w:id="303" w:name="_Toc26305"/>
      <w:r>
        <w:rPr>
          <w:rFonts w:hint="eastAsia" w:ascii="宋体" w:hAnsi="宋体" w:eastAsia="宋体" w:cs="宋体"/>
          <w:color w:val="000000" w:themeColor="text1"/>
          <w:highlight w:val="none"/>
          <w14:textFill>
            <w14:solidFill>
              <w14:schemeClr w14:val="tx1"/>
            </w14:solidFill>
          </w14:textFill>
        </w:rPr>
        <w:t xml:space="preserve">第三部分  </w:t>
      </w:r>
      <w:bookmarkEnd w:id="302"/>
      <w:bookmarkEnd w:id="303"/>
      <w:r>
        <w:rPr>
          <w:rFonts w:hint="eastAsia" w:ascii="宋体" w:hAnsi="宋体" w:eastAsia="宋体" w:cs="宋体"/>
          <w:color w:val="000000" w:themeColor="text1"/>
          <w:highlight w:val="none"/>
          <w14:textFill>
            <w14:solidFill>
              <w14:schemeClr w14:val="tx1"/>
            </w14:solidFill>
          </w14:textFill>
        </w:rPr>
        <w:t>供应商资质证明资料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bookmarkStart w:id="304" w:name="_Toc28294"/>
      <w:bookmarkStart w:id="305" w:name="_Toc30568"/>
      <w:bookmarkStart w:id="306" w:name="_Toc32575"/>
      <w:bookmarkStart w:id="307" w:name="_Toc9106"/>
      <w:bookmarkStart w:id="308" w:name="_Toc18738"/>
      <w:bookmarkStart w:id="309" w:name="_Toc26570"/>
      <w:bookmarkStart w:id="310" w:name="_Toc14575"/>
      <w:bookmarkStart w:id="311" w:name="_Toc29109"/>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3）税收缴纳证明：提供2022年至今已缴纳的1个月的纳税证明或完税证明，依法免税的单位应提供相关证明材料；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4）社会保障资金缴纳证明：提供2022年至今已缴纳的1个月的社会保障资金缴存单据或社保机构开具的社会保险参保缴费情况证明，依法不需要缴纳社会保障资金的单位应提供相关证明材料；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7）法定代表人授权书及被授权人身份证（法定代表人直接参加投标的须提供其法人身份证），非法人单位参照执行；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政府采购严重违法失信行为记录名单中被财政部门禁止参加政府采购活动的供应商（采购代理机构查询，采购代理机构查询时限为投标文件递交截止之日）；</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9）供应商须提供检验检测机构资质认定证书CMA（证书附表包含食品)及农产品质量安全检测机构考核合格证书CATL；</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10）本项目为专门面向中小企业采购（提供中小企业声明函或监狱企业的证明文件或残疾人福利性单位声明函）。</w:t>
      </w:r>
    </w:p>
    <w:p>
      <w:pPr>
        <w:pStyle w:val="17"/>
        <w:rPr>
          <w:rFonts w:hint="eastAsia" w:ascii="宋体" w:hAnsi="宋体" w:eastAsia="宋体" w:cs="宋体"/>
        </w:rPr>
      </w:pPr>
    </w:p>
    <w:p>
      <w:pPr>
        <w:snapToGrid w:val="0"/>
        <w:spacing w:line="360" w:lineRule="auto"/>
        <w:rPr>
          <w:rFonts w:hint="eastAsia" w:ascii="宋体" w:hAnsi="宋体" w:eastAsia="宋体" w:cs="宋体"/>
          <w:b/>
          <w:bCs/>
          <w:sz w:val="28"/>
          <w:szCs w:val="28"/>
        </w:rPr>
      </w:pPr>
      <w:bookmarkStart w:id="312" w:name="_Toc27179"/>
      <w:bookmarkStart w:id="313" w:name="_Toc26943"/>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为给定格式，其余格式自拟</w:t>
      </w:r>
    </w:p>
    <w:p>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p>
    <w:tbl>
      <w:tblPr>
        <w:tblStyle w:val="36"/>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szCs w:val="21"/>
                <w:lang w:val="zh-CN"/>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法定代表人身份证复印件</w:t>
            </w:r>
            <w:r>
              <w:rPr>
                <w:rFonts w:hint="eastAsia" w:ascii="宋体" w:hAnsi="宋体" w:eastAsia="宋体" w:cs="宋体"/>
                <w:szCs w:val="21"/>
              </w:rPr>
              <w:t>或扫描件</w:t>
            </w:r>
          </w:p>
          <w:p>
            <w:pPr>
              <w:snapToGrid w:val="0"/>
              <w:spacing w:line="360" w:lineRule="auto"/>
              <w:jc w:val="center"/>
              <w:rPr>
                <w:rFonts w:hint="eastAsia" w:ascii="宋体" w:hAnsi="宋体" w:eastAsia="宋体" w:cs="宋体"/>
                <w:szCs w:val="21"/>
                <w:u w:val="single"/>
                <w:lang w:eastAsia="zh-CN"/>
              </w:rPr>
            </w:pPr>
            <w:r>
              <w:rPr>
                <w:rFonts w:hint="eastAsia" w:ascii="宋体" w:hAnsi="宋体" w:eastAsia="宋体" w:cs="宋体"/>
                <w:szCs w:val="21"/>
                <w:u w:val="none"/>
                <w:lang w:eastAsia="zh-CN"/>
              </w:rPr>
              <w:t>（国徽面、人像面）</w:t>
            </w:r>
          </w:p>
        </w:tc>
      </w:tr>
    </w:tbl>
    <w:p>
      <w:pPr>
        <w:autoSpaceDE w:val="0"/>
        <w:autoSpaceDN w:val="0"/>
        <w:adjustRightInd w:val="0"/>
        <w:snapToGrid w:val="0"/>
        <w:spacing w:before="120" w:beforeLines="50" w:line="360" w:lineRule="auto"/>
        <w:ind w:firstLine="496"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84" w:firstLineChars="800"/>
        <w:rPr>
          <w:rFonts w:hint="eastAsia" w:ascii="宋体" w:hAnsi="宋体" w:eastAsia="宋体" w:cs="宋体"/>
          <w:kern w:val="0"/>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28"/>
          <w:szCs w:val="28"/>
        </w:rPr>
      </w:pPr>
      <w:r>
        <w:rPr>
          <w:rFonts w:hint="eastAsia" w:ascii="宋体" w:hAnsi="宋体" w:eastAsia="宋体" w:cs="宋体"/>
          <w:sz w:val="24"/>
          <w:szCs w:val="24"/>
          <w:u w:val="single"/>
        </w:rPr>
        <w:br w:type="page"/>
      </w:r>
      <w:r>
        <w:rPr>
          <w:rFonts w:hint="eastAsia" w:ascii="宋体" w:hAnsi="宋体" w:eastAsia="宋体" w:cs="宋体"/>
          <w:b/>
          <w:sz w:val="24"/>
          <w:szCs w:val="24"/>
        </w:rPr>
        <w:t>附件2</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法定代表人授权书</w:t>
      </w:r>
    </w:p>
    <w:p>
      <w:pPr>
        <w:adjustRightInd w:val="0"/>
        <w:snapToGrid w:val="0"/>
        <w:spacing w:line="360" w:lineRule="auto"/>
        <w:rPr>
          <w:rFonts w:hint="eastAsia" w:ascii="宋体" w:hAnsi="宋体" w:eastAsia="宋体" w:cs="宋体"/>
          <w:sz w:val="24"/>
          <w:szCs w:val="24"/>
          <w:lang w:val="zh-CN"/>
        </w:rPr>
      </w:pPr>
    </w:p>
    <w:p>
      <w:pPr>
        <w:snapToGrid w:val="0"/>
        <w:spacing w:line="360" w:lineRule="auto"/>
        <w:rPr>
          <w:rFonts w:hint="eastAsia" w:ascii="宋体" w:hAnsi="宋体" w:eastAsia="宋体" w:cs="宋体"/>
          <w:sz w:val="24"/>
          <w:szCs w:val="24"/>
        </w:rPr>
      </w:pPr>
      <w:bookmarkStart w:id="314"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文件、签订合同和处理有关事宜，其法律后果由我方承担。代理人无转委托权。</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本授权书签字生效。</w:t>
      </w:r>
    </w:p>
    <w:tbl>
      <w:tblPr>
        <w:tblStyle w:val="36"/>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法定代表人签字：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noWrap w:val="0"/>
            <w:vAlign w:val="top"/>
          </w:tcPr>
          <w:p>
            <w:pPr>
              <w:snapToGrid w:val="0"/>
              <w:spacing w:line="360" w:lineRule="auto"/>
              <w:ind w:firstLine="256"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8" w:firstLineChars="100"/>
        <w:jc w:val="righ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pStyle w:val="26"/>
        <w:tabs>
          <w:tab w:val="right" w:leader="dot" w:pos="9060"/>
        </w:tabs>
        <w:ind w:left="0" w:leftChars="0" w:firstLine="0" w:firstLineChars="0"/>
        <w:rPr>
          <w:rFonts w:hint="eastAsia" w:ascii="宋体" w:hAnsi="宋体" w:eastAsia="宋体" w:cs="宋体"/>
          <w:b w:val="0"/>
          <w:bCs/>
        </w:rPr>
      </w:pPr>
      <w:r>
        <w:rPr>
          <w:rFonts w:hint="eastAsia" w:ascii="宋体" w:hAnsi="宋体" w:eastAsia="宋体" w:cs="宋体"/>
          <w:b w:val="0"/>
          <w:bCs/>
          <w:sz w:val="24"/>
          <w:szCs w:val="24"/>
        </w:rPr>
        <w:t>日    期：     年     月     日</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c>
          <w:tcPr>
            <w:tcW w:w="4644" w:type="dxa"/>
            <w:noWrap w:val="0"/>
            <w:vAlign w:val="center"/>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代理人身份证复印件或扫描件</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u w:val="none"/>
                <w:lang w:eastAsia="zh-CN"/>
              </w:rPr>
              <w:t>（国徽面、人像面）</w:t>
            </w:r>
          </w:p>
        </w:tc>
      </w:tr>
    </w:tbl>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附件3</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供应商应提供具有履行合同所必需的设备和专业技术能力的说明及承诺</w:t>
      </w:r>
    </w:p>
    <w:p>
      <w:pPr>
        <w:adjustRightInd w:val="0"/>
        <w:snapToGrid w:val="0"/>
        <w:spacing w:line="360" w:lineRule="auto"/>
        <w:jc w:val="center"/>
        <w:rPr>
          <w:rFonts w:hint="eastAsia" w:ascii="宋体" w:hAnsi="宋体" w:eastAsia="宋体" w:cs="宋体"/>
          <w:b/>
          <w:sz w:val="28"/>
          <w:szCs w:val="28"/>
        </w:rPr>
      </w:pPr>
    </w:p>
    <w:p>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240" w:beforeLines="100" w:after="120" w:afterLines="50" w:line="360" w:lineRule="auto"/>
        <w:ind w:firstLine="640" w:firstLineChars="250"/>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eastAsia="宋体" w:cs="宋体"/>
          <w:spacing w:val="4"/>
          <w:sz w:val="24"/>
          <w:szCs w:val="24"/>
        </w:rPr>
      </w:pPr>
    </w:p>
    <w:p>
      <w:pPr>
        <w:snapToGrid w:val="0"/>
        <w:spacing w:before="240" w:beforeLines="100" w:after="120" w:afterLines="50" w:line="360" w:lineRule="auto"/>
        <w:ind w:firstLine="170"/>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tabs>
          <w:tab w:val="center" w:pos="4153"/>
          <w:tab w:val="right" w:pos="8306"/>
        </w:tabs>
        <w:snapToGrid w:val="0"/>
        <w:spacing w:line="360" w:lineRule="auto"/>
        <w:jc w:val="left"/>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lang w:val="zh-CN"/>
        </w:rPr>
        <w:br w:type="page"/>
      </w:r>
      <w:r>
        <w:rPr>
          <w:rFonts w:hint="eastAsia" w:ascii="宋体" w:hAnsi="宋体" w:eastAsia="宋体" w:cs="宋体"/>
          <w:b/>
          <w:sz w:val="24"/>
          <w:szCs w:val="24"/>
        </w:rPr>
        <w:t>附件4</w:t>
      </w:r>
    </w:p>
    <w:bookmarkEnd w:id="314"/>
    <w:p>
      <w:pPr>
        <w:pStyle w:val="20"/>
        <w:adjustRightInd w:val="0"/>
        <w:snapToGrid w:val="0"/>
        <w:spacing w:line="360" w:lineRule="auto"/>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参加政府采购活动前三年内，在经营活动中没有重大违法记录的书面声明</w:t>
      </w:r>
    </w:p>
    <w:p>
      <w:pPr>
        <w:pStyle w:val="20"/>
        <w:adjustRightInd w:val="0"/>
        <w:snapToGrid w:val="0"/>
        <w:spacing w:line="360" w:lineRule="auto"/>
        <w:jc w:val="center"/>
        <w:rPr>
          <w:rFonts w:hint="eastAsia" w:ascii="宋体" w:hAnsi="宋体" w:eastAsia="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有关"提供虚假材料的规定"接受处罚。</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autoSpaceDE w:val="0"/>
        <w:autoSpaceDN w:val="0"/>
        <w:adjustRightInd w:val="0"/>
        <w:snapToGrid w:val="0"/>
        <w:spacing w:line="360" w:lineRule="auto"/>
        <w:ind w:firstLine="496" w:firstLineChars="2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20"/>
        <w:adjustRightInd w:val="0"/>
        <w:snapToGrid w:val="0"/>
        <w:spacing w:line="360" w:lineRule="auto"/>
        <w:jc w:val="center"/>
        <w:rPr>
          <w:rFonts w:hint="eastAsia" w:ascii="宋体" w:hAnsi="宋体" w:eastAsia="宋体" w:cs="宋体"/>
          <w:sz w:val="24"/>
          <w:szCs w:val="24"/>
          <w:u w:val="single"/>
        </w:rPr>
      </w:pPr>
    </w:p>
    <w:p>
      <w:pPr>
        <w:adjustRightInd w:val="0"/>
        <w:snapToGrid w:val="0"/>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br w:type="page"/>
      </w:r>
      <w:bookmarkStart w:id="315" w:name="_Toc35362678"/>
      <w:bookmarkStart w:id="316" w:name="_Toc7150"/>
      <w:r>
        <w:rPr>
          <w:rFonts w:hint="eastAsia" w:ascii="宋体" w:hAnsi="宋体" w:eastAsia="宋体" w:cs="宋体"/>
          <w:b/>
          <w:sz w:val="24"/>
          <w:szCs w:val="24"/>
        </w:rPr>
        <w:t>附件5</w:t>
      </w:r>
    </w:p>
    <w:bookmarkEnd w:id="315"/>
    <w:bookmarkEnd w:id="316"/>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供应商企业关系关联承诺书</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我方承诺，不存在相关法律法规规定的禁止</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的情形。我单位的股权关系、与其他单位的管理关系和其他与本项目有关的利害关系等，作如下说明和承诺：</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1.我方在本项目</w:t>
      </w:r>
      <w:r>
        <w:rPr>
          <w:rFonts w:hint="eastAsia" w:ascii="宋体" w:hAnsi="宋体" w:eastAsia="宋体" w:cs="宋体"/>
          <w:sz w:val="24"/>
          <w:szCs w:val="24"/>
          <w:lang w:val="en-US" w:eastAsia="zh-CN"/>
        </w:rPr>
        <w:t>投标</w:t>
      </w:r>
      <w:r>
        <w:rPr>
          <w:rFonts w:hint="eastAsia" w:ascii="宋体" w:hAnsi="宋体" w:eastAsia="宋体" w:cs="宋体"/>
          <w:sz w:val="24"/>
          <w:szCs w:val="24"/>
          <w:lang w:val="zh-CN"/>
        </w:rPr>
        <w:t>中，不存在与其他供应商单位负责人为同一人或者存在直接控股、管理关系。</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 股权关系说明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1.1.1 我单位法定代表人（单位负责人）姓名：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1.1.2 我单位控股的单位有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1.1.3 我单位被</w:t>
      </w:r>
      <w:r>
        <w:rPr>
          <w:rFonts w:hint="eastAsia" w:ascii="宋体" w:hAnsi="宋体" w:eastAsia="宋体" w:cs="宋体"/>
          <w:sz w:val="24"/>
          <w:szCs w:val="24"/>
          <w:u w:val="single"/>
          <w:lang w:val="zh-CN"/>
        </w:rPr>
        <w:t xml:space="preserve">      （单位或自然人）        </w:t>
      </w:r>
      <w:r>
        <w:rPr>
          <w:rFonts w:hint="eastAsia" w:ascii="宋体" w:hAnsi="宋体" w:eastAsia="宋体" w:cs="宋体"/>
          <w:sz w:val="24"/>
          <w:szCs w:val="24"/>
          <w:lang w:val="zh-CN"/>
        </w:rPr>
        <w:t>控股。</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1.2.管理关系说明</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1.2.1 我单位管理的下属单位有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1.2.2 我单位的上级管理单位有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2.我方与采购人不存在利害关系及其他可能影响招标公正性的情形。</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3.我</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（是或否）</w:t>
      </w:r>
      <w:r>
        <w:rPr>
          <w:rFonts w:hint="eastAsia" w:ascii="宋体" w:hAnsi="宋体" w:eastAsia="宋体" w:cs="宋体"/>
          <w:sz w:val="24"/>
          <w:szCs w:val="24"/>
          <w:lang w:val="zh-CN"/>
        </w:rPr>
        <w:t>为</w:t>
      </w:r>
      <w:r>
        <w:rPr>
          <w:rFonts w:hint="eastAsia" w:ascii="宋体" w:hAnsi="宋体" w:eastAsia="宋体" w:cs="宋体"/>
          <w:sz w:val="24"/>
          <w:szCs w:val="24"/>
        </w:rPr>
        <w:t>本</w:t>
      </w:r>
      <w:r>
        <w:rPr>
          <w:rFonts w:hint="eastAsia" w:ascii="宋体" w:hAnsi="宋体" w:eastAsia="宋体" w:cs="宋体"/>
          <w:sz w:val="24"/>
          <w:szCs w:val="24"/>
          <w:lang w:val="zh-CN"/>
        </w:rPr>
        <w:t>采购项目提供整体设计、规范编制或者项目管理、监理、检测等服务</w:t>
      </w:r>
      <w:r>
        <w:rPr>
          <w:rFonts w:hint="eastAsia" w:ascii="宋体" w:hAnsi="宋体" w:eastAsia="宋体" w:cs="宋体"/>
          <w:sz w:val="24"/>
          <w:szCs w:val="24"/>
        </w:rPr>
        <w:t>的供应商</w:t>
      </w:r>
      <w:r>
        <w:rPr>
          <w:rFonts w:hint="eastAsia" w:ascii="宋体" w:hAnsi="宋体" w:eastAsia="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4.其他与本项目有关的利害关系说明：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rPr>
        <w:t>(没有填“无”)</w:t>
      </w:r>
    </w:p>
    <w:p>
      <w:pPr>
        <w:autoSpaceDE w:val="0"/>
        <w:autoSpaceDN w:val="0"/>
        <w:adjustRightInd w:val="0"/>
        <w:snapToGrid w:val="0"/>
        <w:spacing w:line="360" w:lineRule="auto"/>
        <w:ind w:firstLine="3720" w:firstLineChars="1500"/>
        <w:jc w:val="left"/>
        <w:rPr>
          <w:rFonts w:hint="eastAsia" w:ascii="宋体" w:hAnsi="宋体" w:eastAsia="宋体" w:cs="宋体"/>
          <w:sz w:val="24"/>
          <w:szCs w:val="24"/>
          <w:lang w:val="zh-CN"/>
        </w:rPr>
      </w:pPr>
      <w:r>
        <w:rPr>
          <w:rFonts w:hint="eastAsia" w:ascii="宋体" w:hAnsi="宋体" w:eastAsia="宋体" w:cs="宋体"/>
          <w:sz w:val="24"/>
          <w:szCs w:val="24"/>
        </w:rPr>
        <w:t xml:space="preserve"> </w:t>
      </w:r>
    </w:p>
    <w:p>
      <w:pPr>
        <w:autoSpaceDE w:val="0"/>
        <w:autoSpaceDN w:val="0"/>
        <w:adjustRightInd w:val="0"/>
        <w:snapToGrid w:val="0"/>
        <w:spacing w:line="360" w:lineRule="auto"/>
        <w:ind w:firstLine="496"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我方承诺以上说明真实有效，无虚假内容或隐瞒。</w:t>
      </w:r>
    </w:p>
    <w:p>
      <w:pPr>
        <w:snapToGrid w:val="0"/>
        <w:spacing w:line="360" w:lineRule="auto"/>
        <w:ind w:firstLine="1984" w:firstLineChars="800"/>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240" w:lineRule="auto"/>
        <w:jc w:val="left"/>
        <w:rPr>
          <w:rFonts w:hint="eastAsia" w:ascii="宋体" w:hAnsi="宋体" w:eastAsia="宋体" w:cs="宋体"/>
          <w:b/>
          <w:sz w:val="24"/>
          <w:szCs w:val="24"/>
        </w:rPr>
      </w:pPr>
      <w:r>
        <w:rPr>
          <w:rFonts w:hint="eastAsia" w:ascii="宋体" w:hAnsi="宋体" w:eastAsia="宋体" w:cs="宋体"/>
          <w:sz w:val="24"/>
          <w:szCs w:val="24"/>
          <w:u w:val="single"/>
        </w:rPr>
        <w:br w:type="page"/>
      </w:r>
      <w:r>
        <w:rPr>
          <w:rFonts w:hint="eastAsia" w:ascii="宋体" w:hAnsi="宋体" w:eastAsia="宋体" w:cs="宋体"/>
          <w:b/>
          <w:sz w:val="24"/>
          <w:szCs w:val="24"/>
        </w:rPr>
        <w:t>附件6</w:t>
      </w:r>
    </w:p>
    <w:p>
      <w:pPr>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拒绝政府采购领域商业贿赂承诺书</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为响应党中央、国务院关于治理政府采购领域商业贿赂行为的号召，我公司在此庄严承诺：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一、在参与政府采购活动中遵纪守法、诚信经营、公平竞标。</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四、不采取“围标、陪标”等商业欺诈手段获得政府采购订单。</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五、不采取不正当手段诋毁、排挤其他供应商。</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六、不在提供货物和服务时“偷梁换柱、以次充好”损害采购人的合法权益。</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    九、不发生其他有悖于政府采购公开、公平、公正和诚信原则的行为。</w:t>
      </w:r>
    </w:p>
    <w:p>
      <w:pPr>
        <w:autoSpaceDE w:val="0"/>
        <w:autoSpaceDN w:val="0"/>
        <w:adjustRightInd w:val="0"/>
        <w:snapToGrid w:val="0"/>
        <w:spacing w:line="360" w:lineRule="auto"/>
        <w:ind w:firstLine="496" w:firstLineChars="200"/>
        <w:rPr>
          <w:rFonts w:hint="eastAsia" w:ascii="宋体" w:hAnsi="宋体" w:eastAsia="宋体" w:cs="宋体"/>
          <w:sz w:val="24"/>
          <w:szCs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pStyle w:val="45"/>
        <w:ind w:firstLine="480"/>
        <w:rPr>
          <w:rFonts w:hint="eastAsia" w:ascii="宋体" w:hAnsi="宋体" w:eastAsia="宋体" w:cs="宋体"/>
          <w:sz w:val="24"/>
          <w:lang w:val="zh-CN"/>
        </w:rPr>
      </w:pP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（供应商名称）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法定代表人/授权代表（签字或盖章）：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eastAsia="宋体" w:cs="宋体"/>
          <w:b/>
          <w:sz w:val="30"/>
          <w:szCs w:val="30"/>
        </w:rPr>
      </w:pPr>
    </w:p>
    <w:p>
      <w:pPr>
        <w:pStyle w:val="107"/>
        <w:spacing w:before="197" w:after="197"/>
        <w:jc w:val="left"/>
        <w:rPr>
          <w:rFonts w:hint="eastAsia" w:ascii="宋体" w:hAnsi="宋体" w:eastAsia="宋体" w:cs="宋体"/>
          <w:color w:val="auto"/>
          <w:sz w:val="24"/>
          <w:szCs w:val="24"/>
          <w:u w:val="none"/>
        </w:rPr>
      </w:pPr>
      <w:r>
        <w:rPr>
          <w:rFonts w:hint="eastAsia" w:ascii="宋体" w:hAnsi="宋体" w:eastAsia="宋体" w:cs="宋体"/>
          <w:b/>
          <w:bCs/>
          <w:szCs w:val="28"/>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附件7</w:t>
      </w: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中小企业声明函（服务）</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本公司（联合体）郑重声明，根据《政府采购促进中小企业发展管理办法》（财库﹝2020﹞46号）的规定，本公司（联合体）参加</w:t>
      </w:r>
      <w:r>
        <w:rPr>
          <w:rFonts w:hint="eastAsia" w:ascii="宋体" w:hAnsi="宋体" w:eastAsia="宋体" w:cs="宋体"/>
          <w:b w:val="0"/>
          <w:bCs/>
          <w:kern w:val="2"/>
          <w:sz w:val="24"/>
          <w:szCs w:val="24"/>
          <w:u w:val="single"/>
        </w:rPr>
        <w:t>（单位名称）</w:t>
      </w:r>
      <w:r>
        <w:rPr>
          <w:rFonts w:hint="eastAsia" w:ascii="宋体" w:hAnsi="宋体" w:eastAsia="宋体" w:cs="宋体"/>
          <w:b w:val="0"/>
          <w:bCs/>
          <w:kern w:val="2"/>
          <w:sz w:val="24"/>
          <w:szCs w:val="24"/>
        </w:rPr>
        <w:t>的</w:t>
      </w:r>
      <w:r>
        <w:rPr>
          <w:rFonts w:hint="eastAsia" w:ascii="宋体" w:hAnsi="宋体" w:eastAsia="宋体" w:cs="宋体"/>
          <w:b w:val="0"/>
          <w:bCs/>
          <w:kern w:val="2"/>
          <w:sz w:val="24"/>
          <w:szCs w:val="24"/>
          <w:u w:val="single"/>
        </w:rPr>
        <w:t>（项目名称）</w:t>
      </w:r>
      <w:r>
        <w:rPr>
          <w:rFonts w:hint="eastAsia" w:ascii="宋体" w:hAnsi="宋体" w:eastAsia="宋体" w:cs="宋体"/>
          <w:b w:val="0"/>
          <w:bCs/>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96" w:firstLineChars="200"/>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w:t>
      </w:r>
      <w:r>
        <w:rPr>
          <w:rFonts w:hint="eastAsia" w:ascii="宋体" w:hAnsi="宋体" w:eastAsia="宋体" w:cs="宋体"/>
          <w:b w:val="0"/>
          <w:bCs/>
          <w:kern w:val="2"/>
          <w:sz w:val="24"/>
          <w:szCs w:val="24"/>
          <w:u w:val="single"/>
        </w:rPr>
        <w:t xml:space="preserve"> （标的名称）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rPr>
        <w:t xml:space="preserve"> </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numPr>
          <w:ilvl w:val="0"/>
          <w:numId w:val="0"/>
        </w:numPr>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u w:val="none"/>
          <w:lang w:val="en-US" w:eastAsia="zh-CN"/>
        </w:rPr>
        <w:t>2.</w:t>
      </w:r>
      <w:r>
        <w:rPr>
          <w:rFonts w:hint="eastAsia" w:ascii="宋体" w:hAnsi="宋体" w:eastAsia="宋体" w:cs="宋体"/>
          <w:b w:val="0"/>
          <w:bCs/>
          <w:kern w:val="2"/>
          <w:sz w:val="24"/>
          <w:szCs w:val="24"/>
          <w:u w:val="single"/>
        </w:rPr>
        <w:t>（标的名称）</w:t>
      </w:r>
      <w:r>
        <w:rPr>
          <w:rFonts w:hint="eastAsia" w:ascii="宋体" w:hAnsi="宋体" w:eastAsia="宋体" w:cs="宋体"/>
          <w:b w:val="0"/>
          <w:bCs/>
          <w:kern w:val="2"/>
          <w:sz w:val="24"/>
          <w:szCs w:val="24"/>
        </w:rPr>
        <w:t>，属于</w:t>
      </w:r>
      <w:r>
        <w:rPr>
          <w:rFonts w:hint="eastAsia" w:ascii="宋体" w:hAnsi="宋体" w:eastAsia="宋体" w:cs="宋体"/>
          <w:b w:val="0"/>
          <w:bCs/>
          <w:kern w:val="2"/>
          <w:sz w:val="24"/>
          <w:szCs w:val="24"/>
          <w:u w:val="single"/>
        </w:rPr>
        <w:t>（采购文件中明确的所属行业）</w:t>
      </w:r>
      <w:r>
        <w:rPr>
          <w:rFonts w:hint="eastAsia" w:ascii="宋体" w:hAnsi="宋体" w:eastAsia="宋体" w:cs="宋体"/>
          <w:b w:val="0"/>
          <w:bCs/>
          <w:kern w:val="2"/>
          <w:sz w:val="24"/>
          <w:szCs w:val="24"/>
        </w:rPr>
        <w:t>； 承建（承接）企业为</w:t>
      </w:r>
      <w:r>
        <w:rPr>
          <w:rFonts w:hint="eastAsia" w:ascii="宋体" w:hAnsi="宋体" w:eastAsia="宋体" w:cs="宋体"/>
          <w:b w:val="0"/>
          <w:bCs/>
          <w:kern w:val="2"/>
          <w:sz w:val="24"/>
          <w:szCs w:val="24"/>
          <w:u w:val="single"/>
        </w:rPr>
        <w:t>（企业名称）</w:t>
      </w:r>
      <w:r>
        <w:rPr>
          <w:rFonts w:hint="eastAsia" w:ascii="宋体" w:hAnsi="宋体" w:eastAsia="宋体" w:cs="宋体"/>
          <w:b w:val="0"/>
          <w:bCs/>
          <w:kern w:val="2"/>
          <w:sz w:val="24"/>
          <w:szCs w:val="24"/>
        </w:rPr>
        <w:t>，从业人员</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人，营业收入为</w:t>
      </w:r>
      <w:r>
        <w:rPr>
          <w:rFonts w:hint="eastAsia" w:ascii="宋体" w:hAnsi="宋体" w:eastAsia="宋体" w:cs="宋体"/>
          <w:b w:val="0"/>
          <w:bCs/>
          <w:kern w:val="2"/>
          <w:sz w:val="24"/>
          <w:szCs w:val="24"/>
          <w:u w:val="single"/>
        </w:rPr>
        <w:tab/>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万元，资产总额为</w:t>
      </w:r>
      <w:r>
        <w:rPr>
          <w:rFonts w:hint="eastAsia" w:ascii="宋体" w:hAnsi="宋体" w:eastAsia="宋体" w:cs="宋体"/>
          <w:b w:val="0"/>
          <w:bCs/>
          <w:kern w:val="2"/>
          <w:sz w:val="24"/>
          <w:szCs w:val="24"/>
          <w:u w:val="single"/>
          <w:lang w:val="en-US" w:eastAsia="zh-CN"/>
        </w:rPr>
        <w:t xml:space="preserve">    </w:t>
      </w:r>
      <w:r>
        <w:rPr>
          <w:rFonts w:hint="eastAsia" w:ascii="宋体" w:hAnsi="宋体" w:eastAsia="宋体" w:cs="宋体"/>
          <w:b w:val="0"/>
          <w:bCs/>
          <w:kern w:val="2"/>
          <w:sz w:val="24"/>
          <w:szCs w:val="24"/>
        </w:rPr>
        <w:t>万元，属于</w:t>
      </w:r>
      <w:r>
        <w:rPr>
          <w:rFonts w:hint="eastAsia" w:ascii="宋体" w:hAnsi="宋体" w:eastAsia="宋体" w:cs="宋体"/>
          <w:b w:val="0"/>
          <w:bCs/>
          <w:kern w:val="2"/>
          <w:sz w:val="24"/>
          <w:szCs w:val="24"/>
          <w:u w:val="single"/>
        </w:rPr>
        <w:t>（中型企业、 小型企业、微型企业）</w:t>
      </w:r>
      <w:r>
        <w:rPr>
          <w:rFonts w:hint="eastAsia" w:ascii="宋体" w:hAnsi="宋体" w:eastAsia="宋体" w:cs="宋体"/>
          <w:b w:val="0"/>
          <w:bCs/>
          <w:kern w:val="2"/>
          <w:sz w:val="24"/>
          <w:szCs w:val="24"/>
        </w:rPr>
        <w:t>；</w:t>
      </w:r>
    </w:p>
    <w:p>
      <w:pPr>
        <w:pStyle w:val="20"/>
        <w:adjustRightInd w:val="0"/>
        <w:snapToGrid w:val="0"/>
        <w:spacing w:line="360" w:lineRule="auto"/>
        <w:ind w:firstLine="744" w:firstLineChars="3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以上企业，不属于大企业的分支机构，不存在控股股东</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为大企业的情形，也不存在与大企业的负责人为同一人的情形。</w:t>
      </w:r>
    </w:p>
    <w:p>
      <w:pPr>
        <w:pStyle w:val="20"/>
        <w:adjustRightInd w:val="0"/>
        <w:snapToGrid w:val="0"/>
        <w:spacing w:line="360" w:lineRule="auto"/>
        <w:ind w:firstLine="496" w:firstLineChars="2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本企业对上述声明内容的真实性负责。如有虚假，将依法承担相应责任。</w:t>
      </w: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rPr>
      </w:pPr>
    </w:p>
    <w:p>
      <w:pPr>
        <w:pStyle w:val="20"/>
        <w:adjustRightInd w:val="0"/>
        <w:snapToGrid w:val="0"/>
        <w:spacing w:line="360" w:lineRule="auto"/>
        <w:jc w:val="center"/>
        <w:rPr>
          <w:rFonts w:hint="eastAsia" w:ascii="宋体" w:hAnsi="宋体" w:eastAsia="宋体" w:cs="宋体"/>
          <w:b w:val="0"/>
          <w:bCs/>
          <w:kern w:val="2"/>
          <w:sz w:val="24"/>
          <w:szCs w:val="24"/>
          <w:u w:val="none"/>
        </w:rPr>
      </w:pPr>
      <w:r>
        <w:rPr>
          <w:rFonts w:hint="eastAsia" w:ascii="宋体" w:hAnsi="宋体" w:eastAsia="宋体" w:cs="宋体"/>
          <w:b w:val="0"/>
          <w:bCs/>
          <w:kern w:val="2"/>
          <w:sz w:val="24"/>
          <w:szCs w:val="24"/>
          <w:lang w:val="en-US" w:eastAsia="zh-CN"/>
        </w:rPr>
        <w:t xml:space="preserve">                   企业</w:t>
      </w:r>
      <w:r>
        <w:rPr>
          <w:rFonts w:hint="eastAsia" w:ascii="宋体" w:hAnsi="宋体" w:eastAsia="宋体" w:cs="宋体"/>
          <w:b w:val="0"/>
          <w:bCs/>
          <w:kern w:val="2"/>
          <w:sz w:val="24"/>
          <w:szCs w:val="24"/>
        </w:rPr>
        <w:t>名称（盖章）：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b w:val="0"/>
          <w:bCs/>
          <w:kern w:val="2"/>
          <w:sz w:val="24"/>
          <w:szCs w:val="24"/>
          <w:u w:val="none"/>
        </w:rPr>
        <w:t xml:space="preserve"> </w:t>
      </w:r>
    </w:p>
    <w:p>
      <w:pPr>
        <w:pStyle w:val="20"/>
        <w:adjustRightInd w:val="0"/>
        <w:snapToGrid w:val="0"/>
        <w:spacing w:line="360" w:lineRule="auto"/>
        <w:ind w:firstLine="4960" w:firstLineChars="200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rPr>
        <w:t xml:space="preserve">日 </w:t>
      </w:r>
      <w:r>
        <w:rPr>
          <w:rFonts w:hint="eastAsia" w:ascii="宋体" w:hAnsi="宋体" w:eastAsia="宋体" w:cs="宋体"/>
          <w:b w:val="0"/>
          <w:bCs/>
          <w:kern w:val="2"/>
          <w:sz w:val="24"/>
          <w:szCs w:val="24"/>
          <w:lang w:val="en-US" w:eastAsia="zh-CN"/>
        </w:rPr>
        <w:t xml:space="preserve">   </w:t>
      </w:r>
      <w:r>
        <w:rPr>
          <w:rFonts w:hint="eastAsia" w:ascii="宋体" w:hAnsi="宋体" w:eastAsia="宋体" w:cs="宋体"/>
          <w:b w:val="0"/>
          <w:bCs/>
          <w:kern w:val="2"/>
          <w:sz w:val="24"/>
          <w:szCs w:val="24"/>
        </w:rPr>
        <w:t>期：</w:t>
      </w:r>
    </w:p>
    <w:p>
      <w:pPr>
        <w:snapToGrid w:val="0"/>
        <w:spacing w:line="360" w:lineRule="auto"/>
        <w:jc w:val="both"/>
        <w:outlineLvl w:val="0"/>
        <w:rPr>
          <w:rFonts w:hint="eastAsia" w:ascii="宋体" w:hAnsi="宋体" w:cs="宋体"/>
          <w:b/>
          <w:sz w:val="32"/>
          <w:szCs w:val="32"/>
        </w:rPr>
      </w:pPr>
    </w:p>
    <w:p>
      <w:pPr>
        <w:keepNext w:val="0"/>
        <w:keepLines w:val="0"/>
        <w:widowControl/>
        <w:suppressLineNumbers w:val="0"/>
        <w:shd w:val="clear" w:color="auto" w:fill="FFFFFF"/>
        <w:spacing w:before="100" w:beforeAutospacing="1" w:after="100" w:afterAutospacing="1" w:line="435" w:lineRule="atLeast"/>
        <w:ind w:right="0" w:firstLine="520" w:firstLineChars="20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bCs/>
          <w:spacing w:val="6"/>
          <w:sz w:val="24"/>
          <w:szCs w:val="24"/>
        </w:rPr>
        <w:t>从业人员、营业收入、资产总额填报上一年度数据，无上一年度数据的新成立企业可不填</w:t>
      </w:r>
      <w:r>
        <w:rPr>
          <w:rFonts w:hint="eastAsia" w:ascii="宋体" w:hAnsi="宋体" w:eastAsia="宋体" w:cs="宋体"/>
          <w:bCs/>
          <w:spacing w:val="6"/>
          <w:sz w:val="24"/>
          <w:szCs w:val="24"/>
          <w:lang w:eastAsia="zh-CN"/>
        </w:rPr>
        <w:t>。</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附件8</w:t>
      </w:r>
    </w:p>
    <w:p>
      <w:pPr>
        <w:pStyle w:val="20"/>
        <w:adjustRightInd w:val="0"/>
        <w:snapToGrid w:val="0"/>
        <w:spacing w:line="360" w:lineRule="auto"/>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残疾人福利性单位声明函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本单位郑重声明，根据《关于促进残疾人就业政府采购政策的通知》（财库〔2017</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〕141号）的规定，本单位为符合条件的残疾人福利性单位，且本单位参加</w:t>
      </w:r>
      <w:r>
        <w:rPr>
          <w:rFonts w:hint="eastAsia" w:ascii="宋体" w:hAnsi="宋体" w:eastAsia="宋体" w:cs="宋体"/>
          <w:bCs/>
          <w:color w:val="auto"/>
          <w:sz w:val="24"/>
          <w:szCs w:val="24"/>
        </w:rPr>
        <w:t>参加</w:t>
      </w:r>
      <w:r>
        <w:rPr>
          <w:rFonts w:hint="eastAsia" w:ascii="宋体" w:hAnsi="宋体" w:eastAsia="宋体" w:cs="宋体"/>
          <w:bCs/>
          <w:color w:val="auto"/>
          <w:sz w:val="24"/>
          <w:szCs w:val="24"/>
          <w:u w:val="single"/>
        </w:rPr>
        <w:t>（单位名称）</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采购活动</w:t>
      </w:r>
      <w:r>
        <w:rPr>
          <w:rFonts w:hint="eastAsia" w:ascii="宋体" w:hAnsi="宋体" w:eastAsia="宋体" w:cs="宋体"/>
          <w:bCs/>
          <w:color w:val="auto"/>
          <w:sz w:val="24"/>
          <w:szCs w:val="24"/>
          <w:lang w:val="en-US" w:eastAsia="zh-CN"/>
        </w:rPr>
        <w:t>提供本单位制造的货物（由本单位承担工程提供服务），或者提供其他残疾人福利性单位制造的货物（不包括使用非残疾人福利性单位注册商标的货物）。</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本单位对上述声明的真实性负责。如有虚假，将依法承担相应责任。</w:t>
      </w: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lang w:val="en-US" w:eastAsia="zh-CN"/>
        </w:rPr>
        <w:t>附件9</w:t>
      </w:r>
    </w:p>
    <w:p>
      <w:pPr>
        <w:spacing w:line="560" w:lineRule="exact"/>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监狱企业证明函</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96"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监狱企业参加政府采购活动时，应当提供由省级以上监狱管理局、戒毒管理局（含新疆生产建设兵团）出具的属于监狱企业的证明文件。</w:t>
      </w:r>
    </w:p>
    <w:p>
      <w:pPr>
        <w:pStyle w:val="34"/>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pStyle w:val="12"/>
        <w:rPr>
          <w:rFonts w:hint="eastAsia" w:ascii="宋体" w:hAnsi="宋体" w:eastAsia="宋体" w:cs="宋体"/>
          <w:bCs/>
          <w:color w:val="auto"/>
          <w:sz w:val="24"/>
          <w:szCs w:val="24"/>
          <w:lang w:val="en-US" w:eastAsia="zh-CN"/>
        </w:rPr>
      </w:pPr>
    </w:p>
    <w:p>
      <w:pPr>
        <w:pStyle w:val="35"/>
        <w:rPr>
          <w:rFonts w:hint="eastAsia" w:ascii="宋体" w:hAnsi="宋体" w:eastAsia="宋体" w:cs="宋体"/>
          <w:bCs/>
          <w:color w:val="auto"/>
          <w:sz w:val="24"/>
          <w:szCs w:val="24"/>
          <w:lang w:val="en-US" w:eastAsia="zh-CN"/>
        </w:rPr>
      </w:pP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pStyle w:val="12"/>
        <w:rPr>
          <w:rFonts w:hint="eastAsia" w:ascii="宋体" w:hAnsi="宋体" w:eastAsia="宋体" w:cs="宋体"/>
          <w:lang w:val="en-US" w:eastAsia="zh-CN"/>
        </w:rPr>
      </w:pPr>
    </w:p>
    <w:p>
      <w:pPr>
        <w:pStyle w:val="34"/>
        <w:ind w:left="0" w:leftChars="0" w:firstLine="0" w:firstLineChars="0"/>
        <w:rPr>
          <w:rFonts w:hint="eastAsia" w:ascii="宋体" w:hAnsi="宋体" w:eastAsia="宋体" w:cs="宋体"/>
          <w:lang w:val="en-US" w:eastAsia="zh-CN"/>
        </w:rPr>
      </w:pP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pStyle w:val="107"/>
        <w:spacing w:before="197" w:after="197"/>
        <w:ind w:firstLine="659"/>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第四部分  供应商概况</w:t>
      </w:r>
      <w:bookmarkEnd w:id="312"/>
      <w:bookmarkEnd w:id="313"/>
    </w:p>
    <w:tbl>
      <w:tblPr>
        <w:tblStyle w:val="9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hint="eastAsia" w:ascii="宋体" w:hAnsi="宋体" w:eastAsia="宋体" w:cs="宋体"/>
          <w:color w:val="000000" w:themeColor="text1"/>
          <w:sz w:val="32"/>
          <w:szCs w:val="32"/>
          <w:highlight w:val="none"/>
          <w14:textFill>
            <w14:solidFill>
              <w14:schemeClr w14:val="tx1"/>
            </w14:solidFill>
          </w14:textFill>
        </w:rPr>
      </w:pP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4"/>
        <w:spacing w:beforeLines="100" w:afterLines="150" w:line="500" w:lineRule="exact"/>
        <w:ind w:firstLine="657"/>
        <w:jc w:val="center"/>
        <w:rPr>
          <w:rFonts w:hint="eastAsia" w:ascii="宋体" w:hAnsi="宋体" w:eastAsia="宋体" w:cs="宋体"/>
          <w:color w:val="000000" w:themeColor="text1"/>
          <w:highlight w:val="none"/>
          <w14:textFill>
            <w14:solidFill>
              <w14:schemeClr w14:val="tx1"/>
            </w14:solidFill>
          </w14:textFill>
        </w:rPr>
      </w:pPr>
      <w:bookmarkStart w:id="317" w:name="_Toc667"/>
      <w:bookmarkStart w:id="318" w:name="_Toc6201"/>
      <w:r>
        <w:rPr>
          <w:rFonts w:hint="eastAsia" w:ascii="宋体" w:hAnsi="宋体" w:eastAsia="宋体" w:cs="宋体"/>
          <w:color w:val="000000" w:themeColor="text1"/>
          <w:highlight w:val="none"/>
          <w14:textFill>
            <w14:solidFill>
              <w14:schemeClr w14:val="tx1"/>
            </w14:solidFill>
          </w14:textFill>
        </w:rPr>
        <w:t xml:space="preserve">第五部分  </w:t>
      </w:r>
      <w:bookmarkEnd w:id="304"/>
      <w:bookmarkEnd w:id="305"/>
      <w:bookmarkEnd w:id="306"/>
      <w:bookmarkEnd w:id="307"/>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方案</w:t>
      </w:r>
    </w:p>
    <w:p>
      <w:pPr>
        <w:adjustRightInd w:val="0"/>
        <w:snapToGrid w:val="0"/>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bookmarkEnd w:id="317"/>
      <w:bookmarkEnd w:id="318"/>
    </w:p>
    <w:bookmarkEnd w:id="308"/>
    <w:bookmarkEnd w:id="309"/>
    <w:bookmarkEnd w:id="310"/>
    <w:bookmarkEnd w:id="311"/>
    <w:p>
      <w:pPr>
        <w:rPr>
          <w:rFonts w:hint="eastAsia" w:ascii="宋体" w:hAnsi="宋体" w:eastAsia="宋体" w:cs="宋体"/>
          <w:color w:val="000000" w:themeColor="text1"/>
          <w:highlight w:val="none"/>
          <w14:textFill>
            <w14:solidFill>
              <w14:schemeClr w14:val="tx1"/>
            </w14:solidFill>
          </w14:textFill>
        </w:rPr>
      </w:pPr>
      <w:bookmarkStart w:id="319" w:name="_Toc14799"/>
      <w:bookmarkStart w:id="320" w:name="_Toc7924"/>
      <w:bookmarkStart w:id="321" w:name="_Toc258"/>
      <w:bookmarkStart w:id="322" w:name="_Toc24830"/>
      <w:r>
        <w:rPr>
          <w:rFonts w:hint="eastAsia" w:ascii="宋体" w:hAnsi="宋体" w:eastAsia="宋体" w:cs="宋体"/>
          <w:color w:val="000000" w:themeColor="text1"/>
          <w:highlight w:val="none"/>
          <w14:textFill>
            <w14:solidFill>
              <w14:schemeClr w14:val="tx1"/>
            </w14:solidFill>
          </w14:textFill>
        </w:rPr>
        <w:br w:type="page"/>
      </w:r>
    </w:p>
    <w:p>
      <w:pPr>
        <w:pStyle w:val="4"/>
        <w:ind w:firstLine="65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第六部分  </w:t>
      </w:r>
      <w:bookmarkEnd w:id="319"/>
      <w:bookmarkEnd w:id="320"/>
      <w:bookmarkEnd w:id="321"/>
      <w:bookmarkEnd w:id="322"/>
      <w:r>
        <w:rPr>
          <w:rFonts w:hint="eastAsia" w:ascii="宋体" w:hAnsi="宋体" w:eastAsia="宋体" w:cs="宋体"/>
          <w:color w:val="000000" w:themeColor="text1"/>
          <w:highlight w:val="none"/>
          <w14:textFill>
            <w14:solidFill>
              <w14:schemeClr w14:val="tx1"/>
            </w14:solidFill>
          </w14:textFill>
        </w:rPr>
        <w:t>商务和技术响应偏离表</w:t>
      </w:r>
    </w:p>
    <w:p>
      <w:pPr>
        <w:kinsoku w:val="0"/>
        <w:spacing w:line="480" w:lineRule="auto"/>
        <w:ind w:left="1269" w:hanging="1267" w:hangingChars="4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要求响应</w:t>
      </w:r>
      <w:r>
        <w:rPr>
          <w:rFonts w:hint="eastAsia" w:ascii="宋体" w:hAnsi="宋体" w:eastAsia="宋体" w:cs="宋体"/>
          <w:color w:val="000000" w:themeColor="text1"/>
          <w:sz w:val="28"/>
          <w:szCs w:val="28"/>
          <w:highlight w:val="none"/>
          <w14:textFill>
            <w14:solidFill>
              <w14:schemeClr w14:val="tx1"/>
            </w14:solidFill>
          </w14:textFill>
        </w:rPr>
        <w:t>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文件响应商务内容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商务要求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96" w:firstLineChars="200"/>
        <w:rPr>
          <w:rFonts w:hint="eastAsia" w:ascii="宋体" w:hAnsi="宋体" w:eastAsia="宋体" w:cs="宋体"/>
          <w:sz w:val="24"/>
          <w:szCs w:val="24"/>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96"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3.本项目商务要求不允许负偏离。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sectPr>
          <w:footerReference r:id="rId11" w:type="default"/>
          <w:pgSz w:w="11906" w:h="16838"/>
          <w:pgMar w:top="1440" w:right="1083" w:bottom="1440" w:left="1083" w:header="850" w:footer="992" w:gutter="0"/>
          <w:pgNumType w:fmt="numberInDash"/>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w:t>
      </w:r>
      <w:r>
        <w:rPr>
          <w:rFonts w:hint="eastAsia" w:ascii="宋体" w:hAnsi="宋体" w:eastAsia="宋体" w:cs="宋体"/>
          <w:color w:val="000000" w:themeColor="text1"/>
          <w:sz w:val="28"/>
          <w:szCs w:val="28"/>
          <w:highlight w:val="none"/>
          <w14:textFill>
            <w14:solidFill>
              <w14:schemeClr w14:val="tx1"/>
            </w14:solidFill>
          </w14:textFill>
        </w:rPr>
        <w:t>响应偏差表</w:t>
      </w:r>
    </w:p>
    <w:tbl>
      <w:tblPr>
        <w:tblStyle w:val="3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技术要求</w:t>
            </w:r>
          </w:p>
        </w:tc>
        <w:tc>
          <w:tcPr>
            <w:tcW w:w="1740"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要求内容</w:t>
            </w:r>
          </w:p>
        </w:tc>
        <w:tc>
          <w:tcPr>
            <w:tcW w:w="2755" w:type="dxa"/>
            <w:vAlign w:val="center"/>
          </w:tcPr>
          <w:p>
            <w:pPr>
              <w:pStyle w:val="20"/>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文件响应</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内容</w:t>
            </w:r>
          </w:p>
        </w:tc>
        <w:tc>
          <w:tcPr>
            <w:tcW w:w="1550" w:type="dxa"/>
            <w:vAlign w:val="center"/>
          </w:tcPr>
          <w:p>
            <w:pPr>
              <w:pStyle w:val="20"/>
              <w:spacing w:line="48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ascii="宋体"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1.本表只填写</w:t>
      </w:r>
      <w:r>
        <w:rPr>
          <w:rFonts w:hint="eastAsia" w:ascii="宋体" w:hAnsi="宋体" w:eastAsia="宋体" w:cs="宋体"/>
          <w:sz w:val="24"/>
          <w:szCs w:val="24"/>
          <w:lang w:val="en-US" w:eastAsia="zh-CN"/>
        </w:rPr>
        <w:t>投标文件</w:t>
      </w:r>
      <w:r>
        <w:rPr>
          <w:rFonts w:hint="eastAsia" w:ascii="宋体" w:hAnsi="宋体" w:eastAsia="宋体" w:cs="宋体"/>
          <w:sz w:val="24"/>
          <w:szCs w:val="24"/>
        </w:rPr>
        <w:t>中与</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技术要求</w:t>
      </w:r>
      <w:r>
        <w:rPr>
          <w:rFonts w:hint="eastAsia" w:ascii="宋体" w:hAnsi="宋体" w:eastAsia="宋体" w:cs="宋体"/>
          <w:sz w:val="24"/>
          <w:szCs w:val="24"/>
        </w:rPr>
        <w:t>有偏离（包括正偏离和负偏离）的内容，完全一致的，不用在此表中列出，但必须提交空白表。</w:t>
      </w:r>
    </w:p>
    <w:p>
      <w:pPr>
        <w:pStyle w:val="12"/>
        <w:spacing w:line="360" w:lineRule="auto"/>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投标或</w:t>
      </w:r>
      <w:r>
        <w:rPr>
          <w:rFonts w:hint="eastAsia" w:ascii="宋体" w:hAnsi="宋体" w:eastAsia="宋体" w:cs="宋体"/>
          <w:sz w:val="24"/>
          <w:szCs w:val="24"/>
        </w:rPr>
        <w:t>成交资格，并按有关规定进处罚。</w:t>
      </w:r>
    </w:p>
    <w:p>
      <w:pPr>
        <w:pStyle w:val="35"/>
        <w:ind w:left="0" w:leftChars="0" w:firstLine="480" w:firstLineChars="200"/>
        <w:rPr>
          <w:rFonts w:hint="eastAsia" w:ascii="宋体" w:hAnsi="宋体" w:eastAsia="宋体" w:cs="宋体"/>
          <w:lang w:val="en-US" w:eastAsia="zh-CN"/>
        </w:rPr>
      </w:pPr>
      <w:r>
        <w:rPr>
          <w:rFonts w:hint="eastAsia" w:ascii="宋体" w:hAnsi="宋体" w:eastAsia="宋体" w:cs="宋体"/>
          <w:sz w:val="24"/>
          <w:szCs w:val="24"/>
          <w:lang w:val="en-US" w:eastAsia="zh-CN"/>
        </w:rPr>
        <w:t>3.本项目技术要求不允许负偏离。</w:t>
      </w:r>
    </w:p>
    <w:p>
      <w:pPr>
        <w:adjustRightInd w:val="0"/>
        <w:snapToGrid w:val="0"/>
        <w:spacing w:line="48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48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hint="eastAsia" w:ascii="宋体" w:hAnsi="宋体" w:eastAsia="宋体" w:cs="宋体"/>
          <w:color w:val="000000" w:themeColor="text1"/>
          <w:highlight w:val="none"/>
          <w:lang w:val="en-US" w:eastAsia="zh-CN"/>
          <w14:textFill>
            <w14:solidFill>
              <w14:schemeClr w14:val="tx1"/>
            </w14:solidFill>
          </w14:textFill>
        </w:rPr>
      </w:pPr>
      <w:bookmarkStart w:id="323" w:name="_Toc9666"/>
      <w:bookmarkStart w:id="324" w:name="_Toc14821"/>
      <w:bookmarkStart w:id="325" w:name="_Toc18894"/>
      <w:bookmarkStart w:id="326" w:name="_Toc2773"/>
      <w:bookmarkStart w:id="327" w:name="_Toc22400"/>
      <w:bookmarkStart w:id="328" w:name="_Toc29034"/>
      <w:bookmarkStart w:id="329" w:name="_Toc23432"/>
      <w:r>
        <w:rPr>
          <w:rFonts w:hint="eastAsia" w:ascii="宋体" w:hAnsi="宋体" w:eastAsia="宋体" w:cs="宋体"/>
          <w:color w:val="000000" w:themeColor="text1"/>
          <w:highlight w:val="none"/>
          <w:lang w:val="en-US" w:eastAsia="zh-CN"/>
          <w14:textFill>
            <w14:solidFill>
              <w14:schemeClr w14:val="tx1"/>
            </w14:solidFill>
          </w14:textFill>
        </w:rPr>
        <w:br w:type="page"/>
      </w:r>
    </w:p>
    <w:p>
      <w:pPr>
        <w:pStyle w:val="4"/>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第七部分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323"/>
      <w:bookmarkEnd w:id="324"/>
      <w:bookmarkEnd w:id="325"/>
      <w:bookmarkEnd w:id="326"/>
      <w:bookmarkEnd w:id="327"/>
      <w:bookmarkEnd w:id="328"/>
      <w:bookmarkEnd w:id="329"/>
    </w:p>
    <w:p>
      <w:pP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hint="eastAsia" w:ascii="宋体" w:hAnsi="宋体" w:eastAsia="宋体" w:cs="宋体"/>
          <w:color w:val="000000" w:themeColor="text1"/>
          <w:sz w:val="32"/>
          <w:szCs w:val="32"/>
          <w:highlight w:val="none"/>
          <w14:textFill>
            <w14:solidFill>
              <w14:schemeClr w14:val="tx1"/>
            </w14:solidFill>
          </w14:textFill>
        </w:rPr>
      </w:pPr>
    </w:p>
    <w:sectPr>
      <w:headerReference r:id="rId12" w:type="default"/>
      <w:footerReference r:id="rId14" w:type="default"/>
      <w:headerReference r:id="rId13" w:type="even"/>
      <w:pgSz w:w="11906" w:h="16838"/>
      <w:pgMar w:top="1440" w:right="1800" w:bottom="1440" w:left="1800" w:header="851" w:footer="992" w:gutter="0"/>
      <w:pgNumType w:fmt="numberInDash"/>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CE0DE157"/>
    <w:multiLevelType w:val="singleLevel"/>
    <w:tmpl w:val="CE0DE157"/>
    <w:lvl w:ilvl="0" w:tentative="0">
      <w:start w:val="1"/>
      <w:numFmt w:val="chineseCounting"/>
      <w:suff w:val="space"/>
      <w:lvlText w:val="第%1章"/>
      <w:lvlJc w:val="left"/>
      <w:rPr>
        <w:rFonts w:hint="eastAsia"/>
      </w:rPr>
    </w:lvl>
  </w:abstractNum>
  <w:abstractNum w:abstractNumId="2">
    <w:nsid w:val="D8065201"/>
    <w:multiLevelType w:val="singleLevel"/>
    <w:tmpl w:val="D8065201"/>
    <w:lvl w:ilvl="0" w:tentative="0">
      <w:start w:val="2"/>
      <w:numFmt w:val="chineseCounting"/>
      <w:suff w:val="nothing"/>
      <w:lvlText w:val="%1、"/>
      <w:lvlJc w:val="left"/>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91" w:hanging="1095"/>
      </w:pPr>
      <w:rPr>
        <w:rFonts w:hint="eastAsia"/>
      </w:rPr>
    </w:lvl>
  </w:abstractNum>
  <w:abstractNum w:abstractNumId="4">
    <w:nsid w:val="44C22542"/>
    <w:multiLevelType w:val="singleLevel"/>
    <w:tmpl w:val="44C22542"/>
    <w:lvl w:ilvl="0" w:tentative="0">
      <w:start w:val="3"/>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 w:name="KSO_WPS_MARK_KEY" w:val="f7b71139-b593-4aba-9b79-61ce5d98895f"/>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216D33"/>
    <w:rsid w:val="013B2B96"/>
    <w:rsid w:val="01B11FA1"/>
    <w:rsid w:val="01CB2F5B"/>
    <w:rsid w:val="020E0B72"/>
    <w:rsid w:val="020E2058"/>
    <w:rsid w:val="02E80535"/>
    <w:rsid w:val="033C42B2"/>
    <w:rsid w:val="03667C72"/>
    <w:rsid w:val="03912F41"/>
    <w:rsid w:val="03A82039"/>
    <w:rsid w:val="043B4C5B"/>
    <w:rsid w:val="043E40D7"/>
    <w:rsid w:val="044955CA"/>
    <w:rsid w:val="04D576B0"/>
    <w:rsid w:val="04ED41A7"/>
    <w:rsid w:val="05571F68"/>
    <w:rsid w:val="06084349"/>
    <w:rsid w:val="062E4A77"/>
    <w:rsid w:val="06DA4BFF"/>
    <w:rsid w:val="07525215"/>
    <w:rsid w:val="076B40FA"/>
    <w:rsid w:val="07A33243"/>
    <w:rsid w:val="07CC1627"/>
    <w:rsid w:val="0831084F"/>
    <w:rsid w:val="08365E65"/>
    <w:rsid w:val="08393C99"/>
    <w:rsid w:val="0854278F"/>
    <w:rsid w:val="085507FC"/>
    <w:rsid w:val="0898267C"/>
    <w:rsid w:val="08BD0CAF"/>
    <w:rsid w:val="08EE5AB0"/>
    <w:rsid w:val="090D12BC"/>
    <w:rsid w:val="09404DB1"/>
    <w:rsid w:val="097C4C0A"/>
    <w:rsid w:val="09945539"/>
    <w:rsid w:val="09BA7BCA"/>
    <w:rsid w:val="09E10052"/>
    <w:rsid w:val="09FB1114"/>
    <w:rsid w:val="0A2D14EA"/>
    <w:rsid w:val="0A3C2B9C"/>
    <w:rsid w:val="0A5E16A3"/>
    <w:rsid w:val="0A781719"/>
    <w:rsid w:val="0A89457B"/>
    <w:rsid w:val="0AB539B9"/>
    <w:rsid w:val="0AC474D2"/>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407A3D"/>
    <w:rsid w:val="0E576B35"/>
    <w:rsid w:val="0E680D42"/>
    <w:rsid w:val="0E935B43"/>
    <w:rsid w:val="0E96765D"/>
    <w:rsid w:val="0F185481"/>
    <w:rsid w:val="0F4C2B8C"/>
    <w:rsid w:val="0F543075"/>
    <w:rsid w:val="0F601A19"/>
    <w:rsid w:val="0F6633A9"/>
    <w:rsid w:val="0FCC79C0"/>
    <w:rsid w:val="1057106E"/>
    <w:rsid w:val="10972147"/>
    <w:rsid w:val="10D12BCF"/>
    <w:rsid w:val="10F20D97"/>
    <w:rsid w:val="11217760"/>
    <w:rsid w:val="11CB5870"/>
    <w:rsid w:val="11D64215"/>
    <w:rsid w:val="120E39AF"/>
    <w:rsid w:val="121D45CC"/>
    <w:rsid w:val="12661A3D"/>
    <w:rsid w:val="131F7E9C"/>
    <w:rsid w:val="13225964"/>
    <w:rsid w:val="133574DA"/>
    <w:rsid w:val="13622C7A"/>
    <w:rsid w:val="136F66CF"/>
    <w:rsid w:val="13734411"/>
    <w:rsid w:val="1380268A"/>
    <w:rsid w:val="13A97E33"/>
    <w:rsid w:val="13C46A1B"/>
    <w:rsid w:val="13D604FC"/>
    <w:rsid w:val="14290F74"/>
    <w:rsid w:val="148D32B1"/>
    <w:rsid w:val="14AA0638"/>
    <w:rsid w:val="15264D8E"/>
    <w:rsid w:val="15444176"/>
    <w:rsid w:val="155E4C4D"/>
    <w:rsid w:val="15B900D5"/>
    <w:rsid w:val="15CE3B81"/>
    <w:rsid w:val="16007AB2"/>
    <w:rsid w:val="16077093"/>
    <w:rsid w:val="16247C45"/>
    <w:rsid w:val="163F4A7E"/>
    <w:rsid w:val="164B6F7F"/>
    <w:rsid w:val="166B13D0"/>
    <w:rsid w:val="1683496B"/>
    <w:rsid w:val="169429ED"/>
    <w:rsid w:val="16A662AE"/>
    <w:rsid w:val="16A950C6"/>
    <w:rsid w:val="16F108E9"/>
    <w:rsid w:val="1706734A"/>
    <w:rsid w:val="17080368"/>
    <w:rsid w:val="17245C34"/>
    <w:rsid w:val="17D226D6"/>
    <w:rsid w:val="18384FC6"/>
    <w:rsid w:val="18BA4890"/>
    <w:rsid w:val="18BC23B6"/>
    <w:rsid w:val="190B50EC"/>
    <w:rsid w:val="19105D9F"/>
    <w:rsid w:val="191F1353"/>
    <w:rsid w:val="19202945"/>
    <w:rsid w:val="19467ED2"/>
    <w:rsid w:val="19534E25"/>
    <w:rsid w:val="19974512"/>
    <w:rsid w:val="1A1726AA"/>
    <w:rsid w:val="1A18361C"/>
    <w:rsid w:val="1A584361"/>
    <w:rsid w:val="1A937147"/>
    <w:rsid w:val="1AD4799A"/>
    <w:rsid w:val="1AF760BA"/>
    <w:rsid w:val="1B1A7868"/>
    <w:rsid w:val="1B321584"/>
    <w:rsid w:val="1B4C6F1B"/>
    <w:rsid w:val="1B667C0D"/>
    <w:rsid w:val="1BF27E9D"/>
    <w:rsid w:val="1BF41E67"/>
    <w:rsid w:val="1BF63E31"/>
    <w:rsid w:val="1C5172BA"/>
    <w:rsid w:val="1C6963B1"/>
    <w:rsid w:val="1C856F63"/>
    <w:rsid w:val="1D4B3D09"/>
    <w:rsid w:val="1D4D7A81"/>
    <w:rsid w:val="1D5831A2"/>
    <w:rsid w:val="1D862F93"/>
    <w:rsid w:val="1DAA6C81"/>
    <w:rsid w:val="1E1C0ECD"/>
    <w:rsid w:val="1E2658B5"/>
    <w:rsid w:val="1E2702D2"/>
    <w:rsid w:val="1E560BB7"/>
    <w:rsid w:val="1E594664"/>
    <w:rsid w:val="1E6C3F37"/>
    <w:rsid w:val="1E7159F1"/>
    <w:rsid w:val="1E7C687F"/>
    <w:rsid w:val="1EBF675C"/>
    <w:rsid w:val="1ECB3353"/>
    <w:rsid w:val="1EE61F3B"/>
    <w:rsid w:val="1EFC175F"/>
    <w:rsid w:val="1F01610C"/>
    <w:rsid w:val="1F016D75"/>
    <w:rsid w:val="1F321241"/>
    <w:rsid w:val="1F460C2C"/>
    <w:rsid w:val="1F4E7AE0"/>
    <w:rsid w:val="1F8E612F"/>
    <w:rsid w:val="1FAB7E7B"/>
    <w:rsid w:val="200F54C2"/>
    <w:rsid w:val="201C373B"/>
    <w:rsid w:val="201D0482"/>
    <w:rsid w:val="20294D97"/>
    <w:rsid w:val="20407CB6"/>
    <w:rsid w:val="20531A94"/>
    <w:rsid w:val="20F36B91"/>
    <w:rsid w:val="2144119B"/>
    <w:rsid w:val="21997739"/>
    <w:rsid w:val="21E32762"/>
    <w:rsid w:val="221768AF"/>
    <w:rsid w:val="222B4109"/>
    <w:rsid w:val="22342FBD"/>
    <w:rsid w:val="22471C51"/>
    <w:rsid w:val="227E248B"/>
    <w:rsid w:val="232A449B"/>
    <w:rsid w:val="23627FFE"/>
    <w:rsid w:val="23872716"/>
    <w:rsid w:val="23BD5235"/>
    <w:rsid w:val="23F073B8"/>
    <w:rsid w:val="244A4D1A"/>
    <w:rsid w:val="244D65B8"/>
    <w:rsid w:val="25180974"/>
    <w:rsid w:val="25493224"/>
    <w:rsid w:val="255045B2"/>
    <w:rsid w:val="256A4F48"/>
    <w:rsid w:val="25836BE3"/>
    <w:rsid w:val="258A4AD9"/>
    <w:rsid w:val="25987D07"/>
    <w:rsid w:val="25A0096A"/>
    <w:rsid w:val="25B14925"/>
    <w:rsid w:val="25E62821"/>
    <w:rsid w:val="26176E7E"/>
    <w:rsid w:val="26C441AF"/>
    <w:rsid w:val="26FB22FC"/>
    <w:rsid w:val="271E423C"/>
    <w:rsid w:val="274F0899"/>
    <w:rsid w:val="278C389C"/>
    <w:rsid w:val="279B5A04"/>
    <w:rsid w:val="27B74703"/>
    <w:rsid w:val="27CC5A46"/>
    <w:rsid w:val="27E27A70"/>
    <w:rsid w:val="27EE3C0E"/>
    <w:rsid w:val="28612632"/>
    <w:rsid w:val="286A1913"/>
    <w:rsid w:val="286D547B"/>
    <w:rsid w:val="28792F45"/>
    <w:rsid w:val="28F306BC"/>
    <w:rsid w:val="2927387C"/>
    <w:rsid w:val="29A053DC"/>
    <w:rsid w:val="29A3542F"/>
    <w:rsid w:val="29B01AC9"/>
    <w:rsid w:val="29EE439A"/>
    <w:rsid w:val="2A21651D"/>
    <w:rsid w:val="2A311A54"/>
    <w:rsid w:val="2AA50EFC"/>
    <w:rsid w:val="2ABA24CE"/>
    <w:rsid w:val="2AE01F34"/>
    <w:rsid w:val="2AF94DA4"/>
    <w:rsid w:val="2B3E3B12"/>
    <w:rsid w:val="2B886128"/>
    <w:rsid w:val="2BBE1B73"/>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5B1DE5"/>
    <w:rsid w:val="2E6B4140"/>
    <w:rsid w:val="2E7A444E"/>
    <w:rsid w:val="2E861045"/>
    <w:rsid w:val="2EA9088F"/>
    <w:rsid w:val="2EB060C2"/>
    <w:rsid w:val="2EDE49DD"/>
    <w:rsid w:val="2EFA558F"/>
    <w:rsid w:val="2EFF4493"/>
    <w:rsid w:val="2F2D14C0"/>
    <w:rsid w:val="2F34284F"/>
    <w:rsid w:val="2F776BDF"/>
    <w:rsid w:val="2FB424A2"/>
    <w:rsid w:val="30240B15"/>
    <w:rsid w:val="30997731"/>
    <w:rsid w:val="30B74016"/>
    <w:rsid w:val="30CA3D76"/>
    <w:rsid w:val="30D2231F"/>
    <w:rsid w:val="30E6401D"/>
    <w:rsid w:val="30F027A5"/>
    <w:rsid w:val="31FE7144"/>
    <w:rsid w:val="32132BEF"/>
    <w:rsid w:val="3234271C"/>
    <w:rsid w:val="325D7CF9"/>
    <w:rsid w:val="329D070B"/>
    <w:rsid w:val="33072028"/>
    <w:rsid w:val="33464448"/>
    <w:rsid w:val="334B63B9"/>
    <w:rsid w:val="335F00B6"/>
    <w:rsid w:val="336D632F"/>
    <w:rsid w:val="339715FE"/>
    <w:rsid w:val="339E6DFE"/>
    <w:rsid w:val="33A4663C"/>
    <w:rsid w:val="33B57CD6"/>
    <w:rsid w:val="33B72246"/>
    <w:rsid w:val="33E43E98"/>
    <w:rsid w:val="33EB36F8"/>
    <w:rsid w:val="33F055F4"/>
    <w:rsid w:val="34037990"/>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9A73C0"/>
    <w:rsid w:val="36A75FFC"/>
    <w:rsid w:val="36E85C72"/>
    <w:rsid w:val="36FB1EA4"/>
    <w:rsid w:val="371A7888"/>
    <w:rsid w:val="37386C54"/>
    <w:rsid w:val="37591671"/>
    <w:rsid w:val="37753A04"/>
    <w:rsid w:val="37B3642E"/>
    <w:rsid w:val="37E33064"/>
    <w:rsid w:val="386677F1"/>
    <w:rsid w:val="38A5656B"/>
    <w:rsid w:val="38A84DDA"/>
    <w:rsid w:val="38B4368C"/>
    <w:rsid w:val="38BE2EEF"/>
    <w:rsid w:val="38E36364"/>
    <w:rsid w:val="397C5003"/>
    <w:rsid w:val="3991089E"/>
    <w:rsid w:val="39B73932"/>
    <w:rsid w:val="39D569DC"/>
    <w:rsid w:val="39D6662C"/>
    <w:rsid w:val="3A134D35"/>
    <w:rsid w:val="3A3F654C"/>
    <w:rsid w:val="3A410516"/>
    <w:rsid w:val="3A4D113E"/>
    <w:rsid w:val="3A8661CC"/>
    <w:rsid w:val="3A914FF9"/>
    <w:rsid w:val="3AC0143A"/>
    <w:rsid w:val="3ACF2D06"/>
    <w:rsid w:val="3AEF199D"/>
    <w:rsid w:val="3AEF1D20"/>
    <w:rsid w:val="3B1F05D3"/>
    <w:rsid w:val="3B245E6D"/>
    <w:rsid w:val="3B447BD4"/>
    <w:rsid w:val="3B5155AB"/>
    <w:rsid w:val="3B8F315C"/>
    <w:rsid w:val="3BBF7944"/>
    <w:rsid w:val="3BD3617F"/>
    <w:rsid w:val="3BD408E0"/>
    <w:rsid w:val="3BDE67C1"/>
    <w:rsid w:val="3C0351DE"/>
    <w:rsid w:val="3C3C0F95"/>
    <w:rsid w:val="3C424BB7"/>
    <w:rsid w:val="3C522566"/>
    <w:rsid w:val="3C634F70"/>
    <w:rsid w:val="3C8927AA"/>
    <w:rsid w:val="3CD64F45"/>
    <w:rsid w:val="3CDD2778"/>
    <w:rsid w:val="3DC96858"/>
    <w:rsid w:val="3DD87C17"/>
    <w:rsid w:val="3E5325C6"/>
    <w:rsid w:val="3E6B3DB3"/>
    <w:rsid w:val="3ECF4342"/>
    <w:rsid w:val="3ED32EAF"/>
    <w:rsid w:val="3EE576C2"/>
    <w:rsid w:val="3F033FEC"/>
    <w:rsid w:val="3F1854AC"/>
    <w:rsid w:val="3F281CA4"/>
    <w:rsid w:val="3F8A0269"/>
    <w:rsid w:val="3FB15BEC"/>
    <w:rsid w:val="404D4884"/>
    <w:rsid w:val="40640737"/>
    <w:rsid w:val="40721429"/>
    <w:rsid w:val="40801F2A"/>
    <w:rsid w:val="40887158"/>
    <w:rsid w:val="41032081"/>
    <w:rsid w:val="41151DB4"/>
    <w:rsid w:val="412C3505"/>
    <w:rsid w:val="41410DFB"/>
    <w:rsid w:val="41714ABE"/>
    <w:rsid w:val="41760AA5"/>
    <w:rsid w:val="4182569C"/>
    <w:rsid w:val="41894C7C"/>
    <w:rsid w:val="419B72BE"/>
    <w:rsid w:val="420B3CA1"/>
    <w:rsid w:val="421914AF"/>
    <w:rsid w:val="42611755"/>
    <w:rsid w:val="4285411E"/>
    <w:rsid w:val="42977A3C"/>
    <w:rsid w:val="42C121F4"/>
    <w:rsid w:val="42DF6B1E"/>
    <w:rsid w:val="433274B6"/>
    <w:rsid w:val="43572B58"/>
    <w:rsid w:val="436C6603"/>
    <w:rsid w:val="436C772C"/>
    <w:rsid w:val="43B92B1D"/>
    <w:rsid w:val="43D1290A"/>
    <w:rsid w:val="43DD536C"/>
    <w:rsid w:val="43E837B0"/>
    <w:rsid w:val="44421112"/>
    <w:rsid w:val="44D75CFE"/>
    <w:rsid w:val="45521829"/>
    <w:rsid w:val="45876085"/>
    <w:rsid w:val="45D65FB6"/>
    <w:rsid w:val="45DC10F2"/>
    <w:rsid w:val="45F043FE"/>
    <w:rsid w:val="460348D1"/>
    <w:rsid w:val="464716F8"/>
    <w:rsid w:val="465C2905"/>
    <w:rsid w:val="4665558C"/>
    <w:rsid w:val="469F45FA"/>
    <w:rsid w:val="46CE4EDF"/>
    <w:rsid w:val="474B4782"/>
    <w:rsid w:val="47F46BC7"/>
    <w:rsid w:val="48384D06"/>
    <w:rsid w:val="485E04E5"/>
    <w:rsid w:val="48A71E8C"/>
    <w:rsid w:val="494D658F"/>
    <w:rsid w:val="49667651"/>
    <w:rsid w:val="49C12AD9"/>
    <w:rsid w:val="49C777B9"/>
    <w:rsid w:val="4A431F7F"/>
    <w:rsid w:val="4A45195C"/>
    <w:rsid w:val="4A4A6F73"/>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03562B"/>
    <w:rsid w:val="4C2F4672"/>
    <w:rsid w:val="4CA7392D"/>
    <w:rsid w:val="4D106251"/>
    <w:rsid w:val="4D8376C6"/>
    <w:rsid w:val="4D852233"/>
    <w:rsid w:val="4D8B3B2A"/>
    <w:rsid w:val="4DAE7818"/>
    <w:rsid w:val="4DEA13C6"/>
    <w:rsid w:val="4E0135BD"/>
    <w:rsid w:val="4EFF657E"/>
    <w:rsid w:val="4F215E37"/>
    <w:rsid w:val="4F4A3571"/>
    <w:rsid w:val="4F9273F2"/>
    <w:rsid w:val="4FB530E0"/>
    <w:rsid w:val="4FD80B7D"/>
    <w:rsid w:val="4FE7163E"/>
    <w:rsid w:val="5060129E"/>
    <w:rsid w:val="506B19F1"/>
    <w:rsid w:val="509B12BB"/>
    <w:rsid w:val="50A05B3E"/>
    <w:rsid w:val="50B500CA"/>
    <w:rsid w:val="50CA4969"/>
    <w:rsid w:val="50E023DF"/>
    <w:rsid w:val="50E27F05"/>
    <w:rsid w:val="50EF43D0"/>
    <w:rsid w:val="51600E2A"/>
    <w:rsid w:val="516C3C72"/>
    <w:rsid w:val="51892AD2"/>
    <w:rsid w:val="51931224"/>
    <w:rsid w:val="52067C23"/>
    <w:rsid w:val="521F0CE5"/>
    <w:rsid w:val="52447DD0"/>
    <w:rsid w:val="52976ACD"/>
    <w:rsid w:val="52ED493F"/>
    <w:rsid w:val="52FB52AE"/>
    <w:rsid w:val="538928BA"/>
    <w:rsid w:val="53C9715A"/>
    <w:rsid w:val="53D02297"/>
    <w:rsid w:val="54D65388"/>
    <w:rsid w:val="55006BAB"/>
    <w:rsid w:val="5539030F"/>
    <w:rsid w:val="55A41C2D"/>
    <w:rsid w:val="55A5225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731115"/>
    <w:rsid w:val="58A23664"/>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BFD51BD"/>
    <w:rsid w:val="5C2C38A3"/>
    <w:rsid w:val="5C4E2E0B"/>
    <w:rsid w:val="5CA2679A"/>
    <w:rsid w:val="5CAD26FB"/>
    <w:rsid w:val="5D3B51AE"/>
    <w:rsid w:val="5D3C2062"/>
    <w:rsid w:val="5D5C103F"/>
    <w:rsid w:val="5D641CA2"/>
    <w:rsid w:val="5D8365CC"/>
    <w:rsid w:val="5DB9023F"/>
    <w:rsid w:val="5DF70D68"/>
    <w:rsid w:val="5E0A34F5"/>
    <w:rsid w:val="5E0D496B"/>
    <w:rsid w:val="5E27248F"/>
    <w:rsid w:val="5E2A6A47"/>
    <w:rsid w:val="5E500914"/>
    <w:rsid w:val="5E5B21D1"/>
    <w:rsid w:val="5EC944B2"/>
    <w:rsid w:val="5F236EC5"/>
    <w:rsid w:val="5F3D27AA"/>
    <w:rsid w:val="5F441D8B"/>
    <w:rsid w:val="5F6917F1"/>
    <w:rsid w:val="5F7563E8"/>
    <w:rsid w:val="5FE61094"/>
    <w:rsid w:val="60400434"/>
    <w:rsid w:val="604007A4"/>
    <w:rsid w:val="604F4E8B"/>
    <w:rsid w:val="606D5311"/>
    <w:rsid w:val="60787F3E"/>
    <w:rsid w:val="60981866"/>
    <w:rsid w:val="60D72BFF"/>
    <w:rsid w:val="611A2DA3"/>
    <w:rsid w:val="611C2337"/>
    <w:rsid w:val="61630BEE"/>
    <w:rsid w:val="619F774C"/>
    <w:rsid w:val="61A134C4"/>
    <w:rsid w:val="61B01959"/>
    <w:rsid w:val="61F21F72"/>
    <w:rsid w:val="621A0796"/>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202EDF"/>
    <w:rsid w:val="66B772E6"/>
    <w:rsid w:val="66C57C55"/>
    <w:rsid w:val="66CA526B"/>
    <w:rsid w:val="680B5B3B"/>
    <w:rsid w:val="680D18B3"/>
    <w:rsid w:val="682E5386"/>
    <w:rsid w:val="68324E76"/>
    <w:rsid w:val="6841155D"/>
    <w:rsid w:val="68466B73"/>
    <w:rsid w:val="68955405"/>
    <w:rsid w:val="689C6793"/>
    <w:rsid w:val="68C1435D"/>
    <w:rsid w:val="693115D2"/>
    <w:rsid w:val="6942558D"/>
    <w:rsid w:val="69BD2E65"/>
    <w:rsid w:val="69C86735"/>
    <w:rsid w:val="69CC12FA"/>
    <w:rsid w:val="6A582B8E"/>
    <w:rsid w:val="6A7654C6"/>
    <w:rsid w:val="6A9D590B"/>
    <w:rsid w:val="6AA70556"/>
    <w:rsid w:val="6AC256AA"/>
    <w:rsid w:val="6ACF7ADC"/>
    <w:rsid w:val="6AE0505D"/>
    <w:rsid w:val="6AF0753A"/>
    <w:rsid w:val="6B1940CB"/>
    <w:rsid w:val="6B3C75C9"/>
    <w:rsid w:val="6B752912"/>
    <w:rsid w:val="6BB169FA"/>
    <w:rsid w:val="6BDB5825"/>
    <w:rsid w:val="6C07661A"/>
    <w:rsid w:val="6C4E46B2"/>
    <w:rsid w:val="6C6B7C6F"/>
    <w:rsid w:val="6C6D0B73"/>
    <w:rsid w:val="6C735A5D"/>
    <w:rsid w:val="6C920694"/>
    <w:rsid w:val="6CB93DB8"/>
    <w:rsid w:val="6D350F65"/>
    <w:rsid w:val="6DA00F9C"/>
    <w:rsid w:val="6DB56CBE"/>
    <w:rsid w:val="6DC01176"/>
    <w:rsid w:val="6E3B669F"/>
    <w:rsid w:val="6E5518BE"/>
    <w:rsid w:val="6E810905"/>
    <w:rsid w:val="6EA36ACE"/>
    <w:rsid w:val="6EAC0D50"/>
    <w:rsid w:val="6ED613DA"/>
    <w:rsid w:val="6EF2710D"/>
    <w:rsid w:val="6F26325B"/>
    <w:rsid w:val="6F270684"/>
    <w:rsid w:val="6F3032F7"/>
    <w:rsid w:val="6F3C39EE"/>
    <w:rsid w:val="6F4162E7"/>
    <w:rsid w:val="6F4436E1"/>
    <w:rsid w:val="6F4B0F13"/>
    <w:rsid w:val="6F75656A"/>
    <w:rsid w:val="6F8F0E00"/>
    <w:rsid w:val="70125898"/>
    <w:rsid w:val="70205EC3"/>
    <w:rsid w:val="70383246"/>
    <w:rsid w:val="70CE5958"/>
    <w:rsid w:val="70DC0075"/>
    <w:rsid w:val="70E909E4"/>
    <w:rsid w:val="71285068"/>
    <w:rsid w:val="71341C5F"/>
    <w:rsid w:val="716562BC"/>
    <w:rsid w:val="718B3F6C"/>
    <w:rsid w:val="71BF425E"/>
    <w:rsid w:val="720C2BDC"/>
    <w:rsid w:val="72345C8F"/>
    <w:rsid w:val="725D4F25"/>
    <w:rsid w:val="727414F1"/>
    <w:rsid w:val="729F75AC"/>
    <w:rsid w:val="72B1108D"/>
    <w:rsid w:val="72BB1511"/>
    <w:rsid w:val="72C205A1"/>
    <w:rsid w:val="73320420"/>
    <w:rsid w:val="734168B5"/>
    <w:rsid w:val="73796D39"/>
    <w:rsid w:val="737C279E"/>
    <w:rsid w:val="73C53042"/>
    <w:rsid w:val="73C6500C"/>
    <w:rsid w:val="73C90572"/>
    <w:rsid w:val="73EB6821"/>
    <w:rsid w:val="73FD1686"/>
    <w:rsid w:val="745E6FF3"/>
    <w:rsid w:val="74994CCD"/>
    <w:rsid w:val="74B530B7"/>
    <w:rsid w:val="75853FE0"/>
    <w:rsid w:val="75BE41ED"/>
    <w:rsid w:val="766528BB"/>
    <w:rsid w:val="767B0330"/>
    <w:rsid w:val="76C21ABB"/>
    <w:rsid w:val="76CF58C2"/>
    <w:rsid w:val="77130569"/>
    <w:rsid w:val="77613082"/>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2F4366"/>
    <w:rsid w:val="7B560A24"/>
    <w:rsid w:val="7BB67714"/>
    <w:rsid w:val="7BD13CB1"/>
    <w:rsid w:val="7C042B76"/>
    <w:rsid w:val="7C2A325D"/>
    <w:rsid w:val="7C6C2355"/>
    <w:rsid w:val="7CAE58D3"/>
    <w:rsid w:val="7CBC0D5A"/>
    <w:rsid w:val="7D052701"/>
    <w:rsid w:val="7D1C65A6"/>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2"/>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3"/>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4"/>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5"/>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6"/>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7"/>
    <w:semiHidden/>
    <w:unhideWhenUsed/>
    <w:qFormat/>
    <w:uiPriority w:val="9"/>
    <w:pPr>
      <w:numPr>
        <w:ilvl w:val="6"/>
        <w:numId w:val="1"/>
      </w:numPr>
      <w:spacing w:before="240" w:after="60"/>
      <w:outlineLvl w:val="6"/>
    </w:pPr>
  </w:style>
  <w:style w:type="paragraph" w:styleId="10">
    <w:name w:val="heading 8"/>
    <w:basedOn w:val="1"/>
    <w:next w:val="1"/>
    <w:link w:val="78"/>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3"/>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95"/>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Plain Text"/>
    <w:basedOn w:val="1"/>
    <w:next w:val="1"/>
    <w:qFormat/>
    <w:uiPriority w:val="99"/>
    <w:pPr>
      <w:spacing w:line="324" w:lineRule="auto"/>
    </w:pPr>
    <w:rPr>
      <w:rFonts w:ascii="宋体" w:hAnsi="Courier New"/>
      <w:sz w:val="20"/>
    </w:rPr>
  </w:style>
  <w:style w:type="paragraph" w:styleId="21">
    <w:name w:val="Date"/>
    <w:basedOn w:val="1"/>
    <w:next w:val="1"/>
    <w:link w:val="68"/>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94"/>
    <w:semiHidden/>
    <w:unhideWhenUsed/>
    <w:qFormat/>
    <w:uiPriority w:val="99"/>
    <w:rPr>
      <w:sz w:val="18"/>
      <w:szCs w:val="18"/>
    </w:rPr>
  </w:style>
  <w:style w:type="paragraph" w:styleId="24">
    <w:name w:val="footer"/>
    <w:basedOn w:val="1"/>
    <w:link w:val="70"/>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27"/>
    <w:next w:val="1"/>
    <w:unhideWhenUsed/>
    <w:qFormat/>
    <w:uiPriority w:val="39"/>
    <w:pPr>
      <w:spacing w:beforeLines="100" w:afterLines="100"/>
    </w:pPr>
    <w:rPr>
      <w:rFonts w:ascii="Calibri" w:hAnsi="Calibri" w:eastAsia="宋体"/>
      <w:kern w:val="32"/>
      <w:sz w:val="32"/>
    </w:rPr>
  </w:style>
  <w:style w:type="paragraph" w:styleId="27">
    <w:name w:val="index 1"/>
    <w:basedOn w:val="1"/>
    <w:next w:val="1"/>
    <w:qFormat/>
    <w:uiPriority w:val="0"/>
  </w:style>
  <w:style w:type="paragraph" w:styleId="28">
    <w:name w:val="Subtitle"/>
    <w:basedOn w:val="1"/>
    <w:next w:val="1"/>
    <w:link w:val="81"/>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toc 9"/>
    <w:basedOn w:val="1"/>
    <w:next w:val="1"/>
    <w:unhideWhenUsed/>
    <w:qFormat/>
    <w:uiPriority w:val="39"/>
    <w:pPr>
      <w:ind w:left="3360" w:leftChars="16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2"/>
    <w:semiHidden/>
    <w:unhideWhenUsed/>
    <w:qFormat/>
    <w:uiPriority w:val="99"/>
    <w:rPr>
      <w:b/>
      <w:bCs/>
    </w:rPr>
  </w:style>
  <w:style w:type="paragraph" w:styleId="34">
    <w:name w:val="Body Text First Indent"/>
    <w:basedOn w:val="17"/>
    <w:next w:val="35"/>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yperlink"/>
    <w:basedOn w:val="38"/>
    <w:unhideWhenUsed/>
    <w:qFormat/>
    <w:uiPriority w:val="99"/>
    <w:rPr>
      <w:color w:val="0563C1" w:themeColor="hyperlink"/>
      <w:u w:val="single"/>
      <w14:textFill>
        <w14:solidFill>
          <w14:schemeClr w14:val="hlink"/>
        </w14:solidFill>
      </w14:textFill>
    </w:rPr>
  </w:style>
  <w:style w:type="character" w:styleId="44">
    <w:name w:val="annotation reference"/>
    <w:basedOn w:val="38"/>
    <w:semiHidden/>
    <w:unhideWhenUsed/>
    <w:qFormat/>
    <w:uiPriority w:val="99"/>
    <w:rPr>
      <w:sz w:val="21"/>
      <w:szCs w:val="21"/>
    </w:rPr>
  </w:style>
  <w:style w:type="paragraph" w:customStyle="1" w:styleId="45">
    <w:name w:val="列出段落1"/>
    <w:basedOn w:val="1"/>
    <w:qFormat/>
    <w:uiPriority w:val="99"/>
    <w:pPr>
      <w:ind w:firstLine="420" w:firstLineChars="200"/>
    </w:pPr>
    <w:rPr>
      <w:szCs w:val="24"/>
    </w:rPr>
  </w:style>
  <w:style w:type="paragraph" w:customStyle="1" w:styleId="4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7">
    <w:name w:val="Normal Indent1"/>
    <w:basedOn w:val="1"/>
    <w:qFormat/>
    <w:uiPriority w:val="99"/>
    <w:pPr>
      <w:ind w:firstLine="880" w:firstLineChars="200"/>
    </w:pPr>
  </w:style>
  <w:style w:type="paragraph" w:customStyle="1" w:styleId="48">
    <w:name w:val="※封面大标题"/>
    <w:basedOn w:val="1"/>
    <w:next w:val="1"/>
    <w:qFormat/>
    <w:uiPriority w:val="0"/>
    <w:pPr>
      <w:jc w:val="center"/>
    </w:pPr>
    <w:rPr>
      <w:rFonts w:ascii="华文中宋" w:hAnsi="华文中宋" w:eastAsia="华文中宋"/>
      <w:sz w:val="96"/>
      <w:szCs w:val="96"/>
    </w:rPr>
  </w:style>
  <w:style w:type="paragraph" w:customStyle="1" w:styleId="49">
    <w:name w:val="※封面题颌"/>
    <w:basedOn w:val="1"/>
    <w:next w:val="1"/>
    <w:qFormat/>
    <w:uiPriority w:val="0"/>
    <w:pPr>
      <w:jc w:val="center"/>
    </w:pPr>
    <w:rPr>
      <w:rFonts w:ascii="Calibri Light" w:hAnsi="Calibri Light" w:eastAsia="华文仿宋"/>
      <w:sz w:val="36"/>
      <w:szCs w:val="36"/>
    </w:rPr>
  </w:style>
  <w:style w:type="paragraph" w:customStyle="1" w:styleId="50">
    <w:name w:val="※封面题眉"/>
    <w:basedOn w:val="1"/>
    <w:next w:val="48"/>
    <w:qFormat/>
    <w:uiPriority w:val="0"/>
    <w:pPr>
      <w:jc w:val="center"/>
    </w:pPr>
    <w:rPr>
      <w:rFonts w:ascii="华文仿宋" w:hAnsi="华文仿宋" w:eastAsia="华文仿宋"/>
      <w:sz w:val="52"/>
      <w:szCs w:val="28"/>
    </w:rPr>
  </w:style>
  <w:style w:type="paragraph" w:customStyle="1" w:styleId="5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3">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6">
    <w:name w:val="※小标题 一"/>
    <w:basedOn w:val="55"/>
    <w:next w:val="55"/>
    <w:qFormat/>
    <w:uiPriority w:val="0"/>
    <w:pPr>
      <w:spacing w:before="120" w:line="240" w:lineRule="auto"/>
      <w:outlineLvl w:val="2"/>
    </w:pPr>
    <w:rPr>
      <w:b/>
      <w:color w:val="203864" w:themeColor="accent5" w:themeShade="80"/>
      <w:sz w:val="32"/>
    </w:rPr>
  </w:style>
  <w:style w:type="paragraph" w:customStyle="1" w:styleId="57">
    <w:name w:val="※小标题（1）"/>
    <w:basedOn w:val="1"/>
    <w:next w:val="5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8">
    <w:name w:val="※小标题（一）"/>
    <w:basedOn w:val="1"/>
    <w:next w:val="5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1">
    <w:name w:val="※页眉"/>
    <w:basedOn w:val="55"/>
    <w:qFormat/>
    <w:uiPriority w:val="0"/>
    <w:pPr>
      <w:pBdr>
        <w:bottom w:val="single" w:color="auto" w:sz="4" w:space="1"/>
      </w:pBdr>
      <w:spacing w:line="240" w:lineRule="atLeast"/>
      <w:jc w:val="right"/>
    </w:pPr>
    <w:rPr>
      <w:rFonts w:ascii="宋体" w:hAnsi="宋体" w:eastAsia="宋体"/>
      <w:sz w:val="18"/>
    </w:rPr>
  </w:style>
  <w:style w:type="paragraph" w:customStyle="1" w:styleId="62">
    <w:name w:val="※章节标题（第X章）"/>
    <w:basedOn w:val="1"/>
    <w:qFormat/>
    <w:uiPriority w:val="0"/>
    <w:pPr>
      <w:jc w:val="center"/>
      <w:outlineLvl w:val="0"/>
    </w:pPr>
    <w:rPr>
      <w:rFonts w:ascii="Calibri Light" w:hAnsi="Calibri Light" w:eastAsia="黑体"/>
      <w:sz w:val="36"/>
      <w:szCs w:val="28"/>
    </w:rPr>
  </w:style>
  <w:style w:type="paragraph" w:customStyle="1" w:styleId="6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4">
    <w:name w:val="※章节标题（第Z部分分项）"/>
    <w:basedOn w:val="63"/>
    <w:qFormat/>
    <w:uiPriority w:val="0"/>
    <w:pPr>
      <w:outlineLvl w:val="2"/>
    </w:pPr>
  </w:style>
  <w:style w:type="paragraph" w:customStyle="1" w:styleId="6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6">
    <w:name w:val="※正文（缩进2）"/>
    <w:basedOn w:val="55"/>
    <w:qFormat/>
    <w:uiPriority w:val="0"/>
    <w:pPr>
      <w:ind w:firstLine="200" w:firstLineChars="200"/>
    </w:pPr>
  </w:style>
  <w:style w:type="paragraph" w:customStyle="1" w:styleId="67">
    <w:name w:val="※正文（缩进4）"/>
    <w:basedOn w:val="55"/>
    <w:qFormat/>
    <w:uiPriority w:val="0"/>
    <w:pPr>
      <w:ind w:firstLine="400" w:firstLineChars="400"/>
    </w:pPr>
  </w:style>
  <w:style w:type="character" w:customStyle="1" w:styleId="68">
    <w:name w:val="日期 Char"/>
    <w:basedOn w:val="38"/>
    <w:link w:val="21"/>
    <w:semiHidden/>
    <w:qFormat/>
    <w:uiPriority w:val="99"/>
    <w:rPr>
      <w:rFonts w:ascii="华文仿宋" w:hAnsi="华文仿宋" w:eastAsia="华文仿宋"/>
      <w:sz w:val="28"/>
      <w:szCs w:val="28"/>
    </w:rPr>
  </w:style>
  <w:style w:type="character" w:customStyle="1" w:styleId="69">
    <w:name w:val="页眉 Char"/>
    <w:basedOn w:val="38"/>
    <w:link w:val="25"/>
    <w:qFormat/>
    <w:uiPriority w:val="0"/>
    <w:rPr>
      <w:rFonts w:ascii="华文仿宋" w:hAnsi="华文仿宋" w:eastAsia="华文仿宋"/>
      <w:sz w:val="18"/>
      <w:szCs w:val="18"/>
    </w:rPr>
  </w:style>
  <w:style w:type="character" w:customStyle="1" w:styleId="70">
    <w:name w:val="页脚 Char"/>
    <w:basedOn w:val="38"/>
    <w:link w:val="24"/>
    <w:qFormat/>
    <w:uiPriority w:val="99"/>
    <w:rPr>
      <w:rFonts w:ascii="华文仿宋" w:hAnsi="华文仿宋" w:eastAsia="华文仿宋"/>
      <w:sz w:val="18"/>
      <w:szCs w:val="18"/>
    </w:rPr>
  </w:style>
  <w:style w:type="character" w:customStyle="1" w:styleId="71">
    <w:name w:val="标题 1 Char"/>
    <w:basedOn w:val="38"/>
    <w:link w:val="3"/>
    <w:qFormat/>
    <w:uiPriority w:val="9"/>
    <w:rPr>
      <w:rFonts w:ascii="方正小标宋_GBK" w:hAnsi="仿宋" w:eastAsia="方正小标宋_GBK"/>
      <w:sz w:val="44"/>
      <w:szCs w:val="44"/>
    </w:rPr>
  </w:style>
  <w:style w:type="character" w:customStyle="1" w:styleId="72">
    <w:name w:val="标题 2 Char"/>
    <w:basedOn w:val="38"/>
    <w:link w:val="4"/>
    <w:qFormat/>
    <w:uiPriority w:val="9"/>
    <w:rPr>
      <w:rFonts w:ascii="楷体" w:hAnsi="楷体" w:eastAsia="黑体"/>
      <w:sz w:val="32"/>
      <w:szCs w:val="32"/>
    </w:rPr>
  </w:style>
  <w:style w:type="character" w:customStyle="1" w:styleId="73">
    <w:name w:val="标题 3 Char"/>
    <w:basedOn w:val="38"/>
    <w:link w:val="5"/>
    <w:qFormat/>
    <w:uiPriority w:val="9"/>
    <w:rPr>
      <w:rFonts w:ascii="方正小标宋_GBK" w:hAnsi="仿宋" w:eastAsia="方正小标宋_GBK"/>
      <w:sz w:val="36"/>
      <w:szCs w:val="36"/>
    </w:rPr>
  </w:style>
  <w:style w:type="character" w:customStyle="1" w:styleId="74">
    <w:name w:val="标题 4 Char"/>
    <w:basedOn w:val="38"/>
    <w:link w:val="6"/>
    <w:semiHidden/>
    <w:qFormat/>
    <w:uiPriority w:val="9"/>
    <w:rPr>
      <w:rFonts w:cstheme="majorBidi"/>
      <w:b/>
      <w:bCs/>
      <w:sz w:val="28"/>
      <w:szCs w:val="28"/>
    </w:rPr>
  </w:style>
  <w:style w:type="character" w:customStyle="1" w:styleId="75">
    <w:name w:val="标题 5 Char"/>
    <w:basedOn w:val="38"/>
    <w:link w:val="7"/>
    <w:semiHidden/>
    <w:qFormat/>
    <w:uiPriority w:val="9"/>
    <w:rPr>
      <w:b/>
      <w:bCs/>
      <w:i/>
      <w:iCs/>
      <w:sz w:val="26"/>
      <w:szCs w:val="26"/>
    </w:rPr>
  </w:style>
  <w:style w:type="character" w:customStyle="1" w:styleId="76">
    <w:name w:val="标题 6 Char"/>
    <w:basedOn w:val="38"/>
    <w:link w:val="8"/>
    <w:semiHidden/>
    <w:qFormat/>
    <w:uiPriority w:val="9"/>
    <w:rPr>
      <w:rFonts w:cstheme="majorBidi"/>
      <w:b/>
      <w:bCs/>
    </w:rPr>
  </w:style>
  <w:style w:type="character" w:customStyle="1" w:styleId="77">
    <w:name w:val="标题 7 Char"/>
    <w:basedOn w:val="38"/>
    <w:link w:val="9"/>
    <w:semiHidden/>
    <w:qFormat/>
    <w:uiPriority w:val="9"/>
    <w:rPr>
      <w:sz w:val="24"/>
      <w:szCs w:val="24"/>
    </w:rPr>
  </w:style>
  <w:style w:type="character" w:customStyle="1" w:styleId="78">
    <w:name w:val="标题 8 Char"/>
    <w:basedOn w:val="38"/>
    <w:link w:val="10"/>
    <w:semiHidden/>
    <w:qFormat/>
    <w:uiPriority w:val="9"/>
    <w:rPr>
      <w:rFonts w:cstheme="majorBidi"/>
      <w:i/>
      <w:iCs/>
      <w:sz w:val="24"/>
      <w:szCs w:val="24"/>
    </w:rPr>
  </w:style>
  <w:style w:type="character" w:customStyle="1" w:styleId="79">
    <w:name w:val="标题 9 Char"/>
    <w:basedOn w:val="38"/>
    <w:link w:val="11"/>
    <w:semiHidden/>
    <w:qFormat/>
    <w:uiPriority w:val="9"/>
    <w:rPr>
      <w:rFonts w:asciiTheme="majorHAnsi" w:hAnsiTheme="majorHAnsi" w:eastAsiaTheme="majorEastAsia" w:cstheme="majorBidi"/>
    </w:rPr>
  </w:style>
  <w:style w:type="character" w:customStyle="1" w:styleId="80">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1">
    <w:name w:val="副标题 Char"/>
    <w:basedOn w:val="38"/>
    <w:link w:val="28"/>
    <w:qFormat/>
    <w:uiPriority w:val="11"/>
    <w:rPr>
      <w:rFonts w:ascii="Calibri" w:hAnsi="Calibri" w:eastAsia="黑体" w:cstheme="majorBidi"/>
      <w:sz w:val="32"/>
      <w:szCs w:val="24"/>
    </w:rPr>
  </w:style>
  <w:style w:type="paragraph" w:styleId="82">
    <w:name w:val="No Spacing"/>
    <w:basedOn w:val="1"/>
    <w:qFormat/>
    <w:uiPriority w:val="1"/>
    <w:rPr>
      <w:szCs w:val="32"/>
    </w:rPr>
  </w:style>
  <w:style w:type="paragraph" w:styleId="83">
    <w:name w:val="List Paragraph"/>
    <w:basedOn w:val="1"/>
    <w:qFormat/>
    <w:uiPriority w:val="0"/>
    <w:pPr>
      <w:ind w:left="720"/>
      <w:contextualSpacing/>
    </w:pPr>
  </w:style>
  <w:style w:type="paragraph" w:styleId="84">
    <w:name w:val="Quote"/>
    <w:basedOn w:val="1"/>
    <w:next w:val="1"/>
    <w:link w:val="85"/>
    <w:qFormat/>
    <w:uiPriority w:val="29"/>
    <w:rPr>
      <w:i/>
    </w:rPr>
  </w:style>
  <w:style w:type="character" w:customStyle="1" w:styleId="85">
    <w:name w:val="引用 Char"/>
    <w:basedOn w:val="38"/>
    <w:link w:val="84"/>
    <w:qFormat/>
    <w:uiPriority w:val="29"/>
    <w:rPr>
      <w:i/>
      <w:sz w:val="24"/>
      <w:szCs w:val="24"/>
    </w:rPr>
  </w:style>
  <w:style w:type="paragraph" w:styleId="86">
    <w:name w:val="Intense Quote"/>
    <w:basedOn w:val="1"/>
    <w:next w:val="1"/>
    <w:link w:val="87"/>
    <w:qFormat/>
    <w:uiPriority w:val="30"/>
    <w:pPr>
      <w:ind w:left="720" w:right="720"/>
    </w:pPr>
    <w:rPr>
      <w:b/>
      <w:i/>
      <w:szCs w:val="22"/>
    </w:rPr>
  </w:style>
  <w:style w:type="character" w:customStyle="1" w:styleId="87">
    <w:name w:val="明显引用 Char"/>
    <w:basedOn w:val="38"/>
    <w:link w:val="86"/>
    <w:qFormat/>
    <w:uiPriority w:val="30"/>
    <w:rPr>
      <w:b/>
      <w:i/>
      <w:sz w:val="24"/>
    </w:rPr>
  </w:style>
  <w:style w:type="character" w:customStyle="1" w:styleId="8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9">
    <w:name w:val="明显强调1"/>
    <w:basedOn w:val="38"/>
    <w:qFormat/>
    <w:uiPriority w:val="21"/>
    <w:rPr>
      <w:b/>
      <w:i/>
      <w:sz w:val="24"/>
      <w:szCs w:val="24"/>
      <w:u w:val="single"/>
    </w:rPr>
  </w:style>
  <w:style w:type="character" w:customStyle="1" w:styleId="90">
    <w:name w:val="不明显参考1"/>
    <w:basedOn w:val="38"/>
    <w:qFormat/>
    <w:uiPriority w:val="31"/>
    <w:rPr>
      <w:sz w:val="24"/>
      <w:szCs w:val="24"/>
      <w:u w:val="single"/>
    </w:rPr>
  </w:style>
  <w:style w:type="character" w:customStyle="1" w:styleId="91">
    <w:name w:val="明显参考1"/>
    <w:basedOn w:val="38"/>
    <w:qFormat/>
    <w:uiPriority w:val="32"/>
    <w:rPr>
      <w:b/>
      <w:sz w:val="24"/>
      <w:u w:val="single"/>
    </w:rPr>
  </w:style>
  <w:style w:type="character" w:customStyle="1" w:styleId="92">
    <w:name w:val="书籍标题1"/>
    <w:basedOn w:val="38"/>
    <w:qFormat/>
    <w:uiPriority w:val="33"/>
    <w:rPr>
      <w:rFonts w:asciiTheme="majorHAnsi" w:hAnsiTheme="majorHAnsi" w:eastAsiaTheme="majorEastAsia"/>
      <w:b/>
      <w:i/>
      <w:sz w:val="24"/>
      <w:szCs w:val="24"/>
    </w:rPr>
  </w:style>
  <w:style w:type="paragraph" w:customStyle="1" w:styleId="93">
    <w:name w:val="TOC 标题1"/>
    <w:basedOn w:val="3"/>
    <w:next w:val="1"/>
    <w:semiHidden/>
    <w:unhideWhenUsed/>
    <w:qFormat/>
    <w:uiPriority w:val="39"/>
    <w:pPr>
      <w:outlineLvl w:val="9"/>
    </w:pPr>
  </w:style>
  <w:style w:type="character" w:customStyle="1" w:styleId="94">
    <w:name w:val="批注框文本 Char"/>
    <w:basedOn w:val="38"/>
    <w:link w:val="23"/>
    <w:semiHidden/>
    <w:qFormat/>
    <w:uiPriority w:val="99"/>
    <w:rPr>
      <w:sz w:val="18"/>
      <w:szCs w:val="18"/>
    </w:rPr>
  </w:style>
  <w:style w:type="character" w:customStyle="1" w:styleId="95">
    <w:name w:val="批注文字 Char"/>
    <w:basedOn w:val="38"/>
    <w:link w:val="16"/>
    <w:qFormat/>
    <w:uiPriority w:val="99"/>
    <w:rPr>
      <w:rFonts w:ascii="Calibri Light" w:hAnsi="Calibri Light" w:eastAsia="华文仿宋" w:cs="Calibri Light"/>
      <w:kern w:val="2"/>
      <w:sz w:val="28"/>
      <w:szCs w:val="28"/>
    </w:rPr>
  </w:style>
  <w:style w:type="paragraph" w:customStyle="1" w:styleId="96">
    <w:name w:val="@正文"/>
    <w:basedOn w:val="5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7">
    <w:name w:val="@一级小标题"/>
    <w:basedOn w:val="1"/>
    <w:next w:val="96"/>
    <w:qFormat/>
    <w:uiPriority w:val="0"/>
    <w:pPr>
      <w:keepNext/>
      <w:spacing w:before="120" w:after="60"/>
      <w:outlineLvl w:val="2"/>
    </w:pPr>
    <w:rPr>
      <w:rFonts w:ascii="Calibri" w:hAnsi="Calibri" w:eastAsia="黑体"/>
      <w:kern w:val="28"/>
      <w:sz w:val="28"/>
    </w:rPr>
  </w:style>
  <w:style w:type="paragraph" w:customStyle="1" w:styleId="98">
    <w:name w:val="@标题"/>
    <w:basedOn w:val="1"/>
    <w:next w:val="96"/>
    <w:qFormat/>
    <w:uiPriority w:val="0"/>
    <w:pPr>
      <w:keepNext/>
      <w:spacing w:beforeLines="50" w:afterLines="50"/>
      <w:jc w:val="center"/>
      <w:outlineLvl w:val="1"/>
    </w:pPr>
    <w:rPr>
      <w:rFonts w:ascii="Calibri" w:hAnsi="Calibri" w:eastAsia="黑体"/>
      <w:kern w:val="32"/>
      <w:sz w:val="32"/>
    </w:rPr>
  </w:style>
  <w:style w:type="table" w:customStyle="1" w:styleId="99">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页眉 Char1"/>
    <w:basedOn w:val="38"/>
    <w:semiHidden/>
    <w:qFormat/>
    <w:uiPriority w:val="99"/>
    <w:rPr>
      <w:rFonts w:cs="Calibri Light"/>
      <w:sz w:val="18"/>
      <w:szCs w:val="18"/>
    </w:rPr>
  </w:style>
  <w:style w:type="character" w:customStyle="1" w:styleId="101">
    <w:name w:val="页脚 Char1"/>
    <w:basedOn w:val="38"/>
    <w:semiHidden/>
    <w:qFormat/>
    <w:uiPriority w:val="99"/>
    <w:rPr>
      <w:rFonts w:cs="Calibri Light"/>
      <w:sz w:val="18"/>
      <w:szCs w:val="18"/>
    </w:rPr>
  </w:style>
  <w:style w:type="character" w:customStyle="1" w:styleId="102">
    <w:name w:val="批注主题 Char"/>
    <w:basedOn w:val="95"/>
    <w:link w:val="33"/>
    <w:semiHidden/>
    <w:qFormat/>
    <w:uiPriority w:val="99"/>
    <w:rPr>
      <w:rFonts w:ascii="Calibri Light" w:hAnsi="Calibri Light" w:eastAsia="华文仿宋" w:cs="Calibri Light"/>
      <w:b/>
      <w:bCs/>
      <w:kern w:val="2"/>
      <w:sz w:val="28"/>
      <w:szCs w:val="28"/>
    </w:rPr>
  </w:style>
  <w:style w:type="character" w:customStyle="1" w:styleId="103">
    <w:name w:val="文档结构图 Char"/>
    <w:basedOn w:val="38"/>
    <w:link w:val="15"/>
    <w:semiHidden/>
    <w:qFormat/>
    <w:uiPriority w:val="99"/>
    <w:rPr>
      <w:rFonts w:ascii="宋体" w:hAnsi="Calibri Light" w:eastAsia="宋体" w:cs="Calibri Light"/>
      <w:kern w:val="2"/>
      <w:sz w:val="18"/>
      <w:szCs w:val="18"/>
    </w:rPr>
  </w:style>
  <w:style w:type="character" w:styleId="104">
    <w:name w:val="Placeholder Text"/>
    <w:basedOn w:val="38"/>
    <w:semiHidden/>
    <w:qFormat/>
    <w:uiPriority w:val="99"/>
    <w:rPr>
      <w:color w:val="808080"/>
    </w:rPr>
  </w:style>
  <w:style w:type="character" w:customStyle="1" w:styleId="105">
    <w:name w:val="未处理的提及1"/>
    <w:basedOn w:val="38"/>
    <w:semiHidden/>
    <w:unhideWhenUsed/>
    <w:qFormat/>
    <w:uiPriority w:val="99"/>
    <w:rPr>
      <w:color w:val="605E5C"/>
      <w:shd w:val="clear" w:color="auto" w:fill="E1DFDD"/>
    </w:rPr>
  </w:style>
  <w:style w:type="paragraph" w:customStyle="1" w:styleId="106">
    <w:name w:val="样式1"/>
    <w:basedOn w:val="5"/>
    <w:link w:val="108"/>
    <w:qFormat/>
    <w:uiPriority w:val="0"/>
    <w:pPr>
      <w:jc w:val="left"/>
    </w:pPr>
    <w:rPr>
      <w:rFonts w:eastAsia="楷体"/>
      <w:sz w:val="32"/>
    </w:rPr>
  </w:style>
  <w:style w:type="paragraph" w:customStyle="1" w:styleId="107">
    <w:name w:val="样式2"/>
    <w:basedOn w:val="98"/>
    <w:link w:val="110"/>
    <w:qFormat/>
    <w:uiPriority w:val="0"/>
    <w:pPr>
      <w:spacing w:line="560" w:lineRule="exact"/>
      <w:ind w:firstLine="643" w:firstLineChars="200"/>
      <w:jc w:val="both"/>
    </w:pPr>
    <w:rPr>
      <w:rFonts w:ascii="仿宋_GB2312" w:hAnsi="仿宋" w:eastAsia="仿宋_GB2312"/>
      <w:b/>
      <w:bCs/>
      <w:szCs w:val="32"/>
    </w:rPr>
  </w:style>
  <w:style w:type="character" w:customStyle="1" w:styleId="108">
    <w:name w:val="样式1 字符"/>
    <w:basedOn w:val="72"/>
    <w:link w:val="106"/>
    <w:qFormat/>
    <w:uiPriority w:val="0"/>
    <w:rPr>
      <w:rFonts w:ascii="方正小标宋_GBK" w:hAnsi="仿宋" w:eastAsia="楷体"/>
      <w:sz w:val="32"/>
      <w:szCs w:val="36"/>
    </w:rPr>
  </w:style>
  <w:style w:type="paragraph" w:customStyle="1" w:styleId="109">
    <w:name w:val="样式3"/>
    <w:basedOn w:val="1"/>
    <w:link w:val="111"/>
    <w:qFormat/>
    <w:uiPriority w:val="0"/>
    <w:pPr>
      <w:spacing w:line="560" w:lineRule="exact"/>
      <w:jc w:val="center"/>
    </w:pPr>
    <w:rPr>
      <w:rFonts w:ascii="方正小标宋_GBK" w:hAnsi="仿宋" w:eastAsia="方正小标宋_GBK"/>
      <w:sz w:val="36"/>
      <w:szCs w:val="36"/>
    </w:rPr>
  </w:style>
  <w:style w:type="character" w:customStyle="1" w:styleId="110">
    <w:name w:val="样式2 字符"/>
    <w:basedOn w:val="38"/>
    <w:link w:val="107"/>
    <w:qFormat/>
    <w:uiPriority w:val="0"/>
    <w:rPr>
      <w:rFonts w:ascii="仿宋_GB2312" w:hAnsi="仿宋" w:eastAsia="仿宋_GB2312"/>
      <w:b/>
      <w:bCs/>
      <w:kern w:val="32"/>
      <w:sz w:val="32"/>
      <w:szCs w:val="32"/>
    </w:rPr>
  </w:style>
  <w:style w:type="character" w:customStyle="1" w:styleId="111">
    <w:name w:val="样式3 字符"/>
    <w:basedOn w:val="38"/>
    <w:link w:val="109"/>
    <w:qFormat/>
    <w:uiPriority w:val="0"/>
    <w:rPr>
      <w:rFonts w:ascii="方正小标宋_GBK" w:hAnsi="仿宋" w:eastAsia="方正小标宋_GBK"/>
      <w:sz w:val="36"/>
      <w:szCs w:val="36"/>
    </w:rPr>
  </w:style>
  <w:style w:type="paragraph" w:customStyle="1" w:styleId="11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3">
    <w:name w:val="Table Paragraph"/>
    <w:basedOn w:val="1"/>
    <w:qFormat/>
    <w:uiPriority w:val="1"/>
  </w:style>
  <w:style w:type="paragraph" w:customStyle="1" w:styleId="114">
    <w:name w:val="纯文本1"/>
    <w:basedOn w:val="1"/>
    <w:qFormat/>
    <w:uiPriority w:val="0"/>
    <w:rPr>
      <w:rFonts w:ascii="宋体" w:hAnsi="Courier New" w:eastAsia="宋体"/>
      <w:szCs w:val="22"/>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8">
    <w:name w:val="列出段落4"/>
    <w:basedOn w:val="1"/>
    <w:qFormat/>
    <w:uiPriority w:val="34"/>
    <w:pPr>
      <w:ind w:firstLine="420" w:firstLineChars="200"/>
    </w:pPr>
    <w:rPr>
      <w:rFonts w:cstheme="minorBidi"/>
      <w:szCs w:val="22"/>
    </w:rPr>
  </w:style>
  <w:style w:type="paragraph" w:customStyle="1" w:styleId="119">
    <w:name w:val="A正文"/>
    <w:basedOn w:val="1"/>
    <w:qFormat/>
    <w:uiPriority w:val="0"/>
    <w:pPr>
      <w:snapToGrid w:val="0"/>
      <w:spacing w:line="360" w:lineRule="auto"/>
      <w:ind w:firstLine="200" w:firstLineChars="200"/>
    </w:pPr>
    <w:rPr>
      <w:rFonts w:ascii="Times New Roman" w:hAnsi="Times New Roman"/>
      <w:lang w:eastAsia="en-US" w:bidi="en-US"/>
    </w:rPr>
  </w:style>
  <w:style w:type="paragraph" w:customStyle="1" w:styleId="120">
    <w:name w:val="缩进"/>
    <w:basedOn w:val="1"/>
    <w:qFormat/>
    <w:uiPriority w:val="0"/>
    <w:pPr>
      <w:spacing w:line="360" w:lineRule="auto"/>
      <w:ind w:firstLine="480" w:firstLineChars="200"/>
      <w:jc w:val="left"/>
    </w:pPr>
    <w:rPr>
      <w:rFonts w:ascii="Calibri" w:hAnsi="Calibri"/>
      <w:sz w:val="24"/>
      <w:szCs w:val="21"/>
    </w:rPr>
  </w:style>
  <w:style w:type="character" w:customStyle="1" w:styleId="121">
    <w:name w:val="font71"/>
    <w:basedOn w:val="38"/>
    <w:qFormat/>
    <w:uiPriority w:val="0"/>
    <w:rPr>
      <w:rFonts w:hint="default" w:ascii="Calibri" w:hAnsi="Calibri" w:cs="Calibri"/>
      <w:color w:val="000000"/>
      <w:sz w:val="24"/>
      <w:szCs w:val="24"/>
      <w:u w:val="none"/>
    </w:rPr>
  </w:style>
  <w:style w:type="character" w:customStyle="1" w:styleId="122">
    <w:name w:val="font81"/>
    <w:basedOn w:val="3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39322</Words>
  <Characters>43528</Characters>
  <Lines>568</Lines>
  <Paragraphs>160</Paragraphs>
  <TotalTime>0</TotalTime>
  <ScaleCrop>false</ScaleCrop>
  <LinksUpToDate>false</LinksUpToDate>
  <CharactersWithSpaces>44974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李江宁</cp:lastModifiedBy>
  <cp:lastPrinted>2022-06-02T03:00:00Z</cp:lastPrinted>
  <dcterms:modified xsi:type="dcterms:W3CDTF">2023-03-15T09:53:42Z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83CBB1EA4D9047D69E7637B396E6B504</vt:lpwstr>
  </property>
</Properties>
</file>