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pPr>
      <w:r>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t>政府采购项目</w:t>
      </w:r>
    </w:p>
    <w:p>
      <w:pPr>
        <w:spacing w:line="560" w:lineRule="exact"/>
        <w:rPr>
          <w:rFonts w:ascii="宋体" w:hAnsi="宋体" w:eastAsia="宋体" w:cs="宋体"/>
          <w:b/>
          <w:bCs/>
          <w:color w:val="000000" w:themeColor="text1"/>
          <w:sz w:val="32"/>
          <w:szCs w:val="32"/>
          <w:highlight w:val="none"/>
          <w14:textFill>
            <w14:solidFill>
              <w14:schemeClr w14:val="tx1"/>
            </w14:solidFill>
          </w14:textFill>
        </w:rPr>
      </w:pPr>
    </w:p>
    <w:p>
      <w:pPr>
        <w:spacing w:line="560" w:lineRule="exact"/>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项目编号：</w:t>
      </w:r>
      <w:r>
        <w:rPr>
          <w:rFonts w:hint="eastAsia" w:ascii="宋体" w:hAnsi="宋体" w:eastAsia="宋体" w:cs="宋体"/>
          <w:b/>
          <w:bCs/>
          <w:color w:val="000000" w:themeColor="text1"/>
          <w:sz w:val="32"/>
          <w:szCs w:val="32"/>
          <w:highlight w:val="none"/>
          <w:lang w:eastAsia="zh-CN"/>
          <w14:textFill>
            <w14:solidFill>
              <w14:schemeClr w14:val="tx1"/>
            </w14:solidFill>
          </w14:textFill>
        </w:rPr>
        <w:t>ZJXG2023026</w:t>
      </w:r>
    </w:p>
    <w:p>
      <w:pPr>
        <w:jc w:val="center"/>
        <w:rPr>
          <w:rFonts w:ascii="宋体" w:hAnsi="宋体" w:eastAsia="宋体" w:cs="宋体"/>
          <w:color w:val="000000" w:themeColor="text1"/>
          <w:sz w:val="44"/>
          <w:szCs w:val="44"/>
          <w:highlight w:val="none"/>
          <w14:textFill>
            <w14:solidFill>
              <w14:schemeClr w14:val="tx1"/>
            </w14:solidFill>
          </w14:textFill>
        </w:rPr>
      </w:pPr>
    </w:p>
    <w:p>
      <w:pPr>
        <w:jc w:val="both"/>
        <w:rPr>
          <w:rFonts w:ascii="宋体" w:hAnsi="宋体" w:eastAsia="宋体" w:cs="宋体"/>
          <w:color w:val="000000" w:themeColor="text1"/>
          <w:sz w:val="56"/>
          <w:szCs w:val="56"/>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52"/>
          <w:szCs w:val="52"/>
          <w:highlight w:val="none"/>
          <w:lang w:eastAsia="zh-CN"/>
          <w14:textFill>
            <w14:solidFill>
              <w14:schemeClr w14:val="tx1"/>
            </w14:solidFill>
          </w14:textFill>
        </w:rPr>
      </w:pPr>
      <w:r>
        <w:rPr>
          <w:rFonts w:hint="eastAsia" w:ascii="宋体" w:hAnsi="宋体" w:eastAsia="宋体" w:cs="宋体"/>
          <w:b/>
          <w:bCs/>
          <w:color w:val="000000" w:themeColor="text1"/>
          <w:sz w:val="52"/>
          <w:szCs w:val="52"/>
          <w:highlight w:val="none"/>
          <w:lang w:eastAsia="zh-CN"/>
          <w14:textFill>
            <w14:solidFill>
              <w14:schemeClr w14:val="tx1"/>
            </w14:solidFill>
          </w14:textFill>
        </w:rPr>
        <w:t>未央宫街道遗址区“六村三校”农村饮水安全巩固提升工程材料购置</w:t>
      </w:r>
    </w:p>
    <w:p>
      <w:pPr>
        <w:jc w:val="center"/>
        <w:rPr>
          <w:rFonts w:ascii="宋体" w:hAnsi="宋体" w:eastAsia="宋体" w:cs="宋体"/>
          <w:b/>
          <w:bCs/>
          <w:color w:val="000000" w:themeColor="text1"/>
          <w:sz w:val="96"/>
          <w:szCs w:val="96"/>
          <w:highlight w:val="none"/>
          <w14:textFill>
            <w14:solidFill>
              <w14:schemeClr w14:val="tx1"/>
            </w14:solidFill>
          </w14:textFill>
        </w:rPr>
      </w:pPr>
    </w:p>
    <w:p>
      <w:pPr>
        <w:jc w:val="center"/>
        <w:rPr>
          <w:rFonts w:ascii="宋体" w:hAnsi="宋体" w:eastAsia="宋体" w:cs="宋体"/>
          <w:b/>
          <w:bCs/>
          <w:color w:val="000000" w:themeColor="text1"/>
          <w:sz w:val="144"/>
          <w:szCs w:val="144"/>
          <w:highlight w:val="none"/>
          <w14:textFill>
            <w14:solidFill>
              <w14:schemeClr w14:val="tx1"/>
            </w14:solidFill>
          </w14:textFill>
        </w:rPr>
      </w:pPr>
      <w:r>
        <w:rPr>
          <w:rFonts w:hint="eastAsia" w:ascii="宋体" w:hAnsi="宋体" w:eastAsia="宋体" w:cs="宋体"/>
          <w:b/>
          <w:bCs/>
          <w:color w:val="000000" w:themeColor="text1"/>
          <w:sz w:val="96"/>
          <w:szCs w:val="96"/>
          <w:highlight w:val="none"/>
          <w14:textFill>
            <w14:solidFill>
              <w14:schemeClr w14:val="tx1"/>
            </w14:solidFill>
          </w14:textFill>
        </w:rPr>
        <w:t>招标文件</w:t>
      </w:r>
    </w:p>
    <w:p>
      <w:pPr>
        <w:spacing w:line="560" w:lineRule="exact"/>
        <w:ind w:firstLine="803" w:firstLineChars="200"/>
        <w:jc w:val="both"/>
        <w:rPr>
          <w:rFonts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ascii="宋体" w:hAnsi="宋体" w:eastAsia="宋体" w:cs="宋体"/>
          <w:b/>
          <w:bCs/>
          <w:color w:val="000000" w:themeColor="text1"/>
          <w:sz w:val="40"/>
          <w:szCs w:val="40"/>
          <w:highlight w:val="none"/>
          <w14:textFill>
            <w14:solidFill>
              <w14:schemeClr w14:val="tx1"/>
            </w14:solidFill>
          </w14:textFill>
        </w:rPr>
      </w:pPr>
    </w:p>
    <w:p>
      <w:pPr>
        <w:spacing w:line="560" w:lineRule="exact"/>
        <w:ind w:firstLine="803" w:firstLineChars="200"/>
        <w:jc w:val="both"/>
        <w:rPr>
          <w:rFonts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ascii="宋体" w:hAnsi="宋体" w:eastAsia="宋体" w:cs="宋体"/>
          <w:b/>
          <w:bCs/>
          <w:color w:val="000000" w:themeColor="text1"/>
          <w:sz w:val="40"/>
          <w:szCs w:val="40"/>
          <w:highlight w:val="none"/>
          <w14:textFill>
            <w14:solidFill>
              <w14:schemeClr w14:val="tx1"/>
            </w14:solidFill>
          </w14:textFill>
        </w:rPr>
      </w:pPr>
    </w:p>
    <w:p>
      <w:pPr>
        <w:spacing w:line="560" w:lineRule="exact"/>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40" w:firstLineChars="200"/>
        <w:jc w:val="center"/>
        <w:rPr>
          <w:rFonts w:ascii="宋体" w:hAnsi="宋体" w:eastAsia="宋体" w:cs="宋体"/>
          <w:color w:val="000000" w:themeColor="text1"/>
          <w:sz w:val="32"/>
          <w:szCs w:val="32"/>
          <w:highlight w:val="none"/>
          <w14:textFill>
            <w14:solidFill>
              <w14:schemeClr w14:val="tx1"/>
            </w14:solidFill>
          </w14:textFill>
        </w:rPr>
      </w:pPr>
    </w:p>
    <w:p>
      <w:pPr>
        <w:spacing w:line="560" w:lineRule="exact"/>
        <w:jc w:val="center"/>
        <w:rPr>
          <w:rFonts w:hint="eastAsia" w:ascii="宋体" w:hAnsi="宋体" w:eastAsia="宋体" w:cs="宋体"/>
          <w:color w:val="000000" w:themeColor="text1"/>
          <w:sz w:val="36"/>
          <w:szCs w:val="36"/>
          <w:highlight w:val="none"/>
          <w:lang w:eastAsia="zh-CN"/>
          <w14:textFill>
            <w14:solidFill>
              <w14:schemeClr w14:val="tx1"/>
            </w14:solidFill>
          </w14:textFill>
        </w:rPr>
      </w:pPr>
      <w:bookmarkStart w:id="0" w:name="_Toc100219612"/>
      <w:r>
        <w:rPr>
          <w:rFonts w:hint="eastAsia" w:ascii="宋体" w:hAnsi="宋体" w:eastAsia="宋体" w:cs="宋体"/>
          <w:color w:val="000000" w:themeColor="text1"/>
          <w:sz w:val="36"/>
          <w:szCs w:val="36"/>
          <w:highlight w:val="none"/>
          <w:lang w:eastAsia="zh-CN"/>
          <w14:textFill>
            <w14:solidFill>
              <w14:schemeClr w14:val="tx1"/>
            </w14:solidFill>
          </w14:textFill>
        </w:rPr>
        <w:t>陕西中鉴项目管理有限公司</w:t>
      </w:r>
    </w:p>
    <w:p>
      <w:pPr>
        <w:spacing w:line="560" w:lineRule="exact"/>
        <w:jc w:val="center"/>
        <w:rPr>
          <w:rFonts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二零二</w:t>
      </w:r>
      <w:r>
        <w:rPr>
          <w:rFonts w:hint="eastAsia" w:ascii="宋体" w:hAnsi="宋体" w:eastAsia="宋体" w:cs="宋体"/>
          <w:color w:val="000000" w:themeColor="text1"/>
          <w:sz w:val="36"/>
          <w:szCs w:val="36"/>
          <w:highlight w:val="none"/>
          <w:lang w:val="en-US" w:eastAsia="zh-CN"/>
          <w14:textFill>
            <w14:solidFill>
              <w14:schemeClr w14:val="tx1"/>
            </w14:solidFill>
          </w14:textFill>
        </w:rPr>
        <w:t>三</w:t>
      </w:r>
      <w:r>
        <w:rPr>
          <w:rFonts w:hint="eastAsia" w:ascii="宋体" w:hAnsi="宋体" w:eastAsia="宋体" w:cs="宋体"/>
          <w:color w:val="000000" w:themeColor="text1"/>
          <w:sz w:val="36"/>
          <w:szCs w:val="36"/>
          <w:highlight w:val="none"/>
          <w14:textFill>
            <w14:solidFill>
              <w14:schemeClr w14:val="tx1"/>
            </w14:solidFill>
          </w14:textFill>
        </w:rPr>
        <w:t>年</w:t>
      </w:r>
      <w:r>
        <w:rPr>
          <w:rFonts w:hint="eastAsia" w:ascii="宋体" w:hAnsi="宋体" w:eastAsia="宋体" w:cs="宋体"/>
          <w:color w:val="000000" w:themeColor="text1"/>
          <w:sz w:val="36"/>
          <w:szCs w:val="36"/>
          <w:highlight w:val="none"/>
          <w:lang w:val="en-US" w:eastAsia="zh-CN"/>
          <w14:textFill>
            <w14:solidFill>
              <w14:schemeClr w14:val="tx1"/>
            </w14:solidFill>
          </w14:textFill>
        </w:rPr>
        <w:t>三</w:t>
      </w:r>
      <w:r>
        <w:rPr>
          <w:rFonts w:hint="eastAsia" w:ascii="宋体" w:hAnsi="宋体" w:eastAsia="宋体" w:cs="宋体"/>
          <w:color w:val="000000" w:themeColor="text1"/>
          <w:sz w:val="36"/>
          <w:szCs w:val="36"/>
          <w:highlight w:val="none"/>
          <w14:textFill>
            <w14:solidFill>
              <w14:schemeClr w14:val="tx1"/>
            </w14:solidFill>
          </w14:textFill>
        </w:rPr>
        <w:t>月</w:t>
      </w:r>
    </w:p>
    <w:p>
      <w:pPr>
        <w:pStyle w:val="26"/>
        <w:spacing w:before="312" w:after="312"/>
        <w:rPr>
          <w:rFonts w:ascii="宋体" w:hAnsi="宋体" w:cs="宋体"/>
          <w:color w:val="000000" w:themeColor="text1"/>
          <w:highlight w:val="none"/>
          <w14:textFill>
            <w14:solidFill>
              <w14:schemeClr w14:val="tx1"/>
            </w14:solidFill>
          </w14:textFill>
        </w:rPr>
        <w:sectPr>
          <w:headerReference r:id="rId3" w:type="default"/>
          <w:pgSz w:w="11906" w:h="16838"/>
          <w:pgMar w:top="1440" w:right="1080" w:bottom="1440" w:left="1080" w:header="851" w:footer="992" w:gutter="0"/>
          <w:pgNumType w:start="1"/>
          <w:cols w:space="720" w:num="1"/>
          <w:docGrid w:type="lines" w:linePitch="312" w:charSpace="0"/>
        </w:sectPr>
      </w:pPr>
    </w:p>
    <w:sdt>
      <w:sdtPr>
        <w:rPr>
          <w:rFonts w:hint="eastAsia" w:ascii="宋体" w:hAnsi="宋体" w:eastAsia="宋体" w:cs="宋体"/>
          <w:b/>
          <w:bCs/>
          <w:color w:val="000000" w:themeColor="text1"/>
          <w:sz w:val="28"/>
          <w:szCs w:val="36"/>
          <w:highlight w:val="none"/>
          <w14:textFill>
            <w14:solidFill>
              <w14:schemeClr w14:val="tx1"/>
            </w14:solidFill>
          </w14:textFill>
        </w:rPr>
        <w:id w:val="147483405"/>
        <w:docPartObj>
          <w:docPartGallery w:val="Table of Contents"/>
          <w:docPartUnique/>
        </w:docPartObj>
      </w:sdtPr>
      <w:sdtEndPr>
        <w:rPr>
          <w:rFonts w:hint="eastAsia" w:ascii="宋体" w:hAnsi="宋体" w:eastAsia="宋体" w:cs="宋体"/>
          <w:b/>
          <w:bCs/>
          <w:color w:val="000000" w:themeColor="text1"/>
          <w:sz w:val="21"/>
          <w:szCs w:val="24"/>
          <w:highlight w:val="none"/>
          <w14:textFill>
            <w14:solidFill>
              <w14:schemeClr w14:val="tx1"/>
            </w14:solidFill>
          </w14:textFill>
        </w:rPr>
      </w:sdtEndPr>
      <w:sdtContent>
        <w:p>
          <w:pPr>
            <w:jc w:val="center"/>
            <w:rPr>
              <w:rFonts w:ascii="宋体" w:hAnsi="宋体" w:eastAsia="宋体" w:cs="宋体"/>
              <w:b/>
              <w:bCs/>
              <w:color w:val="000000" w:themeColor="text1"/>
              <w:highlight w:val="none"/>
              <w14:textFill>
                <w14:solidFill>
                  <w14:schemeClr w14:val="tx1"/>
                </w14:solidFill>
              </w14:textFill>
            </w:rPr>
          </w:pPr>
          <w:bookmarkStart w:id="1" w:name="_Toc23953"/>
          <w:bookmarkStart w:id="2" w:name="_Toc22212"/>
          <w:r>
            <w:rPr>
              <w:rFonts w:hint="eastAsia" w:ascii="宋体" w:hAnsi="宋体" w:eastAsia="宋体" w:cs="宋体"/>
              <w:b/>
              <w:bCs/>
              <w:color w:val="000000" w:themeColor="text1"/>
              <w:highlight w:val="none"/>
              <w14:textFill>
                <w14:solidFill>
                  <w14:schemeClr w14:val="tx1"/>
                </w14:solidFill>
              </w14:textFill>
            </w:rPr>
            <w:t>目录</w:t>
          </w:r>
        </w:p>
        <w:p>
          <w:pPr>
            <w:pStyle w:val="26"/>
            <w:tabs>
              <w:tab w:val="right" w:leader="dot" w:pos="9451"/>
            </w:tabs>
            <w:spacing w:before="240" w:after="240"/>
            <w:rPr>
              <w:sz w:val="24"/>
              <w:highlight w:val="none"/>
            </w:rPr>
          </w:pP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TOC \o "1-2" \h \u </w:instrText>
          </w:r>
          <w:r>
            <w:rPr>
              <w:rFonts w:hint="eastAsia" w:ascii="宋体" w:hAnsi="宋体" w:cs="宋体"/>
              <w:color w:val="000000" w:themeColor="text1"/>
              <w:sz w:val="24"/>
              <w:highlight w:val="none"/>
              <w14:textFill>
                <w14:solidFill>
                  <w14:schemeClr w14:val="tx1"/>
                </w14:solidFill>
              </w14:textFill>
            </w:rPr>
            <w:fldChar w:fldCharType="separate"/>
          </w:r>
          <w:r>
            <w:rPr>
              <w:highlight w:val="none"/>
            </w:rPr>
            <w:fldChar w:fldCharType="begin"/>
          </w:r>
          <w:r>
            <w:rPr>
              <w:highlight w:val="none"/>
            </w:rPr>
            <w:instrText xml:space="preserve"> HYPERLINK \l "_Toc23953" </w:instrText>
          </w:r>
          <w:r>
            <w:rPr>
              <w:highlight w:val="none"/>
            </w:rPr>
            <w:fldChar w:fldCharType="separate"/>
          </w:r>
          <w:r>
            <w:rPr>
              <w:rFonts w:hint="eastAsia" w:ascii="宋体" w:hAnsi="宋体" w:cs="宋体"/>
              <w:sz w:val="24"/>
              <w:highlight w:val="none"/>
            </w:rPr>
            <w:t xml:space="preserve">第一章  </w:t>
          </w:r>
          <w:r>
            <w:rPr>
              <w:rFonts w:hint="eastAsia" w:ascii="宋体" w:hAnsi="宋体" w:cs="宋体"/>
              <w:sz w:val="24"/>
              <w:highlight w:val="none"/>
              <w:lang w:val="en-US" w:eastAsia="zh-CN"/>
            </w:rPr>
            <w:t>招标公告</w:t>
          </w:r>
          <w:r>
            <w:rPr>
              <w:sz w:val="24"/>
              <w:highlight w:val="none"/>
            </w:rPr>
            <w:tab/>
          </w:r>
          <w:r>
            <w:rPr>
              <w:sz w:val="24"/>
              <w:highlight w:val="none"/>
            </w:rPr>
            <w:fldChar w:fldCharType="begin"/>
          </w:r>
          <w:r>
            <w:rPr>
              <w:sz w:val="24"/>
              <w:highlight w:val="none"/>
            </w:rPr>
            <w:instrText xml:space="preserve"> PAGEREF _Toc23953 \h </w:instrText>
          </w:r>
          <w:r>
            <w:rPr>
              <w:sz w:val="24"/>
              <w:highlight w:val="none"/>
            </w:rPr>
            <w:fldChar w:fldCharType="separate"/>
          </w:r>
          <w:r>
            <w:rPr>
              <w:sz w:val="24"/>
              <w:highlight w:val="none"/>
            </w:rPr>
            <w:t>- 1 -</w:t>
          </w:r>
          <w:r>
            <w:rPr>
              <w:sz w:val="24"/>
              <w:highlight w:val="none"/>
            </w:rPr>
            <w:fldChar w:fldCharType="end"/>
          </w:r>
          <w:r>
            <w:rPr>
              <w:sz w:val="24"/>
              <w:highlight w:val="none"/>
            </w:rPr>
            <w:fldChar w:fldCharType="end"/>
          </w:r>
        </w:p>
        <w:p>
          <w:pPr>
            <w:pStyle w:val="26"/>
            <w:tabs>
              <w:tab w:val="right" w:leader="dot" w:pos="9451"/>
            </w:tabs>
            <w:spacing w:before="240" w:after="240"/>
            <w:rPr>
              <w:highlight w:val="none"/>
            </w:rPr>
          </w:pPr>
          <w:r>
            <w:rPr>
              <w:highlight w:val="none"/>
            </w:rPr>
            <w:fldChar w:fldCharType="begin"/>
          </w:r>
          <w:r>
            <w:rPr>
              <w:highlight w:val="none"/>
            </w:rPr>
            <w:instrText xml:space="preserve"> HYPERLINK \l "_Toc19037" </w:instrText>
          </w:r>
          <w:r>
            <w:rPr>
              <w:highlight w:val="none"/>
            </w:rPr>
            <w:fldChar w:fldCharType="separate"/>
          </w:r>
          <w:r>
            <w:rPr>
              <w:rFonts w:hint="eastAsia" w:ascii="宋体" w:hAnsi="宋体" w:cs="宋体"/>
              <w:sz w:val="24"/>
              <w:highlight w:val="none"/>
            </w:rPr>
            <w:t>第二章  供应商须知</w:t>
          </w:r>
          <w:r>
            <w:rPr>
              <w:sz w:val="24"/>
              <w:highlight w:val="none"/>
            </w:rPr>
            <w:tab/>
          </w:r>
          <w:r>
            <w:rPr>
              <w:sz w:val="24"/>
              <w:highlight w:val="none"/>
            </w:rPr>
            <w:fldChar w:fldCharType="begin"/>
          </w:r>
          <w:r>
            <w:rPr>
              <w:sz w:val="24"/>
              <w:highlight w:val="none"/>
            </w:rPr>
            <w:instrText xml:space="preserve"> PAGEREF _Toc19037 \h </w:instrText>
          </w:r>
          <w:r>
            <w:rPr>
              <w:sz w:val="24"/>
              <w:highlight w:val="none"/>
            </w:rPr>
            <w:fldChar w:fldCharType="separate"/>
          </w:r>
          <w:r>
            <w:rPr>
              <w:sz w:val="24"/>
              <w:highlight w:val="none"/>
            </w:rPr>
            <w:t>- 6 -</w:t>
          </w:r>
          <w:r>
            <w:rPr>
              <w:sz w:val="24"/>
              <w:highlight w:val="none"/>
            </w:rPr>
            <w:fldChar w:fldCharType="end"/>
          </w:r>
          <w:r>
            <w:rPr>
              <w:sz w:val="24"/>
              <w:highlight w:val="none"/>
            </w:rPr>
            <w:fldChar w:fldCharType="end"/>
          </w:r>
        </w:p>
        <w:p>
          <w:pPr>
            <w:pStyle w:val="26"/>
            <w:tabs>
              <w:tab w:val="right" w:leader="dot" w:pos="9451"/>
            </w:tabs>
            <w:spacing w:before="240" w:after="240"/>
            <w:rPr>
              <w:sz w:val="24"/>
              <w:highlight w:val="none"/>
            </w:rPr>
          </w:pPr>
          <w:r>
            <w:rPr>
              <w:highlight w:val="none"/>
            </w:rPr>
            <w:fldChar w:fldCharType="begin"/>
          </w:r>
          <w:r>
            <w:rPr>
              <w:highlight w:val="none"/>
            </w:rPr>
            <w:instrText xml:space="preserve"> HYPERLINK \l "_Toc15617" </w:instrText>
          </w:r>
          <w:r>
            <w:rPr>
              <w:highlight w:val="none"/>
            </w:rPr>
            <w:fldChar w:fldCharType="separate"/>
          </w:r>
          <w:r>
            <w:rPr>
              <w:rFonts w:hint="eastAsia" w:ascii="宋体" w:hAnsi="宋体" w:cs="宋体"/>
              <w:sz w:val="24"/>
              <w:highlight w:val="none"/>
            </w:rPr>
            <w:t>第三章  招标内容及要求</w:t>
          </w:r>
          <w:r>
            <w:rPr>
              <w:sz w:val="24"/>
              <w:highlight w:val="none"/>
            </w:rPr>
            <w:tab/>
          </w:r>
          <w:r>
            <w:rPr>
              <w:sz w:val="24"/>
              <w:highlight w:val="none"/>
            </w:rPr>
            <w:fldChar w:fldCharType="begin"/>
          </w:r>
          <w:r>
            <w:rPr>
              <w:sz w:val="24"/>
              <w:highlight w:val="none"/>
            </w:rPr>
            <w:instrText xml:space="preserve"> PAGEREF _Toc15617 \h </w:instrText>
          </w:r>
          <w:r>
            <w:rPr>
              <w:sz w:val="24"/>
              <w:highlight w:val="none"/>
            </w:rPr>
            <w:fldChar w:fldCharType="separate"/>
          </w:r>
          <w:r>
            <w:rPr>
              <w:sz w:val="24"/>
              <w:highlight w:val="none"/>
            </w:rPr>
            <w:t>- 38 -</w:t>
          </w:r>
          <w:r>
            <w:rPr>
              <w:sz w:val="24"/>
              <w:highlight w:val="none"/>
            </w:rPr>
            <w:fldChar w:fldCharType="end"/>
          </w:r>
          <w:r>
            <w:rPr>
              <w:sz w:val="24"/>
              <w:highlight w:val="none"/>
            </w:rPr>
            <w:fldChar w:fldCharType="end"/>
          </w:r>
        </w:p>
        <w:p>
          <w:pPr>
            <w:pStyle w:val="26"/>
            <w:tabs>
              <w:tab w:val="right" w:leader="dot" w:pos="9451"/>
            </w:tabs>
            <w:spacing w:before="240" w:after="240"/>
            <w:rPr>
              <w:sz w:val="24"/>
              <w:highlight w:val="none"/>
            </w:rPr>
          </w:pPr>
          <w:r>
            <w:rPr>
              <w:highlight w:val="none"/>
            </w:rPr>
            <w:fldChar w:fldCharType="begin"/>
          </w:r>
          <w:r>
            <w:rPr>
              <w:highlight w:val="none"/>
            </w:rPr>
            <w:instrText xml:space="preserve"> HYPERLINK \l "_Toc19583" </w:instrText>
          </w:r>
          <w:r>
            <w:rPr>
              <w:highlight w:val="none"/>
            </w:rPr>
            <w:fldChar w:fldCharType="separate"/>
          </w:r>
          <w:r>
            <w:rPr>
              <w:rFonts w:hint="eastAsia" w:ascii="宋体" w:hAnsi="宋体" w:cs="宋体"/>
              <w:sz w:val="24"/>
              <w:highlight w:val="none"/>
            </w:rPr>
            <w:t>第四章  合同文本</w:t>
          </w:r>
          <w:r>
            <w:rPr>
              <w:sz w:val="24"/>
              <w:highlight w:val="none"/>
            </w:rPr>
            <w:tab/>
          </w:r>
          <w:r>
            <w:rPr>
              <w:sz w:val="24"/>
              <w:highlight w:val="none"/>
            </w:rPr>
            <w:fldChar w:fldCharType="begin"/>
          </w:r>
          <w:r>
            <w:rPr>
              <w:sz w:val="24"/>
              <w:highlight w:val="none"/>
            </w:rPr>
            <w:instrText xml:space="preserve"> PAGEREF _Toc19583 \h </w:instrText>
          </w:r>
          <w:r>
            <w:rPr>
              <w:sz w:val="24"/>
              <w:highlight w:val="none"/>
            </w:rPr>
            <w:fldChar w:fldCharType="separate"/>
          </w:r>
          <w:r>
            <w:rPr>
              <w:sz w:val="24"/>
              <w:highlight w:val="none"/>
            </w:rPr>
            <w:t>- 4</w:t>
          </w:r>
          <w:r>
            <w:rPr>
              <w:rFonts w:hint="eastAsia"/>
              <w:sz w:val="24"/>
              <w:highlight w:val="none"/>
              <w:lang w:val="en-US" w:eastAsia="zh-CN"/>
            </w:rPr>
            <w:t>4</w:t>
          </w:r>
          <w:r>
            <w:rPr>
              <w:sz w:val="24"/>
              <w:highlight w:val="none"/>
            </w:rPr>
            <w:t xml:space="preserve"> -</w:t>
          </w:r>
          <w:r>
            <w:rPr>
              <w:sz w:val="24"/>
              <w:highlight w:val="none"/>
            </w:rPr>
            <w:fldChar w:fldCharType="end"/>
          </w:r>
          <w:r>
            <w:rPr>
              <w:sz w:val="24"/>
              <w:highlight w:val="none"/>
            </w:rPr>
            <w:fldChar w:fldCharType="end"/>
          </w:r>
        </w:p>
        <w:p>
          <w:pPr>
            <w:pStyle w:val="26"/>
            <w:tabs>
              <w:tab w:val="right" w:leader="dot" w:pos="9451"/>
            </w:tabs>
            <w:spacing w:before="240" w:after="240"/>
            <w:rPr>
              <w:sz w:val="24"/>
              <w:highlight w:val="none"/>
            </w:rPr>
          </w:pPr>
          <w:r>
            <w:rPr>
              <w:highlight w:val="none"/>
            </w:rPr>
            <w:fldChar w:fldCharType="begin"/>
          </w:r>
          <w:r>
            <w:rPr>
              <w:highlight w:val="none"/>
            </w:rPr>
            <w:instrText xml:space="preserve"> HYPERLINK \l "_Toc27364" </w:instrText>
          </w:r>
          <w:r>
            <w:rPr>
              <w:highlight w:val="none"/>
            </w:rPr>
            <w:fldChar w:fldCharType="separate"/>
          </w:r>
          <w:r>
            <w:rPr>
              <w:rFonts w:hint="eastAsia" w:ascii="宋体" w:hAnsi="宋体" w:cs="宋体"/>
              <w:sz w:val="24"/>
              <w:highlight w:val="none"/>
            </w:rPr>
            <w:t>第五章  投标文件构成及格式</w:t>
          </w:r>
          <w:r>
            <w:rPr>
              <w:sz w:val="24"/>
              <w:highlight w:val="none"/>
            </w:rPr>
            <w:tab/>
          </w:r>
          <w:r>
            <w:rPr>
              <w:sz w:val="24"/>
              <w:highlight w:val="none"/>
            </w:rPr>
            <w:fldChar w:fldCharType="begin"/>
          </w:r>
          <w:r>
            <w:rPr>
              <w:sz w:val="24"/>
              <w:highlight w:val="none"/>
            </w:rPr>
            <w:instrText xml:space="preserve"> PAGEREF _Toc27364 \h </w:instrText>
          </w:r>
          <w:r>
            <w:rPr>
              <w:sz w:val="24"/>
              <w:highlight w:val="none"/>
            </w:rPr>
            <w:fldChar w:fldCharType="separate"/>
          </w:r>
          <w:r>
            <w:rPr>
              <w:sz w:val="24"/>
              <w:highlight w:val="none"/>
            </w:rPr>
            <w:t>- 58 -</w:t>
          </w:r>
          <w:r>
            <w:rPr>
              <w:sz w:val="24"/>
              <w:highlight w:val="none"/>
            </w:rPr>
            <w:fldChar w:fldCharType="end"/>
          </w:r>
          <w:r>
            <w:rPr>
              <w:sz w:val="24"/>
              <w:highlight w:val="none"/>
            </w:rPr>
            <w:fldChar w:fldCharType="end"/>
          </w:r>
        </w:p>
        <w:p>
          <w:pPr>
            <w:pStyle w:val="29"/>
            <w:tabs>
              <w:tab w:val="right" w:leader="dot" w:pos="9451"/>
            </w:tabs>
            <w:ind w:left="480"/>
            <w:rPr>
              <w:highlight w:val="none"/>
            </w:rPr>
          </w:pPr>
        </w:p>
        <w:p>
          <w:pPr>
            <w:pStyle w:val="7"/>
            <w:rPr>
              <w:rFonts w:hint="eastAsia" w:ascii="宋体" w:hAnsi="宋体" w:eastAsia="宋体" w:cs="宋体"/>
              <w:b/>
              <w:bCs/>
              <w:color w:val="000000" w:themeColor="text1"/>
              <w:sz w:val="21"/>
              <w:szCs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pPr>
        <w:pStyle w:val="7"/>
        <w:rPr>
          <w:rFonts w:hint="eastAsia" w:ascii="宋体" w:hAnsi="宋体" w:eastAsia="宋体" w:cs="宋体"/>
          <w:color w:val="000000" w:themeColor="text1"/>
          <w:highlight w:val="none"/>
          <w14:textFill>
            <w14:solidFill>
              <w14:schemeClr w14:val="tx1"/>
            </w14:solidFill>
          </w14:textFill>
        </w:rPr>
        <w:sectPr>
          <w:headerReference r:id="rId4" w:type="default"/>
          <w:footerReference r:id="rId5" w:type="default"/>
          <w:pgSz w:w="11906" w:h="16838"/>
          <w:pgMar w:top="1418" w:right="1133" w:bottom="1418" w:left="755" w:header="907" w:footer="1021" w:gutter="567"/>
          <w:pgNumType w:fmt="numberInDash" w:start="1"/>
          <w:cols w:space="720" w:num="1"/>
          <w:docGrid w:linePitch="312" w:charSpace="0"/>
        </w:sectPr>
      </w:pPr>
    </w:p>
    <w:bookmarkEnd w:id="0"/>
    <w:bookmarkEnd w:id="1"/>
    <w:bookmarkEnd w:id="2"/>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val="0"/>
          <w:bCs w:val="0"/>
          <w:i w:val="0"/>
          <w:iCs w:val="0"/>
          <w:caps w:val="0"/>
          <w:color w:val="auto"/>
          <w:spacing w:val="0"/>
          <w:kern w:val="0"/>
          <w:sz w:val="44"/>
          <w:szCs w:val="44"/>
          <w:shd w:val="clear" w:fill="FFFFFF"/>
          <w:lang w:val="en-US" w:eastAsia="zh-CN" w:bidi="ar"/>
        </w:rPr>
        <w:t>第一章 招标公告</w:t>
      </w:r>
    </w:p>
    <w:p>
      <w:pPr>
        <w:pStyle w:val="12"/>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right="0" w:rightChars="0"/>
        <w:jc w:val="left"/>
        <w:rPr>
          <w:rFonts w:hint="eastAsia" w:ascii="宋体" w:hAnsi="宋体" w:eastAsia="宋体" w:cs="宋体"/>
          <w:b w:val="0"/>
          <w:bCs w:val="0"/>
          <w:color w:val="auto"/>
          <w:sz w:val="24"/>
          <w:szCs w:val="24"/>
        </w:rPr>
      </w:pPr>
      <w:r>
        <w:rPr>
          <w:rStyle w:val="37"/>
          <w:rFonts w:hint="eastAsia" w:ascii="宋体" w:hAnsi="宋体" w:eastAsia="宋体" w:cs="宋体"/>
          <w:b/>
          <w:bCs/>
          <w:i w:val="0"/>
          <w:iCs w:val="0"/>
          <w:caps w:val="0"/>
          <w:color w:val="auto"/>
          <w:spacing w:val="0"/>
          <w:sz w:val="24"/>
          <w:szCs w:val="24"/>
          <w:shd w:val="clear" w:fill="FFFFFF"/>
        </w:rPr>
        <w:t>项目概况</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未央宫街道遗址区“六村三校”农村饮水安全巩固提升工程材料购置</w:t>
      </w:r>
      <w:r>
        <w:rPr>
          <w:rFonts w:hint="eastAsia" w:ascii="宋体" w:hAnsi="宋体" w:eastAsia="宋体" w:cs="宋体"/>
          <w:i w:val="0"/>
          <w:iCs w:val="0"/>
          <w:caps w:val="0"/>
          <w:color w:val="auto"/>
          <w:spacing w:val="0"/>
          <w:sz w:val="24"/>
          <w:szCs w:val="24"/>
          <w:shd w:val="clear" w:fill="FFFFFF"/>
        </w:rPr>
        <w:t>招标项目的潜在投标人应在全国公共资源交易平台（陕西省·西安市）（以下简称西安市公共资源交易平台，官网地址：http://sxggzyjy.xa.gov.cn/）获取招标文件，并于</w:t>
      </w:r>
      <w:r>
        <w:rPr>
          <w:rFonts w:hint="eastAsia" w:eastAsia="宋体" w:cs="宋体"/>
          <w:i w:val="0"/>
          <w:iCs w:val="0"/>
          <w:caps w:val="0"/>
          <w:color w:val="auto"/>
          <w:spacing w:val="0"/>
          <w:sz w:val="24"/>
          <w:szCs w:val="24"/>
          <w:shd w:val="clear" w:fill="FFFFFF"/>
          <w:lang w:val="en-US" w:eastAsia="zh-CN"/>
        </w:rPr>
        <w:t>2023年03月30日09时00分</w:t>
      </w:r>
      <w:r>
        <w:rPr>
          <w:rFonts w:hint="eastAsia" w:ascii="宋体" w:hAnsi="宋体" w:eastAsia="宋体" w:cs="宋体"/>
          <w:i w:val="0"/>
          <w:iCs w:val="0"/>
          <w:caps w:val="0"/>
          <w:color w:val="auto"/>
          <w:spacing w:val="0"/>
          <w:sz w:val="24"/>
          <w:szCs w:val="24"/>
          <w:shd w:val="clear" w:fill="FFFFFF"/>
        </w:rPr>
        <w:t>（北京时间）前递交投标文件。</w:t>
      </w:r>
    </w:p>
    <w:p>
      <w:pPr>
        <w:pStyle w:val="10"/>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37"/>
          <w:rFonts w:hint="eastAsia" w:ascii="宋体" w:hAnsi="宋体" w:eastAsia="宋体" w:cs="宋体"/>
          <w:b/>
          <w:bCs/>
          <w:i w:val="0"/>
          <w:iCs w:val="0"/>
          <w:caps w:val="0"/>
          <w:color w:val="auto"/>
          <w:spacing w:val="0"/>
          <w:sz w:val="24"/>
          <w:szCs w:val="24"/>
          <w:shd w:val="clear" w:fill="FFFFFF"/>
        </w:rPr>
        <w:t>一、项目基本情况</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项目编号：</w:t>
      </w:r>
      <w:r>
        <w:rPr>
          <w:rFonts w:hint="eastAsia" w:ascii="宋体" w:hAnsi="宋体" w:eastAsia="宋体" w:cs="宋体"/>
          <w:i w:val="0"/>
          <w:iCs w:val="0"/>
          <w:caps w:val="0"/>
          <w:color w:val="auto"/>
          <w:spacing w:val="0"/>
          <w:sz w:val="24"/>
          <w:szCs w:val="24"/>
          <w:shd w:val="clear" w:fill="FFFFFF"/>
          <w:lang w:eastAsia="zh-CN"/>
        </w:rPr>
        <w:t>ZJXG2023026</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未央宫街道遗址区“六村三校”农村饮水安全巩固提升工程材料购置</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ascii="宋体" w:hAnsi="宋体" w:eastAsia="宋体" w:cs="宋体"/>
          <w:i w:val="0"/>
          <w:iCs w:val="0"/>
          <w:caps w:val="0"/>
          <w:color w:val="auto"/>
          <w:spacing w:val="0"/>
          <w:sz w:val="24"/>
          <w:szCs w:val="24"/>
          <w:shd w:val="clear" w:fill="FFFFFF"/>
          <w:lang w:eastAsia="zh-CN"/>
        </w:rPr>
        <w:t>15,610,700</w:t>
      </w:r>
      <w:r>
        <w:rPr>
          <w:rFonts w:hint="eastAsia" w:ascii="宋体" w:hAnsi="宋体" w:eastAsia="宋体" w:cs="宋体"/>
          <w:i w:val="0"/>
          <w:iCs w:val="0"/>
          <w:caps w:val="0"/>
          <w:color w:val="auto"/>
          <w:spacing w:val="0"/>
          <w:sz w:val="24"/>
          <w:szCs w:val="24"/>
          <w:shd w:val="clear" w:fill="FFFFFF"/>
        </w:rPr>
        <w:t>元</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未央宫街道遗址区“六村三校”农村饮水安全巩固提升工程材料购置</w:t>
      </w:r>
      <w:r>
        <w:rPr>
          <w:rFonts w:hint="eastAsia" w:ascii="宋体" w:hAnsi="宋体" w:eastAsia="宋体" w:cs="宋体"/>
          <w:i w:val="0"/>
          <w:iCs w:val="0"/>
          <w:caps w:val="0"/>
          <w:color w:val="auto"/>
          <w:spacing w:val="0"/>
          <w:sz w:val="24"/>
          <w:szCs w:val="24"/>
          <w:shd w:val="clear" w:fill="FFFFFF"/>
        </w:rPr>
        <w:t>):</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eastAsia="宋体" w:cs="宋体"/>
          <w:i w:val="0"/>
          <w:iCs w:val="0"/>
          <w:caps w:val="0"/>
          <w:color w:val="auto"/>
          <w:spacing w:val="0"/>
          <w:sz w:val="24"/>
          <w:szCs w:val="24"/>
          <w:shd w:val="clear" w:fill="FFFFFF"/>
          <w:lang w:eastAsia="zh-CN"/>
        </w:rPr>
        <w:t>15,610,700</w:t>
      </w:r>
      <w:r>
        <w:rPr>
          <w:rFonts w:hint="eastAsia" w:ascii="宋体" w:hAnsi="宋体" w:eastAsia="宋体" w:cs="宋体"/>
          <w:i w:val="0"/>
          <w:iCs w:val="0"/>
          <w:caps w:val="0"/>
          <w:color w:val="auto"/>
          <w:spacing w:val="0"/>
          <w:sz w:val="24"/>
          <w:szCs w:val="24"/>
          <w:shd w:val="clear" w:fill="FFFFFF"/>
        </w:rPr>
        <w:t>元</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eastAsia="宋体" w:cs="宋体"/>
          <w:i w:val="0"/>
          <w:iCs w:val="0"/>
          <w:caps w:val="0"/>
          <w:color w:val="auto"/>
          <w:spacing w:val="0"/>
          <w:sz w:val="24"/>
          <w:szCs w:val="24"/>
          <w:shd w:val="clear" w:fill="FFFFFF"/>
          <w:lang w:eastAsia="zh-CN"/>
        </w:rPr>
        <w:t>15,610,700</w:t>
      </w:r>
      <w:r>
        <w:rPr>
          <w:rFonts w:hint="eastAsia" w:ascii="宋体" w:hAnsi="宋体" w:eastAsia="宋体" w:cs="宋体"/>
          <w:i w:val="0"/>
          <w:iCs w:val="0"/>
          <w:caps w:val="0"/>
          <w:color w:val="auto"/>
          <w:spacing w:val="0"/>
          <w:sz w:val="24"/>
          <w:szCs w:val="24"/>
          <w:shd w:val="clear" w:fill="FFFFFF"/>
        </w:rPr>
        <w:t>元</w:t>
      </w:r>
    </w:p>
    <w:tbl>
      <w:tblPr>
        <w:tblStyle w:val="34"/>
        <w:tblW w:w="499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13"/>
        <w:gridCol w:w="1551"/>
        <w:gridCol w:w="1677"/>
        <w:gridCol w:w="1481"/>
        <w:gridCol w:w="1247"/>
        <w:gridCol w:w="1638"/>
        <w:gridCol w:w="14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8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7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6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7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其他建筑建材</w:t>
            </w:r>
          </w:p>
        </w:tc>
        <w:tc>
          <w:tcPr>
            <w:tcW w:w="8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材料购置</w:t>
            </w:r>
          </w:p>
        </w:tc>
        <w:tc>
          <w:tcPr>
            <w:tcW w:w="7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6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8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15,610,700</w:t>
            </w:r>
          </w:p>
        </w:tc>
        <w:tc>
          <w:tcPr>
            <w:tcW w:w="7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15,610,700</w:t>
            </w:r>
          </w:p>
        </w:tc>
      </w:tr>
    </w:tbl>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合同履行期限：详见采购文件</w:t>
      </w:r>
    </w:p>
    <w:p>
      <w:pPr>
        <w:pStyle w:val="10"/>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37"/>
          <w:rFonts w:hint="eastAsia" w:ascii="宋体" w:hAnsi="宋体" w:eastAsia="宋体" w:cs="宋体"/>
          <w:b/>
          <w:bCs/>
          <w:i w:val="0"/>
          <w:iCs w:val="0"/>
          <w:caps w:val="0"/>
          <w:color w:val="auto"/>
          <w:spacing w:val="0"/>
          <w:sz w:val="24"/>
          <w:szCs w:val="24"/>
          <w:shd w:val="clear" w:fill="FFFFFF"/>
        </w:rPr>
        <w:t>二、申请人的资格要求：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spacing w:line="360" w:lineRule="auto"/>
        <w:ind w:firstLine="480" w:firstLineChars="20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合同包1(未央宫街道遗址区“六村三校”农村饮水安全巩固提升工程材料购置)落实政府采购政策需满足的资格要求如下:</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sz w:val="24"/>
          <w:szCs w:val="24"/>
          <w:highlight w:val="none"/>
        </w:rPr>
        <w:t>本项目专门面向</w:t>
      </w:r>
      <w:r>
        <w:rPr>
          <w:rFonts w:hint="eastAsia" w:ascii="宋体" w:hAnsi="宋体" w:eastAsia="宋体" w:cs="宋体"/>
          <w:sz w:val="24"/>
          <w:szCs w:val="24"/>
          <w:highlight w:val="none"/>
          <w:lang w:val="en-US" w:eastAsia="zh-CN"/>
        </w:rPr>
        <w:t>中小</w:t>
      </w:r>
      <w:r>
        <w:rPr>
          <w:rFonts w:hint="eastAsia" w:ascii="宋体" w:hAnsi="宋体" w:eastAsia="宋体" w:cs="宋体"/>
          <w:sz w:val="24"/>
          <w:szCs w:val="24"/>
          <w:highlight w:val="none"/>
        </w:rPr>
        <w:t>企业采购（残疾人福利性单位及监狱企业视同小型、微型企业）。</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未央宫街道遗址区“六村三校”农村饮水安全巩固提升工程材料购置</w:t>
      </w:r>
      <w:r>
        <w:rPr>
          <w:rFonts w:hint="eastAsia" w:ascii="宋体" w:hAnsi="宋体" w:eastAsia="宋体" w:cs="宋体"/>
          <w:i w:val="0"/>
          <w:iCs w:val="0"/>
          <w:caps w:val="0"/>
          <w:color w:val="auto"/>
          <w:spacing w:val="0"/>
          <w:sz w:val="24"/>
          <w:szCs w:val="24"/>
          <w:shd w:val="clear" w:fill="FFFFFF"/>
        </w:rPr>
        <w:t>)特定资格要求如下: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3）税收缴纳证明：提供2022年至今已缴纳的6个月的纳税证明或完税证明，依法免税的单位应提供相关证明材料；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4）社会保障资金缴纳证明：提供2022年至今已缴纳的6个月的社会保障资金缴存单据或社保机构开具的社会保险参保缴费情况证明，依法不需要缴纳社会保障资金的单位应提供相关证明材料；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5）提供具有履行合同所必需的设备和专业技术能力的承诺；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7）法定代表人授权书及被授权人身份证（法定代表人直接参加投标的须提供其法人身份证），非法人单位参照执行；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政府采购严重违法失信行为记录名单中被财政部门禁止参加政府采购活动的供应商（采购代理机构自行查询，采购代理机构查询时限为投标文件递交截止之日）；</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9）本项目为专门面向中小企业采购（提供中小企业声明函或监狱企业的证明文件或残疾人福利性单位声明函）。</w:t>
      </w:r>
    </w:p>
    <w:p>
      <w:pPr>
        <w:pStyle w:val="10"/>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37"/>
          <w:rFonts w:hint="eastAsia" w:ascii="宋体" w:hAnsi="宋体" w:eastAsia="宋体" w:cs="宋体"/>
          <w:b/>
          <w:bCs/>
          <w:i w:val="0"/>
          <w:iCs w:val="0"/>
          <w:caps w:val="0"/>
          <w:color w:val="auto"/>
          <w:spacing w:val="0"/>
          <w:sz w:val="24"/>
          <w:szCs w:val="24"/>
          <w:shd w:val="clear" w:fill="FFFFFF"/>
        </w:rPr>
        <w:t>三、获取招标文件</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日至202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16</w:t>
      </w:r>
      <w:r>
        <w:rPr>
          <w:rFonts w:hint="eastAsia" w:ascii="宋体" w:hAnsi="宋体" w:eastAsia="宋体" w:cs="宋体"/>
          <w:i w:val="0"/>
          <w:iCs w:val="0"/>
          <w:caps w:val="0"/>
          <w:color w:val="auto"/>
          <w:spacing w:val="0"/>
          <w:sz w:val="24"/>
          <w:szCs w:val="24"/>
          <w:shd w:val="clear" w:fill="FFFFFF"/>
        </w:rPr>
        <w:t>日，每天上午00:00:00至12:00:00，下午12:00:00至23:59:59（北京时间）</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途径：全国公共资源交易平台（陕西省·西安市）（以下简称西安市公共资源交易平台，官网地址：http://sxggzyjy.xa.gov.cn/）</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10"/>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37"/>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03</w:t>
      </w:r>
      <w:r>
        <w:rPr>
          <w:rFonts w:hint="eastAsia" w:ascii="宋体" w:hAnsi="宋体" w:eastAsia="宋体" w:cs="宋体"/>
          <w:i w:val="0"/>
          <w:iCs w:val="0"/>
          <w:caps w:val="0"/>
          <w:color w:val="auto"/>
          <w:spacing w:val="0"/>
          <w:sz w:val="24"/>
          <w:szCs w:val="24"/>
          <w:shd w:val="clear" w:fill="FFFFFF"/>
        </w:rPr>
        <w:t>月</w:t>
      </w:r>
      <w:r>
        <w:rPr>
          <w:rFonts w:hint="eastAsia" w:ascii="宋体" w:hAnsi="宋体" w:eastAsia="宋体" w:cs="宋体"/>
          <w:i w:val="0"/>
          <w:iCs w:val="0"/>
          <w:caps w:val="0"/>
          <w:color w:val="auto"/>
          <w:spacing w:val="0"/>
          <w:sz w:val="24"/>
          <w:szCs w:val="24"/>
          <w:shd w:val="clear" w:fill="FFFFFF"/>
          <w:lang w:val="en-US" w:eastAsia="zh-CN"/>
        </w:rPr>
        <w:t>30</w:t>
      </w:r>
      <w:r>
        <w:rPr>
          <w:rFonts w:hint="eastAsia" w:ascii="宋体" w:hAnsi="宋体" w:eastAsia="宋体" w:cs="宋体"/>
          <w:i w:val="0"/>
          <w:iCs w:val="0"/>
          <w:caps w:val="0"/>
          <w:color w:val="auto"/>
          <w:spacing w:val="0"/>
          <w:sz w:val="24"/>
          <w:szCs w:val="24"/>
          <w:shd w:val="clear" w:fill="FFFFFF"/>
        </w:rPr>
        <w:t>日 09时</w:t>
      </w:r>
      <w:r>
        <w:rPr>
          <w:rFonts w:hint="eastAsia" w:eastAsia="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0分00秒（北京时间）</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提交投标文件地点：全国公共资源交易平台（陕西省·西安市）网站〖首页〉电子交易平台〉陕西政府采购交易系统〉企业端〗</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开标地点：全国公共资源交易平台（陕西省·西安市）不见面开标大厅</w:t>
      </w:r>
    </w:p>
    <w:p>
      <w:pPr>
        <w:pStyle w:val="10"/>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37"/>
          <w:rFonts w:hint="eastAsia" w:ascii="宋体" w:hAnsi="宋体" w:eastAsia="宋体" w:cs="宋体"/>
          <w:b/>
          <w:bCs/>
          <w:i w:val="0"/>
          <w:iCs w:val="0"/>
          <w:caps w:val="0"/>
          <w:color w:val="auto"/>
          <w:spacing w:val="0"/>
          <w:sz w:val="24"/>
          <w:szCs w:val="24"/>
          <w:shd w:val="clear" w:fill="FFFFFF"/>
        </w:rPr>
        <w:t>五、公告期限</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10"/>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37"/>
          <w:rFonts w:hint="eastAsia" w:ascii="宋体" w:hAnsi="宋体" w:eastAsia="宋体" w:cs="宋体"/>
          <w:b/>
          <w:bCs/>
          <w:i w:val="0"/>
          <w:iCs w:val="0"/>
          <w:caps w:val="0"/>
          <w:color w:val="auto"/>
          <w:spacing w:val="0"/>
          <w:sz w:val="24"/>
          <w:szCs w:val="24"/>
          <w:shd w:val="clear" w:fill="FFFFFF"/>
        </w:rPr>
        <w:t>六、其他补充事宜</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(一)招标文件获取方式详情：</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友情提示：(1)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 制作电子投标文件(*.SXSTF) 需要使用专用制作工具。软件下载及操作说明 详见西安市公共资源交易平台〖首页〉服务指南〉下载专区〗中的《政府采购项目投标文件制作软件及操作手册》。</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(二)提交投标文件方式详情：</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2．开标形式：本项目将采用“不见面开标”形式。操作说明详见平台〖首页〉服务指南〉下载专区〗中的《西安公共资源交易不见面开标大厅投标人操作手册》。</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(三) 执行的其他政府采购政策：</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 10号）；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2)《财政部司法部关于政府采购支持监狱企业发展有关问题的通知》（财库〔2014〕68号）；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3)《财政部民政部中国残疾人联合会关于促进残疾人就业政府采购政策的通知》（财库〔2017〕141号）；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4)《财政部国家发展改革委关于印发(节能产品政府采购实施意见)的通知》(财库〔2004〕185号)；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5)《国务院办公厅关于建立政府强制采购节能产品制度的通知》(国办发〔2007〕51号)；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6)《财政部环保总局关于环境标志产品政府采购实施的意见》(财库〔2006〕90号)；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7)《财政部 发展改革委 生态环境部 市场监管总局关于调整优化节能产品、环境标志产品政府采购执行机制的通知》（财库〔2019〕9号）；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8)《关于印发环境标志产品政府采购品目清单的通知》（财库〔2019〕18号）；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9)《关于印发节能产品政府采购品目清单的通知》（财库〔2019〕19号）；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10)《财政部、农业农村部、国家乡村振兴局关于运用政府采购政策支持乡村产业振兴的通知》（财库〔2021〕19号）；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11)《陕西省财政厅关于印发陕西省中小企业政府采购信用融资办法》（陕财办采〔2018〕23号）；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12)《陕西省财政厅关于加快推进我省中小企业政府采购信用融资工作的通知》（陕财办采〔2020〕15号）；</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13）《关于政府采购支持绿色建材促进建筑品质提升试点工作的通知》（财库〔2020〕31 号）</w:t>
      </w:r>
      <w:r>
        <w:rPr>
          <w:rFonts w:hint="eastAsia" w:ascii="宋体" w:hAnsi="宋体" w:eastAsia="宋体" w:cs="宋体"/>
          <w:color w:val="auto"/>
          <w:sz w:val="24"/>
          <w:szCs w:val="24"/>
          <w:lang w:eastAsia="zh-CN"/>
        </w:rPr>
        <w:t>；</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14）其他需要落实的政府采购政策。</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(四) 按照陕西省财政厅《关于政府采购投标人注册登记有关事项的通知》中的要求，投标人应通过陕西省政府采购网( http://www.ccgp-shaanxi.gov.cn/) 注册登记，加入陕西省政府采购投标人库。</w:t>
      </w:r>
    </w:p>
    <w:p>
      <w:pPr>
        <w:pStyle w:val="10"/>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right="0" w:rightChars="0"/>
        <w:jc w:val="left"/>
        <w:rPr>
          <w:rFonts w:hint="eastAsia" w:ascii="宋体" w:hAnsi="宋体" w:eastAsia="宋体" w:cs="宋体"/>
          <w:b w:val="0"/>
          <w:bCs w:val="0"/>
          <w:color w:val="auto"/>
          <w:sz w:val="24"/>
          <w:szCs w:val="24"/>
        </w:rPr>
      </w:pPr>
      <w:r>
        <w:rPr>
          <w:rStyle w:val="37"/>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12"/>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lang w:val="en-US" w:eastAsia="zh-CN"/>
        </w:rPr>
        <w:t>1.</w:t>
      </w:r>
      <w:r>
        <w:rPr>
          <w:rFonts w:hint="eastAsia" w:ascii="宋体" w:hAnsi="宋体" w:eastAsia="宋体" w:cs="宋体"/>
          <w:b w:val="0"/>
          <w:bCs w:val="0"/>
          <w:i w:val="0"/>
          <w:iCs w:val="0"/>
          <w:caps w:val="0"/>
          <w:color w:val="auto"/>
          <w:spacing w:val="0"/>
          <w:sz w:val="24"/>
          <w:szCs w:val="24"/>
          <w:shd w:val="clear" w:fill="FFFFFF"/>
        </w:rPr>
        <w:t>采购人信息</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名称：西安市未央区未央宫街道办事处</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地址：北二环西段</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联系方式：029-86312874</w:t>
      </w:r>
    </w:p>
    <w:p>
      <w:pPr>
        <w:pStyle w:val="12"/>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lang w:val="en-US" w:eastAsia="zh-CN"/>
        </w:rPr>
        <w:t>2.</w:t>
      </w:r>
      <w:r>
        <w:rPr>
          <w:rFonts w:hint="eastAsia" w:ascii="宋体" w:hAnsi="宋体" w:eastAsia="宋体" w:cs="宋体"/>
          <w:b w:val="0"/>
          <w:bCs w:val="0"/>
          <w:i w:val="0"/>
          <w:iCs w:val="0"/>
          <w:caps w:val="0"/>
          <w:color w:val="auto"/>
          <w:spacing w:val="0"/>
          <w:sz w:val="24"/>
          <w:szCs w:val="24"/>
          <w:shd w:val="clear" w:fill="FFFFFF"/>
        </w:rPr>
        <w:t>采购代理机构信息</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名称：陕西中鉴项目管理有限公司</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地址：陕西省西安市高新区丈八街办高新三路8号913室</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联系方式：029-88229191</w:t>
      </w:r>
    </w:p>
    <w:p>
      <w:pPr>
        <w:pStyle w:val="12"/>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项目联系人：董清漩</w:t>
      </w:r>
    </w:p>
    <w:p>
      <w:pPr>
        <w:pStyle w:val="3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电话：029-88229191</w:t>
      </w:r>
    </w:p>
    <w:p>
      <w:pPr>
        <w:spacing w:line="560" w:lineRule="exact"/>
        <w:ind w:firstLine="480" w:firstLineChars="200"/>
        <w:jc w:val="right"/>
        <w:rPr>
          <w:rFonts w:hint="eastAsia" w:ascii="宋体" w:hAnsi="宋体" w:eastAsia="宋体" w:cs="宋体"/>
          <w:i w:val="0"/>
          <w:iCs w:val="0"/>
          <w:caps w:val="0"/>
          <w:color w:val="auto"/>
          <w:spacing w:val="0"/>
          <w:sz w:val="24"/>
          <w:szCs w:val="24"/>
          <w:shd w:val="clear" w:fill="FFFFFF"/>
        </w:rPr>
      </w:pPr>
    </w:p>
    <w:p>
      <w:pPr>
        <w:spacing w:line="560" w:lineRule="exact"/>
        <w:ind w:firstLine="480" w:firstLineChars="200"/>
        <w:jc w:val="right"/>
        <w:rPr>
          <w:rFonts w:hint="eastAsia" w:ascii="宋体" w:hAnsi="宋体" w:eastAsia="宋体" w:cs="宋体"/>
          <w:i w:val="0"/>
          <w:iCs w:val="0"/>
          <w:caps w:val="0"/>
          <w:color w:val="auto"/>
          <w:spacing w:val="0"/>
          <w:sz w:val="24"/>
          <w:szCs w:val="24"/>
          <w:shd w:val="clear" w:fill="FFFFFF"/>
        </w:rPr>
      </w:pPr>
    </w:p>
    <w:p>
      <w:pPr>
        <w:spacing w:line="560" w:lineRule="exact"/>
        <w:ind w:firstLine="640" w:firstLineChars="200"/>
        <w:jc w:val="both"/>
        <w:rPr>
          <w:rFonts w:ascii="宋体" w:hAnsi="宋体" w:eastAsia="宋体" w:cs="宋体"/>
          <w:color w:val="000000" w:themeColor="text1"/>
          <w:sz w:val="32"/>
          <w:szCs w:val="32"/>
          <w:highlight w:val="none"/>
          <w14:textFill>
            <w14:solidFill>
              <w14:schemeClr w14:val="tx1"/>
            </w14:solidFill>
          </w14:textFill>
        </w:rPr>
      </w:pPr>
      <w:bookmarkStart w:id="3" w:name="_Toc97563329"/>
      <w:bookmarkStart w:id="4" w:name="_Toc533363262"/>
      <w:bookmarkStart w:id="5" w:name="_Toc534656409"/>
      <w:bookmarkStart w:id="6" w:name="_Toc534656414"/>
      <w:bookmarkStart w:id="7" w:name="_Toc100219613"/>
      <w:bookmarkStart w:id="8" w:name="_Toc445407251"/>
      <w:bookmarkStart w:id="9" w:name="_Toc498349068"/>
      <w:bookmarkStart w:id="10" w:name="_Toc533363235"/>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7"/>
        <w:spacing w:line="240" w:lineRule="auto"/>
        <w:rPr>
          <w:rFonts w:ascii="宋体" w:hAnsi="宋体" w:eastAsia="宋体" w:cs="宋体"/>
          <w:color w:val="000000" w:themeColor="text1"/>
          <w:highlight w:val="none"/>
          <w14:textFill>
            <w14:solidFill>
              <w14:schemeClr w14:val="tx1"/>
            </w14:solidFill>
          </w14:textFill>
        </w:rPr>
      </w:pPr>
      <w:bookmarkStart w:id="11" w:name="_Toc29757"/>
      <w:bookmarkStart w:id="12" w:name="_Toc19037"/>
      <w:r>
        <w:rPr>
          <w:rFonts w:hint="eastAsia" w:ascii="宋体" w:hAnsi="宋体" w:eastAsia="宋体" w:cs="宋体"/>
          <w:color w:val="000000" w:themeColor="text1"/>
          <w:highlight w:val="none"/>
          <w14:textFill>
            <w14:solidFill>
              <w14:schemeClr w14:val="tx1"/>
            </w14:solidFill>
          </w14:textFill>
        </w:rPr>
        <w:t>第二章  供应商须知</w:t>
      </w:r>
      <w:bookmarkEnd w:id="3"/>
      <w:bookmarkEnd w:id="4"/>
      <w:bookmarkEnd w:id="5"/>
      <w:bookmarkEnd w:id="6"/>
      <w:bookmarkEnd w:id="7"/>
      <w:bookmarkEnd w:id="8"/>
      <w:bookmarkEnd w:id="9"/>
      <w:bookmarkEnd w:id="10"/>
      <w:bookmarkEnd w:id="11"/>
      <w:bookmarkEnd w:id="12"/>
    </w:p>
    <w:p>
      <w:pPr>
        <w:pStyle w:val="8"/>
        <w:spacing w:line="240" w:lineRule="auto"/>
        <w:ind w:firstLine="560"/>
        <w:jc w:val="left"/>
        <w:rPr>
          <w:rFonts w:ascii="宋体" w:hAnsi="宋体" w:eastAsia="宋体" w:cs="宋体"/>
          <w:color w:val="000000" w:themeColor="text1"/>
          <w:sz w:val="28"/>
          <w:szCs w:val="28"/>
          <w:highlight w:val="none"/>
          <w14:textFill>
            <w14:solidFill>
              <w14:schemeClr w14:val="tx1"/>
            </w14:solidFill>
          </w14:textFill>
        </w:rPr>
      </w:pPr>
      <w:bookmarkStart w:id="13" w:name="_Toc30178"/>
      <w:bookmarkStart w:id="14" w:name="_Toc22770"/>
      <w:r>
        <w:rPr>
          <w:rFonts w:hint="eastAsia" w:ascii="宋体" w:hAnsi="宋体" w:eastAsia="宋体" w:cs="宋体"/>
          <w:color w:val="000000" w:themeColor="text1"/>
          <w:sz w:val="28"/>
          <w:szCs w:val="28"/>
          <w:highlight w:val="none"/>
          <w14:textFill>
            <w14:solidFill>
              <w14:schemeClr w14:val="tx1"/>
            </w14:solidFill>
          </w14:textFill>
        </w:rPr>
        <w:t>〖前附表〗</w:t>
      </w:r>
      <w:bookmarkEnd w:id="13"/>
      <w:bookmarkEnd w:id="14"/>
    </w:p>
    <w:tbl>
      <w:tblPr>
        <w:tblStyle w:val="35"/>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994"/>
        <w:gridCol w:w="48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2994"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内容</w:t>
            </w:r>
          </w:p>
        </w:tc>
        <w:tc>
          <w:tcPr>
            <w:tcW w:w="489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994" w:type="dxa"/>
            <w:tcBorders>
              <w:top w:val="single" w:color="auto" w:sz="2" w:space="0"/>
            </w:tcBorders>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4898" w:type="dxa"/>
            <w:tcBorders>
              <w:top w:val="single" w:color="auto" w:sz="2" w:space="0"/>
            </w:tcBorders>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未央宫街道遗址区“六村三校”农村饮水安全巩固提升工程材料购置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ZJXG2023026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预算执行书编号</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YS-未央区-2023-00009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是否预留份额</w:t>
            </w:r>
          </w:p>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专门面向中小企业采购</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207202422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lang w:eastAsia="zh-CN"/>
                    <w14:textFill>
                      <w14:solidFill>
                        <w14:schemeClr w14:val="tx1"/>
                      </w14:solidFill>
                    </w14:textFill>
                  </w:rPr>
                  <w:t>☑</w:t>
                </w:r>
              </w:sdtContent>
            </w:sdt>
            <w:sdt>
              <w:sdtPr>
                <w:rPr>
                  <w:rFonts w:hint="eastAsia" w:ascii="宋体" w:hAnsi="宋体" w:eastAsia="宋体" w:cs="宋体"/>
                  <w:color w:val="000000" w:themeColor="text1"/>
                  <w:sz w:val="21"/>
                  <w:szCs w:val="21"/>
                  <w:highlight w:val="none"/>
                  <w14:textFill>
                    <w14:solidFill>
                      <w14:schemeClr w14:val="tx1"/>
                    </w14:solidFill>
                  </w14:textFill>
                </w:rPr>
                <w:id w:val="2139916130"/>
              </w:sdtPr>
              <w:sdtEndPr>
                <w:rPr>
                  <w:rFonts w:hint="eastAsia" w:ascii="宋体" w:hAnsi="宋体" w:eastAsia="宋体" w:cs="宋体"/>
                  <w:color w:val="000000" w:themeColor="text1"/>
                  <w:sz w:val="21"/>
                  <w:szCs w:val="21"/>
                  <w:highlight w:val="none"/>
                  <w14:textFill>
                    <w14:solidFill>
                      <w14:schemeClr w14:val="tx1"/>
                    </w14:solidFill>
                  </w14:textFill>
                </w:rPr>
              </w:sdtEndP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2072024220"/>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lang w:eastAsia="zh-CN"/>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0" w:hRule="atLeast"/>
          <w:jc w:val="center"/>
        </w:trPr>
        <w:tc>
          <w:tcPr>
            <w:tcW w:w="978" w:type="dxa"/>
            <w:vMerge w:val="restart"/>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15,610,700.00元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15,610,700.00元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是否接受联合体</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4857025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689594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是否允许进口产品</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240487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152682750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489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994"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4898" w:type="dxa"/>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纸质版投标文件份数</w:t>
            </w:r>
          </w:p>
        </w:tc>
        <w:tc>
          <w:tcPr>
            <w:tcW w:w="4898" w:type="dxa"/>
            <w:shd w:val="clear" w:color="auto" w:fill="auto"/>
            <w:vAlign w:val="center"/>
          </w:tcPr>
          <w:p>
            <w:pPr>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投标供应商无需提供；</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现场踏勘和集中答疑</w:t>
            </w:r>
          </w:p>
        </w:tc>
        <w:tc>
          <w:tcPr>
            <w:tcW w:w="4898" w:type="dxa"/>
            <w:shd w:val="clear" w:color="auto" w:fill="auto"/>
            <w:vAlign w:val="center"/>
          </w:tcPr>
          <w:p>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政府采购信息发布媒体</w:t>
            </w:r>
          </w:p>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（采购公告、采购结果公告、变更公告）</w:t>
            </w:r>
          </w:p>
        </w:tc>
        <w:tc>
          <w:tcPr>
            <w:tcW w:w="4898" w:type="dxa"/>
            <w:shd w:val="clear" w:color="auto" w:fill="auto"/>
            <w:vAlign w:val="center"/>
          </w:tcPr>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1．陕西省政府采购网：仅提供项目公告，官网地址：http://ccgp-shaanxi.gov.cn/。</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询问和质疑</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见</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招标公告</w:t>
            </w:r>
            <w:r>
              <w:rPr>
                <w:rFonts w:hint="eastAsia" w:ascii="宋体" w:hAnsi="宋体" w:eastAsia="宋体" w:cs="宋体"/>
                <w:color w:val="000000" w:themeColor="text1"/>
                <w:sz w:val="21"/>
                <w:szCs w:val="21"/>
                <w:highlight w:val="none"/>
                <w14:textFill>
                  <w14:solidFill>
                    <w14:schemeClr w14:val="tx1"/>
                  </w14:solidFill>
                </w14:textFill>
              </w:rPr>
              <w:t>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投诉受理</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1．受理单位：西安市</w:t>
            </w:r>
            <w:r>
              <w:rPr>
                <w:rFonts w:hint="eastAsia" w:ascii="宋体" w:hAnsi="宋体" w:eastAsia="宋体" w:cs="宋体"/>
                <w:color w:val="000000" w:themeColor="text1"/>
                <w:sz w:val="21"/>
                <w:szCs w:val="21"/>
                <w:highlight w:val="none"/>
                <w:lang w:val="en-US" w:eastAsia="zh-CN"/>
                <w14:textFill>
                  <w14:solidFill>
                    <w14:schemeClr w14:val="tx1"/>
                  </w14:solidFill>
                </w14:textFill>
              </w:rPr>
              <w:t>未央区</w:t>
            </w:r>
            <w:r>
              <w:rPr>
                <w:rFonts w:hint="eastAsia" w:ascii="宋体" w:hAnsi="宋体" w:eastAsia="宋体" w:cs="宋体"/>
                <w:color w:val="000000" w:themeColor="text1"/>
                <w:sz w:val="21"/>
                <w:szCs w:val="21"/>
                <w:highlight w:val="none"/>
                <w14:textFill>
                  <w14:solidFill>
                    <w14:schemeClr w14:val="tx1"/>
                  </w14:solidFill>
                </w14:textFill>
              </w:rPr>
              <w:t>财政局</w:t>
            </w:r>
          </w:p>
          <w:p>
            <w:pPr>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2．联系电话：029-</w:t>
            </w:r>
            <w:r>
              <w:rPr>
                <w:rFonts w:hint="eastAsia" w:ascii="宋体" w:hAnsi="宋体" w:eastAsia="宋体" w:cs="宋体"/>
                <w:color w:val="000000" w:themeColor="text1"/>
                <w:sz w:val="21"/>
                <w:szCs w:val="21"/>
                <w:highlight w:val="none"/>
                <w:lang w:val="en-US" w:eastAsia="zh-CN"/>
                <w14:textFill>
                  <w14:solidFill>
                    <w14:schemeClr w14:val="tx1"/>
                  </w14:solidFill>
                </w14:textFill>
              </w:rPr>
              <w:t>86236610</w:t>
            </w:r>
          </w:p>
          <w:p>
            <w:pPr>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3．地址：西安市未央区</w:t>
            </w:r>
            <w:r>
              <w:rPr>
                <w:rFonts w:hint="eastAsia" w:ascii="宋体" w:hAnsi="宋体" w:eastAsia="宋体" w:cs="宋体"/>
                <w:color w:val="000000" w:themeColor="text1"/>
                <w:sz w:val="21"/>
                <w:szCs w:val="21"/>
                <w:highlight w:val="none"/>
                <w:lang w:val="en-US" w:eastAsia="zh-CN"/>
                <w14:textFill>
                  <w14:solidFill>
                    <w14:schemeClr w14:val="tx1"/>
                  </w14:solidFill>
                </w14:textFill>
              </w:rPr>
              <w:t>广安路19号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信用信息查询截至时点</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开标形式</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07778622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不见面开标  </w:t>
            </w:r>
            <w:sdt>
              <w:sdtPr>
                <w:rPr>
                  <w:rFonts w:hint="eastAsia" w:ascii="宋体" w:hAnsi="宋体" w:eastAsia="宋体" w:cs="宋体"/>
                  <w:color w:val="000000" w:themeColor="text1"/>
                  <w:sz w:val="21"/>
                  <w:szCs w:val="21"/>
                  <w:highlight w:val="none"/>
                  <w14:textFill>
                    <w14:solidFill>
                      <w14:schemeClr w14:val="tx1"/>
                    </w14:solidFill>
                  </w14:textFill>
                </w:rPr>
                <w:id w:val="1553575034"/>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见面开标</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是否允许递交多个备选投标方案</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60885784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是  </w:t>
            </w:r>
            <w:sdt>
              <w:sdtPr>
                <w:rPr>
                  <w:rFonts w:hint="eastAsia" w:ascii="宋体" w:hAnsi="宋体" w:eastAsia="宋体" w:cs="宋体"/>
                  <w:color w:val="000000" w:themeColor="text1"/>
                  <w:sz w:val="21"/>
                  <w:szCs w:val="21"/>
                  <w:highlight w:val="none"/>
                  <w14:textFill>
                    <w14:solidFill>
                      <w14:schemeClr w14:val="tx1"/>
                    </w14:solidFill>
                  </w14:textFill>
                </w:rPr>
                <w:id w:val="618331253"/>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sz w:val="21"/>
                    <w:szCs w:val="21"/>
                    <w:highlight w:val="none"/>
                    <w14:textFill>
                      <w14:solidFill>
                        <w14:schemeClr w14:val="tx1"/>
                      </w14:solidFill>
                    </w14:textFill>
                  </w:rPr>
                  <w:t>☑</w:t>
                </w:r>
              </w:sdtContent>
            </w:sdt>
            <w:r>
              <w:rPr>
                <w:rFonts w:hint="eastAsia" w:ascii="宋体" w:hAnsi="宋体" w:eastAsia="宋体" w:cs="宋体"/>
                <w:color w:val="000000" w:themeColor="text1"/>
                <w:sz w:val="21"/>
                <w:szCs w:val="21"/>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中标通知书</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公告中标（成交）结果的同时，代理机构在线向中标（成交）供应商发出中标（成交）通知书，中标供应商可登录【全国公共资源交易平台（陕西省•西安市）】网站〖首页〉电子交易平台〉企业端〗后，在〖我的项目/项目流程〗模块中点击下载“中标（成交）通知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西安市公共资源交易中心电子化政府采购系统技术支持（软件开发商）</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国泰新点软件股份有限公司</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1．技术支持热线：400-998-0000/400-928-0095</w:t>
            </w:r>
          </w:p>
          <w:p>
            <w:pP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CA业务网点</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陕西省数字证书认证中心股份有限公司</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网点1：西安市高新三路信息港大厦1楼客服中心</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客服电话：4006-369-888</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网点2：西安市长安北路14号省体育公寓B座一楼</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咨询电话：029-88661241</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网点3：西安市文景北路16号白桦林国际B座2楼11#窗口</w:t>
            </w:r>
          </w:p>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2994" w:type="dxa"/>
            <w:shd w:val="clear" w:color="auto" w:fill="auto"/>
            <w:vAlign w:val="center"/>
          </w:tcPr>
          <w:p>
            <w:pPr>
              <w:jc w:val="center"/>
              <w:rPr>
                <w:rFonts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本项目所属行业</w:t>
            </w:r>
          </w:p>
        </w:tc>
        <w:tc>
          <w:tcPr>
            <w:tcW w:w="4898" w:type="dxa"/>
            <w:shd w:val="clear" w:color="auto" w:fill="auto"/>
            <w:vAlign w:val="center"/>
          </w:tcPr>
          <w:p>
            <w:pPr>
              <w:jc w:val="both"/>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2994" w:type="dxa"/>
            <w:shd w:val="clear" w:color="auto" w:fill="auto"/>
            <w:vAlign w:val="center"/>
          </w:tcPr>
          <w:p>
            <w:pPr>
              <w:jc w:val="center"/>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弃标须知</w:t>
            </w:r>
          </w:p>
        </w:tc>
        <w:tc>
          <w:tcPr>
            <w:tcW w:w="4898" w:type="dxa"/>
            <w:shd w:val="clear" w:color="auto" w:fill="auto"/>
            <w:vAlign w:val="center"/>
          </w:tcPr>
          <w:p>
            <w:pPr>
              <w:jc w:val="both"/>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ind w:firstLine="210" w:firstLineChars="10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994" w:type="dxa"/>
            <w:shd w:val="clear" w:color="auto" w:fill="auto"/>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w:t>
            </w:r>
          </w:p>
        </w:tc>
        <w:tc>
          <w:tcPr>
            <w:tcW w:w="4898" w:type="dxa"/>
            <w:shd w:val="clear" w:color="auto" w:fill="auto"/>
            <w:vAlign w:val="center"/>
          </w:tcPr>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代理服务费参照国家计委关于印发《招标代理服务收费管理暂行办法的通知》（计价格[2002]1980 号）的规定收取。由中标人在领取中标通知书时向代理机构缴纳代理服务费，代理服务费金额详见结果公告</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代理服务收费标准及金额：</w:t>
            </w:r>
          </w:p>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代理服务费账户信息：</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户名：</w:t>
            </w:r>
            <w:r>
              <w:rPr>
                <w:rFonts w:hint="eastAsia" w:ascii="宋体" w:hAnsi="宋体" w:eastAsia="宋体" w:cs="宋体"/>
                <w:color w:val="000000" w:themeColor="text1"/>
                <w:sz w:val="21"/>
                <w:szCs w:val="21"/>
                <w:highlight w:val="none"/>
                <w:lang w:eastAsia="zh-CN"/>
                <w14:textFill>
                  <w14:solidFill>
                    <w14:schemeClr w14:val="tx1"/>
                  </w14:solidFill>
                </w14:textFill>
              </w:rPr>
              <w:t>陕西中鉴项目管理有限公司</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开户行名称：</w:t>
            </w:r>
            <w:r>
              <w:rPr>
                <w:rFonts w:hint="eastAsia" w:ascii="宋体" w:hAnsi="宋体" w:eastAsia="宋体" w:cs="宋体"/>
                <w:color w:val="000000" w:themeColor="text1"/>
                <w:sz w:val="21"/>
                <w:szCs w:val="21"/>
                <w:highlight w:val="none"/>
                <w:lang w:eastAsia="zh-CN"/>
                <w14:textFill>
                  <w14:solidFill>
                    <w14:schemeClr w14:val="tx1"/>
                  </w14:solidFill>
                </w14:textFill>
              </w:rPr>
              <w:t>招商银行股份有限公司西安分行营业部</w:t>
            </w:r>
          </w:p>
          <w:p>
            <w:pPr>
              <w:spacing w:line="360" w:lineRule="auto"/>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r>
              <w:rPr>
                <w:rFonts w:hint="eastAsia" w:ascii="宋体" w:hAnsi="宋体" w:eastAsia="宋体" w:cs="宋体"/>
                <w:color w:val="000000" w:themeColor="text1"/>
                <w:sz w:val="21"/>
                <w:szCs w:val="21"/>
                <w:highlight w:val="none"/>
                <w:lang w:eastAsia="zh-CN"/>
                <w14:textFill>
                  <w14:solidFill>
                    <w14:schemeClr w14:val="tx1"/>
                  </w14:solidFill>
                </w14:textFill>
              </w:rPr>
              <w:t>129911072510777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ind w:firstLine="210" w:firstLineChars="100"/>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p>
        </w:tc>
        <w:tc>
          <w:tcPr>
            <w:tcW w:w="2994" w:type="dxa"/>
            <w:shd w:val="clear" w:color="auto" w:fill="auto"/>
            <w:vAlign w:val="center"/>
          </w:tcPr>
          <w:p>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核心产品</w:t>
            </w:r>
          </w:p>
        </w:tc>
        <w:tc>
          <w:tcPr>
            <w:tcW w:w="4898" w:type="dxa"/>
            <w:shd w:val="clear" w:color="auto" w:fill="auto"/>
            <w:vAlign w:val="center"/>
          </w:tcPr>
          <w:p>
            <w:pPr>
              <w:spacing w:line="360" w:lineRule="auto"/>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本项目核心产品为：聚乙烯给水管</w:t>
            </w:r>
          </w:p>
        </w:tc>
      </w:tr>
    </w:tbl>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pStyle w:val="9"/>
        <w:jc w:val="center"/>
        <w:rPr>
          <w:rFonts w:ascii="宋体" w:hAnsi="宋体" w:eastAsia="宋体" w:cs="宋体"/>
          <w:color w:val="000000" w:themeColor="text1"/>
          <w:sz w:val="28"/>
          <w:szCs w:val="28"/>
          <w:highlight w:val="none"/>
          <w14:textFill>
            <w14:solidFill>
              <w14:schemeClr w14:val="tx1"/>
            </w14:solidFill>
          </w14:textFill>
        </w:rPr>
      </w:pPr>
      <w:bookmarkStart w:id="15" w:name="_Toc6200"/>
      <w:r>
        <w:rPr>
          <w:rFonts w:hint="eastAsia" w:ascii="宋体" w:hAnsi="宋体" w:eastAsia="宋体" w:cs="宋体"/>
          <w:color w:val="000000" w:themeColor="text1"/>
          <w:sz w:val="28"/>
          <w:szCs w:val="28"/>
          <w:highlight w:val="none"/>
          <w14:textFill>
            <w14:solidFill>
              <w14:schemeClr w14:val="tx1"/>
            </w14:solidFill>
          </w14:textFill>
        </w:rPr>
        <w:t>一、有关定义</w:t>
      </w:r>
      <w:bookmarkEnd w:id="1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1．采购人：依法进行政府采购的西安市市级机关、事业单位或团体组织。</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2．供应商：指向采购人提供货物、工程或者服务的法人、其他组织或者自然人。</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3．同级政府采购监管部门：</w:t>
      </w:r>
      <w:r>
        <w:rPr>
          <w:rFonts w:hint="eastAsia" w:ascii="宋体" w:hAnsi="宋体" w:eastAsia="宋体" w:cs="宋体"/>
          <w:color w:val="000000" w:themeColor="text1"/>
          <w:sz w:val="28"/>
          <w:szCs w:val="28"/>
          <w:highlight w:val="none"/>
          <w:lang w:eastAsia="zh-CN"/>
          <w14:textFill>
            <w14:solidFill>
              <w14:schemeClr w14:val="tx1"/>
            </w14:solidFill>
          </w14:textFill>
        </w:rPr>
        <w:t>西安市未央区财政局</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4．西安市公共资源交易平台：即【全国公共资源交易平台（陕西省·西安市）】的简称，官网地址</w:t>
      </w:r>
      <w:r>
        <w:rPr>
          <w:highlight w:val="none"/>
        </w:rPr>
        <w:fldChar w:fldCharType="begin"/>
      </w:r>
      <w:r>
        <w:rPr>
          <w:highlight w:val="none"/>
        </w:rPr>
        <w:instrText xml:space="preserve"> HYPERLINK "http://sxggzyjy.xa.gov.cn/"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5．企业端：指西安市公共资源交易平台〖首页·〉电子交易平台·〉陕西政府采购交易系统·〉企业端〗，快捷登录网址</w:t>
      </w:r>
      <w:r>
        <w:rPr>
          <w:highlight w:val="none"/>
        </w:rPr>
        <w:fldChar w:fldCharType="begin"/>
      </w:r>
      <w:r>
        <w:rPr>
          <w:highlight w:val="none"/>
        </w:rPr>
        <w:instrText xml:space="preserve"> HYPERLINK "http://www.sxggzyjy.cn:9002/TPBidder/memberLogin"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http://www.sxggzyjy.cn:9002/TPBidder/memberLogin</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p>
    <w:p>
      <w:pPr>
        <w:pStyle w:val="9"/>
        <w:jc w:val="center"/>
        <w:rPr>
          <w:rFonts w:ascii="宋体" w:hAnsi="宋体" w:eastAsia="宋体" w:cs="宋体"/>
          <w:color w:val="000000" w:themeColor="text1"/>
          <w:sz w:val="28"/>
          <w:szCs w:val="28"/>
          <w:highlight w:val="none"/>
          <w14:textFill>
            <w14:solidFill>
              <w14:schemeClr w14:val="tx1"/>
            </w14:solidFill>
          </w14:textFill>
        </w:rPr>
      </w:pPr>
      <w:bookmarkStart w:id="16" w:name="_Toc23322"/>
      <w:r>
        <w:rPr>
          <w:rFonts w:hint="eastAsia" w:ascii="宋体" w:hAnsi="宋体" w:eastAsia="宋体" w:cs="宋体"/>
          <w:color w:val="000000" w:themeColor="text1"/>
          <w:sz w:val="28"/>
          <w:szCs w:val="28"/>
          <w:highlight w:val="none"/>
          <w14:textFill>
            <w14:solidFill>
              <w14:schemeClr w14:val="tx1"/>
            </w14:solidFill>
          </w14:textFill>
        </w:rPr>
        <w:t>二、供应商注意事项</w:t>
      </w:r>
      <w:bookmarkEnd w:id="16"/>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7" w:name="_Toc14756"/>
      <w:bookmarkStart w:id="18" w:name="_Toc8868"/>
      <w:bookmarkStart w:id="19" w:name="_Toc30137"/>
      <w:bookmarkStart w:id="20" w:name="_Toc20407"/>
      <w:r>
        <w:rPr>
          <w:rFonts w:hint="eastAsia" w:ascii="宋体" w:hAnsi="宋体" w:eastAsia="宋体" w:cs="宋体"/>
          <w:color w:val="000000" w:themeColor="text1"/>
          <w:sz w:val="28"/>
          <w:szCs w:val="28"/>
          <w:highlight w:val="none"/>
          <w14:textFill>
            <w14:solidFill>
              <w14:schemeClr w14:val="tx1"/>
            </w14:solidFill>
          </w14:textFill>
        </w:rPr>
        <w:t>（一）供应商投标流程</w:t>
      </w:r>
      <w:bookmarkEnd w:id="17"/>
      <w:bookmarkEnd w:id="18"/>
      <w:bookmarkEnd w:id="19"/>
      <w:bookmarkEnd w:id="20"/>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使用电子交易系统的采购项目（即线上项目），将同时提供WORD\PDF格式（仅用于预览）和SXSZF格式（用于制作电子投标文件）两个版本，文件内容一致。</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1．预览采购文件：打开西安市公共资源交易平台〖首页·〉交易大厅·〉政府采购〗栏目，下载和阅读本项目采购文件的预览版本（WORD\PDF格式）。</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2．办理注册登记（针对初次使用电子交易系统的用户）：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（1）办理诚信入库注册：在决定参加本项目采购活动后，供应商应先在西安市公共资源交易平台上完成“诚信入库登记”。</w:t>
      </w:r>
    </w:p>
    <w:p>
      <w:pPr>
        <w:widowControl w:val="0"/>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办理数字认证（CA锁）：办理数字认证（CA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（3）绑定和激活CA：将数字证书与诚信库中的供应商账户进行绑定。</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60"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5．提交电子投标文件：在提交投标文件截止时间前及时提交加密后电子投标文件，逾期提交的，系统将会拒收。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8．中标供应商注册：按照陕西省政府采购监管部门的要求，采购代理机构在发布中标公告前，应由中标供应商在陕西省政府采购网上完成注册。</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21" w:name="_Toc6459"/>
      <w:bookmarkStart w:id="22" w:name="_Toc5831"/>
      <w:bookmarkStart w:id="23" w:name="_Toc2759"/>
      <w:bookmarkStart w:id="24" w:name="_Toc24461"/>
      <w:r>
        <w:rPr>
          <w:rFonts w:hint="eastAsia" w:ascii="宋体" w:hAnsi="宋体" w:eastAsia="宋体" w:cs="宋体"/>
          <w:color w:val="000000" w:themeColor="text1"/>
          <w:sz w:val="28"/>
          <w:szCs w:val="28"/>
          <w:highlight w:val="none"/>
          <w14:textFill>
            <w14:solidFill>
              <w14:schemeClr w14:val="tx1"/>
            </w14:solidFill>
          </w14:textFill>
        </w:rPr>
        <w:t>（二）关于询问、质疑和投诉</w:t>
      </w:r>
      <w:bookmarkEnd w:id="21"/>
      <w:bookmarkEnd w:id="22"/>
      <w:bookmarkEnd w:id="23"/>
      <w:bookmarkEnd w:id="24"/>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25" w:name="_Toc15516"/>
      <w:bookmarkStart w:id="26" w:name="_Toc15623"/>
      <w:bookmarkStart w:id="27" w:name="_Toc4510"/>
      <w:r>
        <w:rPr>
          <w:rFonts w:hint="eastAsia" w:ascii="宋体" w:hAnsi="宋体" w:eastAsia="宋体" w:cs="宋体"/>
          <w:color w:val="000000" w:themeColor="text1"/>
          <w:sz w:val="28"/>
          <w:szCs w:val="28"/>
          <w:highlight w:val="none"/>
          <w14:textFill>
            <w14:solidFill>
              <w14:schemeClr w14:val="tx1"/>
            </w14:solidFill>
          </w14:textFill>
        </w:rPr>
        <w:t>1．询问</w:t>
      </w:r>
      <w:bookmarkEnd w:id="25"/>
      <w:bookmarkEnd w:id="26"/>
      <w:bookmarkEnd w:id="2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根据采购人和采购代理机构签订的《政府采购委托代理协议》，针对采购需求（包括采购内容、技术或服务要求、商务要求、合同条款、供应商资格条件、评审要素及分值一览表）的询问请向采购人提出。</w:t>
      </w:r>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28" w:name="_Toc31375"/>
      <w:bookmarkStart w:id="29" w:name="_Toc11622"/>
      <w:bookmarkStart w:id="30" w:name="_Toc11611"/>
      <w:r>
        <w:rPr>
          <w:rFonts w:hint="eastAsia" w:ascii="宋体" w:hAnsi="宋体" w:eastAsia="宋体" w:cs="宋体"/>
          <w:color w:val="000000" w:themeColor="text1"/>
          <w:sz w:val="28"/>
          <w:szCs w:val="28"/>
          <w:highlight w:val="none"/>
          <w14:textFill>
            <w14:solidFill>
              <w14:schemeClr w14:val="tx1"/>
            </w14:solidFill>
          </w14:textFill>
        </w:rPr>
        <w:t>2．质疑</w:t>
      </w:r>
      <w:bookmarkEnd w:id="28"/>
      <w:bookmarkEnd w:id="29"/>
      <w:bookmarkEnd w:id="30"/>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（2）质疑方式：</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在线质疑：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登录西安市公共资源交易平台〖首页·〉电子交易平台·〉企业端〗，在〖我的项目〗中点击“项目流程·〉提出质疑”，填写表单并提交质疑。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书面质疑：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书面质疑函应按照财政部国库司制定的《政府采购供应商质疑函范本》（见下方链接）进行填写，签字、盖章后提交至采购人、采购代理机构。</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质疑函范本地址：</w:t>
      </w:r>
      <w:r>
        <w:rPr>
          <w:highlight w:val="none"/>
        </w:rPr>
        <w:fldChar w:fldCharType="begin"/>
      </w:r>
      <w:r>
        <w:rPr>
          <w:highlight w:val="none"/>
        </w:rPr>
        <w:instrText xml:space="preserve"> HYPERLINK "http://download.ccgp.gov.cn/2018/zhiyihanfanben.zip"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http://download.ccgp.gov.cn/2018/zhiyihanfanben.zip</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（5）有下列情形之一的，属于无效质疑：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对采购文件提出质疑的质疑人不是依法获取采购文件的潜在供应商。对采购过程、中标结果提出质疑的质疑人不是参与本次政府采购项目的供应商。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超过法定期限或未以书面形式提出的。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缺乏必要的证明材料，或捏造事实、提供虚假材料，或以非法手段取得证明材料的。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质疑函没有合法有效的签字、盖章或委托授权书的（代理人提出质疑和投诉，应当提交供应商签署的授权委托书）。</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针对同一采购程序环节又提出其他质疑事项的，或质疑答复后就同一事项再次提出质疑的。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不符合法律、法规、规章和政府采购监管机构规定的其他条件的。</w:t>
      </w:r>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31" w:name="_Toc19223"/>
      <w:bookmarkStart w:id="32" w:name="_Toc20429"/>
      <w:bookmarkStart w:id="33" w:name="_Toc29985"/>
      <w:r>
        <w:rPr>
          <w:rFonts w:hint="eastAsia" w:ascii="宋体" w:hAnsi="宋体" w:eastAsia="宋体" w:cs="宋体"/>
          <w:color w:val="000000" w:themeColor="text1"/>
          <w:sz w:val="28"/>
          <w:szCs w:val="28"/>
          <w:highlight w:val="none"/>
          <w14:textFill>
            <w14:solidFill>
              <w14:schemeClr w14:val="tx1"/>
            </w14:solidFill>
          </w14:textFill>
        </w:rPr>
        <w:t>3．投诉</w:t>
      </w:r>
      <w:bookmarkEnd w:id="31"/>
      <w:bookmarkEnd w:id="32"/>
      <w:bookmarkEnd w:id="3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000000" w:themeColor="text1"/>
          <w:sz w:val="28"/>
          <w:szCs w:val="28"/>
          <w:highlight w:val="none"/>
          <w:lang w:eastAsia="zh-CN"/>
          <w14:textFill>
            <w14:solidFill>
              <w14:schemeClr w14:val="tx1"/>
            </w14:solidFill>
          </w14:textFill>
        </w:rPr>
        <w:t>西安市未央区财政局</w:t>
      </w:r>
      <w:r>
        <w:rPr>
          <w:rFonts w:hint="eastAsia" w:ascii="宋体" w:hAnsi="宋体" w:eastAsia="宋体" w:cs="宋体"/>
          <w:color w:val="000000" w:themeColor="text1"/>
          <w:sz w:val="28"/>
          <w:szCs w:val="28"/>
          <w:highlight w:val="none"/>
          <w14:textFill>
            <w14:solidFill>
              <w14:schemeClr w14:val="tx1"/>
            </w14:solidFill>
          </w14:textFill>
        </w:rPr>
        <w:t>提出投诉。</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（2）供应商投诉的事项不得超出已质疑事项的范围。供应商提出投诉时，应当提交投诉书和必要的证明材料，并按财政部《投诉书范本》给定的格式进行填写。</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投诉书范本地址：</w:t>
      </w:r>
    </w:p>
    <w:p>
      <w:pPr>
        <w:spacing w:line="560" w:lineRule="exact"/>
        <w:ind w:firstLine="480" w:firstLineChars="200"/>
        <w:jc w:val="both"/>
        <w:rPr>
          <w:rFonts w:ascii="宋体" w:hAnsi="宋体" w:eastAsia="宋体" w:cs="宋体"/>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"http://download.ccgp.gov.cn/2018/tousushufanben.zip" </w:instrText>
      </w:r>
      <w:r>
        <w:rPr>
          <w:highlight w:val="none"/>
        </w:rPr>
        <w:fldChar w:fldCharType="separate"/>
      </w:r>
      <w:r>
        <w:rPr>
          <w:rStyle w:val="41"/>
          <w:rFonts w:hint="eastAsia" w:ascii="宋体" w:hAnsi="宋体" w:eastAsia="宋体" w:cs="宋体"/>
          <w:color w:val="000000" w:themeColor="text1"/>
          <w:sz w:val="28"/>
          <w:szCs w:val="28"/>
          <w:highlight w:val="none"/>
          <w14:textFill>
            <w14:solidFill>
              <w14:schemeClr w14:val="tx1"/>
            </w14:solidFill>
          </w14:textFill>
        </w:rPr>
        <w:t>http://download.ccgp.gov.cn/2018/tousushufanben.zip</w:t>
      </w:r>
      <w:r>
        <w:rPr>
          <w:rStyle w:val="41"/>
          <w:rFonts w:hint="eastAsia" w:ascii="宋体" w:hAnsi="宋体" w:eastAsia="宋体" w:cs="宋体"/>
          <w:color w:val="000000" w:themeColor="text1"/>
          <w:sz w:val="28"/>
          <w:szCs w:val="28"/>
          <w:highlight w:val="none"/>
          <w14:textFill>
            <w14:solidFill>
              <w14:schemeClr w14:val="tx1"/>
            </w14:solidFill>
          </w14:textFill>
        </w:rPr>
        <w:fldChar w:fldCharType="end"/>
      </w:r>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34" w:name="_Toc4027"/>
      <w:bookmarkStart w:id="35" w:name="_Toc18052"/>
      <w:bookmarkStart w:id="36" w:name="_Toc7447"/>
      <w:r>
        <w:rPr>
          <w:rFonts w:hint="eastAsia" w:ascii="宋体" w:hAnsi="宋体" w:eastAsia="宋体" w:cs="宋体"/>
          <w:color w:val="000000" w:themeColor="text1"/>
          <w:sz w:val="28"/>
          <w:szCs w:val="28"/>
          <w:highlight w:val="none"/>
          <w14:textFill>
            <w14:solidFill>
              <w14:schemeClr w14:val="tx1"/>
            </w14:solidFill>
          </w14:textFill>
        </w:rPr>
        <w:t>4．恶意质疑、投诉的法律后果</w:t>
      </w:r>
      <w:bookmarkEnd w:id="34"/>
      <w:bookmarkEnd w:id="35"/>
      <w:bookmarkEnd w:id="36"/>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（1）对捏造事实、提供虚假材料进行质疑、投诉的行为予以严肃处理：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（2）对捏造事实诬告陷害他人、诽谤他人的法律适用：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《中华人民共和国刑法》第246条【侮辱罪、诽谤罪】以暴力或者其他方法公然侮辱他人或者捏造事实诽谤他人，情节严重的，处三年以下有期徒刑、拘役、管制或者剥夺政治权利。</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37" w:name="_Toc136"/>
      <w:bookmarkStart w:id="38" w:name="_Toc30104"/>
      <w:bookmarkStart w:id="39" w:name="_Toc27472"/>
      <w:bookmarkStart w:id="40" w:name="_Toc21499"/>
      <w:r>
        <w:rPr>
          <w:rFonts w:hint="eastAsia" w:ascii="宋体" w:hAnsi="宋体" w:eastAsia="宋体" w:cs="宋体"/>
          <w:color w:val="000000" w:themeColor="text1"/>
          <w:sz w:val="28"/>
          <w:szCs w:val="28"/>
          <w:highlight w:val="none"/>
          <w14:textFill>
            <w14:solidFill>
              <w14:schemeClr w14:val="tx1"/>
            </w14:solidFill>
          </w14:textFill>
        </w:rPr>
        <w:t>（三）关于保证金</w:t>
      </w:r>
      <w:bookmarkEnd w:id="37"/>
      <w:bookmarkEnd w:id="38"/>
      <w:bookmarkEnd w:id="39"/>
      <w:bookmarkEnd w:id="40"/>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41" w:name="_Toc9131"/>
      <w:bookmarkStart w:id="42" w:name="_Toc16559"/>
      <w:bookmarkStart w:id="43" w:name="_Toc6123"/>
      <w:r>
        <w:rPr>
          <w:rFonts w:hint="eastAsia" w:ascii="宋体" w:hAnsi="宋体" w:eastAsia="宋体" w:cs="宋体"/>
          <w:color w:val="000000" w:themeColor="text1"/>
          <w:sz w:val="28"/>
          <w:szCs w:val="28"/>
          <w:highlight w:val="none"/>
          <w14:textFill>
            <w14:solidFill>
              <w14:schemeClr w14:val="tx1"/>
            </w14:solidFill>
          </w14:textFill>
        </w:rPr>
        <w:t>1．西安市政府采购信用担保及信用融资政策</w:t>
      </w:r>
      <w:bookmarkEnd w:id="41"/>
      <w:bookmarkEnd w:id="42"/>
      <w:bookmarkEnd w:id="4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《实施方案》链接地址：</w:t>
      </w:r>
    </w:p>
    <w:p>
      <w:pPr>
        <w:spacing w:line="560" w:lineRule="exact"/>
        <w:ind w:firstLine="480" w:firstLineChars="200"/>
        <w:jc w:val="both"/>
        <w:rPr>
          <w:rFonts w:ascii="宋体" w:hAnsi="宋体" w:eastAsia="宋体" w:cs="宋体"/>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"http://xaczj.xa.gov.cn/zfcg/cgfg/5db90552fd850863a9e4594d.html"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http://xaczj.xa.gov.cn/zfcg/cgfg/5db90552fd850863a9e4594d.html</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《合作机构名单》链接地址：</w:t>
      </w:r>
    </w:p>
    <w:p>
      <w:pPr>
        <w:spacing w:line="560" w:lineRule="exact"/>
        <w:ind w:firstLine="480" w:firstLineChars="200"/>
        <w:jc w:val="both"/>
        <w:rPr>
          <w:rFonts w:ascii="宋体" w:hAnsi="宋体" w:eastAsia="宋体" w:cs="宋体"/>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"http://xaczj.xa.gov.cn/zfcg/cgfg/5db9054565cbd804f69e97e0.html"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http://xaczj.xa.gov.cn/zfcg/cgfg/5db9054565cbd804f69e97e0.html</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44" w:name="_Toc20565"/>
      <w:bookmarkStart w:id="45" w:name="_Toc629"/>
      <w:bookmarkStart w:id="46" w:name="_Toc911"/>
      <w:r>
        <w:rPr>
          <w:rFonts w:hint="eastAsia" w:ascii="宋体" w:hAnsi="宋体" w:eastAsia="宋体" w:cs="宋体"/>
          <w:color w:val="000000" w:themeColor="text1"/>
          <w:sz w:val="28"/>
          <w:szCs w:val="28"/>
          <w:highlight w:val="none"/>
          <w14:textFill>
            <w14:solidFill>
              <w14:schemeClr w14:val="tx1"/>
            </w14:solidFill>
          </w14:textFill>
        </w:rPr>
        <w:t>2．投标保证金</w:t>
      </w:r>
      <w:bookmarkEnd w:id="44"/>
      <w:bookmarkEnd w:id="45"/>
      <w:bookmarkEnd w:id="46"/>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按照西安市财政局《关于促进政府采购公平竞争优化营商环境的通知》第三条规定，供应商参与西安市政府采购活动时，免交投标保证金。</w:t>
      </w:r>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47" w:name="_Toc25849"/>
      <w:bookmarkStart w:id="48" w:name="_Toc15288"/>
      <w:bookmarkStart w:id="49" w:name="_Toc22998"/>
      <w:r>
        <w:rPr>
          <w:rFonts w:hint="eastAsia" w:ascii="宋体" w:hAnsi="宋体" w:eastAsia="宋体" w:cs="宋体"/>
          <w:color w:val="000000" w:themeColor="text1"/>
          <w:sz w:val="28"/>
          <w:szCs w:val="28"/>
          <w:highlight w:val="none"/>
          <w14:textFill>
            <w14:solidFill>
              <w14:schemeClr w14:val="tx1"/>
            </w14:solidFill>
          </w14:textFill>
        </w:rPr>
        <w:t>3．履约保证金</w:t>
      </w:r>
      <w:bookmarkEnd w:id="47"/>
      <w:bookmarkEnd w:id="48"/>
      <w:bookmarkEnd w:id="49"/>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50" w:name="_Toc12900"/>
      <w:bookmarkStart w:id="51" w:name="_Toc1911"/>
      <w:bookmarkStart w:id="52" w:name="_Toc25938"/>
      <w:bookmarkStart w:id="53" w:name="_Toc13221"/>
      <w:r>
        <w:rPr>
          <w:rFonts w:hint="eastAsia" w:ascii="宋体" w:hAnsi="宋体" w:eastAsia="宋体" w:cs="宋体"/>
          <w:color w:val="000000" w:themeColor="text1"/>
          <w:sz w:val="28"/>
          <w:szCs w:val="28"/>
          <w:highlight w:val="none"/>
          <w:lang w:val="en-US" w:eastAsia="zh-CN"/>
          <w14:textFill>
            <w14:solidFill>
              <w14:schemeClr w14:val="tx1"/>
            </w14:solidFill>
          </w14:textFill>
        </w:rPr>
        <w:t>不收取</w:t>
      </w:r>
    </w:p>
    <w:p>
      <w:pPr>
        <w:spacing w:line="560" w:lineRule="exact"/>
        <w:ind w:firstLine="562" w:firstLineChars="200"/>
        <w:jc w:val="both"/>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（四）关于联合体</w:t>
      </w:r>
      <w:bookmarkEnd w:id="50"/>
      <w:bookmarkEnd w:id="51"/>
      <w:bookmarkEnd w:id="52"/>
      <w:bookmarkEnd w:id="5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财政部关于进一步加大政府采购支持中小企业力度的通知》（财库〔2022〕19号）大中型企业与小微企业组成联合体或者大中型企业向小微企业分包的，评审优惠幅度由2%-3%提高至4%-6%，用扣除后的价格参加评审。</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中载明“接受联合体”时，两个以上供应商可以组成一个联合体，以一个供应商的身份参与投标。</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4．供应商以联合体形式参加政府采购活动时，遵循以下规则：</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联合体各方均应当具备</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中基本资格要求。《法定代表人委托授权书》由联合体牵头人的法定代表人（法人单位）或负责人（非法人单位）代表联合体各方进行签字、盖章，并对联合体各方负责。</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采用资格前审的项目，联合体应当在提交资格前审申请文件前组成。资格前审后联合体不得增减、更换成员。</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资格审查阶段，采购人将对所有联合体成员进行信用记录查询，联合体成员存在不良信用记录的，视同联合体存在不良信用记录。</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招标文件要求供应商交纳保证金的，可以由联合体中的一方或者多方共同交纳保证金，其交纳的保证金对联合体各方均具有约束力。</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⑥ 招标文件要求供应商提供履约人员和设备情况的，联合体各方均应提供，以说明其作为独立供应商所具有的能有效执行合同的能力和资源。</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⑨ 对采购项目提出投诉时，应当由组成联合体的所有供应商共同提出。</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（5）联合体出现下列情形之一的，联合体投标无效：</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 没有提交有效的联合体协议的。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 组成联合体的大中型企业和其他自然人、法人或者其他组织，与小型、微型企业之间存在投资关系的。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③ 联合体协议签订后，联合体成员单独参加或者与其他供应商另外组成联合体参加同一合同项下的政府采购活动的。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④ 资格前审后联合体增减、更换成员的。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⑤ 联合体成员因存在不良信用记录，被拒绝其参与政府采购活动的。</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54" w:name="_Toc5209"/>
      <w:bookmarkStart w:id="55" w:name="_Toc3859"/>
      <w:bookmarkStart w:id="56" w:name="_Toc11831"/>
      <w:bookmarkStart w:id="57" w:name="_Toc29747"/>
      <w:r>
        <w:rPr>
          <w:rFonts w:hint="eastAsia" w:ascii="宋体" w:hAnsi="宋体" w:eastAsia="宋体" w:cs="宋体"/>
          <w:color w:val="000000" w:themeColor="text1"/>
          <w:sz w:val="28"/>
          <w:szCs w:val="28"/>
          <w:highlight w:val="none"/>
          <w14:textFill>
            <w14:solidFill>
              <w14:schemeClr w14:val="tx1"/>
            </w14:solidFill>
          </w14:textFill>
        </w:rPr>
        <w:t>（五）关于进口产品</w:t>
      </w:r>
      <w:bookmarkEnd w:id="54"/>
      <w:bookmarkEnd w:id="55"/>
      <w:bookmarkEnd w:id="56"/>
      <w:bookmarkEnd w:id="5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2．根据《关于政府采购进口产品管理有关问题的通知》（财办库〔2008〕248号）有关规定，财政部门审核同意购买进口产品的，</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将明确载明“允许进口产品参与”，此时满足招标文件要求的国产产品仍然可以参与竞争。否则，视为拒绝进口产品参与，供应商以进口产品参与投标时，将作无效投标处理。</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58" w:name="_Toc22855"/>
      <w:bookmarkStart w:id="59" w:name="_Toc15417"/>
      <w:bookmarkStart w:id="60" w:name="_Toc4734"/>
      <w:bookmarkStart w:id="61" w:name="_Toc1509"/>
      <w:r>
        <w:rPr>
          <w:rFonts w:hint="eastAsia" w:ascii="宋体" w:hAnsi="宋体" w:eastAsia="宋体" w:cs="宋体"/>
          <w:color w:val="000000" w:themeColor="text1"/>
          <w:sz w:val="28"/>
          <w:szCs w:val="28"/>
          <w:highlight w:val="none"/>
          <w14:textFill>
            <w14:solidFill>
              <w14:schemeClr w14:val="tx1"/>
            </w14:solidFill>
          </w14:textFill>
        </w:rPr>
        <w:t>（六）关于政府采购政策</w:t>
      </w:r>
      <w:bookmarkEnd w:id="58"/>
      <w:bookmarkEnd w:id="59"/>
      <w:bookmarkEnd w:id="60"/>
      <w:bookmarkEnd w:id="61"/>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62" w:name="_Toc6126"/>
      <w:bookmarkStart w:id="63" w:name="_Toc10187"/>
      <w:bookmarkStart w:id="64" w:name="_Toc21485"/>
      <w:r>
        <w:rPr>
          <w:rFonts w:hint="eastAsia" w:ascii="宋体" w:hAnsi="宋体" w:eastAsia="宋体" w:cs="宋体"/>
          <w:color w:val="000000" w:themeColor="text1"/>
          <w:sz w:val="28"/>
          <w:szCs w:val="28"/>
          <w:highlight w:val="none"/>
          <w14:textFill>
            <w14:solidFill>
              <w14:schemeClr w14:val="tx1"/>
            </w14:solidFill>
          </w14:textFill>
        </w:rPr>
        <w:t>1．对中小企业、监狱企业、残疾人福利性单位的优惠政策</w:t>
      </w:r>
      <w:bookmarkEnd w:id="62"/>
      <w:bookmarkEnd w:id="63"/>
      <w:bookmarkEnd w:id="64"/>
    </w:p>
    <w:p>
      <w:pPr>
        <w:pStyle w:val="104"/>
        <w:outlineLvl w:val="9"/>
        <w:rPr>
          <w:rFonts w:hint="eastAsia" w:ascii="宋体" w:hAnsi="宋体" w:eastAsia="宋体" w:cs="宋体"/>
          <w:color w:val="000000" w:themeColor="text1"/>
          <w:sz w:val="28"/>
          <w:szCs w:val="28"/>
          <w:highlight w:val="none"/>
          <w14:textFill>
            <w14:solidFill>
              <w14:schemeClr w14:val="tx1"/>
            </w14:solidFill>
          </w14:textFill>
        </w:rPr>
      </w:pPr>
      <w:bookmarkStart w:id="65" w:name="_Toc5394"/>
      <w:bookmarkStart w:id="66" w:name="_Toc8987"/>
      <w:bookmarkStart w:id="67" w:name="_Toc2556"/>
      <w:r>
        <w:rPr>
          <w:rFonts w:hint="eastAsia" w:ascii="宋体" w:hAnsi="宋体" w:eastAsia="宋体" w:cs="宋体"/>
          <w:color w:val="000000" w:themeColor="text1"/>
          <w:sz w:val="28"/>
          <w:szCs w:val="28"/>
          <w:highlight w:val="none"/>
          <w14:textFill>
            <w14:solidFill>
              <w14:schemeClr w14:val="tx1"/>
            </w14:solidFill>
          </w14:textFill>
        </w:rPr>
        <w:t>（1）根据《政府采购促进中小企业发展管理办法》（财库〔2020〕46号）、《财政部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10%（工程项目3%）的扣除，用扣除后的价格参加评审。同时，依据该办法第四条第二款规定在货物采购项目中，供应商提供的货物既有中小企业制造货物，也有大型企业制造货物的，不享受中小企业扶持政策。</w:t>
      </w:r>
    </w:p>
    <w:p>
      <w:pPr>
        <w:pStyle w:val="104"/>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（2）根据财政部、司法部联合下发的《关于政府采购支持监狱企业发展有关问题的通知》（财库〔2014〕68号）的规定，监狱企业视同小型、微型企业。</w:t>
      </w:r>
    </w:p>
    <w:p>
      <w:pPr>
        <w:pStyle w:val="104"/>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pStyle w:val="104"/>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4"/>
        <w:outlineLvl w:val="9"/>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2．节能、环保产品采购政策</w:t>
      </w:r>
      <w:bookmarkEnd w:id="65"/>
      <w:bookmarkEnd w:id="66"/>
      <w:bookmarkEnd w:id="6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（3）《节能产品政府采购品目清单》见财政部、发展改革委《关于印发节能产品政府采购品目清单的通知》（财库〔2019〕19号）附件。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（4）《环境标志产品政府采购品目清单》见财政部、生态环境部《关于印发环境标志产品政府采购品目清单的通知》（财库〔2019〕18号）附件。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（5）“国家确定的认证机构”名单见市场监管总局《关于发布参与实施政府采购节能产品、环境标志产品认证机构名录的公告》（2019年第16号）。</w:t>
      </w:r>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68" w:name="_Toc15090"/>
      <w:bookmarkStart w:id="69" w:name="_Toc26083"/>
      <w:bookmarkStart w:id="70" w:name="_Toc18572"/>
      <w:r>
        <w:rPr>
          <w:rFonts w:hint="eastAsia" w:ascii="宋体" w:hAnsi="宋体" w:eastAsia="宋体" w:cs="宋体"/>
          <w:color w:val="000000" w:themeColor="text1"/>
          <w:sz w:val="28"/>
          <w:szCs w:val="28"/>
          <w:highlight w:val="none"/>
          <w14:textFill>
            <w14:solidFill>
              <w14:schemeClr w14:val="tx1"/>
            </w14:solidFill>
          </w14:textFill>
        </w:rPr>
        <w:t>3．陕西省中小企业政府采购信用融资办法</w:t>
      </w:r>
      <w:bookmarkEnd w:id="68"/>
      <w:bookmarkEnd w:id="69"/>
      <w:bookmarkEnd w:id="70"/>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highlight w:val="none"/>
        </w:rPr>
        <w:fldChar w:fldCharType="begin"/>
      </w:r>
      <w:r>
        <w:rPr>
          <w:highlight w:val="none"/>
        </w:rPr>
        <w:instrText xml:space="preserve"> HYPERLINK "http://www.ccgp-shaanxi.gov.cn/zcdservice/zcd/shanxi/article/zcdt/1390497710741917696"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http://www.ccgp-shaanxi.gov.cn/zcdservice/zcd/shanxi/article/zcdt/1390497710741917696</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71" w:name="_Toc3783"/>
      <w:bookmarkStart w:id="72" w:name="_Toc903"/>
      <w:bookmarkStart w:id="73" w:name="_Toc21474"/>
      <w:bookmarkStart w:id="74" w:name="_Toc23131"/>
      <w:r>
        <w:rPr>
          <w:rFonts w:hint="eastAsia" w:ascii="宋体" w:hAnsi="宋体" w:eastAsia="宋体" w:cs="宋体"/>
          <w:color w:val="000000" w:themeColor="text1"/>
          <w:sz w:val="28"/>
          <w:szCs w:val="28"/>
          <w:highlight w:val="none"/>
          <w14:textFill>
            <w14:solidFill>
              <w14:schemeClr w14:val="tx1"/>
            </w14:solidFill>
          </w14:textFill>
        </w:rPr>
        <w:t>（七）关于现场踏勘和集中答疑</w:t>
      </w:r>
      <w:bookmarkEnd w:id="71"/>
      <w:bookmarkEnd w:id="72"/>
      <w:bookmarkEnd w:id="73"/>
      <w:bookmarkEnd w:id="74"/>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采购人可以根据项目实际情况决定是否组织现场踏勘\标前集中答疑。</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中明确载明安排上述活动的，各供应商应派出技术、预算等相关人员，在招标文件约定的时间、地点参加现场踏勘\标前集中答疑。</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凡未参加现场踏勘和集中答疑的供应商，由此带来的不利后果由该供应商自行承担。</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75" w:name="_Toc22889"/>
      <w:bookmarkStart w:id="76" w:name="_Toc11425"/>
      <w:bookmarkStart w:id="77" w:name="_Toc11850"/>
      <w:bookmarkStart w:id="78" w:name="_Toc21460"/>
      <w:r>
        <w:rPr>
          <w:rFonts w:hint="eastAsia" w:ascii="宋体" w:hAnsi="宋体" w:eastAsia="宋体" w:cs="宋体"/>
          <w:color w:val="000000" w:themeColor="text1"/>
          <w:sz w:val="28"/>
          <w:szCs w:val="28"/>
          <w:highlight w:val="none"/>
          <w14:textFill>
            <w14:solidFill>
              <w14:schemeClr w14:val="tx1"/>
            </w14:solidFill>
          </w14:textFill>
        </w:rPr>
        <w:t>（八）关于同一品牌产品的处理</w:t>
      </w:r>
      <w:bookmarkEnd w:id="75"/>
      <w:bookmarkEnd w:id="76"/>
      <w:bookmarkEnd w:id="77"/>
      <w:bookmarkEnd w:id="78"/>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79" w:name="_Toc30039"/>
      <w:bookmarkStart w:id="80" w:name="_Toc21312"/>
      <w:bookmarkStart w:id="81" w:name="_Toc5554"/>
      <w:bookmarkStart w:id="82" w:name="_Toc4702"/>
      <w:r>
        <w:rPr>
          <w:rFonts w:hint="eastAsia" w:ascii="宋体" w:hAnsi="宋体" w:eastAsia="宋体" w:cs="宋体"/>
          <w:color w:val="000000" w:themeColor="text1"/>
          <w:sz w:val="28"/>
          <w:szCs w:val="28"/>
          <w:highlight w:val="none"/>
          <w14:textFill>
            <w14:solidFill>
              <w14:schemeClr w14:val="tx1"/>
            </w14:solidFill>
          </w14:textFill>
        </w:rPr>
        <w:t>（九）关于知识产权和保密事项</w:t>
      </w:r>
      <w:bookmarkEnd w:id="79"/>
      <w:bookmarkEnd w:id="80"/>
      <w:bookmarkEnd w:id="81"/>
      <w:bookmarkEnd w:id="82"/>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83" w:name="_Toc27768"/>
      <w:bookmarkStart w:id="84" w:name="_Toc2960"/>
      <w:bookmarkStart w:id="85" w:name="_Toc31993"/>
      <w:bookmarkStart w:id="86" w:name="_Toc873"/>
      <w:r>
        <w:rPr>
          <w:rFonts w:hint="eastAsia" w:ascii="宋体" w:hAnsi="宋体" w:eastAsia="宋体" w:cs="宋体"/>
          <w:color w:val="000000" w:themeColor="text1"/>
          <w:sz w:val="28"/>
          <w:szCs w:val="28"/>
          <w:highlight w:val="none"/>
          <w14:textFill>
            <w14:solidFill>
              <w14:schemeClr w14:val="tx1"/>
            </w14:solidFill>
          </w14:textFill>
        </w:rPr>
        <w:t>（十）关于信用记录的查询和使用</w:t>
      </w:r>
      <w:bookmarkEnd w:id="83"/>
      <w:bookmarkEnd w:id="84"/>
      <w:bookmarkEnd w:id="85"/>
      <w:bookmarkEnd w:id="86"/>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1．根据财政部《关于在政府采购活动中查询及使用信用记录有关问题的通知》（财库〔2016〕125号）第二条有关要求，采购人将在资格审查阶段通过【信用中国】（</w:t>
      </w:r>
      <w:r>
        <w:rPr>
          <w:highlight w:val="none"/>
        </w:rPr>
        <w:fldChar w:fldCharType="begin"/>
      </w:r>
      <w:r>
        <w:rPr>
          <w:highlight w:val="none"/>
        </w:rPr>
        <w:instrText xml:space="preserve"> HYPERLINK "https://www.creditchina.gov.cn"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https://www.creditchina.gov.cn</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/）和【中国政府采购网】（</w:t>
      </w:r>
      <w:r>
        <w:rPr>
          <w:highlight w:val="none"/>
        </w:rPr>
        <w:fldChar w:fldCharType="begin"/>
      </w:r>
      <w:r>
        <w:rPr>
          <w:highlight w:val="none"/>
        </w:rPr>
        <w:instrText xml:space="preserve"> HYPERLINK "http://www.ccgp.gov.cn/"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http://www.ccgp.gov.cn/）</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对供应商的信用情况进行甄别。</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4．信用记录查询结果打印后，将与其他采购文件一并保存。</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87" w:name="_Toc13558"/>
      <w:bookmarkStart w:id="88" w:name="_Toc31802"/>
      <w:bookmarkStart w:id="89" w:name="_Toc20950"/>
      <w:bookmarkStart w:id="90" w:name="_Toc7336"/>
      <w:r>
        <w:rPr>
          <w:rFonts w:hint="eastAsia" w:ascii="宋体" w:hAnsi="宋体" w:eastAsia="宋体" w:cs="宋体"/>
          <w:color w:val="000000" w:themeColor="text1"/>
          <w:sz w:val="28"/>
          <w:szCs w:val="28"/>
          <w:highlight w:val="none"/>
          <w14:textFill>
            <w14:solidFill>
              <w14:schemeClr w14:val="tx1"/>
            </w14:solidFill>
          </w14:textFill>
        </w:rPr>
        <w:t>（十一）其他重要事项</w:t>
      </w:r>
      <w:bookmarkEnd w:id="87"/>
      <w:bookmarkEnd w:id="88"/>
      <w:bookmarkEnd w:id="89"/>
      <w:bookmarkEnd w:id="90"/>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1．招标文件内所附网络链接仅供参考，不保证其长期有效性。</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2．供应商的投标费用自理。</w:t>
      </w:r>
    </w:p>
    <w:p>
      <w:pPr>
        <w:pStyle w:val="9"/>
        <w:rPr>
          <w:rFonts w:ascii="宋体" w:hAnsi="宋体" w:eastAsia="宋体" w:cs="宋体"/>
          <w:color w:val="000000" w:themeColor="text1"/>
          <w:sz w:val="28"/>
          <w:szCs w:val="28"/>
          <w:highlight w:val="none"/>
          <w14:textFill>
            <w14:solidFill>
              <w14:schemeClr w14:val="tx1"/>
            </w14:solidFill>
          </w14:textFill>
        </w:rPr>
      </w:pPr>
      <w:bookmarkStart w:id="91" w:name="_Toc25094"/>
      <w:r>
        <w:rPr>
          <w:rFonts w:hint="eastAsia" w:ascii="宋体" w:hAnsi="宋体" w:eastAsia="宋体" w:cs="宋体"/>
          <w:color w:val="000000" w:themeColor="text1"/>
          <w:sz w:val="28"/>
          <w:szCs w:val="28"/>
          <w:highlight w:val="none"/>
          <w14:textFill>
            <w14:solidFill>
              <w14:schemeClr w14:val="tx1"/>
            </w14:solidFill>
          </w14:textFill>
        </w:rPr>
        <w:t>三、招标文件</w:t>
      </w:r>
      <w:bookmarkEnd w:id="91"/>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92" w:name="_Toc13951"/>
      <w:bookmarkStart w:id="93" w:name="_Toc17994"/>
      <w:bookmarkStart w:id="94" w:name="_Toc22177"/>
      <w:bookmarkStart w:id="95" w:name="_Toc25768"/>
      <w:r>
        <w:rPr>
          <w:rFonts w:hint="eastAsia" w:ascii="宋体" w:hAnsi="宋体" w:eastAsia="宋体" w:cs="宋体"/>
          <w:color w:val="000000" w:themeColor="text1"/>
          <w:sz w:val="28"/>
          <w:szCs w:val="28"/>
          <w:highlight w:val="none"/>
          <w14:textFill>
            <w14:solidFill>
              <w14:schemeClr w14:val="tx1"/>
            </w14:solidFill>
          </w14:textFill>
        </w:rPr>
        <w:t>（一）招标文件的解释权</w:t>
      </w:r>
      <w:bookmarkEnd w:id="92"/>
      <w:bookmarkEnd w:id="93"/>
      <w:bookmarkEnd w:id="94"/>
      <w:bookmarkEnd w:id="9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本项目招标文件的解释权归采购代理机构，评标委员会成员应根据政府采购法律法规和招标文件所载明的评审方法、标准进行评审。</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96" w:name="_Toc932"/>
      <w:bookmarkStart w:id="97" w:name="_Toc29738"/>
      <w:bookmarkStart w:id="98" w:name="_Toc27003"/>
      <w:bookmarkStart w:id="99" w:name="_Toc31173"/>
      <w:r>
        <w:rPr>
          <w:rFonts w:hint="eastAsia" w:ascii="宋体" w:hAnsi="宋体" w:eastAsia="宋体" w:cs="宋体"/>
          <w:color w:val="000000" w:themeColor="text1"/>
          <w:sz w:val="28"/>
          <w:szCs w:val="28"/>
          <w:highlight w:val="none"/>
          <w14:textFill>
            <w14:solidFill>
              <w14:schemeClr w14:val="tx1"/>
            </w14:solidFill>
          </w14:textFill>
        </w:rPr>
        <w:t>（二）招标文件主要内容</w:t>
      </w:r>
      <w:bookmarkEnd w:id="96"/>
      <w:bookmarkEnd w:id="97"/>
      <w:bookmarkEnd w:id="98"/>
      <w:bookmarkEnd w:id="99"/>
    </w:p>
    <w:p>
      <w:pPr>
        <w:spacing w:line="560" w:lineRule="exact"/>
        <w:ind w:firstLine="560" w:firstLineChars="200"/>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第1章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招标公告</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第2章  供应商须知</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第3章  招标内容及要求</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第4章  合同文本</w:t>
      </w:r>
    </w:p>
    <w:p>
      <w:pPr>
        <w:spacing w:line="560" w:lineRule="exact"/>
        <w:ind w:firstLine="560"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第5章  投标文件构成及格式</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00" w:name="_Toc28534"/>
      <w:bookmarkStart w:id="101" w:name="_Toc29373"/>
      <w:bookmarkStart w:id="102" w:name="_Toc9476"/>
      <w:bookmarkStart w:id="103" w:name="_Toc12003"/>
      <w:r>
        <w:rPr>
          <w:rFonts w:hint="eastAsia" w:ascii="宋体" w:hAnsi="宋体" w:eastAsia="宋体" w:cs="宋体"/>
          <w:color w:val="000000" w:themeColor="text1"/>
          <w:sz w:val="28"/>
          <w:szCs w:val="28"/>
          <w:highlight w:val="none"/>
          <w14:textFill>
            <w14:solidFill>
              <w14:schemeClr w14:val="tx1"/>
            </w14:solidFill>
          </w14:textFill>
        </w:rPr>
        <w:t>（三）招标文件的检查及阅读</w:t>
      </w:r>
      <w:bookmarkEnd w:id="100"/>
      <w:bookmarkEnd w:id="101"/>
      <w:bookmarkEnd w:id="102"/>
      <w:bookmarkEnd w:id="10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供应商应认真阅读和充分理解招标文件中所有的事项、格式条款和规范要求，在投标文件中对招标文件做出全面响应，并按招标文件的要求提交全部资料。</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项目废标后重新组织招标的，采购代理机构将重新编制、发布新版招标文件，供应商应按新版招标文件重新编制投标文件。原招标文件及投标文件失效。</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04" w:name="_Toc22897"/>
      <w:bookmarkStart w:id="105" w:name="_Toc15105"/>
      <w:bookmarkStart w:id="106" w:name="_Toc16075"/>
      <w:bookmarkStart w:id="107" w:name="_Toc6838"/>
      <w:r>
        <w:rPr>
          <w:rFonts w:hint="eastAsia" w:ascii="宋体" w:hAnsi="宋体" w:eastAsia="宋体" w:cs="宋体"/>
          <w:color w:val="000000" w:themeColor="text1"/>
          <w:sz w:val="28"/>
          <w:szCs w:val="28"/>
          <w:highlight w:val="none"/>
          <w14:textFill>
            <w14:solidFill>
              <w14:schemeClr w14:val="tx1"/>
            </w14:solidFill>
          </w14:textFill>
        </w:rPr>
        <w:t>（四）招标文件的修改、澄清</w:t>
      </w:r>
      <w:bookmarkEnd w:id="104"/>
      <w:bookmarkEnd w:id="105"/>
      <w:bookmarkEnd w:id="106"/>
      <w:bookmarkEnd w:id="10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1．提交投标文件截止之日前，采购人或采购代理机构可能对已发出的招标文件进行澄清或者修改，澄清或者修改的内容为招标文件的组成部分。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r>
        <w:rPr>
          <w:highlight w:val="none"/>
        </w:rPr>
        <w:fldChar w:fldCharType="begin"/>
      </w:r>
      <w:r>
        <w:rPr>
          <w:highlight w:val="none"/>
        </w:rPr>
        <w:instrText xml:space="preserve"> HYPERLINK "http://www.ccgp-shaanxi.gov.cn"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highlight w:val="none"/>
        </w:rPr>
        <w:fldChar w:fldCharType="begin"/>
      </w:r>
      <w:r>
        <w:rPr>
          <w:highlight w:val="none"/>
        </w:rPr>
        <w:instrText xml:space="preserve"> HYPERLINK "http://www.ccgp-shaanxi.gov.cn/"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）中的〖首页·〉信息公告·〉市级·〉西安市〗。</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r>
        <w:rPr>
          <w:highlight w:val="none"/>
        </w:rPr>
        <w:fldChar w:fldCharType="begin"/>
      </w:r>
      <w:r>
        <w:rPr>
          <w:highlight w:val="none"/>
        </w:rPr>
        <w:instrText xml:space="preserve"> HYPERLINK "http://xa.sxggzyjy.cn/"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全国公共资源交易网（陕西省·西安市）</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highlight w:val="none"/>
        </w:rPr>
        <w:fldChar w:fldCharType="begin"/>
      </w:r>
      <w:r>
        <w:rPr>
          <w:highlight w:val="none"/>
        </w:rPr>
        <w:instrText xml:space="preserve"> HYPERLINK "http://sxggzyjy.xa.gov.cn/"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http://sxggzyjy.xa.gov.cn/</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）中的〖首页·〉交易大厅·〉政府采购〗。</w:t>
      </w:r>
    </w:p>
    <w:p>
      <w:pPr>
        <w:pStyle w:val="9"/>
        <w:rPr>
          <w:rFonts w:ascii="宋体" w:hAnsi="宋体" w:eastAsia="宋体" w:cs="宋体"/>
          <w:color w:val="000000" w:themeColor="text1"/>
          <w:sz w:val="28"/>
          <w:szCs w:val="28"/>
          <w:highlight w:val="none"/>
          <w14:textFill>
            <w14:solidFill>
              <w14:schemeClr w14:val="tx1"/>
            </w14:solidFill>
          </w14:textFill>
        </w:rPr>
      </w:pPr>
      <w:bookmarkStart w:id="108" w:name="_Toc23967"/>
      <w:r>
        <w:rPr>
          <w:rFonts w:hint="eastAsia" w:ascii="宋体" w:hAnsi="宋体" w:eastAsia="宋体" w:cs="宋体"/>
          <w:color w:val="000000" w:themeColor="text1"/>
          <w:sz w:val="28"/>
          <w:szCs w:val="28"/>
          <w:highlight w:val="none"/>
          <w14:textFill>
            <w14:solidFill>
              <w14:schemeClr w14:val="tx1"/>
            </w14:solidFill>
          </w14:textFill>
        </w:rPr>
        <w:t>四、投标文件</w:t>
      </w:r>
      <w:bookmarkEnd w:id="108"/>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09" w:name="_Toc27491"/>
      <w:bookmarkStart w:id="110" w:name="_Toc26487"/>
      <w:bookmarkStart w:id="111" w:name="_Toc7988"/>
      <w:bookmarkStart w:id="112" w:name="_Toc32648"/>
      <w:r>
        <w:rPr>
          <w:rFonts w:hint="eastAsia" w:ascii="宋体" w:hAnsi="宋体" w:eastAsia="宋体" w:cs="宋体"/>
          <w:color w:val="000000" w:themeColor="text1"/>
          <w:sz w:val="28"/>
          <w:szCs w:val="28"/>
          <w:highlight w:val="none"/>
          <w14:textFill>
            <w14:solidFill>
              <w14:schemeClr w14:val="tx1"/>
            </w14:solidFill>
          </w14:textFill>
        </w:rPr>
        <w:t>（一）投标文件的式样</w:t>
      </w:r>
      <w:bookmarkEnd w:id="109"/>
      <w:bookmarkEnd w:id="110"/>
      <w:bookmarkEnd w:id="111"/>
      <w:bookmarkEnd w:id="112"/>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113" w:name="_Toc4380"/>
      <w:bookmarkStart w:id="114" w:name="_Toc10324"/>
      <w:bookmarkStart w:id="115" w:name="_Toc7870"/>
      <w:r>
        <w:rPr>
          <w:rFonts w:hint="eastAsia" w:ascii="宋体" w:hAnsi="宋体" w:eastAsia="宋体" w:cs="宋体"/>
          <w:color w:val="000000" w:themeColor="text1"/>
          <w:sz w:val="28"/>
          <w:szCs w:val="28"/>
          <w:highlight w:val="none"/>
          <w14:textFill>
            <w14:solidFill>
              <w14:schemeClr w14:val="tx1"/>
            </w14:solidFill>
          </w14:textFill>
        </w:rPr>
        <w:t>1．组成及格式</w:t>
      </w:r>
      <w:bookmarkEnd w:id="113"/>
      <w:bookmarkEnd w:id="114"/>
      <w:bookmarkEnd w:id="11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供应商依照招标文件第五章《投标文件构成及格式》给定形式进行编制投标文件。</w:t>
      </w:r>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116" w:name="_Toc6421"/>
      <w:bookmarkStart w:id="117" w:name="_Toc7406"/>
      <w:bookmarkStart w:id="118" w:name="_Toc2969"/>
      <w:r>
        <w:rPr>
          <w:rFonts w:hint="eastAsia" w:ascii="宋体" w:hAnsi="宋体" w:eastAsia="宋体" w:cs="宋体"/>
          <w:color w:val="000000" w:themeColor="text1"/>
          <w:sz w:val="28"/>
          <w:szCs w:val="28"/>
          <w:highlight w:val="none"/>
          <w14:textFill>
            <w14:solidFill>
              <w14:schemeClr w14:val="tx1"/>
            </w14:solidFill>
          </w14:textFill>
        </w:rPr>
        <w:t>2．语言</w:t>
      </w:r>
      <w:bookmarkEnd w:id="116"/>
      <w:bookmarkEnd w:id="117"/>
      <w:bookmarkEnd w:id="118"/>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招标活动的所有文件、资料、函电文字均使用简体中文，确需提交用其他语言形成的资料，必须翻译成简体中文，如有差异，以简体中文为准。</w:t>
      </w:r>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119" w:name="_Toc5789"/>
      <w:bookmarkStart w:id="120" w:name="_Toc3202"/>
      <w:bookmarkStart w:id="121" w:name="_Toc9006"/>
      <w:r>
        <w:rPr>
          <w:rFonts w:hint="eastAsia" w:ascii="宋体" w:hAnsi="宋体" w:eastAsia="宋体" w:cs="宋体"/>
          <w:color w:val="000000" w:themeColor="text1"/>
          <w:sz w:val="28"/>
          <w:szCs w:val="28"/>
          <w:highlight w:val="none"/>
          <w14:textFill>
            <w14:solidFill>
              <w14:schemeClr w14:val="tx1"/>
            </w14:solidFill>
          </w14:textFill>
        </w:rPr>
        <w:t>3．计量单位</w:t>
      </w:r>
      <w:bookmarkEnd w:id="119"/>
      <w:bookmarkEnd w:id="120"/>
      <w:bookmarkEnd w:id="121"/>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投标文件的计量单位应使用中华人民共和国法定计量单位，但招标文件另有规定的除外。</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22" w:name="_Toc32395"/>
      <w:bookmarkStart w:id="123" w:name="_Toc13964"/>
      <w:bookmarkStart w:id="124" w:name="_Toc19653"/>
      <w:bookmarkStart w:id="125" w:name="_Toc29110"/>
      <w:r>
        <w:rPr>
          <w:rFonts w:hint="eastAsia" w:ascii="宋体" w:hAnsi="宋体" w:eastAsia="宋体" w:cs="宋体"/>
          <w:color w:val="000000" w:themeColor="text1"/>
          <w:sz w:val="28"/>
          <w:szCs w:val="28"/>
          <w:highlight w:val="none"/>
          <w14:textFill>
            <w14:solidFill>
              <w14:schemeClr w14:val="tx1"/>
            </w14:solidFill>
          </w14:textFill>
        </w:rPr>
        <w:t>（二）投标文件的有效期</w:t>
      </w:r>
      <w:bookmarkEnd w:id="122"/>
      <w:bookmarkEnd w:id="123"/>
      <w:bookmarkEnd w:id="124"/>
      <w:bookmarkEnd w:id="12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投标文件有效期为自开标之日起不少于90个日历日。如中标，延长至合同执行完毕时止。</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26" w:name="_Toc24036"/>
      <w:bookmarkStart w:id="127" w:name="_Toc10386"/>
      <w:bookmarkStart w:id="128" w:name="_Toc931"/>
      <w:bookmarkStart w:id="129" w:name="_Toc24676"/>
      <w:r>
        <w:rPr>
          <w:rFonts w:hint="eastAsia" w:ascii="宋体" w:hAnsi="宋体" w:eastAsia="宋体" w:cs="宋体"/>
          <w:color w:val="000000" w:themeColor="text1"/>
          <w:sz w:val="28"/>
          <w:szCs w:val="28"/>
          <w:highlight w:val="none"/>
          <w14:textFill>
            <w14:solidFill>
              <w14:schemeClr w14:val="tx1"/>
            </w14:solidFill>
          </w14:textFill>
        </w:rPr>
        <w:t>（三）投标报价</w:t>
      </w:r>
      <w:bookmarkEnd w:id="126"/>
      <w:bookmarkEnd w:id="127"/>
      <w:bookmarkEnd w:id="128"/>
      <w:bookmarkEnd w:id="129"/>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投标报价是供应商响应采购项目要求的全部工作内容的价格体现，包括完成采购内容所需的运输费、人工费、材料费、机械费、利润、税金及评审过程中其它相关的一切费用。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1．供应商在报价时应充分考虑所有可能发生的费用，招标文件未列明，而供应商认为应当计取的费用均应列入报价中。报价时不论是否计取，采购人均按已计取对待。</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3．投标报价货币：人民币。单位：元。</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4．投标文件报价出现前后不一致的，除招标文件另有规定外，按照下列规则修正：</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（1）投标文件中开标一览表内容与投标文件中其他位置相应内容表述不一致的，以开标一览表为准。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（2）大写金额和小写金额不一致的，以大写金额为准。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（3）单价金额小数点或者百分比有明显错位的，以开标一览表的总价为准，并修改单价。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（4）总价金额与按单价汇总金额不一致的，以单价金额计算结果为准。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5．因供应商对招标文件理解不透、误解、疏漏或对市场行情了解不清造成的后果和风险，均由供应商自己负责。</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30" w:name="_Toc19004"/>
      <w:bookmarkStart w:id="131" w:name="_Toc20169"/>
      <w:bookmarkStart w:id="132" w:name="_Toc29068"/>
      <w:bookmarkStart w:id="133" w:name="_Toc3121"/>
      <w:r>
        <w:rPr>
          <w:rFonts w:hint="eastAsia" w:ascii="宋体" w:hAnsi="宋体" w:eastAsia="宋体" w:cs="宋体"/>
          <w:color w:val="000000" w:themeColor="text1"/>
          <w:sz w:val="28"/>
          <w:szCs w:val="28"/>
          <w:highlight w:val="none"/>
          <w14:textFill>
            <w14:solidFill>
              <w14:schemeClr w14:val="tx1"/>
            </w14:solidFill>
          </w14:textFill>
        </w:rPr>
        <w:t>（四）投标文件的制作和签章</w:t>
      </w:r>
      <w:bookmarkEnd w:id="130"/>
      <w:bookmarkEnd w:id="131"/>
      <w:bookmarkEnd w:id="132"/>
      <w:bookmarkEnd w:id="13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p>
    <w:p>
      <w:pPr>
        <w:spacing w:line="560" w:lineRule="exact"/>
        <w:ind w:firstLine="480" w:firstLineChars="200"/>
        <w:jc w:val="both"/>
        <w:rPr>
          <w:rFonts w:ascii="宋体" w:hAnsi="宋体" w:eastAsia="宋体" w:cs="宋体"/>
          <w:color w:val="000000" w:themeColor="text1"/>
          <w:sz w:val="28"/>
          <w:szCs w:val="28"/>
          <w:highlight w:val="none"/>
          <w14:textFill>
            <w14:solidFill>
              <w14:schemeClr w14:val="tx1"/>
            </w14:solidFill>
          </w14:textFill>
        </w:rPr>
      </w:pPr>
      <w:r>
        <w:rPr>
          <w:highlight w:val="none"/>
        </w:rPr>
        <w:fldChar w:fldCharType="begin"/>
      </w:r>
      <w:r>
        <w:rPr>
          <w:highlight w:val="none"/>
        </w:rPr>
        <w:instrText xml:space="preserve"> HYPERLINK "http://sxggzyjy.xa.gov.cn/fwzn/004003/20181115/4d59c184-e8f6-4d5a-a416-c2f6b0601e66.html" </w:instrText>
      </w:r>
      <w:r>
        <w:rPr>
          <w:highlight w:val="none"/>
        </w:rPr>
        <w:fldChar w:fldCharType="separate"/>
      </w:r>
      <w:r>
        <w:rPr>
          <w:rStyle w:val="41"/>
          <w:rFonts w:hint="eastAsia" w:ascii="宋体" w:hAnsi="宋体" w:eastAsia="宋体" w:cs="宋体"/>
          <w:color w:val="000000" w:themeColor="text1"/>
          <w:sz w:val="28"/>
          <w:szCs w:val="28"/>
          <w:highlight w:val="none"/>
          <w14:textFill>
            <w14:solidFill>
              <w14:schemeClr w14:val="tx1"/>
            </w14:solidFill>
          </w14:textFill>
        </w:rPr>
        <w:t>http://sxggzyjy.xa.gov.cn/fwzn/004003/20181115/4d59c184-e8f6-4d5a-a416-c2f6b0601e66.html</w:t>
      </w:r>
      <w:r>
        <w:rPr>
          <w:rStyle w:val="41"/>
          <w:rFonts w:hint="eastAsia" w:ascii="宋体" w:hAnsi="宋体" w:eastAsia="宋体" w:cs="宋体"/>
          <w:color w:val="000000" w:themeColor="text1"/>
          <w:sz w:val="28"/>
          <w:szCs w:val="28"/>
          <w:highlight w:val="none"/>
          <w14:textFill>
            <w14:solidFill>
              <w14:schemeClr w14:val="tx1"/>
            </w14:solidFill>
          </w14:textFill>
        </w:rPr>
        <w:fldChar w:fldCharType="end"/>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3．电子投标文件制作过程中，需要法定代表人签字或盖章的地方，请使用“法人CA锁”进行签章。需要加盖供应商公章的地方，请使用“企业CA锁”进行签章。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34" w:name="_Toc16688"/>
      <w:bookmarkStart w:id="135" w:name="_Toc809"/>
      <w:bookmarkStart w:id="136" w:name="_Toc19771"/>
      <w:bookmarkStart w:id="137" w:name="_Toc3908"/>
      <w:r>
        <w:rPr>
          <w:rFonts w:hint="eastAsia" w:ascii="宋体" w:hAnsi="宋体" w:eastAsia="宋体" w:cs="宋体"/>
          <w:color w:val="000000" w:themeColor="text1"/>
          <w:sz w:val="28"/>
          <w:szCs w:val="28"/>
          <w:highlight w:val="none"/>
          <w14:textFill>
            <w14:solidFill>
              <w14:schemeClr w14:val="tx1"/>
            </w14:solidFill>
          </w14:textFill>
        </w:rPr>
        <w:t>（五）投标文件的加密和提交</w:t>
      </w:r>
      <w:bookmarkEnd w:id="134"/>
      <w:bookmarkEnd w:id="135"/>
      <w:bookmarkEnd w:id="136"/>
      <w:bookmarkEnd w:id="13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1．在生成电子投标文件时，需要使用CA锁对投标文件进行加密。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注意：加密投标文件和开标时解密投标文件应当使用同一CA，否则将会导致解密失败。</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3．上传文件有误或需要重新提交的，可先撤销已经上传的文件，然后重新上传新文件。</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38" w:name="_Toc9823"/>
      <w:bookmarkStart w:id="139" w:name="_Toc15229"/>
      <w:bookmarkStart w:id="140" w:name="_Toc1286"/>
      <w:bookmarkStart w:id="141" w:name="_Toc10498"/>
      <w:r>
        <w:rPr>
          <w:rFonts w:hint="eastAsia" w:ascii="宋体" w:hAnsi="宋体" w:eastAsia="宋体" w:cs="宋体"/>
          <w:color w:val="000000" w:themeColor="text1"/>
          <w:sz w:val="28"/>
          <w:szCs w:val="28"/>
          <w:highlight w:val="none"/>
          <w14:textFill>
            <w14:solidFill>
              <w14:schemeClr w14:val="tx1"/>
            </w14:solidFill>
          </w14:textFill>
        </w:rPr>
        <w:t>（六）投标文件的补充、修改和撤回</w:t>
      </w:r>
      <w:bookmarkEnd w:id="138"/>
      <w:bookmarkEnd w:id="139"/>
      <w:bookmarkEnd w:id="140"/>
      <w:bookmarkEnd w:id="141"/>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2．供应商在提交投标文件截止时间后，撤回投标文件的，投标保证金不予退还。</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42" w:name="_Toc18903"/>
      <w:bookmarkStart w:id="143" w:name="_Toc23655"/>
      <w:bookmarkStart w:id="144" w:name="_Toc9753"/>
      <w:bookmarkStart w:id="145" w:name="_Toc8326"/>
      <w:r>
        <w:rPr>
          <w:rFonts w:hint="eastAsia" w:ascii="宋体" w:hAnsi="宋体" w:eastAsia="宋体" w:cs="宋体"/>
          <w:color w:val="000000" w:themeColor="text1"/>
          <w:sz w:val="28"/>
          <w:szCs w:val="28"/>
          <w:highlight w:val="none"/>
          <w14:textFill>
            <w14:solidFill>
              <w14:schemeClr w14:val="tx1"/>
            </w14:solidFill>
          </w14:textFill>
        </w:rPr>
        <w:t>（七）关于投标文件的雷同性分析</w:t>
      </w:r>
      <w:bookmarkEnd w:id="142"/>
      <w:bookmarkEnd w:id="143"/>
      <w:bookmarkEnd w:id="144"/>
      <w:bookmarkEnd w:id="14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若“文件创建标识码”一致，则表示不同投标供应商使用投标文件制作软件时，使用同一源工程文件，该情形建议由评标委员会结合项目情况综合判定。</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46" w:name="_Toc9954"/>
      <w:bookmarkStart w:id="147" w:name="_Toc22062"/>
      <w:bookmarkStart w:id="148" w:name="_Toc32375"/>
      <w:bookmarkStart w:id="149" w:name="_Toc26136"/>
      <w:r>
        <w:rPr>
          <w:rFonts w:hint="eastAsia" w:ascii="宋体" w:hAnsi="宋体" w:eastAsia="宋体" w:cs="宋体"/>
          <w:color w:val="000000" w:themeColor="text1"/>
          <w:sz w:val="28"/>
          <w:szCs w:val="28"/>
          <w:highlight w:val="none"/>
          <w14:textFill>
            <w14:solidFill>
              <w14:schemeClr w14:val="tx1"/>
            </w14:solidFill>
          </w14:textFill>
        </w:rPr>
        <w:t>（八）投标文件被拒绝接收的情形</w:t>
      </w:r>
      <w:bookmarkEnd w:id="146"/>
      <w:bookmarkEnd w:id="147"/>
      <w:bookmarkEnd w:id="148"/>
      <w:bookmarkEnd w:id="149"/>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1．误投的或采用旧版电子招标文件制作的。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2．逾期提交电子投标文件的。</w:t>
      </w:r>
    </w:p>
    <w:p>
      <w:pPr>
        <w:pStyle w:val="9"/>
        <w:rPr>
          <w:rFonts w:ascii="宋体" w:hAnsi="宋体" w:eastAsia="宋体" w:cs="宋体"/>
          <w:color w:val="000000" w:themeColor="text1"/>
          <w:sz w:val="28"/>
          <w:szCs w:val="28"/>
          <w:highlight w:val="none"/>
          <w14:textFill>
            <w14:solidFill>
              <w14:schemeClr w14:val="tx1"/>
            </w14:solidFill>
          </w14:textFill>
        </w:rPr>
      </w:pPr>
      <w:bookmarkStart w:id="150" w:name="_Toc27231"/>
      <w:r>
        <w:rPr>
          <w:rFonts w:hint="eastAsia" w:ascii="宋体" w:hAnsi="宋体" w:eastAsia="宋体" w:cs="宋体"/>
          <w:color w:val="000000" w:themeColor="text1"/>
          <w:sz w:val="28"/>
          <w:szCs w:val="28"/>
          <w:highlight w:val="none"/>
          <w14:textFill>
            <w14:solidFill>
              <w14:schemeClr w14:val="tx1"/>
            </w14:solidFill>
          </w14:textFill>
        </w:rPr>
        <w:t>五、开标程序</w:t>
      </w:r>
      <w:bookmarkEnd w:id="150"/>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开标工作由采购代理机构组织实施，整个过程受同级政府采购监管机构的监督、管理。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1．供应商登录：开标前，请各供应商至少提前半小时登录西安市公共资源交易平台〖首页·〉不见面开标〗系统。</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2．主持人宣布开标：提交投标文件截止时间过后，系统将不再接收任何投标文件。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4．唱标：对于公开招标项目，“不见面开标”系统将自动展示供应商名单及其投标报价。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5．开标结束：进入评审环节。供应商请保持在线，评审期间评标委员会可能会要求供应商做相应的澄清。因供应商擅自离席造成的不利后果，由供应商自行承担。</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“不见面开标”系统操作说明：详见西安市公共资源交易平台〖首页·〉服务指南·〉下载专区〗中的《西安公共资源交易不见面开标大厅供应商操作手册》。</w:t>
      </w:r>
    </w:p>
    <w:p>
      <w:pPr>
        <w:spacing w:line="560" w:lineRule="exact"/>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链接地址：</w:t>
      </w:r>
      <w:r>
        <w:rPr>
          <w:highlight w:val="none"/>
        </w:rPr>
        <w:fldChar w:fldCharType="begin"/>
      </w:r>
      <w:r>
        <w:rPr>
          <w:highlight w:val="none"/>
        </w:rPr>
        <w:instrText xml:space="preserve"> HYPERLINK "http://sxggzyjy.xa.gov.cn/fwzn/004003/20200426/bc8b2c1e-abe2-4168-913c-68ff93345faf.html"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http://sxggzyjy.xa.gov.cn/fwzn/004003/20200426/bc8b2c1e-abe2-4168-913c-68ff93345faf.html</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51" w:name="_Toc7605"/>
      <w:bookmarkStart w:id="152" w:name="_Toc9214"/>
      <w:bookmarkStart w:id="153" w:name="_Toc10446"/>
      <w:bookmarkStart w:id="154" w:name="_Toc12424"/>
      <w:r>
        <w:rPr>
          <w:rFonts w:hint="eastAsia" w:ascii="宋体" w:hAnsi="宋体" w:eastAsia="宋体" w:cs="宋体"/>
          <w:color w:val="000000" w:themeColor="text1"/>
          <w:sz w:val="28"/>
          <w:szCs w:val="28"/>
          <w:highlight w:val="none"/>
          <w14:textFill>
            <w14:solidFill>
              <w14:schemeClr w14:val="tx1"/>
            </w14:solidFill>
          </w14:textFill>
        </w:rPr>
        <w:t>（一）开标环节投标文件视为无效的情形</w:t>
      </w:r>
      <w:bookmarkEnd w:id="151"/>
      <w:bookmarkEnd w:id="152"/>
      <w:bookmarkEnd w:id="153"/>
      <w:bookmarkEnd w:id="154"/>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1．供应商放弃或拒绝对电子投标文件进行解密的。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2．因供应商自身原因，导致未在规定的解密时限内完整解密的，如忘带CA锁、或携带的CA锁与加密文件的CA锁不同、或使用旧版招标文件编制投标文件等情形。</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3．上传的电子投标文件无法正常打开的。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4．政府采购法律法规规定的其他无效情形。</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55" w:name="_Toc10968"/>
      <w:bookmarkStart w:id="156" w:name="_Toc25819"/>
      <w:bookmarkStart w:id="157" w:name="_Toc21249"/>
      <w:bookmarkStart w:id="158" w:name="_Toc4986"/>
      <w:r>
        <w:rPr>
          <w:rFonts w:hint="eastAsia" w:ascii="宋体" w:hAnsi="宋体" w:eastAsia="宋体" w:cs="宋体"/>
          <w:color w:val="000000" w:themeColor="text1"/>
          <w:sz w:val="28"/>
          <w:szCs w:val="28"/>
          <w:highlight w:val="none"/>
          <w14:textFill>
            <w14:solidFill>
              <w14:schemeClr w14:val="tx1"/>
            </w14:solidFill>
          </w14:textFill>
        </w:rPr>
        <w:t>（二）突发状况的应急处置</w:t>
      </w:r>
      <w:bookmarkEnd w:id="155"/>
      <w:bookmarkEnd w:id="156"/>
      <w:bookmarkEnd w:id="157"/>
      <w:bookmarkEnd w:id="158"/>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在开评标过程中，如因停电、断网、电子化系统故障等特殊原因导致电子化开、评标工作无法正常进行时，采购代理机构将及时汇报政府采购监管部门，并等待或中止后续活动。</w:t>
      </w:r>
    </w:p>
    <w:p>
      <w:pPr>
        <w:pStyle w:val="9"/>
        <w:rPr>
          <w:rFonts w:ascii="宋体" w:hAnsi="宋体" w:eastAsia="宋体" w:cs="宋体"/>
          <w:color w:val="000000" w:themeColor="text1"/>
          <w:sz w:val="28"/>
          <w:szCs w:val="28"/>
          <w:highlight w:val="none"/>
          <w14:textFill>
            <w14:solidFill>
              <w14:schemeClr w14:val="tx1"/>
            </w14:solidFill>
          </w14:textFill>
        </w:rPr>
      </w:pPr>
      <w:bookmarkStart w:id="159" w:name="_Toc13104"/>
      <w:r>
        <w:rPr>
          <w:rFonts w:hint="eastAsia" w:ascii="宋体" w:hAnsi="宋体" w:eastAsia="宋体" w:cs="宋体"/>
          <w:color w:val="000000" w:themeColor="text1"/>
          <w:sz w:val="28"/>
          <w:szCs w:val="28"/>
          <w:highlight w:val="none"/>
          <w14:textFill>
            <w14:solidFill>
              <w14:schemeClr w14:val="tx1"/>
            </w14:solidFill>
          </w14:textFill>
        </w:rPr>
        <w:t>六、资格审查</w:t>
      </w:r>
      <w:bookmarkEnd w:id="159"/>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开标结束后，依据法律法规和招标文件的规定，对投标文件中的资格证明文件等进行审查，以确保供应商是否具备相应资格。</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60"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合格供应商不足3家的，不得评标。</w:t>
      </w:r>
    </w:p>
    <w:p>
      <w:pP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〖资格性审查表〗</w:t>
      </w:r>
    </w:p>
    <w:tbl>
      <w:tblPr>
        <w:tblStyle w:val="34"/>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940"/>
        <w:gridCol w:w="609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8"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1940"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资格项</w:t>
            </w:r>
          </w:p>
        </w:tc>
        <w:tc>
          <w:tcPr>
            <w:tcW w:w="6092"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836" w:type="dxa"/>
            <w:tcBorders>
              <w:top w:val="single" w:color="auto" w:sz="2" w:space="0"/>
            </w:tcBorders>
            <w:shd w:val="clear" w:color="auto" w:fill="auto"/>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w:t>
            </w:r>
          </w:p>
        </w:tc>
        <w:tc>
          <w:tcPr>
            <w:tcW w:w="8032" w:type="dxa"/>
            <w:gridSpan w:val="2"/>
            <w:tcBorders>
              <w:top w:val="single" w:color="auto" w:sz="2" w:space="0"/>
            </w:tcBorders>
            <w:shd w:val="clear" w:color="auto" w:fill="auto"/>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97" w:hRule="atLeast"/>
          <w:jc w:val="center"/>
        </w:trPr>
        <w:tc>
          <w:tcPr>
            <w:tcW w:w="836"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1940"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有效的主体资格证明</w:t>
            </w:r>
          </w:p>
        </w:tc>
        <w:tc>
          <w:tcPr>
            <w:tcW w:w="6092"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54" w:hRule="atLeast"/>
          <w:jc w:val="center"/>
        </w:trPr>
        <w:tc>
          <w:tcPr>
            <w:tcW w:w="836"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1940" w:type="dxa"/>
            <w:vAlign w:val="center"/>
          </w:tcPr>
          <w:p>
            <w:pPr>
              <w:jc w:val="center"/>
              <w:rPr>
                <w:rFonts w:hint="default" w:ascii="宋体" w:hAnsi="宋体" w:eastAsia="宋体" w:cs="宋体"/>
                <w:color w:val="000000" w:themeColor="text1"/>
                <w:sz w:val="28"/>
                <w:szCs w:val="28"/>
                <w:highlight w:val="none"/>
                <w:lang w:val="en-US" w:eastAsia="zh-CN" w:bidi="ar-SA"/>
                <w14:textFill>
                  <w14:solidFill>
                    <w14:schemeClr w14:val="tx1"/>
                  </w14:solidFill>
                </w14:textFill>
              </w:rPr>
            </w:pPr>
            <w:r>
              <w:rPr>
                <w:rFonts w:hint="default" w:ascii="宋体" w:hAnsi="宋体" w:eastAsia="宋体" w:cs="宋体"/>
                <w:color w:val="000000" w:themeColor="text1"/>
                <w:sz w:val="28"/>
                <w:szCs w:val="28"/>
                <w:highlight w:val="none"/>
                <w:lang w:val="en-US" w:eastAsia="zh-CN" w:bidi="ar-SA"/>
                <w14:textFill>
                  <w14:solidFill>
                    <w14:schemeClr w14:val="tx1"/>
                  </w14:solidFill>
                </w14:textFill>
              </w:rPr>
              <w:t>财务状况报告</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提供202</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或2022年的财务审计报告（成立时间至提交响应文件截止时间不足一年的可提供成立后任意时段的资产负债表）或其基本存款账户开户银行出具的资信证明及基本存款账户开户许可证（基本账户存款信息）；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90" w:hRule="atLeast"/>
          <w:jc w:val="center"/>
        </w:trPr>
        <w:tc>
          <w:tcPr>
            <w:tcW w:w="836" w:type="dxa"/>
            <w:vAlign w:val="center"/>
          </w:tcPr>
          <w:p>
            <w:pPr>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1940" w:type="dxa"/>
            <w:vAlign w:val="center"/>
          </w:tcPr>
          <w:p>
            <w:pPr>
              <w:jc w:val="center"/>
              <w:rPr>
                <w:rFonts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税收缴纳证明</w:t>
            </w:r>
          </w:p>
        </w:tc>
        <w:tc>
          <w:tcPr>
            <w:tcW w:w="6092" w:type="dxa"/>
            <w:vAlign w:val="center"/>
          </w:tcPr>
          <w:p>
            <w:pPr>
              <w:jc w:val="both"/>
              <w:rPr>
                <w:rFonts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提供2022年至今已缴纳的6个月的纳税证明或完税证明，依法免税的单位应提供相关证明材料；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60"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社会保障资金缴纳证明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提供2022年至今已缴纳的6个月的社会保障资金缴存单据或社保机构开具的社会保险参保缴费情况证明，依法不需要缴纳社会保障资金的单位应提供相关证明材料；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836" w:type="dxa"/>
            <w:vAlign w:val="center"/>
          </w:tcPr>
          <w:p>
            <w:pPr>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p>
        </w:tc>
        <w:tc>
          <w:tcPr>
            <w:tcW w:w="1940" w:type="dxa"/>
            <w:vAlign w:val="center"/>
          </w:tcPr>
          <w:p>
            <w:pPr>
              <w:jc w:val="center"/>
              <w:rPr>
                <w:rFonts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履行合同所必需的设备和专业技术能力</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提供具有履行合同所必需的设备和专业技术能力的承诺；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5" w:hRule="atLeast"/>
          <w:jc w:val="center"/>
        </w:trPr>
        <w:tc>
          <w:tcPr>
            <w:tcW w:w="836"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p>
        </w:tc>
        <w:tc>
          <w:tcPr>
            <w:tcW w:w="1940" w:type="dxa"/>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前三年</w:t>
            </w:r>
            <w:r>
              <w:rPr>
                <w:rFonts w:hint="eastAsia" w:ascii="宋体" w:hAnsi="宋体" w:eastAsia="宋体" w:cs="宋体"/>
                <w:color w:val="000000" w:themeColor="text1"/>
                <w:sz w:val="28"/>
                <w:szCs w:val="28"/>
                <w:highlight w:val="none"/>
                <w14:textFill>
                  <w14:solidFill>
                    <w14:schemeClr w14:val="tx1"/>
                  </w14:solidFill>
                </w14:textFill>
              </w:rPr>
              <w:t>无重大违法记录声明</w:t>
            </w:r>
          </w:p>
        </w:tc>
        <w:tc>
          <w:tcPr>
            <w:tcW w:w="6092" w:type="dxa"/>
            <w:vAlign w:val="center"/>
          </w:tcPr>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参加政府采购活动前三年内，在经营活动中没有重大违法记录的书面声明；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836" w:type="dxa"/>
            <w:vAlign w:val="center"/>
          </w:tcPr>
          <w:p>
            <w:pPr>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w:t>
            </w:r>
          </w:p>
        </w:tc>
        <w:tc>
          <w:tcPr>
            <w:tcW w:w="1940" w:type="dxa"/>
            <w:vAlign w:val="center"/>
          </w:tcPr>
          <w:p>
            <w:pPr>
              <w:jc w:val="center"/>
              <w:rPr>
                <w:rFonts w:hint="default"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授权书被授权人身份证</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法定代表人授权书及被授权人身份证（法定代表人直接参加</w:t>
            </w:r>
            <w:r>
              <w:rPr>
                <w:rFonts w:hint="eastAsia" w:ascii="宋体" w:hAnsi="宋体" w:eastAsia="宋体" w:cs="宋体"/>
                <w:color w:val="000000" w:themeColor="text1"/>
                <w:sz w:val="28"/>
                <w:szCs w:val="28"/>
                <w:highlight w:val="none"/>
                <w:lang w:val="en-US" w:eastAsia="zh-CN"/>
                <w14:textFill>
                  <w14:solidFill>
                    <w14:schemeClr w14:val="tx1"/>
                  </w14:solidFill>
                </w14:textFill>
              </w:rPr>
              <w:t>投标</w:t>
            </w:r>
            <w:r>
              <w:rPr>
                <w:rFonts w:hint="eastAsia" w:ascii="宋体" w:hAnsi="宋体" w:eastAsia="宋体" w:cs="宋体"/>
                <w:color w:val="000000" w:themeColor="text1"/>
                <w:sz w:val="28"/>
                <w:szCs w:val="28"/>
                <w:highlight w:val="none"/>
                <w:lang w:eastAsia="zh-CN"/>
                <w14:textFill>
                  <w14:solidFill>
                    <w14:schemeClr w14:val="tx1"/>
                  </w14:solidFill>
                </w14:textFill>
              </w:rPr>
              <w:t>的须提供其法人身份证），非法人单位参照执行；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5" w:hRule="atLeast"/>
          <w:jc w:val="center"/>
        </w:trPr>
        <w:tc>
          <w:tcPr>
            <w:tcW w:w="836" w:type="dxa"/>
            <w:vAlign w:val="center"/>
          </w:tcPr>
          <w:p>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p>
        </w:tc>
        <w:tc>
          <w:tcPr>
            <w:tcW w:w="1940" w:type="dxa"/>
            <w:vAlign w:val="center"/>
          </w:tcPr>
          <w:p>
            <w:pPr>
              <w:jc w:val="center"/>
              <w:rPr>
                <w:rFonts w:hint="default"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信用查询</w:t>
            </w:r>
          </w:p>
        </w:tc>
        <w:tc>
          <w:tcPr>
            <w:tcW w:w="6092" w:type="dxa"/>
            <w:vAlign w:val="center"/>
          </w:tcPr>
          <w:p>
            <w:pPr>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zh-CN" w:eastAsia="zh-CN"/>
                <w14:textFill>
                  <w14:solidFill>
                    <w14:schemeClr w14:val="tx1"/>
                  </w14:solidFill>
                </w14:textFill>
              </w:rPr>
              <w:t>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政府采购严重违法失信行为记录名单中被财政部门禁止参加政府采购活动的供应商（采购代理机构自行查询，采购代理机构查询时限为投标文件递交截止之日）；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3" w:hRule="atLeast"/>
          <w:jc w:val="center"/>
        </w:trPr>
        <w:tc>
          <w:tcPr>
            <w:tcW w:w="836" w:type="dxa"/>
            <w:vAlign w:val="center"/>
          </w:tcPr>
          <w:p>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w:t>
            </w:r>
          </w:p>
        </w:tc>
        <w:tc>
          <w:tcPr>
            <w:tcW w:w="1940" w:type="dxa"/>
            <w:vAlign w:val="center"/>
          </w:tcPr>
          <w:p>
            <w:pPr>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中小企业</w:t>
            </w:r>
          </w:p>
        </w:tc>
        <w:tc>
          <w:tcPr>
            <w:tcW w:w="6092" w:type="dxa"/>
            <w:vAlign w:val="center"/>
          </w:tcPr>
          <w:p>
            <w:pPr>
              <w:jc w:val="both"/>
              <w:rPr>
                <w:rFonts w:hint="eastAsia" w:ascii="宋体" w:hAnsi="宋体" w:eastAsia="宋体" w:cs="宋体"/>
                <w:color w:val="000000" w:themeColor="text1"/>
                <w:sz w:val="28"/>
                <w:szCs w:val="28"/>
                <w:highlight w:val="none"/>
                <w:lang w:val="zh-CN"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本项目为专门面向中小企业采购（提供中小企业声明函或监狱企业的证明文件或残疾人福利性单位声明函）。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18" w:hRule="atLeast"/>
          <w:jc w:val="center"/>
        </w:trPr>
        <w:tc>
          <w:tcPr>
            <w:tcW w:w="8868" w:type="dxa"/>
            <w:gridSpan w:val="3"/>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注意事项：</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3．以联合体形式参与投标时，应提供有效的《联合体协议书》，并遵循招标文件第二章中“关于联合体”的相关规定。</w:t>
            </w:r>
          </w:p>
          <w:p>
            <w:pPr>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基本存款账户信息》、《无重大违法记录声明》、《法定代表人委托授权书》、《法定代表人身份证明书》、《联合体协议书》应按第五章《投标文件构成及格式》中给定的格式填写，并按要求签字、盖章。</w:t>
            </w:r>
          </w:p>
          <w:p>
            <w:pPr>
              <w:jc w:val="both"/>
              <w:rPr>
                <w:rFonts w:hint="eastAsia" w:ascii="宋体" w:hAnsi="宋体" w:eastAsia="宋体" w:cs="宋体"/>
                <w:sz w:val="24"/>
                <w:lang w:val="en-US" w:eastAsia="zh-CN"/>
              </w:rPr>
            </w:pPr>
            <w:r>
              <w:rPr>
                <w:rFonts w:hint="eastAsia" w:ascii="宋体" w:hAnsi="宋体" w:eastAsia="宋体" w:cs="宋体"/>
                <w:color w:val="000000" w:themeColor="text1"/>
                <w:sz w:val="28"/>
                <w:szCs w:val="28"/>
                <w:highlight w:val="none"/>
                <w14:textFill>
                  <w14:solidFill>
                    <w14:schemeClr w14:val="tx1"/>
                  </w14:solidFill>
                </w14:textFill>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rPr>
          <w:rFonts w:ascii="宋体" w:hAnsi="宋体" w:eastAsia="宋体" w:cs="宋体"/>
          <w:color w:val="000000" w:themeColor="text1"/>
          <w:sz w:val="28"/>
          <w:szCs w:val="28"/>
          <w:highlight w:val="none"/>
          <w14:textFill>
            <w14:solidFill>
              <w14:schemeClr w14:val="tx1"/>
            </w14:solidFill>
          </w14:textFill>
        </w:rPr>
      </w:pPr>
    </w:p>
    <w:p>
      <w:pPr>
        <w:pStyle w:val="9"/>
        <w:rPr>
          <w:rFonts w:ascii="宋体" w:hAnsi="宋体" w:eastAsia="宋体" w:cs="宋体"/>
          <w:color w:val="000000" w:themeColor="text1"/>
          <w:sz w:val="28"/>
          <w:szCs w:val="28"/>
          <w:highlight w:val="none"/>
          <w14:textFill>
            <w14:solidFill>
              <w14:schemeClr w14:val="tx1"/>
            </w14:solidFill>
          </w14:textFill>
        </w:rPr>
      </w:pPr>
      <w:bookmarkStart w:id="160" w:name="_Toc32767"/>
      <w:r>
        <w:rPr>
          <w:rFonts w:hint="eastAsia" w:ascii="宋体" w:hAnsi="宋体" w:eastAsia="宋体" w:cs="宋体"/>
          <w:color w:val="000000" w:themeColor="text1"/>
          <w:sz w:val="28"/>
          <w:szCs w:val="28"/>
          <w:highlight w:val="none"/>
          <w14:textFill>
            <w14:solidFill>
              <w14:schemeClr w14:val="tx1"/>
            </w14:solidFill>
          </w14:textFill>
        </w:rPr>
        <w:t>七、评审方法和程序</w:t>
      </w:r>
      <w:bookmarkEnd w:id="160"/>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61" w:name="_Toc3761"/>
      <w:bookmarkStart w:id="162" w:name="_Toc14101"/>
      <w:bookmarkStart w:id="163" w:name="_Toc17161"/>
      <w:bookmarkStart w:id="164" w:name="_Toc29299"/>
      <w:r>
        <w:rPr>
          <w:rFonts w:hint="eastAsia" w:ascii="宋体" w:hAnsi="宋体" w:eastAsia="宋体" w:cs="宋体"/>
          <w:color w:val="000000" w:themeColor="text1"/>
          <w:sz w:val="28"/>
          <w:szCs w:val="28"/>
          <w:highlight w:val="none"/>
          <w14:textFill>
            <w14:solidFill>
              <w14:schemeClr w14:val="tx1"/>
            </w14:solidFill>
          </w14:textFill>
        </w:rPr>
        <w:t>（一）评标方法</w:t>
      </w:r>
      <w:bookmarkEnd w:id="161"/>
      <w:bookmarkEnd w:id="162"/>
      <w:bookmarkEnd w:id="163"/>
      <w:bookmarkEnd w:id="164"/>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本项目采用综合评分法，即投标文件满足招标文件全部实质性要求，且按照评审因素的量化指标评审得分最高的供应商为中标候选人。</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65" w:name="_Toc26336"/>
      <w:bookmarkStart w:id="166" w:name="_Toc20873"/>
      <w:bookmarkStart w:id="167" w:name="_Toc14944"/>
      <w:bookmarkStart w:id="168" w:name="_Toc27527"/>
      <w:r>
        <w:rPr>
          <w:rFonts w:hint="eastAsia" w:ascii="宋体" w:hAnsi="宋体" w:eastAsia="宋体" w:cs="宋体"/>
          <w:color w:val="000000" w:themeColor="text1"/>
          <w:sz w:val="28"/>
          <w:szCs w:val="28"/>
          <w:highlight w:val="none"/>
          <w14:textFill>
            <w14:solidFill>
              <w14:schemeClr w14:val="tx1"/>
            </w14:solidFill>
          </w14:textFill>
        </w:rPr>
        <w:t>（二）评标程序</w:t>
      </w:r>
      <w:bookmarkEnd w:id="165"/>
      <w:bookmarkEnd w:id="166"/>
      <w:bookmarkEnd w:id="167"/>
      <w:bookmarkEnd w:id="168"/>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169" w:name="_Toc18155"/>
      <w:bookmarkStart w:id="170" w:name="_Toc32585"/>
      <w:bookmarkStart w:id="171" w:name="_Toc5086"/>
      <w:r>
        <w:rPr>
          <w:rFonts w:hint="eastAsia" w:ascii="宋体" w:hAnsi="宋体" w:eastAsia="宋体" w:cs="宋体"/>
          <w:color w:val="000000" w:themeColor="text1"/>
          <w:sz w:val="28"/>
          <w:szCs w:val="28"/>
          <w:highlight w:val="none"/>
          <w14:textFill>
            <w14:solidFill>
              <w14:schemeClr w14:val="tx1"/>
            </w14:solidFill>
          </w14:textFill>
        </w:rPr>
        <w:t>1．组建评标委员会</w:t>
      </w:r>
      <w:bookmarkEnd w:id="169"/>
      <w:bookmarkEnd w:id="170"/>
      <w:bookmarkEnd w:id="171"/>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了确保评标工作的公平、公正，依据政府采购法和政府采购相关法规、规章，成立评标委员会，评标委员会由采购人代表和有关技术、经济等方面的专家组成，成员人数为5人及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由采购代理机构组织评标委员会推选评标组长，采购人代表不得担任组长。</w:t>
      </w:r>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172" w:name="_Toc1702"/>
      <w:bookmarkStart w:id="173" w:name="_Toc28107"/>
      <w:bookmarkStart w:id="174" w:name="_Toc19123"/>
      <w:r>
        <w:rPr>
          <w:rFonts w:hint="eastAsia" w:ascii="宋体" w:hAnsi="宋体" w:eastAsia="宋体" w:cs="宋体"/>
          <w:color w:val="000000" w:themeColor="text1"/>
          <w:sz w:val="28"/>
          <w:szCs w:val="28"/>
          <w:highlight w:val="none"/>
          <w14:textFill>
            <w14:solidFill>
              <w14:schemeClr w14:val="tx1"/>
            </w14:solidFill>
          </w14:textFill>
        </w:rPr>
        <w:t>2．投标文件的符合性审查</w:t>
      </w:r>
      <w:bookmarkEnd w:id="172"/>
      <w:bookmarkEnd w:id="173"/>
      <w:bookmarkEnd w:id="174"/>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供应商资格性审查通过后，评标委员会对符合资格的投标人的投标文件进行符合性审查，以确定其是否满足招标文件的实质性要求。</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〖符合性审查表〗</w:t>
      </w:r>
    </w:p>
    <w:tbl>
      <w:tblPr>
        <w:tblStyle w:val="34"/>
        <w:tblW w:w="944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64"/>
        <w:gridCol w:w="2586"/>
        <w:gridCol w:w="58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794" w:hRule="atLeast"/>
          <w:jc w:val="center"/>
        </w:trPr>
        <w:tc>
          <w:tcPr>
            <w:tcW w:w="964"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序号</w:t>
            </w:r>
          </w:p>
        </w:tc>
        <w:tc>
          <w:tcPr>
            <w:tcW w:w="258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符合性审查项</w:t>
            </w:r>
          </w:p>
        </w:tc>
        <w:tc>
          <w:tcPr>
            <w:tcW w:w="5890"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tcBorders>
              <w:top w:val="single" w:color="auto" w:sz="2" w:space="0"/>
            </w:tcBorders>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586" w:type="dxa"/>
            <w:tcBorders>
              <w:top w:val="single" w:color="auto" w:sz="2" w:space="0"/>
            </w:tcBorders>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投标报价是否超过预算或最高限价</w:t>
            </w:r>
          </w:p>
        </w:tc>
        <w:tc>
          <w:tcPr>
            <w:tcW w:w="5890" w:type="dxa"/>
            <w:tcBorders>
              <w:top w:val="single" w:color="auto" w:sz="2" w:space="0"/>
            </w:tcBorders>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投标报价未超过预算及最高限价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586"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交货期是否满足招标文件要求</w:t>
            </w:r>
          </w:p>
        </w:tc>
        <w:tc>
          <w:tcPr>
            <w:tcW w:w="5890"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交货期满足招标文件要求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794" w:hRule="atLeast"/>
          <w:jc w:val="center"/>
        </w:trPr>
        <w:tc>
          <w:tcPr>
            <w:tcW w:w="964"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w:t>
            </w:r>
          </w:p>
        </w:tc>
        <w:tc>
          <w:tcPr>
            <w:tcW w:w="2586"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质保期是否满足招标文件要求</w:t>
            </w:r>
          </w:p>
        </w:tc>
        <w:tc>
          <w:tcPr>
            <w:tcW w:w="5890" w:type="dxa"/>
            <w:vAlign w:val="center"/>
          </w:tcPr>
          <w:p>
            <w:pPr>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质保期满足招标文件要求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964"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p>
        </w:tc>
        <w:tc>
          <w:tcPr>
            <w:tcW w:w="2586"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w:t>
            </w:r>
          </w:p>
        </w:tc>
        <w:tc>
          <w:tcPr>
            <w:tcW w:w="5890" w:type="dxa"/>
            <w:vAlign w:val="center"/>
          </w:tcPr>
          <w:p>
            <w:pPr>
              <w:jc w:val="lef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64"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w:t>
            </w:r>
          </w:p>
        </w:tc>
        <w:tc>
          <w:tcPr>
            <w:tcW w:w="2586" w:type="dxa"/>
            <w:vAlign w:val="center"/>
          </w:tcPr>
          <w:p>
            <w:pPr>
              <w:spacing w:line="560" w:lineRule="exact"/>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投标文件有效期</w:t>
            </w:r>
          </w:p>
        </w:tc>
        <w:tc>
          <w:tcPr>
            <w:tcW w:w="5890" w:type="dxa"/>
            <w:vAlign w:val="center"/>
          </w:tcPr>
          <w:p>
            <w:pPr>
              <w:jc w:val="left"/>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175" w:name="_Toc26455"/>
            <w:bookmarkStart w:id="176" w:name="_Toc9318"/>
            <w:bookmarkStart w:id="177" w:name="_Toc21491"/>
            <w:r>
              <w:rPr>
                <w:rFonts w:hint="eastAsia" w:ascii="宋体" w:hAnsi="宋体" w:eastAsia="宋体" w:cs="宋体"/>
                <w:color w:val="000000" w:themeColor="text1"/>
                <w:sz w:val="28"/>
                <w:szCs w:val="28"/>
                <w:highlight w:val="none"/>
                <w:lang w:val="en-US" w:eastAsia="zh-CN"/>
                <w14:textFill>
                  <w14:solidFill>
                    <w14:schemeClr w14:val="tx1"/>
                  </w14:solidFill>
                </w14:textFill>
              </w:rPr>
              <w:t>6</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商务要求</w:t>
            </w:r>
            <w:r>
              <w:rPr>
                <w:rFonts w:hint="eastAsia" w:ascii="宋体" w:hAnsi="宋体" w:eastAsia="宋体" w:cs="宋体"/>
                <w:color w:val="000000" w:themeColor="text1"/>
                <w:sz w:val="28"/>
                <w:szCs w:val="28"/>
                <w:highlight w:val="none"/>
                <w14:textFill>
                  <w14:solidFill>
                    <w14:schemeClr w14:val="tx1"/>
                  </w14:solidFill>
                </w14:textFill>
              </w:rPr>
              <w:t>响应</w:t>
            </w:r>
          </w:p>
        </w:tc>
        <w:tc>
          <w:tcPr>
            <w:tcW w:w="5890"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完全响应招标文件商务</w:t>
            </w:r>
            <w:r>
              <w:rPr>
                <w:rFonts w:hint="eastAsia" w:ascii="宋体" w:hAnsi="宋体" w:eastAsia="宋体" w:cs="宋体"/>
                <w:color w:val="000000" w:themeColor="text1"/>
                <w:sz w:val="28"/>
                <w:szCs w:val="28"/>
                <w:highlight w:val="none"/>
                <w:lang w:val="en-US" w:eastAsia="zh-CN"/>
                <w14:textFill>
                  <w14:solidFill>
                    <w14:schemeClr w14:val="tx1"/>
                  </w14:solidFill>
                </w14:textFill>
              </w:rPr>
              <w:t>要求，不得出现负偏离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实质性条款响应</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符合招标文件的要求</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电子投标文件雷同性分析</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64" w:type="dxa"/>
            <w:vAlign w:val="center"/>
          </w:tcPr>
          <w:p>
            <w:pPr>
              <w:spacing w:line="560" w:lineRule="exact"/>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w:t>
            </w:r>
          </w:p>
        </w:tc>
        <w:tc>
          <w:tcPr>
            <w:tcW w:w="2586" w:type="dxa"/>
            <w:vAlign w:val="center"/>
          </w:tcPr>
          <w:p>
            <w:pPr>
              <w:spacing w:line="56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其他</w:t>
            </w:r>
          </w:p>
        </w:tc>
        <w:tc>
          <w:tcPr>
            <w:tcW w:w="5890" w:type="dxa"/>
            <w:vAlign w:val="center"/>
          </w:tcPr>
          <w:p>
            <w:pPr>
              <w:spacing w:line="560" w:lineRule="exact"/>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完全理解并接受法律法规和招标文件对供应商合法经营的各类规约和责任义务要求，没有出现法律法规或招标文件规定的其他无效情形</w:t>
            </w:r>
          </w:p>
        </w:tc>
      </w:tr>
    </w:tbl>
    <w:p>
      <w:pPr>
        <w:pStyle w:val="104"/>
        <w:outlineLvl w:val="9"/>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3．综合比较与评价</w:t>
      </w:r>
      <w:bookmarkEnd w:id="175"/>
      <w:bookmarkEnd w:id="176"/>
      <w:bookmarkEnd w:id="17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评标委员会按《评审要素及分值一览表》中规定的评标方法和标准，对通过符合性审查的投标文件进行商务和技术评估，综合比较与评价。</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出现下列情形的，供应商投标无效：</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（1）投标文件报价出现本章第五小节“投标报价”所列需要修正情形，但供应商对修正后的报价不予确认的。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spacing w:line="560" w:lineRule="exact"/>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〖评审要素及分值一览表〗</w:t>
      </w:r>
    </w:p>
    <w:tbl>
      <w:tblPr>
        <w:tblStyle w:val="34"/>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459"/>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74" w:type="dxa"/>
            <w:noWrap/>
            <w:vAlign w:val="center"/>
          </w:tcPr>
          <w:p>
            <w:pPr>
              <w:jc w:val="center"/>
              <w:rPr>
                <w:rFonts w:ascii="宋体" w:hAnsi="宋体" w:eastAsia="宋体" w:cs="宋体"/>
                <w:color w:val="000000" w:themeColor="text1"/>
                <w:highlight w:val="none"/>
                <w14:textFill>
                  <w14:solidFill>
                    <w14:schemeClr w14:val="tx1"/>
                  </w14:solidFill>
                </w14:textFill>
              </w:rPr>
            </w:pPr>
            <w:bookmarkStart w:id="178" w:name="_Toc14692"/>
            <w:bookmarkStart w:id="179" w:name="_Toc16015"/>
            <w:bookmarkStart w:id="180" w:name="_Toc29982"/>
            <w:r>
              <w:rPr>
                <w:rFonts w:hint="eastAsia" w:ascii="宋体" w:hAnsi="宋体" w:eastAsia="宋体" w:cs="宋体"/>
                <w:color w:val="000000" w:themeColor="text1"/>
                <w:highlight w:val="none"/>
                <w14:textFill>
                  <w14:solidFill>
                    <w14:schemeClr w14:val="tx1"/>
                  </w14:solidFill>
                </w14:textFill>
              </w:rPr>
              <w:t>评审项</w:t>
            </w:r>
          </w:p>
        </w:tc>
        <w:tc>
          <w:tcPr>
            <w:tcW w:w="1459" w:type="dxa"/>
            <w:noWrap/>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分值100分</w:t>
            </w:r>
          </w:p>
        </w:tc>
        <w:tc>
          <w:tcPr>
            <w:tcW w:w="7389" w:type="dxa"/>
            <w:noWrap/>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874" w:type="dxa"/>
            <w:noWrap/>
            <w:vAlign w:val="center"/>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报价</w:t>
            </w:r>
          </w:p>
        </w:tc>
        <w:tc>
          <w:tcPr>
            <w:tcW w:w="1459" w:type="dxa"/>
            <w:noWrap/>
            <w:vAlign w:val="center"/>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30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分</w:t>
            </w:r>
          </w:p>
        </w:tc>
        <w:tc>
          <w:tcPr>
            <w:tcW w:w="7389" w:type="dxa"/>
            <w:noWrap/>
            <w:vAlign w:val="center"/>
          </w:tcPr>
          <w:p>
            <w:pPr>
              <w:spacing w:line="360" w:lineRule="auto"/>
              <w:rPr>
                <w:rFonts w:ascii="宋体" w:hAnsi="宋体" w:eastAsia="宋体" w:cs="宋体"/>
                <w:color w:val="auto"/>
                <w:highlight w:val="none"/>
              </w:rPr>
            </w:pPr>
            <w:r>
              <w:rPr>
                <w:rFonts w:hint="eastAsia" w:ascii="宋体" w:hAnsi="宋体" w:eastAsia="宋体" w:cs="宋体"/>
                <w:color w:val="auto"/>
                <w:highlight w:val="none"/>
              </w:rPr>
              <w:t>经</w:t>
            </w:r>
            <w:r>
              <w:rPr>
                <w:rFonts w:hint="eastAsia" w:ascii="宋体" w:hAnsi="宋体" w:eastAsia="宋体" w:cs="宋体"/>
                <w:color w:val="auto"/>
                <w:highlight w:val="none"/>
                <w:lang w:val="en-US" w:eastAsia="zh-CN"/>
              </w:rPr>
              <w:t>资格性及符合性审查</w:t>
            </w:r>
            <w:r>
              <w:rPr>
                <w:rFonts w:hint="eastAsia" w:ascii="宋体" w:hAnsi="宋体" w:eastAsia="宋体" w:cs="宋体"/>
                <w:color w:val="auto"/>
                <w:highlight w:val="none"/>
              </w:rPr>
              <w:t>合格的供应商，其投标报价为有效报价。</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评标基准价：即满足采购文件要求且报价最低的为评标基准价。</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其他供应商的价格分统一按照下列公式计算。</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3" w:hRule="atLeast"/>
          <w:jc w:val="center"/>
        </w:trPr>
        <w:tc>
          <w:tcPr>
            <w:tcW w:w="874" w:type="dxa"/>
            <w:noWrap/>
            <w:vAlign w:val="center"/>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产品采购</w:t>
            </w:r>
            <w:r>
              <w:rPr>
                <w:rFonts w:hint="eastAsia" w:ascii="宋体" w:hAnsi="宋体" w:eastAsia="宋体" w:cs="宋体"/>
                <w:color w:val="auto"/>
                <w:highlight w:val="none"/>
              </w:rPr>
              <w:t>方案</w:t>
            </w:r>
          </w:p>
        </w:tc>
        <w:tc>
          <w:tcPr>
            <w:tcW w:w="1459" w:type="dxa"/>
            <w:noWrap/>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auto"/>
                <w:highlight w:val="none"/>
                <w:lang w:eastAsia="zh-CN"/>
              </w:rPr>
            </w:pPr>
            <w:r>
              <w:rPr>
                <w:rFonts w:hint="eastAsia" w:ascii="宋体" w:hAnsi="宋体" w:eastAsia="宋体" w:cs="宋体"/>
                <w:color w:val="auto"/>
                <w:highlight w:val="none"/>
              </w:rPr>
              <w:t>供应商对本项目的</w:t>
            </w:r>
            <w:r>
              <w:rPr>
                <w:rFonts w:hint="eastAsia" w:ascii="宋体" w:hAnsi="宋体" w:eastAsia="宋体" w:cs="宋体"/>
                <w:color w:val="auto"/>
                <w:highlight w:val="none"/>
                <w:lang w:val="en-US" w:eastAsia="zh-CN"/>
              </w:rPr>
              <w:t>产品采购</w:t>
            </w:r>
            <w:r>
              <w:rPr>
                <w:rFonts w:hint="eastAsia" w:ascii="宋体" w:hAnsi="宋体" w:eastAsia="宋体" w:cs="宋体"/>
                <w:color w:val="auto"/>
                <w:highlight w:val="none"/>
              </w:rPr>
              <w:t>制定具体的</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包括但不限于产品采购流程、采购渠道选择、采购过程中的质量把控、产品的入库验收等</w:t>
            </w:r>
            <w:r>
              <w:rPr>
                <w:rFonts w:hint="eastAsia" w:ascii="宋体" w:hAnsi="宋体" w:eastAsia="宋体" w:cs="宋体"/>
                <w:color w:val="auto"/>
                <w:highlight w:val="none"/>
                <w:lang w:eastAsia="zh-CN"/>
              </w:rPr>
              <w:t>）：</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方案完整、科学合理、操作性强，计</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15.0</w:t>
            </w:r>
            <w:r>
              <w:rPr>
                <w:rFonts w:hint="eastAsia" w:ascii="宋体" w:hAnsi="宋体" w:eastAsia="宋体" w:cs="宋体"/>
                <w:color w:val="auto"/>
                <w:highlight w:val="none"/>
              </w:rPr>
              <w:t>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方案较完整，工作目标</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rPr>
              <w:t>明确、工作保障措施</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rPr>
              <w:t>到位，计</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9.9</w:t>
            </w:r>
            <w:r>
              <w:rPr>
                <w:rFonts w:hint="eastAsia" w:ascii="宋体" w:hAnsi="宋体" w:eastAsia="宋体" w:cs="宋体"/>
                <w:color w:val="auto"/>
                <w:highlight w:val="none"/>
              </w:rPr>
              <w:t>分；</w:t>
            </w:r>
          </w:p>
          <w:p>
            <w:pPr>
              <w:keepNext/>
              <w:keepLines/>
              <w:spacing w:line="360" w:lineRule="auto"/>
              <w:outlineLvl w:val="3"/>
              <w:rPr>
                <w:rFonts w:hint="eastAsia" w:ascii="宋体" w:hAnsi="宋体" w:eastAsia="宋体" w:cs="宋体"/>
                <w:color w:val="auto"/>
                <w:highlight w:val="none"/>
                <w:lang w:eastAsia="zh-CN"/>
              </w:rPr>
            </w:pPr>
            <w:r>
              <w:rPr>
                <w:rFonts w:hint="eastAsia" w:ascii="宋体" w:hAnsi="宋体" w:eastAsia="宋体" w:cs="宋体"/>
                <w:color w:val="auto"/>
                <w:highlight w:val="none"/>
              </w:rPr>
              <w:t>方案可执行性</w:t>
            </w:r>
            <w:r>
              <w:rPr>
                <w:rFonts w:hint="eastAsia" w:ascii="宋体" w:hAnsi="宋体" w:eastAsia="宋体" w:cs="宋体"/>
                <w:color w:val="auto"/>
                <w:highlight w:val="none"/>
                <w:lang w:val="en-US" w:eastAsia="zh-CN"/>
              </w:rPr>
              <w:t>一般</w:t>
            </w:r>
            <w:r>
              <w:rPr>
                <w:rFonts w:hint="eastAsia" w:ascii="宋体" w:hAnsi="宋体" w:eastAsia="宋体" w:cs="宋体"/>
                <w:color w:val="auto"/>
                <w:highlight w:val="none"/>
              </w:rPr>
              <w:t>，计</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keepLines/>
              <w:spacing w:line="360" w:lineRule="auto"/>
              <w:outlineLvl w:val="3"/>
              <w:rPr>
                <w:rFonts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874" w:type="dxa"/>
            <w:noWrap/>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产品配送方案</w:t>
            </w:r>
          </w:p>
        </w:tc>
        <w:tc>
          <w:tcPr>
            <w:tcW w:w="1459" w:type="dxa"/>
            <w:noWrap/>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auto"/>
                <w:highlight w:val="none"/>
                <w:lang w:eastAsia="zh-CN"/>
              </w:rPr>
            </w:pPr>
            <w:r>
              <w:rPr>
                <w:rFonts w:hint="eastAsia" w:ascii="宋体" w:hAnsi="宋体" w:eastAsia="宋体" w:cs="宋体"/>
                <w:color w:val="auto"/>
                <w:highlight w:val="none"/>
              </w:rPr>
              <w:t>供应商对本项目的</w:t>
            </w:r>
            <w:r>
              <w:rPr>
                <w:rFonts w:hint="eastAsia" w:ascii="宋体" w:hAnsi="宋体" w:eastAsia="宋体" w:cs="宋体"/>
                <w:color w:val="auto"/>
                <w:highlight w:val="none"/>
                <w:lang w:val="en-US" w:eastAsia="zh-CN"/>
              </w:rPr>
              <w:t>产品配送</w:t>
            </w:r>
            <w:r>
              <w:rPr>
                <w:rFonts w:hint="eastAsia" w:ascii="宋体" w:hAnsi="宋体" w:eastAsia="宋体" w:cs="宋体"/>
                <w:color w:val="auto"/>
                <w:highlight w:val="none"/>
              </w:rPr>
              <w:t>制定具体的</w:t>
            </w:r>
            <w:r>
              <w:rPr>
                <w:rFonts w:hint="eastAsia" w:ascii="宋体" w:hAnsi="宋体" w:eastAsia="宋体" w:cs="宋体"/>
                <w:color w:val="auto"/>
                <w:highlight w:val="none"/>
                <w:lang w:val="en-US" w:eastAsia="zh-CN"/>
              </w:rPr>
              <w:t>配送</w:t>
            </w:r>
            <w:r>
              <w:rPr>
                <w:rFonts w:hint="eastAsia" w:ascii="宋体" w:hAnsi="宋体" w:eastAsia="宋体" w:cs="宋体"/>
                <w:color w:val="auto"/>
                <w:highlight w:val="none"/>
              </w:rPr>
              <w:t>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包括但不限于时限保证、物流安全、包装方式、运输方式、配送团队、产品交付等</w:t>
            </w:r>
            <w:r>
              <w:rPr>
                <w:rFonts w:hint="eastAsia" w:ascii="宋体" w:hAnsi="宋体" w:eastAsia="宋体" w:cs="宋体"/>
                <w:color w:val="auto"/>
                <w:highlight w:val="none"/>
                <w:lang w:eastAsia="zh-CN"/>
              </w:rPr>
              <w:t>）：</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方案完整、科学合理、操作性强，计</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15.0</w:t>
            </w:r>
            <w:r>
              <w:rPr>
                <w:rFonts w:hint="eastAsia" w:ascii="宋体" w:hAnsi="宋体" w:eastAsia="宋体" w:cs="宋体"/>
                <w:color w:val="auto"/>
                <w:highlight w:val="none"/>
              </w:rPr>
              <w:t>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方案较完整，工作目标</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rPr>
              <w:t>明确、工作保障措施</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rPr>
              <w:t>到位，计</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9.9</w:t>
            </w:r>
            <w:r>
              <w:rPr>
                <w:rFonts w:hint="eastAsia" w:ascii="宋体" w:hAnsi="宋体" w:eastAsia="宋体" w:cs="宋体"/>
                <w:color w:val="auto"/>
                <w:highlight w:val="none"/>
              </w:rPr>
              <w:t>分；</w:t>
            </w:r>
          </w:p>
          <w:p>
            <w:pPr>
              <w:keepNext/>
              <w:keepLines/>
              <w:spacing w:line="360" w:lineRule="auto"/>
              <w:outlineLvl w:val="3"/>
              <w:rPr>
                <w:rFonts w:hint="eastAsia" w:ascii="宋体" w:hAnsi="宋体" w:eastAsia="宋体" w:cs="宋体"/>
                <w:color w:val="auto"/>
                <w:highlight w:val="none"/>
                <w:lang w:eastAsia="zh-CN"/>
              </w:rPr>
            </w:pPr>
            <w:r>
              <w:rPr>
                <w:rFonts w:hint="eastAsia" w:ascii="宋体" w:hAnsi="宋体" w:eastAsia="宋体" w:cs="宋体"/>
                <w:color w:val="auto"/>
                <w:highlight w:val="none"/>
              </w:rPr>
              <w:t>方案可执行性</w:t>
            </w:r>
            <w:r>
              <w:rPr>
                <w:rFonts w:hint="eastAsia" w:ascii="宋体" w:hAnsi="宋体" w:eastAsia="宋体" w:cs="宋体"/>
                <w:color w:val="auto"/>
                <w:highlight w:val="none"/>
                <w:lang w:val="en-US" w:eastAsia="zh-CN"/>
              </w:rPr>
              <w:t>一般</w:t>
            </w:r>
            <w:r>
              <w:rPr>
                <w:rFonts w:hint="eastAsia" w:ascii="宋体" w:hAnsi="宋体" w:eastAsia="宋体" w:cs="宋体"/>
                <w:color w:val="auto"/>
                <w:highlight w:val="none"/>
              </w:rPr>
              <w:t>，计</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keepLines/>
              <w:spacing w:line="360" w:lineRule="auto"/>
              <w:outlineLvl w:val="3"/>
              <w:rPr>
                <w:rFonts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1" w:hRule="atLeast"/>
          <w:jc w:val="center"/>
        </w:trPr>
        <w:tc>
          <w:tcPr>
            <w:tcW w:w="874" w:type="dxa"/>
            <w:noWrap/>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人员组织方案</w:t>
            </w:r>
          </w:p>
        </w:tc>
        <w:tc>
          <w:tcPr>
            <w:tcW w:w="1459" w:type="dxa"/>
            <w:noWrap/>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auto"/>
                <w:highlight w:val="none"/>
                <w:lang w:eastAsia="zh-CN"/>
              </w:rPr>
            </w:pPr>
            <w:r>
              <w:rPr>
                <w:rFonts w:hint="eastAsia" w:ascii="宋体" w:hAnsi="宋体" w:eastAsia="宋体" w:cs="宋体"/>
                <w:color w:val="auto"/>
                <w:highlight w:val="none"/>
              </w:rPr>
              <w:t>供应商对本项目的</w:t>
            </w:r>
            <w:r>
              <w:rPr>
                <w:rFonts w:hint="eastAsia" w:ascii="宋体" w:hAnsi="宋体" w:eastAsia="宋体" w:cs="宋体"/>
                <w:color w:val="auto"/>
                <w:highlight w:val="none"/>
                <w:lang w:val="en-US" w:eastAsia="zh-CN"/>
              </w:rPr>
              <w:t>人员组织</w:t>
            </w:r>
            <w:r>
              <w:rPr>
                <w:rFonts w:hint="eastAsia" w:ascii="宋体" w:hAnsi="宋体" w:eastAsia="宋体" w:cs="宋体"/>
                <w:color w:val="auto"/>
                <w:highlight w:val="none"/>
              </w:rPr>
              <w:t>制定具体的方案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包括但不限于人员岗位职责、人员组成、人员管理制度、相关奖惩措施等</w:t>
            </w:r>
            <w:r>
              <w:rPr>
                <w:rFonts w:hint="eastAsia" w:ascii="宋体" w:hAnsi="宋体" w:eastAsia="宋体" w:cs="宋体"/>
                <w:color w:val="auto"/>
                <w:highlight w:val="none"/>
                <w:lang w:eastAsia="zh-CN"/>
              </w:rPr>
              <w:t>）：</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方案完整、科学合理、操作性强，计</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15.0</w:t>
            </w:r>
            <w:r>
              <w:rPr>
                <w:rFonts w:hint="eastAsia" w:ascii="宋体" w:hAnsi="宋体" w:eastAsia="宋体" w:cs="宋体"/>
                <w:color w:val="auto"/>
                <w:highlight w:val="none"/>
              </w:rPr>
              <w:t>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方案较完整，工作目标</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rPr>
              <w:t>明确、工作保障措施</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rPr>
              <w:t>到位，计</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9.9</w:t>
            </w:r>
            <w:r>
              <w:rPr>
                <w:rFonts w:hint="eastAsia" w:ascii="宋体" w:hAnsi="宋体" w:eastAsia="宋体" w:cs="宋体"/>
                <w:color w:val="auto"/>
                <w:highlight w:val="none"/>
              </w:rPr>
              <w:t>分；</w:t>
            </w:r>
          </w:p>
          <w:p>
            <w:pPr>
              <w:keepNext/>
              <w:keepLines/>
              <w:spacing w:line="360" w:lineRule="auto"/>
              <w:outlineLvl w:val="3"/>
              <w:rPr>
                <w:rFonts w:hint="eastAsia" w:ascii="宋体" w:hAnsi="宋体" w:eastAsia="宋体" w:cs="宋体"/>
                <w:color w:val="auto"/>
                <w:highlight w:val="none"/>
                <w:lang w:eastAsia="zh-CN"/>
              </w:rPr>
            </w:pPr>
            <w:r>
              <w:rPr>
                <w:rFonts w:hint="eastAsia" w:ascii="宋体" w:hAnsi="宋体" w:eastAsia="宋体" w:cs="宋体"/>
                <w:color w:val="auto"/>
                <w:highlight w:val="none"/>
              </w:rPr>
              <w:t>方案可执行性</w:t>
            </w:r>
            <w:r>
              <w:rPr>
                <w:rFonts w:hint="eastAsia" w:ascii="宋体" w:hAnsi="宋体" w:eastAsia="宋体" w:cs="宋体"/>
                <w:color w:val="auto"/>
                <w:highlight w:val="none"/>
                <w:lang w:val="en-US" w:eastAsia="zh-CN"/>
              </w:rPr>
              <w:t>一般</w:t>
            </w:r>
            <w:r>
              <w:rPr>
                <w:rFonts w:hint="eastAsia" w:ascii="宋体" w:hAnsi="宋体" w:eastAsia="宋体" w:cs="宋体"/>
                <w:color w:val="auto"/>
                <w:highlight w:val="none"/>
              </w:rPr>
              <w:t>，计</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keepLines/>
              <w:spacing w:line="360" w:lineRule="auto"/>
              <w:outlineLvl w:val="3"/>
              <w:rPr>
                <w:rFonts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874" w:type="dxa"/>
            <w:noWrap/>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质量保证方案</w:t>
            </w:r>
          </w:p>
        </w:tc>
        <w:tc>
          <w:tcPr>
            <w:tcW w:w="1459" w:type="dxa"/>
            <w:noWrap/>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15.0分</w:t>
            </w:r>
          </w:p>
        </w:tc>
        <w:tc>
          <w:tcPr>
            <w:tcW w:w="7389" w:type="dxa"/>
            <w:noWrap/>
            <w:vAlign w:val="center"/>
          </w:tcPr>
          <w:p>
            <w:pPr>
              <w:keepNext/>
              <w:keepLines/>
              <w:spacing w:line="360" w:lineRule="auto"/>
              <w:outlineLvl w:val="3"/>
              <w:rPr>
                <w:rFonts w:hint="eastAsia" w:ascii="宋体" w:hAnsi="宋体" w:eastAsia="宋体" w:cs="宋体"/>
                <w:color w:val="auto"/>
                <w:highlight w:val="none"/>
                <w:lang w:eastAsia="zh-CN"/>
              </w:rPr>
            </w:pPr>
            <w:r>
              <w:rPr>
                <w:rFonts w:hint="eastAsia" w:ascii="宋体" w:hAnsi="宋体" w:eastAsia="宋体" w:cs="宋体"/>
                <w:color w:val="auto"/>
                <w:highlight w:val="none"/>
              </w:rPr>
              <w:t>供应商对本项目的</w:t>
            </w:r>
            <w:r>
              <w:rPr>
                <w:rFonts w:hint="eastAsia" w:ascii="宋体" w:hAnsi="宋体" w:eastAsia="宋体" w:cs="宋体"/>
                <w:color w:val="auto"/>
                <w:highlight w:val="none"/>
                <w:lang w:val="en-US" w:eastAsia="zh-CN"/>
              </w:rPr>
              <w:t>产品质量保证</w:t>
            </w:r>
            <w:r>
              <w:rPr>
                <w:rFonts w:hint="eastAsia" w:ascii="宋体" w:hAnsi="宋体" w:eastAsia="宋体" w:cs="宋体"/>
                <w:color w:val="auto"/>
                <w:highlight w:val="none"/>
              </w:rPr>
              <w:t>制定具体的方案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包括但不限于</w:t>
            </w:r>
            <w:r>
              <w:rPr>
                <w:rFonts w:hint="eastAsia" w:ascii="宋体" w:hAnsi="宋体" w:cs="宋体"/>
                <w:color w:val="auto"/>
                <w:sz w:val="24"/>
                <w:szCs w:val="24"/>
              </w:rPr>
              <w:t>产品的</w:t>
            </w:r>
            <w:r>
              <w:rPr>
                <w:rFonts w:hint="eastAsia" w:ascii="宋体" w:hAnsi="宋体" w:cs="宋体"/>
                <w:color w:val="auto"/>
                <w:sz w:val="24"/>
                <w:szCs w:val="24"/>
                <w:lang w:val="en-US" w:eastAsia="zh-CN"/>
              </w:rPr>
              <w:t>质量检验检测设备</w:t>
            </w:r>
            <w:r>
              <w:rPr>
                <w:rFonts w:hint="eastAsia" w:ascii="宋体" w:hAnsi="宋体" w:cs="宋体"/>
                <w:color w:val="auto"/>
                <w:sz w:val="24"/>
                <w:szCs w:val="24"/>
                <w:lang w:eastAsia="zh-CN"/>
              </w:rPr>
              <w:t>、</w:t>
            </w:r>
            <w:r>
              <w:rPr>
                <w:rFonts w:hint="eastAsia" w:ascii="宋体" w:hAnsi="宋体" w:cs="宋体"/>
                <w:color w:val="auto"/>
                <w:sz w:val="24"/>
                <w:szCs w:val="24"/>
              </w:rPr>
              <w:t>生产厂家实力</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初步验收方案等</w:t>
            </w:r>
            <w:r>
              <w:rPr>
                <w:rFonts w:hint="eastAsia" w:ascii="宋体" w:hAnsi="宋体" w:eastAsia="宋体" w:cs="宋体"/>
                <w:color w:val="auto"/>
                <w:highlight w:val="none"/>
                <w:lang w:eastAsia="zh-CN"/>
              </w:rPr>
              <w:t>）：</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方案完整、科学合理、操作性强，计</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15.0</w:t>
            </w:r>
            <w:r>
              <w:rPr>
                <w:rFonts w:hint="eastAsia" w:ascii="宋体" w:hAnsi="宋体" w:eastAsia="宋体" w:cs="宋体"/>
                <w:color w:val="auto"/>
                <w:highlight w:val="none"/>
              </w:rPr>
              <w:t>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方案较完整，工作目标</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rPr>
              <w:t>明确、工作保障措施</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rPr>
              <w:t>到位，计</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9.9</w:t>
            </w:r>
            <w:r>
              <w:rPr>
                <w:rFonts w:hint="eastAsia" w:ascii="宋体" w:hAnsi="宋体" w:eastAsia="宋体" w:cs="宋体"/>
                <w:color w:val="auto"/>
                <w:highlight w:val="none"/>
              </w:rPr>
              <w:t>分；</w:t>
            </w:r>
          </w:p>
          <w:p>
            <w:pPr>
              <w:keepNext/>
              <w:keepLines/>
              <w:spacing w:line="360" w:lineRule="auto"/>
              <w:outlineLvl w:val="3"/>
              <w:rPr>
                <w:rFonts w:hint="eastAsia" w:ascii="宋体" w:hAnsi="宋体" w:eastAsia="宋体" w:cs="宋体"/>
                <w:color w:val="auto"/>
                <w:highlight w:val="none"/>
                <w:lang w:eastAsia="zh-CN"/>
              </w:rPr>
            </w:pPr>
            <w:r>
              <w:rPr>
                <w:rFonts w:hint="eastAsia" w:ascii="宋体" w:hAnsi="宋体" w:eastAsia="宋体" w:cs="宋体"/>
                <w:color w:val="auto"/>
                <w:highlight w:val="none"/>
              </w:rPr>
              <w:t>方案可执行性</w:t>
            </w:r>
            <w:r>
              <w:rPr>
                <w:rFonts w:hint="eastAsia" w:ascii="宋体" w:hAnsi="宋体" w:eastAsia="宋体" w:cs="宋体"/>
                <w:color w:val="auto"/>
                <w:highlight w:val="none"/>
                <w:lang w:val="en-US" w:eastAsia="zh-CN"/>
              </w:rPr>
              <w:t>一般</w:t>
            </w:r>
            <w:r>
              <w:rPr>
                <w:rFonts w:hint="eastAsia" w:ascii="宋体" w:hAnsi="宋体" w:eastAsia="宋体" w:cs="宋体"/>
                <w:color w:val="auto"/>
                <w:highlight w:val="none"/>
              </w:rPr>
              <w:t>，计</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keepNext/>
              <w:keepLines/>
              <w:spacing w:line="360" w:lineRule="auto"/>
              <w:outlineLvl w:val="3"/>
              <w:rPr>
                <w:rFonts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874" w:type="dxa"/>
            <w:noWrap/>
            <w:vAlign w:val="center"/>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售后服务方案</w:t>
            </w:r>
          </w:p>
        </w:tc>
        <w:tc>
          <w:tcPr>
            <w:tcW w:w="1459" w:type="dxa"/>
            <w:noWrap/>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9.0分</w:t>
            </w:r>
          </w:p>
        </w:tc>
        <w:tc>
          <w:tcPr>
            <w:tcW w:w="7389" w:type="dxa"/>
            <w:noWrap/>
            <w:vAlign w:val="center"/>
          </w:tcPr>
          <w:p>
            <w:pPr>
              <w:keepNext/>
              <w:keepLines/>
              <w:spacing w:line="360" w:lineRule="auto"/>
              <w:outlineLvl w:val="3"/>
              <w:rPr>
                <w:rFonts w:hint="eastAsia" w:ascii="宋体" w:hAnsi="宋体" w:eastAsia="宋体" w:cs="宋体"/>
                <w:color w:val="auto"/>
                <w:highlight w:val="none"/>
                <w:lang w:eastAsia="zh-CN"/>
              </w:rPr>
            </w:pPr>
            <w:r>
              <w:rPr>
                <w:rFonts w:hint="eastAsia" w:ascii="宋体" w:hAnsi="宋体" w:eastAsia="宋体" w:cs="宋体"/>
                <w:color w:val="auto"/>
                <w:highlight w:val="none"/>
              </w:rPr>
              <w:t>供应商对本项目的</w:t>
            </w:r>
            <w:r>
              <w:rPr>
                <w:rFonts w:hint="eastAsia" w:ascii="宋体" w:hAnsi="宋体" w:eastAsia="宋体" w:cs="宋体"/>
                <w:color w:val="auto"/>
                <w:highlight w:val="none"/>
                <w:lang w:val="en-US" w:eastAsia="zh-CN"/>
              </w:rPr>
              <w:t>产品质量保证</w:t>
            </w:r>
            <w:r>
              <w:rPr>
                <w:rFonts w:hint="eastAsia" w:ascii="宋体" w:hAnsi="宋体" w:eastAsia="宋体" w:cs="宋体"/>
                <w:color w:val="auto"/>
                <w:highlight w:val="none"/>
              </w:rPr>
              <w:t>制定具体的方案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包括但不限于</w:t>
            </w:r>
            <w:r>
              <w:rPr>
                <w:rFonts w:hint="eastAsia" w:ascii="宋体" w:hAnsi="宋体" w:eastAsia="宋体" w:cs="宋体"/>
                <w:color w:val="auto"/>
                <w:highlight w:val="none"/>
              </w:rPr>
              <w:t>交付用户后出现问题响应时间、针对突发事件的应急措施和解决方案等</w:t>
            </w:r>
            <w:r>
              <w:rPr>
                <w:rFonts w:hint="eastAsia" w:ascii="宋体" w:hAnsi="宋体" w:eastAsia="宋体" w:cs="宋体"/>
                <w:color w:val="auto"/>
                <w:highlight w:val="none"/>
                <w:lang w:eastAsia="zh-CN"/>
              </w:rPr>
              <w:t>）：</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方案完整、科学合理、操作性强，计</w:t>
            </w:r>
            <w:r>
              <w:rPr>
                <w:rFonts w:hint="eastAsia" w:ascii="宋体" w:hAnsi="宋体" w:eastAsia="宋体" w:cs="宋体"/>
                <w:color w:val="auto"/>
                <w:highlight w:val="none"/>
                <w:lang w:val="en-US" w:eastAsia="zh-CN"/>
              </w:rPr>
              <w:t>5.5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9.0</w:t>
            </w:r>
            <w:r>
              <w:rPr>
                <w:rFonts w:hint="eastAsia" w:ascii="宋体" w:hAnsi="宋体" w:eastAsia="宋体" w:cs="宋体"/>
                <w:color w:val="auto"/>
                <w:highlight w:val="none"/>
              </w:rPr>
              <w:t>分；</w:t>
            </w:r>
          </w:p>
          <w:p>
            <w:pPr>
              <w:keepNext/>
              <w:keepLines/>
              <w:spacing w:line="360" w:lineRule="auto"/>
              <w:outlineLvl w:val="3"/>
              <w:rPr>
                <w:rFonts w:hint="eastAsia" w:ascii="宋体" w:hAnsi="宋体" w:eastAsia="宋体" w:cs="宋体"/>
                <w:color w:val="auto"/>
                <w:highlight w:val="none"/>
              </w:rPr>
            </w:pPr>
            <w:r>
              <w:rPr>
                <w:rFonts w:hint="eastAsia" w:ascii="宋体" w:hAnsi="宋体" w:eastAsia="宋体" w:cs="宋体"/>
                <w:color w:val="auto"/>
                <w:highlight w:val="none"/>
              </w:rPr>
              <w:t>方案较完整，工作目标</w:t>
            </w:r>
            <w:r>
              <w:rPr>
                <w:rFonts w:hint="eastAsia" w:ascii="宋体" w:hAnsi="宋体" w:eastAsia="宋体" w:cs="宋体"/>
                <w:color w:val="auto"/>
                <w:highlight w:val="none"/>
                <w:lang w:val="en-US" w:eastAsia="zh-CN"/>
              </w:rPr>
              <w:t>较</w:t>
            </w:r>
            <w:r>
              <w:rPr>
                <w:rFonts w:hint="eastAsia" w:ascii="宋体" w:hAnsi="宋体" w:eastAsia="宋体" w:cs="宋体"/>
                <w:color w:val="auto"/>
                <w:highlight w:val="none"/>
              </w:rPr>
              <w:t>明确、工作保障措施</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rPr>
              <w:t>到位，计</w:t>
            </w: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5.4</w:t>
            </w:r>
            <w:r>
              <w:rPr>
                <w:rFonts w:hint="eastAsia" w:ascii="宋体" w:hAnsi="宋体" w:eastAsia="宋体" w:cs="宋体"/>
                <w:color w:val="auto"/>
                <w:highlight w:val="none"/>
              </w:rPr>
              <w:t>分；</w:t>
            </w:r>
          </w:p>
          <w:p>
            <w:pPr>
              <w:keepNext/>
              <w:keepLines/>
              <w:spacing w:line="360" w:lineRule="auto"/>
              <w:outlineLvl w:val="3"/>
              <w:rPr>
                <w:rFonts w:hint="eastAsia" w:ascii="宋体" w:hAnsi="宋体" w:eastAsia="宋体" w:cs="宋体"/>
                <w:color w:val="auto"/>
                <w:highlight w:val="none"/>
                <w:lang w:eastAsia="zh-CN"/>
              </w:rPr>
            </w:pPr>
            <w:r>
              <w:rPr>
                <w:rFonts w:hint="eastAsia" w:ascii="宋体" w:hAnsi="宋体" w:eastAsia="宋体" w:cs="宋体"/>
                <w:color w:val="auto"/>
                <w:highlight w:val="none"/>
              </w:rPr>
              <w:t>方案可执行性</w:t>
            </w:r>
            <w:r>
              <w:rPr>
                <w:rFonts w:hint="eastAsia" w:ascii="宋体" w:hAnsi="宋体" w:eastAsia="宋体" w:cs="宋体"/>
                <w:color w:val="auto"/>
                <w:highlight w:val="none"/>
                <w:lang w:val="en-US" w:eastAsia="zh-CN"/>
              </w:rPr>
              <w:t>一般</w:t>
            </w:r>
            <w:r>
              <w:rPr>
                <w:rFonts w:hint="eastAsia" w:ascii="宋体" w:hAnsi="宋体" w:eastAsia="宋体" w:cs="宋体"/>
                <w:color w:val="auto"/>
                <w:highlight w:val="none"/>
              </w:rPr>
              <w:t>，计</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pPr>
              <w:spacing w:line="360" w:lineRule="auto"/>
              <w:rPr>
                <w:rFonts w:ascii="宋体" w:hAnsi="宋体" w:eastAsia="宋体" w:cs="宋体"/>
                <w:color w:val="auto"/>
                <w:highlight w:val="none"/>
              </w:rPr>
            </w:pPr>
            <w:r>
              <w:rPr>
                <w:rFonts w:hint="eastAsia" w:ascii="宋体" w:hAnsi="宋体" w:eastAsia="宋体" w:cs="宋体"/>
                <w:color w:val="auto"/>
                <w:highlight w:val="none"/>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74" w:type="dxa"/>
            <w:noWrap/>
            <w:vAlign w:val="center"/>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节能</w:t>
            </w:r>
          </w:p>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环保</w:t>
            </w:r>
          </w:p>
        </w:tc>
        <w:tc>
          <w:tcPr>
            <w:tcW w:w="1459" w:type="dxa"/>
            <w:noWrap/>
            <w:vAlign w:val="center"/>
          </w:tcPr>
          <w:p>
            <w:pPr>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分</w:t>
            </w:r>
          </w:p>
        </w:tc>
        <w:tc>
          <w:tcPr>
            <w:tcW w:w="7389" w:type="dxa"/>
            <w:noWrap/>
            <w:vAlign w:val="center"/>
          </w:tcPr>
          <w:p>
            <w:pPr>
              <w:spacing w:line="360" w:lineRule="auto"/>
              <w:rPr>
                <w:rFonts w:ascii="宋体" w:hAnsi="宋体" w:eastAsia="宋体" w:cs="宋体"/>
                <w:color w:val="auto"/>
                <w:highlight w:val="none"/>
              </w:rPr>
            </w:pPr>
            <w:r>
              <w:rPr>
                <w:rFonts w:hint="eastAsia" w:ascii="宋体" w:hAnsi="宋体" w:eastAsia="宋体" w:cs="宋体"/>
                <w:color w:val="000000" w:themeColor="text1"/>
                <w:szCs w:val="21"/>
                <w:highlight w:val="none"/>
                <w14:textFill>
                  <w14:solidFill>
                    <w14:schemeClr w14:val="tx1"/>
                  </w14:solidFill>
                </w14:textFill>
              </w:rPr>
              <w:t>供应商响应产品中每有一项为节能产品的得0.5分，每有一项为环境标志产品的得0.5分，供应商所投产品中每有一项产品同时为节能产品和环境标志产品的得1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分，最多得1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分。（须提供相应产品的国家确定的认证机构出具的、处于有效期内的节能产品、环境标志产品认证证书）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74" w:type="dxa"/>
            <w:noWrap/>
            <w:vAlign w:val="center"/>
          </w:tcPr>
          <w:p>
            <w:pPr>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w:t>
            </w:r>
          </w:p>
        </w:tc>
        <w:tc>
          <w:tcPr>
            <w:tcW w:w="8848" w:type="dxa"/>
            <w:gridSpan w:val="2"/>
            <w:noWrap/>
            <w:vAlign w:val="center"/>
          </w:tcPr>
          <w:p>
            <w:pPr>
              <w:pStyle w:val="113"/>
              <w:pBdr>
                <w:between w:val="single" w:color="auto" w:sz="4" w:space="1"/>
              </w:pBd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1、评标委员会成员必须按照本评审要素据实打分，各类数字计算均按“四舍五入”保留小数点后两位</w:t>
            </w:r>
            <w:r>
              <w:rPr>
                <w:rFonts w:hint="eastAsia" w:ascii="宋体" w:hAnsi="宋体" w:eastAsia="宋体" w:cs="宋体"/>
                <w:color w:val="000000" w:themeColor="text1"/>
                <w:highlight w:val="none"/>
                <w:lang w:eastAsia="zh-CN"/>
                <w14:textFill>
                  <w14:solidFill>
                    <w14:schemeClr w14:val="tx1"/>
                  </w14:solidFill>
                </w14:textFill>
              </w:rPr>
              <w:t>。</w:t>
            </w:r>
          </w:p>
        </w:tc>
      </w:tr>
    </w:tbl>
    <w:p>
      <w:pPr>
        <w:pStyle w:val="104"/>
        <w:outlineLvl w:val="9"/>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4．推荐中标候选人</w:t>
      </w:r>
      <w:bookmarkEnd w:id="178"/>
      <w:bookmarkEnd w:id="179"/>
      <w:bookmarkEnd w:id="180"/>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4"/>
        <w:outlineLvl w:val="9"/>
        <w:rPr>
          <w:rFonts w:ascii="宋体" w:hAnsi="宋体" w:eastAsia="宋体" w:cs="宋体"/>
          <w:color w:val="000000" w:themeColor="text1"/>
          <w:sz w:val="28"/>
          <w:szCs w:val="28"/>
          <w:highlight w:val="none"/>
          <w14:textFill>
            <w14:solidFill>
              <w14:schemeClr w14:val="tx1"/>
            </w14:solidFill>
          </w14:textFill>
        </w:rPr>
      </w:pPr>
      <w:bookmarkStart w:id="181" w:name="_Toc9776"/>
      <w:bookmarkStart w:id="182" w:name="_Toc10501"/>
      <w:bookmarkStart w:id="183" w:name="_Toc19896"/>
      <w:r>
        <w:rPr>
          <w:rFonts w:hint="eastAsia" w:ascii="宋体" w:hAnsi="宋体" w:eastAsia="宋体" w:cs="宋体"/>
          <w:color w:val="000000" w:themeColor="text1"/>
          <w:sz w:val="28"/>
          <w:szCs w:val="28"/>
          <w:highlight w:val="none"/>
          <w14:textFill>
            <w14:solidFill>
              <w14:schemeClr w14:val="tx1"/>
            </w14:solidFill>
          </w14:textFill>
        </w:rPr>
        <w:t>5．编写评审报告</w:t>
      </w:r>
      <w:bookmarkEnd w:id="181"/>
      <w:bookmarkEnd w:id="182"/>
      <w:bookmarkEnd w:id="18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评审报告是评标委员会根据全体评标成员签字的原始评标记录和评标结果编写的报告，其主要内容包括：</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（1）招标公告刊登的媒体名称、开标日期和地点。</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（2）投标供应商名单和评标委员会成员名单。</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（3）评标方法。</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（4）开标记录和评标情况及说明，包括投标无效供应商名单及原因。</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（5）评标结果，确定的中标候选人名单或者经采购人委托直接确定的中标供应商。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（6）其他需要说明的情况，包括评标过程中投标供应商根据评标委员会要求进行的澄清、说明或者补正，评标委员会成员的更换等。</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84" w:name="_Toc19320"/>
      <w:bookmarkStart w:id="185" w:name="_Toc26208"/>
      <w:bookmarkStart w:id="186" w:name="_Toc17734"/>
      <w:bookmarkStart w:id="187" w:name="_Toc10890"/>
      <w:r>
        <w:rPr>
          <w:rFonts w:hint="eastAsia" w:ascii="宋体" w:hAnsi="宋体" w:eastAsia="宋体" w:cs="宋体"/>
          <w:color w:val="000000" w:themeColor="text1"/>
          <w:sz w:val="28"/>
          <w:szCs w:val="28"/>
          <w:highlight w:val="none"/>
          <w14:textFill>
            <w14:solidFill>
              <w14:schemeClr w14:val="tx1"/>
            </w14:solidFill>
          </w14:textFill>
        </w:rPr>
        <w:t>（三）评标争议处理规则</w:t>
      </w:r>
      <w:bookmarkEnd w:id="184"/>
      <w:bookmarkEnd w:id="185"/>
      <w:bookmarkEnd w:id="186"/>
      <w:bookmarkEnd w:id="18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88" w:name="_Toc14406"/>
      <w:bookmarkStart w:id="189" w:name="_Toc5591"/>
      <w:bookmarkStart w:id="190" w:name="_Toc2631"/>
      <w:bookmarkStart w:id="191" w:name="_Toc23269"/>
      <w:r>
        <w:rPr>
          <w:rFonts w:hint="eastAsia" w:ascii="宋体" w:hAnsi="宋体" w:eastAsia="宋体" w:cs="宋体"/>
          <w:color w:val="000000" w:themeColor="text1"/>
          <w:sz w:val="28"/>
          <w:szCs w:val="28"/>
          <w:highlight w:val="none"/>
          <w14:textFill>
            <w14:solidFill>
              <w14:schemeClr w14:val="tx1"/>
            </w14:solidFill>
          </w14:textFill>
        </w:rPr>
        <w:t>（四）评审现场人员的保密责任</w:t>
      </w:r>
      <w:bookmarkEnd w:id="188"/>
      <w:bookmarkEnd w:id="189"/>
      <w:bookmarkEnd w:id="190"/>
      <w:bookmarkEnd w:id="191"/>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92" w:name="_Toc21723"/>
      <w:bookmarkStart w:id="193" w:name="_Toc22694"/>
      <w:bookmarkStart w:id="194" w:name="_Toc10213"/>
      <w:bookmarkStart w:id="195" w:name="_Toc17739"/>
      <w:r>
        <w:rPr>
          <w:rFonts w:hint="eastAsia" w:ascii="宋体" w:hAnsi="宋体" w:eastAsia="宋体" w:cs="宋体"/>
          <w:color w:val="000000" w:themeColor="text1"/>
          <w:sz w:val="28"/>
          <w:szCs w:val="28"/>
          <w:highlight w:val="none"/>
          <w14:textFill>
            <w14:solidFill>
              <w14:schemeClr w14:val="tx1"/>
            </w14:solidFill>
          </w14:textFill>
        </w:rPr>
        <w:t>（五）视同供应商串通投标的情形，其投标无效：</w:t>
      </w:r>
      <w:bookmarkEnd w:id="192"/>
      <w:bookmarkEnd w:id="193"/>
      <w:bookmarkEnd w:id="194"/>
      <w:bookmarkEnd w:id="19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1．不同供应商的投标文件由同一单位或者个人编制。</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2．不同供应商委托同一单位或者个人办理投标事宜。</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3．不同供应商的投标文件载明的项目管理成员或者联系人员为同一人。</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4．不同供应商的投标文件异常一致或者投标报价呈规律性差异。</w:t>
      </w:r>
    </w:p>
    <w:p>
      <w:pPr>
        <w:pStyle w:val="9"/>
        <w:keepNext w:val="0"/>
        <w:keepLines w:val="0"/>
        <w:pageBreakBefore w:val="0"/>
        <w:widowControl/>
        <w:kinsoku/>
        <w:wordWrap/>
        <w:overflowPunct/>
        <w:topLinePunct w:val="0"/>
        <w:autoSpaceDE/>
        <w:autoSpaceDN/>
        <w:bidi w:val="0"/>
        <w:adjustRightInd/>
        <w:snapToGrid/>
        <w:textAlignment w:val="auto"/>
        <w:rPr>
          <w:rFonts w:ascii="宋体" w:hAnsi="宋体" w:eastAsia="宋体" w:cs="宋体"/>
          <w:color w:val="000000" w:themeColor="text1"/>
          <w:sz w:val="28"/>
          <w:szCs w:val="28"/>
          <w:highlight w:val="none"/>
          <w14:textFill>
            <w14:solidFill>
              <w14:schemeClr w14:val="tx1"/>
            </w14:solidFill>
          </w14:textFill>
        </w:rPr>
      </w:pPr>
      <w:bookmarkStart w:id="196" w:name="_Toc25575"/>
      <w:r>
        <w:rPr>
          <w:rFonts w:hint="eastAsia" w:ascii="宋体" w:hAnsi="宋体" w:eastAsia="宋体" w:cs="宋体"/>
          <w:color w:val="000000" w:themeColor="text1"/>
          <w:sz w:val="28"/>
          <w:szCs w:val="28"/>
          <w:highlight w:val="none"/>
          <w14:textFill>
            <w14:solidFill>
              <w14:schemeClr w14:val="tx1"/>
            </w14:solidFill>
          </w14:textFill>
        </w:rPr>
        <w:t>八、中标</w:t>
      </w:r>
      <w:bookmarkEnd w:id="196"/>
    </w:p>
    <w:p>
      <w:pPr>
        <w:spacing w:line="560" w:lineRule="exact"/>
        <w:ind w:firstLine="560" w:firstLineChars="200"/>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1．代理机构在评标结束后</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个工作日内将评标报告送达采购单位，采购单位在收到评标报告后</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个工作日内，按照评标报告中推荐的中标候选人顺序确认第一中标候选人为中标单位，同时书面复函代理机构。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2．采购代理机构将在中标供应商确定之日起</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个工作日内，在【</w:t>
      </w:r>
      <w:r>
        <w:rPr>
          <w:highlight w:val="none"/>
        </w:rPr>
        <w:fldChar w:fldCharType="begin"/>
      </w:r>
      <w:r>
        <w:rPr>
          <w:highlight w:val="none"/>
        </w:rPr>
        <w:instrText xml:space="preserve"> HYPERLINK "http://www.ccgp-shaanxi.gov.cn"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陕西省政府采购网</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w:t>
      </w:r>
      <w:r>
        <w:rPr>
          <w:highlight w:val="none"/>
        </w:rPr>
        <w:fldChar w:fldCharType="begin"/>
      </w:r>
      <w:r>
        <w:rPr>
          <w:highlight w:val="none"/>
        </w:rPr>
        <w:instrText xml:space="preserve"> HYPERLINK "http://www.ccgp-shaanxi.gov.cn/" </w:instrText>
      </w:r>
      <w:r>
        <w:rPr>
          <w:highlight w:val="none"/>
        </w:rPr>
        <w:fldChar w:fldCharType="separate"/>
      </w:r>
      <w:r>
        <w:rPr>
          <w:rStyle w:val="41"/>
          <w:rFonts w:hint="eastAsia" w:ascii="宋体" w:hAnsi="宋体" w:eastAsia="宋体" w:cs="宋体"/>
          <w:color w:val="000000" w:themeColor="text1"/>
          <w:sz w:val="28"/>
          <w:szCs w:val="28"/>
          <w:highlight w:val="none"/>
          <w:u w:val="none"/>
          <w14:textFill>
            <w14:solidFill>
              <w14:schemeClr w14:val="tx1"/>
            </w14:solidFill>
          </w14:textFill>
        </w:rPr>
        <w:t>http://www.ccgp-shaanxi.gov.cn/</w:t>
      </w:r>
      <w:r>
        <w:rPr>
          <w:rStyle w:val="41"/>
          <w:rFonts w:hint="eastAsia" w:ascii="宋体" w:hAnsi="宋体" w:eastAsia="宋体" w:cs="宋体"/>
          <w:color w:val="000000" w:themeColor="text1"/>
          <w:sz w:val="28"/>
          <w:szCs w:val="28"/>
          <w:highlight w:val="none"/>
          <w:u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）上公布中标结果。中标公告期限为1个工作日</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4．采购代理机构按照相关规定将评审报告送监管机构备案。</w:t>
      </w:r>
    </w:p>
    <w:p>
      <w:pPr>
        <w:pStyle w:val="9"/>
        <w:rPr>
          <w:rFonts w:ascii="宋体" w:hAnsi="宋体" w:eastAsia="宋体" w:cs="宋体"/>
          <w:color w:val="000000" w:themeColor="text1"/>
          <w:sz w:val="28"/>
          <w:szCs w:val="28"/>
          <w:highlight w:val="none"/>
          <w14:textFill>
            <w14:solidFill>
              <w14:schemeClr w14:val="tx1"/>
            </w14:solidFill>
          </w14:textFill>
        </w:rPr>
      </w:pPr>
      <w:bookmarkStart w:id="197" w:name="_Toc15898"/>
      <w:r>
        <w:rPr>
          <w:rFonts w:hint="eastAsia" w:ascii="宋体" w:hAnsi="宋体" w:eastAsia="宋体" w:cs="宋体"/>
          <w:color w:val="000000" w:themeColor="text1"/>
          <w:sz w:val="28"/>
          <w:szCs w:val="28"/>
          <w:highlight w:val="none"/>
          <w14:textFill>
            <w14:solidFill>
              <w14:schemeClr w14:val="tx1"/>
            </w14:solidFill>
          </w14:textFill>
        </w:rPr>
        <w:t>九、合同签订、履行及验收</w:t>
      </w:r>
      <w:bookmarkEnd w:id="197"/>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招标文件、投标文件、澄清、补充合同等为政府采购合同的组成部分，具有同等法律效力。</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198" w:name="_Toc24344"/>
      <w:bookmarkStart w:id="199" w:name="_Toc444"/>
      <w:bookmarkStart w:id="200" w:name="_Toc26458"/>
      <w:bookmarkStart w:id="201" w:name="_Toc15766"/>
      <w:r>
        <w:rPr>
          <w:rFonts w:hint="eastAsia" w:ascii="宋体" w:hAnsi="宋体" w:eastAsia="宋体" w:cs="宋体"/>
          <w:color w:val="000000" w:themeColor="text1"/>
          <w:sz w:val="28"/>
          <w:szCs w:val="28"/>
          <w:highlight w:val="none"/>
          <w14:textFill>
            <w14:solidFill>
              <w14:schemeClr w14:val="tx1"/>
            </w14:solidFill>
          </w14:textFill>
        </w:rPr>
        <w:t>（一）签订政府采购合同</w:t>
      </w:r>
      <w:bookmarkEnd w:id="198"/>
      <w:bookmarkEnd w:id="199"/>
      <w:bookmarkEnd w:id="200"/>
      <w:bookmarkEnd w:id="201"/>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1．自中标通知书发出之日起30日内，采购人与中标供应商应按招标文件和中标供应商投标文件的约定，签订书面合同。</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2．中标供应商拒绝与采购人签订合同的，采购人可以按照《政府采购法实施条例》第四十九条规定，确定下一候选人为中标供应商，也可以重新开展政府采购活动。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4．质疑或者投诉事项可能影响中标、成交结果的，采购人应当暂停签订合同，已经签订合同的，应当中止履行合同。</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202" w:name="_Toc26383"/>
      <w:bookmarkStart w:id="203" w:name="_Toc13157"/>
      <w:bookmarkStart w:id="204" w:name="_Toc14412"/>
      <w:bookmarkStart w:id="205" w:name="_Toc876"/>
      <w:r>
        <w:rPr>
          <w:rFonts w:hint="eastAsia" w:ascii="宋体" w:hAnsi="宋体" w:eastAsia="宋体" w:cs="宋体"/>
          <w:color w:val="000000" w:themeColor="text1"/>
          <w:sz w:val="28"/>
          <w:szCs w:val="28"/>
          <w:highlight w:val="none"/>
          <w14:textFill>
            <w14:solidFill>
              <w14:schemeClr w14:val="tx1"/>
            </w14:solidFill>
          </w14:textFill>
        </w:rPr>
        <w:t>（二）合同公告及备案</w:t>
      </w:r>
      <w:bookmarkEnd w:id="202"/>
      <w:bookmarkEnd w:id="203"/>
      <w:bookmarkEnd w:id="204"/>
      <w:bookmarkEnd w:id="205"/>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1．采购人应当自政府采购合同签订之日起2个工作日内，在陕西省政府采购网对合同进行公示，但政府采购合同中涉及国家秘密、商业秘密的内容除外。</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2．采购人应自合同签订之日起7个工作日内将政府采购合同报送监管机构备案。</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206" w:name="_Toc25755"/>
      <w:bookmarkStart w:id="207" w:name="_Toc5592"/>
      <w:bookmarkStart w:id="208" w:name="_Toc11766"/>
      <w:bookmarkStart w:id="209" w:name="_Toc22359"/>
      <w:r>
        <w:rPr>
          <w:rFonts w:hint="eastAsia" w:ascii="宋体" w:hAnsi="宋体" w:eastAsia="宋体" w:cs="宋体"/>
          <w:color w:val="000000" w:themeColor="text1"/>
          <w:sz w:val="28"/>
          <w:szCs w:val="28"/>
          <w:highlight w:val="none"/>
          <w14:textFill>
            <w14:solidFill>
              <w14:schemeClr w14:val="tx1"/>
            </w14:solidFill>
          </w14:textFill>
        </w:rPr>
        <w:t>（三）履行合同</w:t>
      </w:r>
      <w:bookmarkEnd w:id="206"/>
      <w:bookmarkEnd w:id="207"/>
      <w:bookmarkEnd w:id="208"/>
      <w:bookmarkEnd w:id="209"/>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1．合同一经签订，双方应严格履行合同规定的义务。</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2．在合同履行过程中，如发生合同纠纷，合同双方应按照《中华人民共和国民法典》及合同条款的有关规定进行处理。</w:t>
      </w:r>
    </w:p>
    <w:p>
      <w:pPr>
        <w:pStyle w:val="105"/>
        <w:spacing w:before="120" w:after="120"/>
        <w:ind w:firstLine="562"/>
        <w:outlineLvl w:val="3"/>
        <w:rPr>
          <w:rFonts w:ascii="宋体" w:hAnsi="宋体" w:eastAsia="宋体" w:cs="宋体"/>
          <w:color w:val="000000" w:themeColor="text1"/>
          <w:sz w:val="28"/>
          <w:szCs w:val="28"/>
          <w:highlight w:val="none"/>
          <w14:textFill>
            <w14:solidFill>
              <w14:schemeClr w14:val="tx1"/>
            </w14:solidFill>
          </w14:textFill>
        </w:rPr>
      </w:pPr>
      <w:bookmarkStart w:id="210" w:name="_Toc1104"/>
      <w:bookmarkStart w:id="211" w:name="_Toc1478"/>
      <w:bookmarkStart w:id="212" w:name="_Toc602"/>
      <w:bookmarkStart w:id="213" w:name="_Toc7346"/>
      <w:r>
        <w:rPr>
          <w:rFonts w:hint="eastAsia" w:ascii="宋体" w:hAnsi="宋体" w:eastAsia="宋体" w:cs="宋体"/>
          <w:color w:val="000000" w:themeColor="text1"/>
          <w:sz w:val="28"/>
          <w:szCs w:val="28"/>
          <w:highlight w:val="none"/>
          <w14:textFill>
            <w14:solidFill>
              <w14:schemeClr w14:val="tx1"/>
            </w14:solidFill>
          </w14:textFill>
        </w:rPr>
        <w:t>（四）验收或考核</w:t>
      </w:r>
      <w:bookmarkEnd w:id="210"/>
      <w:bookmarkEnd w:id="211"/>
      <w:bookmarkEnd w:id="212"/>
      <w:bookmarkEnd w:id="213"/>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1．采购人严格按照国家相关法律法规的要求及招标文件的要求组织验收或考核。</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2．采购人按《关于促进政府采购公平竞争优化营商环境的通知》（财库〔2019〕38号）、《保障中小企业款项支付条例》（国务院令第728号）等规定及采购合同的约定进行支付合同款项。</w:t>
      </w:r>
    </w:p>
    <w:p>
      <w:pPr>
        <w:pStyle w:val="9"/>
        <w:rPr>
          <w:rFonts w:ascii="宋体" w:hAnsi="宋体" w:eastAsia="宋体" w:cs="宋体"/>
          <w:color w:val="000000" w:themeColor="text1"/>
          <w:sz w:val="28"/>
          <w:szCs w:val="28"/>
          <w:highlight w:val="none"/>
          <w14:textFill>
            <w14:solidFill>
              <w14:schemeClr w14:val="tx1"/>
            </w14:solidFill>
          </w14:textFill>
        </w:rPr>
      </w:pPr>
      <w:bookmarkStart w:id="214" w:name="_Toc15830"/>
      <w:r>
        <w:rPr>
          <w:rFonts w:hint="eastAsia" w:ascii="宋体" w:hAnsi="宋体" w:eastAsia="宋体" w:cs="宋体"/>
          <w:color w:val="000000" w:themeColor="text1"/>
          <w:sz w:val="28"/>
          <w:szCs w:val="28"/>
          <w:highlight w:val="none"/>
          <w14:textFill>
            <w14:solidFill>
              <w14:schemeClr w14:val="tx1"/>
            </w14:solidFill>
          </w14:textFill>
        </w:rPr>
        <w:t>十、废标及重新招标</w:t>
      </w:r>
      <w:bookmarkEnd w:id="214"/>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2．根据《政府采购法》第三十六条规定，在招标采购中，出现下列情形之一的，本项目按废标处理：</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（1）出现影响采购公正的违法、违规行为的。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（2）供应商的报价均超过了采购预算，采购人不能支付的。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（3）因重大变故，采购任务取消的。</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废标后，除采购任务取消外，本项目将重新组织招标。</w:t>
      </w:r>
    </w:p>
    <w:p>
      <w:pPr>
        <w:spacing w:line="560" w:lineRule="exact"/>
        <w:ind w:firstLine="560"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60"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4．招标文件未明确的其他事项，按《政府采购法》及其相关法律法规执行。</w:t>
      </w:r>
    </w:p>
    <w:p>
      <w:pPr>
        <w:rPr>
          <w:rFonts w:ascii="宋体" w:hAnsi="宋体" w:eastAsia="宋体" w:cs="宋体"/>
          <w:color w:val="000000" w:themeColor="text1"/>
          <w:sz w:val="32"/>
          <w:szCs w:val="32"/>
          <w:highlight w:val="none"/>
          <w14:textFill>
            <w14:solidFill>
              <w14:schemeClr w14:val="tx1"/>
            </w14:solidFill>
          </w14:textFill>
        </w:rPr>
      </w:pPr>
      <w:bookmarkStart w:id="215" w:name="_Toc100219614"/>
      <w:r>
        <w:rPr>
          <w:rFonts w:hint="eastAsia" w:ascii="宋体" w:hAnsi="宋体" w:eastAsia="宋体" w:cs="宋体"/>
          <w:color w:val="000000" w:themeColor="text1"/>
          <w:sz w:val="32"/>
          <w:szCs w:val="32"/>
          <w:highlight w:val="none"/>
          <w14:textFill>
            <w14:solidFill>
              <w14:schemeClr w14:val="tx1"/>
            </w14:solidFill>
          </w14:textFill>
        </w:rPr>
        <w:br w:type="page"/>
      </w:r>
    </w:p>
    <w:p>
      <w:pPr>
        <w:rPr>
          <w:rFonts w:ascii="宋体" w:hAnsi="宋体" w:eastAsia="宋体" w:cs="宋体"/>
          <w:color w:val="000000" w:themeColor="text1"/>
          <w:highlight w:val="none"/>
          <w14:textFill>
            <w14:solidFill>
              <w14:schemeClr w14:val="tx1"/>
            </w14:solidFill>
          </w14:textFill>
        </w:rPr>
      </w:pPr>
    </w:p>
    <w:p>
      <w:pPr>
        <w:pStyle w:val="7"/>
        <w:rPr>
          <w:rFonts w:ascii="宋体" w:hAnsi="宋体" w:eastAsia="宋体" w:cs="宋体"/>
          <w:color w:val="000000" w:themeColor="text1"/>
          <w:highlight w:val="none"/>
          <w14:textFill>
            <w14:solidFill>
              <w14:schemeClr w14:val="tx1"/>
            </w14:solidFill>
          </w14:textFill>
        </w:rPr>
      </w:pPr>
      <w:bookmarkStart w:id="216" w:name="_Toc15548"/>
      <w:bookmarkStart w:id="217" w:name="_Toc15617"/>
      <w:r>
        <w:rPr>
          <w:rFonts w:hint="eastAsia" w:ascii="宋体" w:hAnsi="宋体" w:eastAsia="宋体" w:cs="宋体"/>
          <w:color w:val="000000" w:themeColor="text1"/>
          <w:highlight w:val="none"/>
          <w14:textFill>
            <w14:solidFill>
              <w14:schemeClr w14:val="tx1"/>
            </w14:solidFill>
          </w14:textFill>
        </w:rPr>
        <w:t>第三章  招标内容及要求</w:t>
      </w:r>
      <w:bookmarkEnd w:id="215"/>
      <w:bookmarkEnd w:id="216"/>
      <w:bookmarkEnd w:id="217"/>
    </w:p>
    <w:p>
      <w:pPr>
        <w:widowControl w:val="0"/>
        <w:spacing w:line="360" w:lineRule="auto"/>
        <w:ind w:firstLine="562" w:firstLineChars="200"/>
        <w:jc w:val="both"/>
        <w:outlineLvl w:val="2"/>
        <w:rPr>
          <w:rFonts w:hint="eastAsia" w:ascii="宋体" w:hAnsi="宋体" w:eastAsia="宋体" w:cs="宋体"/>
          <w:color w:val="000000" w:themeColor="text1"/>
          <w:kern w:val="2"/>
          <w:sz w:val="28"/>
          <w:szCs w:val="28"/>
          <w:highlight w:val="none"/>
          <w:lang w:eastAsia="zh-CN"/>
          <w14:textFill>
            <w14:solidFill>
              <w14:schemeClr w14:val="tx1"/>
            </w14:solidFill>
          </w14:textFill>
        </w:rPr>
      </w:pPr>
      <w:bookmarkStart w:id="218" w:name="_Toc14149"/>
      <w:r>
        <w:rPr>
          <w:rFonts w:hint="eastAsia" w:ascii="宋体" w:hAnsi="宋体" w:eastAsia="宋体" w:cs="宋体"/>
          <w:b/>
          <w:bCs/>
          <w:color w:val="000000" w:themeColor="text1"/>
          <w:kern w:val="2"/>
          <w:sz w:val="28"/>
          <w:szCs w:val="28"/>
          <w:highlight w:val="none"/>
          <w14:textFill>
            <w14:solidFill>
              <w14:schemeClr w14:val="tx1"/>
            </w14:solidFill>
          </w14:textFill>
        </w:rPr>
        <w:t>一、商务</w:t>
      </w:r>
      <w:bookmarkEnd w:id="218"/>
      <w:r>
        <w:rPr>
          <w:rFonts w:hint="eastAsia" w:ascii="宋体" w:hAnsi="宋体" w:eastAsia="宋体" w:cs="宋体"/>
          <w:b/>
          <w:bCs/>
          <w:color w:val="000000" w:themeColor="text1"/>
          <w:kern w:val="2"/>
          <w:sz w:val="28"/>
          <w:szCs w:val="28"/>
          <w:highlight w:val="none"/>
          <w:lang w:val="en-US" w:eastAsia="zh-CN"/>
          <w14:textFill>
            <w14:solidFill>
              <w14:schemeClr w14:val="tx1"/>
            </w14:solidFill>
          </w14:textFill>
        </w:rPr>
        <w:t>要求</w:t>
      </w:r>
    </w:p>
    <w:p>
      <w:pPr>
        <w:spacing w:line="360" w:lineRule="auto"/>
        <w:ind w:firstLine="562"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（一）交货期：</w:t>
      </w:r>
      <w:r>
        <w:rPr>
          <w:rFonts w:hint="eastAsia" w:ascii="宋体" w:hAnsi="宋体" w:eastAsia="宋体" w:cs="宋体"/>
          <w:color w:val="000000" w:themeColor="text1"/>
          <w:sz w:val="28"/>
          <w:szCs w:val="28"/>
          <w:highlight w:val="none"/>
          <w14:textFill>
            <w14:solidFill>
              <w14:schemeClr w14:val="tx1"/>
            </w14:solidFill>
          </w14:textFill>
        </w:rPr>
        <w:t>合同签订后</w:t>
      </w:r>
      <w:r>
        <w:rPr>
          <w:rFonts w:hint="eastAsia" w:ascii="宋体" w:hAnsi="宋体" w:eastAsia="宋体" w:cs="宋体"/>
          <w:color w:val="000000" w:themeColor="text1"/>
          <w:sz w:val="28"/>
          <w:szCs w:val="28"/>
          <w:highlight w:val="none"/>
          <w:u w:val="single"/>
          <w14:textFill>
            <w14:solidFill>
              <w14:schemeClr w14:val="tx1"/>
            </w14:solidFill>
          </w14:textFill>
        </w:rPr>
        <w:t>30</w:t>
      </w:r>
      <w:r>
        <w:rPr>
          <w:rFonts w:hint="eastAsia" w:ascii="宋体" w:hAnsi="宋体" w:eastAsia="宋体" w:cs="宋体"/>
          <w:color w:val="000000" w:themeColor="text1"/>
          <w:sz w:val="28"/>
          <w:szCs w:val="28"/>
          <w:highlight w:val="none"/>
          <w14:textFill>
            <w14:solidFill>
              <w14:schemeClr w14:val="tx1"/>
            </w14:solidFill>
          </w14:textFill>
        </w:rPr>
        <w:t>个日历日。</w:t>
      </w:r>
    </w:p>
    <w:p>
      <w:pPr>
        <w:spacing w:line="360" w:lineRule="auto"/>
        <w:ind w:firstLine="562"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（二）质保期：</w:t>
      </w:r>
      <w:r>
        <w:rPr>
          <w:rFonts w:hint="eastAsia" w:ascii="宋体" w:hAnsi="宋体" w:eastAsia="宋体" w:cs="宋体"/>
          <w:color w:val="000000" w:themeColor="text1"/>
          <w:sz w:val="28"/>
          <w:szCs w:val="28"/>
          <w:highlight w:val="none"/>
          <w14:textFill>
            <w14:solidFill>
              <w14:schemeClr w14:val="tx1"/>
            </w14:solidFill>
          </w14:textFill>
        </w:rPr>
        <w:t>验收合格后</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年。</w:t>
      </w:r>
    </w:p>
    <w:p>
      <w:pPr>
        <w:spacing w:line="360" w:lineRule="auto"/>
        <w:ind w:firstLine="562" w:firstLineChars="2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（三）交货地点：</w:t>
      </w:r>
      <w:r>
        <w:rPr>
          <w:rFonts w:hint="eastAsia" w:ascii="宋体" w:hAnsi="宋体" w:eastAsia="宋体" w:cs="宋体"/>
          <w:color w:val="000000" w:themeColor="text1"/>
          <w:sz w:val="28"/>
          <w:szCs w:val="28"/>
          <w:highlight w:val="none"/>
          <w14:textFill>
            <w14:solidFill>
              <w14:schemeClr w14:val="tx1"/>
            </w14:solidFill>
          </w14:textFill>
        </w:rPr>
        <w:t>西安市未央区未央宫街道办事处</w:t>
      </w:r>
      <w:r>
        <w:rPr>
          <w:rFonts w:hint="eastAsia" w:ascii="宋体" w:hAnsi="宋体" w:eastAsia="宋体" w:cs="宋体"/>
          <w:color w:val="000000" w:themeColor="text1"/>
          <w:sz w:val="28"/>
          <w:szCs w:val="28"/>
          <w:highlight w:val="none"/>
          <w:lang w:val="en-US" w:eastAsia="zh-CN"/>
          <w14:textFill>
            <w14:solidFill>
              <w14:schemeClr w14:val="tx1"/>
            </w14:solidFill>
          </w14:textFill>
        </w:rPr>
        <w:t>辖区内</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spacing w:line="360" w:lineRule="auto"/>
        <w:ind w:firstLine="562"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（四）付款方式：</w:t>
      </w:r>
      <w:r>
        <w:rPr>
          <w:rFonts w:hint="eastAsia" w:ascii="宋体" w:hAnsi="宋体" w:eastAsia="宋体" w:cs="宋体"/>
          <w:color w:val="000000" w:themeColor="text1"/>
          <w:sz w:val="28"/>
          <w:szCs w:val="28"/>
          <w:highlight w:val="none"/>
          <w14:textFill>
            <w14:solidFill>
              <w14:schemeClr w14:val="tx1"/>
            </w14:solidFill>
          </w14:textFill>
        </w:rPr>
        <w:t>合同签订后，供应商持合同复印件、预付款发票，至采购</w:t>
      </w:r>
      <w:r>
        <w:rPr>
          <w:rFonts w:hint="eastAsia" w:ascii="宋体" w:hAnsi="宋体" w:eastAsia="宋体" w:cs="宋体"/>
          <w:color w:val="000000" w:themeColor="text1"/>
          <w:sz w:val="28"/>
          <w:szCs w:val="28"/>
          <w:highlight w:val="none"/>
          <w:lang w:val="en-US" w:eastAsia="zh-CN"/>
          <w14:textFill>
            <w14:solidFill>
              <w14:schemeClr w14:val="tx1"/>
            </w14:solidFill>
          </w14:textFill>
        </w:rPr>
        <w:t>人</w:t>
      </w:r>
      <w:r>
        <w:rPr>
          <w:rFonts w:hint="eastAsia" w:ascii="宋体" w:hAnsi="宋体" w:eastAsia="宋体" w:cs="宋体"/>
          <w:color w:val="000000" w:themeColor="text1"/>
          <w:sz w:val="28"/>
          <w:szCs w:val="28"/>
          <w:highlight w:val="none"/>
          <w14:textFill>
            <w14:solidFill>
              <w14:schemeClr w14:val="tx1"/>
            </w14:solidFill>
          </w14:textFill>
        </w:rPr>
        <w:t>处</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由采购人办理完相关财政支付手续后支付</w:t>
      </w:r>
      <w:r>
        <w:rPr>
          <w:rFonts w:hint="eastAsia" w:ascii="宋体" w:hAnsi="宋体" w:eastAsia="宋体" w:cs="宋体"/>
          <w:color w:val="000000" w:themeColor="text1"/>
          <w:sz w:val="28"/>
          <w:szCs w:val="28"/>
          <w:highlight w:val="none"/>
          <w14:textFill>
            <w14:solidFill>
              <w14:schemeClr w14:val="tx1"/>
            </w14:solidFill>
          </w14:textFill>
        </w:rPr>
        <w:t>合同总价款</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0%</w:t>
      </w:r>
      <w:r>
        <w:rPr>
          <w:rFonts w:hint="eastAsia" w:ascii="宋体" w:hAnsi="宋体" w:eastAsia="宋体" w:cs="宋体"/>
          <w:color w:val="000000" w:themeColor="text1"/>
          <w:sz w:val="28"/>
          <w:szCs w:val="28"/>
          <w:highlight w:val="none"/>
          <w:lang w:val="en-US" w:eastAsia="zh-CN"/>
          <w14:textFill>
            <w14:solidFill>
              <w14:schemeClr w14:val="tx1"/>
            </w14:solidFill>
          </w14:textFill>
        </w:rPr>
        <w:t>的</w:t>
      </w:r>
      <w:r>
        <w:rPr>
          <w:rFonts w:hint="eastAsia" w:ascii="宋体" w:hAnsi="宋体" w:eastAsia="宋体" w:cs="宋体"/>
          <w:color w:val="000000" w:themeColor="text1"/>
          <w:sz w:val="28"/>
          <w:szCs w:val="28"/>
          <w:highlight w:val="none"/>
          <w14:textFill>
            <w14:solidFill>
              <w14:schemeClr w14:val="tx1"/>
            </w14:solidFill>
          </w14:textFill>
        </w:rPr>
        <w:t>预付款项。验收合格（</w:t>
      </w:r>
      <w:r>
        <w:rPr>
          <w:rFonts w:hint="eastAsia" w:ascii="宋体" w:hAnsi="宋体" w:eastAsia="宋体" w:cs="宋体"/>
          <w:color w:val="000000" w:themeColor="text1"/>
          <w:sz w:val="28"/>
          <w:szCs w:val="28"/>
          <w:highlight w:val="none"/>
          <w:lang w:val="en-US" w:eastAsia="zh-CN"/>
          <w14:textFill>
            <w14:solidFill>
              <w14:schemeClr w14:val="tx1"/>
            </w14:solidFill>
          </w14:textFill>
        </w:rPr>
        <w:t>满足</w:t>
      </w:r>
      <w:r>
        <w:rPr>
          <w:rFonts w:hint="eastAsia" w:ascii="宋体" w:hAnsi="宋体" w:eastAsia="宋体" w:cs="宋体"/>
          <w:color w:val="000000" w:themeColor="text1"/>
          <w:sz w:val="28"/>
          <w:szCs w:val="28"/>
          <w:highlight w:val="none"/>
          <w14:textFill>
            <w14:solidFill>
              <w14:schemeClr w14:val="tx1"/>
            </w14:solidFill>
          </w14:textFill>
        </w:rPr>
        <w:t>使用标准）后，供应商持</w:t>
      </w:r>
      <w:r>
        <w:rPr>
          <w:rFonts w:hint="eastAsia" w:ascii="宋体" w:hAnsi="宋体" w:eastAsia="宋体" w:cs="宋体"/>
          <w:color w:val="000000" w:themeColor="text1"/>
          <w:sz w:val="28"/>
          <w:szCs w:val="28"/>
          <w:highlight w:val="none"/>
          <w:lang w:val="en-US" w:eastAsia="zh-CN"/>
          <w14:textFill>
            <w14:solidFill>
              <w14:schemeClr w14:val="tx1"/>
            </w14:solidFill>
          </w14:textFill>
        </w:rPr>
        <w:t>相对应金额的</w:t>
      </w:r>
      <w:r>
        <w:rPr>
          <w:rFonts w:hint="eastAsia" w:ascii="宋体" w:hAnsi="宋体" w:eastAsia="宋体" w:cs="宋体"/>
          <w:color w:val="000000" w:themeColor="text1"/>
          <w:sz w:val="28"/>
          <w:szCs w:val="28"/>
          <w:highlight w:val="none"/>
          <w14:textFill>
            <w14:solidFill>
              <w14:schemeClr w14:val="tx1"/>
            </w14:solidFill>
          </w14:textFill>
        </w:rPr>
        <w:t>发票</w:t>
      </w:r>
      <w:r>
        <w:rPr>
          <w:rFonts w:hint="eastAsia" w:ascii="宋体" w:hAnsi="宋体" w:eastAsia="宋体" w:cs="宋体"/>
          <w:color w:val="000000" w:themeColor="text1"/>
          <w:sz w:val="28"/>
          <w:szCs w:val="28"/>
          <w:highlight w:val="none"/>
          <w:lang w:val="en-US" w:eastAsia="zh-CN"/>
          <w14:textFill>
            <w14:solidFill>
              <w14:schemeClr w14:val="tx1"/>
            </w14:solidFill>
          </w14:textFill>
        </w:rPr>
        <w:t>至</w:t>
      </w:r>
      <w:r>
        <w:rPr>
          <w:rFonts w:hint="eastAsia" w:ascii="宋体" w:hAnsi="宋体" w:eastAsia="宋体" w:cs="宋体"/>
          <w:color w:val="000000" w:themeColor="text1"/>
          <w:sz w:val="28"/>
          <w:szCs w:val="28"/>
          <w:highlight w:val="none"/>
          <w14:textFill>
            <w14:solidFill>
              <w14:schemeClr w14:val="tx1"/>
            </w14:solidFill>
          </w14:textFill>
        </w:rPr>
        <w:t>采购</w:t>
      </w:r>
      <w:r>
        <w:rPr>
          <w:rFonts w:hint="eastAsia" w:ascii="宋体" w:hAnsi="宋体" w:eastAsia="宋体" w:cs="宋体"/>
          <w:color w:val="000000" w:themeColor="text1"/>
          <w:sz w:val="28"/>
          <w:szCs w:val="28"/>
          <w:highlight w:val="none"/>
          <w:lang w:val="en-US" w:eastAsia="zh-CN"/>
          <w14:textFill>
            <w14:solidFill>
              <w14:schemeClr w14:val="tx1"/>
            </w14:solidFill>
          </w14:textFill>
        </w:rPr>
        <w:t>人处</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由采购人办理完相关财政支付手续后支付</w:t>
      </w:r>
      <w:r>
        <w:rPr>
          <w:rFonts w:hint="eastAsia" w:ascii="宋体" w:hAnsi="宋体" w:eastAsia="宋体" w:cs="宋体"/>
          <w:color w:val="000000" w:themeColor="text1"/>
          <w:sz w:val="28"/>
          <w:szCs w:val="28"/>
          <w:highlight w:val="none"/>
          <w14:textFill>
            <w14:solidFill>
              <w14:schemeClr w14:val="tx1"/>
            </w14:solidFill>
          </w14:textFill>
        </w:rPr>
        <w:t>剩余款项。</w:t>
      </w:r>
    </w:p>
    <w:p>
      <w:pPr>
        <w:pStyle w:val="3"/>
        <w:spacing w:line="360" w:lineRule="auto"/>
        <w:ind w:firstLine="562" w:firstLineChars="200"/>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
          <w:bCs/>
          <w:color w:val="000000" w:themeColor="text1"/>
          <w:sz w:val="28"/>
          <w:szCs w:val="28"/>
          <w:highlight w:val="none"/>
          <w14:textFill>
            <w14:solidFill>
              <w14:schemeClr w14:val="tx1"/>
            </w14:solidFill>
          </w14:textFill>
        </w:rPr>
        <w:t>）验收</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1、所有</w:t>
      </w:r>
      <w:r>
        <w:rPr>
          <w:rFonts w:hint="eastAsia" w:ascii="宋体" w:hAnsi="宋体" w:eastAsia="宋体" w:cs="宋体"/>
          <w:color w:val="000000" w:themeColor="text1"/>
          <w:sz w:val="28"/>
          <w:szCs w:val="28"/>
          <w:highlight w:val="none"/>
          <w:lang w:val="en-US" w:eastAsia="zh-CN"/>
          <w14:textFill>
            <w14:solidFill>
              <w14:schemeClr w14:val="tx1"/>
            </w14:solidFill>
          </w14:textFill>
        </w:rPr>
        <w:t>产品交付</w:t>
      </w:r>
      <w:r>
        <w:rPr>
          <w:rFonts w:hint="eastAsia" w:ascii="宋体" w:hAnsi="宋体" w:eastAsia="宋体" w:cs="宋体"/>
          <w:color w:val="000000" w:themeColor="text1"/>
          <w:sz w:val="28"/>
          <w:szCs w:val="28"/>
          <w:highlight w:val="none"/>
          <w14:textFill>
            <w14:solidFill>
              <w14:schemeClr w14:val="tx1"/>
            </w14:solidFill>
          </w14:textFill>
        </w:rPr>
        <w:t>完毕，由采购人</w:t>
      </w:r>
      <w:r>
        <w:rPr>
          <w:rFonts w:hint="eastAsia" w:ascii="宋体" w:hAnsi="宋体" w:eastAsia="宋体" w:cs="宋体"/>
          <w:color w:val="000000" w:themeColor="text1"/>
          <w:sz w:val="28"/>
          <w:szCs w:val="28"/>
          <w:highlight w:val="none"/>
          <w:lang w:val="en-US" w:eastAsia="zh-CN"/>
          <w14:textFill>
            <w14:solidFill>
              <w14:schemeClr w14:val="tx1"/>
            </w14:solidFill>
          </w14:textFill>
        </w:rPr>
        <w:t>组织</w:t>
      </w:r>
      <w:r>
        <w:rPr>
          <w:rFonts w:hint="eastAsia" w:ascii="宋体" w:hAnsi="宋体" w:eastAsia="宋体" w:cs="宋体"/>
          <w:color w:val="000000" w:themeColor="text1"/>
          <w:sz w:val="28"/>
          <w:szCs w:val="28"/>
          <w:highlight w:val="none"/>
          <w14:textFill>
            <w14:solidFill>
              <w14:schemeClr w14:val="tx1"/>
            </w14:solidFill>
          </w14:textFill>
        </w:rPr>
        <w:t>进行验收，合格后签发《验收合格单》。</w:t>
      </w:r>
      <w:r>
        <w:rPr>
          <w:rFonts w:hint="eastAsia" w:ascii="宋体" w:hAnsi="宋体" w:eastAsia="宋体" w:cs="宋体"/>
          <w:color w:val="000000" w:themeColor="text1"/>
          <w:sz w:val="28"/>
          <w:szCs w:val="28"/>
          <w:highlight w:val="none"/>
          <w14:textFill>
            <w14:solidFill>
              <w14:schemeClr w14:val="tx1"/>
            </w14:solidFill>
          </w14:textFill>
        </w:rPr>
        <w:cr/>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、验收不合格的</w:t>
      </w:r>
      <w:r>
        <w:rPr>
          <w:rFonts w:hint="eastAsia" w:ascii="宋体" w:hAnsi="宋体" w:eastAsia="宋体" w:cs="宋体"/>
          <w:color w:val="000000" w:themeColor="text1"/>
          <w:sz w:val="28"/>
          <w:szCs w:val="28"/>
          <w:highlight w:val="none"/>
          <w:lang w:val="en-US" w:eastAsia="zh-CN"/>
          <w14:textFill>
            <w14:solidFill>
              <w14:schemeClr w14:val="tx1"/>
            </w14:solidFill>
          </w14:textFill>
        </w:rPr>
        <w:t>产品</w:t>
      </w:r>
      <w:r>
        <w:rPr>
          <w:rFonts w:hint="eastAsia" w:ascii="宋体" w:hAnsi="宋体" w:eastAsia="宋体" w:cs="宋体"/>
          <w:color w:val="000000" w:themeColor="text1"/>
          <w:sz w:val="28"/>
          <w:szCs w:val="28"/>
          <w:highlight w:val="none"/>
          <w14:textFill>
            <w14:solidFill>
              <w14:schemeClr w14:val="tx1"/>
            </w14:solidFill>
          </w14:textFill>
        </w:rPr>
        <w:t>，必须在接到通知后7个日历日内确保</w:t>
      </w:r>
      <w:r>
        <w:rPr>
          <w:rFonts w:hint="eastAsia" w:ascii="宋体" w:hAnsi="宋体" w:eastAsia="宋体" w:cs="宋体"/>
          <w:color w:val="000000" w:themeColor="text1"/>
          <w:sz w:val="28"/>
          <w:szCs w:val="28"/>
          <w:highlight w:val="none"/>
          <w:lang w:val="en-US" w:eastAsia="zh-CN"/>
          <w14:textFill>
            <w14:solidFill>
              <w14:schemeClr w14:val="tx1"/>
            </w14:solidFill>
          </w14:textFill>
        </w:rPr>
        <w:t>产品</w:t>
      </w:r>
      <w:r>
        <w:rPr>
          <w:rFonts w:hint="eastAsia" w:ascii="宋体" w:hAnsi="宋体" w:eastAsia="宋体" w:cs="宋体"/>
          <w:color w:val="000000" w:themeColor="text1"/>
          <w:sz w:val="28"/>
          <w:szCs w:val="28"/>
          <w:highlight w:val="none"/>
          <w14:textFill>
            <w14:solidFill>
              <w14:schemeClr w14:val="tx1"/>
            </w14:solidFill>
          </w14:textFill>
        </w:rPr>
        <w:t>通过验收。如接到通知后7个日历日内验收仍不合格，采购人可提出索赔或取消其供货合同</w:t>
      </w:r>
      <w:r>
        <w:rPr>
          <w:rFonts w:hint="eastAsia" w:ascii="宋体" w:hAnsi="宋体" w:eastAsia="宋体" w:cs="宋体"/>
          <w:color w:val="000000" w:themeColor="text1"/>
          <w:sz w:val="28"/>
          <w:szCs w:val="28"/>
          <w:highlight w:val="none"/>
          <w:lang w:val="en-US" w:eastAsia="zh-CN"/>
          <w14:textFill>
            <w14:solidFill>
              <w14:schemeClr w14:val="tx1"/>
            </w14:solidFill>
          </w14:textFill>
        </w:rPr>
        <w:t>且不承担任何责任</w:t>
      </w:r>
      <w:r>
        <w:rPr>
          <w:rFonts w:hint="eastAsia" w:ascii="宋体" w:hAnsi="宋体" w:eastAsia="宋体" w:cs="宋体"/>
          <w:color w:val="000000" w:themeColor="text1"/>
          <w:sz w:val="28"/>
          <w:szCs w:val="28"/>
          <w:highlight w:val="none"/>
          <w14:textFill>
            <w14:solidFill>
              <w14:schemeClr w14:val="tx1"/>
            </w14:solidFill>
          </w14:textFill>
        </w:rPr>
        <w:t>。</w:t>
      </w:r>
    </w:p>
    <w:p>
      <w:pPr>
        <w:spacing w:line="360" w:lineRule="auto"/>
        <w:ind w:firstLine="560"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、验收依据</w:t>
      </w:r>
    </w:p>
    <w:p>
      <w:pPr>
        <w:pStyle w:val="3"/>
        <w:spacing w:line="360" w:lineRule="auto"/>
        <w:ind w:firstLine="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（1）合同文本及合同补充文件（条款）</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p>
    <w:p>
      <w:pPr>
        <w:pStyle w:val="3"/>
        <w:spacing w:line="360" w:lineRule="auto"/>
        <w:ind w:firstLine="4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（2）产品的合法来源渠道证明文件</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pStyle w:val="3"/>
        <w:spacing w:line="360" w:lineRule="auto"/>
        <w:ind w:firstLine="4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（3）招标文件</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pStyle w:val="3"/>
        <w:spacing w:line="360" w:lineRule="auto"/>
        <w:ind w:firstLine="4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（4）中标供应商的投标文件</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pStyle w:val="3"/>
        <w:spacing w:line="360" w:lineRule="auto"/>
        <w:ind w:firstLine="4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（5）合同货物清单</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pStyle w:val="3"/>
        <w:spacing w:line="360" w:lineRule="auto"/>
        <w:ind w:firstLine="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（6）货物的执行标准。</w:t>
      </w:r>
      <w:bookmarkStart w:id="219" w:name="_Toc18283"/>
    </w:p>
    <w:p>
      <w:pPr>
        <w:spacing w:line="360" w:lineRule="auto"/>
        <w:ind w:firstLine="562" w:firstLineChars="200"/>
        <w:outlineLvl w:val="2"/>
        <w:rPr>
          <w:rFonts w:hint="default" w:ascii="宋体" w:hAnsi="宋体" w:eastAsia="宋体" w:cs="宋体"/>
          <w:b/>
          <w:bCs/>
          <w:color w:val="000000" w:themeColor="text1"/>
          <w:kern w:val="2"/>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kern w:val="2"/>
          <w:sz w:val="28"/>
          <w:szCs w:val="28"/>
          <w:highlight w:val="none"/>
          <w14:textFill>
            <w14:solidFill>
              <w14:schemeClr w14:val="tx1"/>
            </w14:solidFill>
          </w14:textFill>
        </w:rPr>
        <w:t>二、</w:t>
      </w:r>
      <w:bookmarkEnd w:id="219"/>
      <w:r>
        <w:rPr>
          <w:rFonts w:hint="eastAsia" w:ascii="宋体" w:hAnsi="宋体" w:eastAsia="宋体" w:cs="宋体"/>
          <w:b/>
          <w:bCs/>
          <w:color w:val="000000" w:themeColor="text1"/>
          <w:kern w:val="2"/>
          <w:sz w:val="28"/>
          <w:szCs w:val="28"/>
          <w:highlight w:val="none"/>
          <w:lang w:val="en-US" w:eastAsia="zh-CN"/>
          <w14:textFill>
            <w14:solidFill>
              <w14:schemeClr w14:val="tx1"/>
            </w14:solidFill>
          </w14:textFill>
        </w:rPr>
        <w:t>采购内容及技术要求（本项目专门面向中小企业采购，以下产品的生产制造厂家必须全部符合中型、小型、微型企业）</w:t>
      </w:r>
    </w:p>
    <w:tbl>
      <w:tblPr>
        <w:tblStyle w:val="3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609"/>
        <w:gridCol w:w="2036"/>
        <w:gridCol w:w="916"/>
        <w:gridCol w:w="665"/>
        <w:gridCol w:w="3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bookmarkStart w:id="220" w:name="_Toc100219615"/>
            <w:r>
              <w:rPr>
                <w:rFonts w:hint="eastAsia" w:ascii="宋体" w:hAnsi="宋体" w:eastAsia="宋体" w:cs="宋体"/>
                <w:b/>
                <w:bCs/>
                <w:i w:val="0"/>
                <w:iCs w:val="0"/>
                <w:color w:val="000000"/>
                <w:kern w:val="0"/>
                <w:sz w:val="28"/>
                <w:szCs w:val="28"/>
                <w:u w:val="none"/>
                <w:lang w:val="en-US" w:eastAsia="zh-CN" w:bidi="ar"/>
              </w:rPr>
              <w:t>管材管件类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衬塑复合钢管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过桥段挂管敷设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聚乙烯给水管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5370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含管件长度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聚乙烯给水管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含管件长度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聚乙烯给水管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14804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含管件长度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聚乙烯给水管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含管件长度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聚乙烯给水管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含管件长度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dn315×315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dn300×200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dn315×160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dn315×110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dn300×110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dn315×75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dn160×160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dn160×110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dn160×75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dn160×63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dn110×110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dn110×75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dn110×63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1462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PE三通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PE渐缩管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dn315×160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PE渐缩管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dn200×110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PE渐缩管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dn160×110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PE渐缩管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dn110×63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PE渐缩管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PE渐缩管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1477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PE渐缩管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5985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25°弯头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PE法兰端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PE法兰端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PE法兰端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PE法兰端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排气阀处使用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PE法兰端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PE法兰端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DN50×25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带DN25补芯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PE法兰端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排气阀处使用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PE法兰盘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闸阀与管道连接处使用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PE外丝直接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PE外丝直接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dn50×40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PE外丝直接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dn32×25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PE外丝直接</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dn25×20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PE短管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含活接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PE短管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不锈钢分水器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DN50×20×2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SUS304不锈钢，壁厚δ=1.5mm ，1.0MPa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不锈钢分水器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DN50×25×2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SUS304不锈钢，壁厚δ=1.5mm 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PE双盘异径管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DN50×25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排气阀处使用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转换头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不锈钢与PE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伸缩接头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伸缩接头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外螺接由任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外螺接由任</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阀门类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DN300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SZ45X-10Q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SZ45X-10Q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SZ45X-10Q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SZ45X-10Q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Z15X-10Q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SZ45X-10Q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Z15X-10Q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止回阀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止回阀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止回阀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止回阀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排气阀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排气阀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排泥阀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DN75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锁闭阀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锁闭阀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锁闭阀</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水表及表箱类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保温水表箱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450×750×220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1494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1表箱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保温水表箱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750×750×220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3表箱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IC卡水表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IC卡水表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含水表连接件、防干扰阀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IC卡水表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井盖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井座及井盖</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Calibri" w:hAnsi="Calibri" w:eastAsia="等线" w:cs="Calibri"/>
                <w:i w:val="0"/>
                <w:iCs w:val="0"/>
                <w:color w:val="000000"/>
                <w:sz w:val="28"/>
                <w:szCs w:val="28"/>
                <w:u w:val="none"/>
              </w:rPr>
            </w:pPr>
            <w:r>
              <w:rPr>
                <w:rStyle w:val="120"/>
                <w:rFonts w:eastAsia="等线"/>
                <w:sz w:val="28"/>
                <w:szCs w:val="28"/>
                <w:lang w:val="en-US" w:eastAsia="zh-CN" w:bidi="ar"/>
              </w:rPr>
              <w:t>φ</w:t>
            </w:r>
            <w:r>
              <w:rPr>
                <w:rStyle w:val="121"/>
                <w:rFonts w:eastAsia="等线"/>
                <w:sz w:val="28"/>
                <w:szCs w:val="28"/>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球墨铸铁、重型可调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消火栓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室外地上消火栓</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SS100/65-1.0</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8"/>
                <w:szCs w:val="28"/>
                <w:u w:val="none"/>
              </w:rPr>
            </w:pPr>
          </w:p>
        </w:tc>
      </w:tr>
    </w:tbl>
    <w:p>
      <w:pPr>
        <w:outlineLvl w:val="2"/>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ind w:firstLine="562" w:firstLineChars="20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221" w:name="_Toc26386"/>
      <w:bookmarkStart w:id="222" w:name="_Toc19583"/>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产品技术要求：</w:t>
      </w:r>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1、管材要求:户外埋地:主管道采用聚乙烯(混配料生产的)PE100级给水管材。接口形式为: (1)热熔对接。(2)法兰连接,开挖部分耐压等级为1.6MPa(SDR17),管件亦选用PE100级，耐压等级为1.6MPa(SDR13.6)配套管件，背压法兰采用过塑钢法兰。立管安装裸露在外墙管道采取PVC-U阻燃保温管保温，且采用配套管道卡箍固定。</w:t>
      </w:r>
    </w:p>
    <w:p>
      <w:pPr>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2、闸阀:管径&gt;DN50闸阀采用法兰连接，管径≤DN50闸阀采用丝口连接。</w:t>
      </w:r>
    </w:p>
    <w:p>
      <w:pPr>
        <w:spacing w:line="360" w:lineRule="auto"/>
        <w:ind w:firstLine="56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3、水表:管径≥DN50水表采用法兰连接，管径&lt;DN50水表采用丝口连接。</w:t>
      </w:r>
      <w:r>
        <w:rPr>
          <w:rFonts w:hint="eastAsia" w:ascii="宋体" w:hAnsi="宋体" w:eastAsia="宋体" w:cs="宋体"/>
          <w:color w:val="000000" w:themeColor="text1"/>
          <w:highlight w:val="none"/>
          <w14:textFill>
            <w14:solidFill>
              <w14:schemeClr w14:val="tx1"/>
            </w14:solidFill>
          </w14:textFill>
        </w:rPr>
        <w:br w:type="page"/>
      </w:r>
    </w:p>
    <w:p>
      <w:pPr>
        <w:pStyle w:val="7"/>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第四章  合同文本</w:t>
      </w:r>
      <w:bookmarkEnd w:id="220"/>
      <w:bookmarkEnd w:id="221"/>
      <w:bookmarkEnd w:id="222"/>
    </w:p>
    <w:p>
      <w:pPr>
        <w:jc w:val="right"/>
        <w:rPr>
          <w:rFonts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pPr>
      <w:bookmarkStart w:id="223" w:name="_Toc100219616"/>
      <w:r>
        <w:rPr>
          <w:rFonts w:hint="eastAsia" w:ascii="宋体" w:hAnsi="宋体" w:eastAsia="宋体" w:cs="宋体"/>
          <w:b/>
          <w:color w:val="000000" w:themeColor="text1"/>
          <w:sz w:val="32"/>
          <w:szCs w:val="32"/>
          <w:highlight w:val="none"/>
          <w:bdr w:val="single" w:color="auto" w:sz="4" w:space="0"/>
          <w:shd w:val="pct10" w:color="auto" w:fill="FFFFFF"/>
          <w14:textFill>
            <w14:solidFill>
              <w14:schemeClr w14:val="tx1"/>
            </w14:solidFill>
          </w14:textFill>
        </w:rPr>
        <w:t>政府采购项目</w:t>
      </w:r>
    </w:p>
    <w:p>
      <w:pPr>
        <w:spacing w:line="480" w:lineRule="auto"/>
        <w:jc w:val="center"/>
        <w:rPr>
          <w:rFonts w:ascii="宋体" w:hAnsi="宋体" w:eastAsia="宋体" w:cs="宋体"/>
          <w:b/>
          <w:bCs/>
          <w:color w:val="000000" w:themeColor="text1"/>
          <w:sz w:val="44"/>
          <w:szCs w:val="44"/>
          <w:highlight w:val="none"/>
          <w14:textFill>
            <w14:solidFill>
              <w14:schemeClr w14:val="tx1"/>
            </w14:solidFill>
          </w14:textFill>
        </w:rPr>
      </w:pPr>
    </w:p>
    <w:p>
      <w:pPr>
        <w:spacing w:line="480" w:lineRule="auto"/>
        <w:jc w:val="center"/>
        <w:rPr>
          <w:rFonts w:ascii="宋体" w:hAnsi="宋体" w:eastAsia="宋体" w:cs="宋体"/>
          <w:b/>
          <w:bCs/>
          <w:color w:val="000000" w:themeColor="text1"/>
          <w:sz w:val="44"/>
          <w:szCs w:val="44"/>
          <w:highlight w:val="none"/>
          <w14:textFill>
            <w14:solidFill>
              <w14:schemeClr w14:val="tx1"/>
            </w14:solidFill>
          </w14:textFill>
        </w:rPr>
      </w:pPr>
    </w:p>
    <w:p>
      <w:pPr>
        <w:jc w:val="center"/>
        <w:rPr>
          <w:rFonts w:hint="default" w:ascii="宋体" w:hAnsi="宋体" w:eastAsia="宋体" w:cs="宋体"/>
          <w:b/>
          <w:color w:val="000000" w:themeColor="text1"/>
          <w:sz w:val="56"/>
          <w:szCs w:val="56"/>
          <w:highlight w:val="none"/>
          <w:lang w:val="en-US" w:eastAsia="zh-CN"/>
          <w14:textFill>
            <w14:solidFill>
              <w14:schemeClr w14:val="tx1"/>
            </w14:solidFill>
          </w14:textFill>
        </w:rPr>
      </w:pPr>
      <w:r>
        <w:rPr>
          <w:rFonts w:hint="eastAsia" w:ascii="宋体" w:hAnsi="宋体" w:eastAsia="宋体" w:cs="宋体"/>
          <w:b/>
          <w:color w:val="000000" w:themeColor="text1"/>
          <w:sz w:val="56"/>
          <w:szCs w:val="56"/>
          <w:highlight w:val="none"/>
          <w:lang w:val="en-US" w:eastAsia="zh-CN"/>
          <w14:textFill>
            <w14:solidFill>
              <w14:schemeClr w14:val="tx1"/>
            </w14:solidFill>
          </w14:textFill>
        </w:rPr>
        <w:t>未央宫街道遗址区“六村三校”农村饮水安全巩固提升工程材料购置</w:t>
      </w:r>
    </w:p>
    <w:p>
      <w:pPr>
        <w:pStyle w:val="3"/>
        <w:rPr>
          <w:rFonts w:ascii="宋体" w:hAnsi="宋体" w:eastAsia="宋体" w:cs="宋体"/>
          <w:color w:val="000000" w:themeColor="text1"/>
          <w:highlight w:val="none"/>
          <w14:textFill>
            <w14:solidFill>
              <w14:schemeClr w14:val="tx1"/>
            </w14:solidFill>
          </w14:textFill>
        </w:rPr>
      </w:pPr>
    </w:p>
    <w:p>
      <w:pPr>
        <w:tabs>
          <w:tab w:val="left" w:pos="7815"/>
        </w:tabs>
        <w:spacing w:line="1100" w:lineRule="exact"/>
        <w:rPr>
          <w:rFonts w:ascii="宋体" w:hAnsi="宋体" w:eastAsia="宋体" w:cs="宋体"/>
          <w:b/>
          <w:color w:val="000000" w:themeColor="text1"/>
          <w:sz w:val="52"/>
          <w:szCs w:val="52"/>
          <w:highlight w:val="none"/>
          <w14:textFill>
            <w14:solidFill>
              <w14:schemeClr w14:val="tx1"/>
            </w14:solidFill>
          </w14:textFill>
        </w:rPr>
      </w:pPr>
    </w:p>
    <w:p>
      <w:pPr>
        <w:spacing w:line="360" w:lineRule="auto"/>
        <w:ind w:firstLine="2125" w:firstLineChars="294"/>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72"/>
          <w:szCs w:val="72"/>
          <w:highlight w:val="none"/>
          <w14:textFill>
            <w14:solidFill>
              <w14:schemeClr w14:val="tx1"/>
            </w14:solidFill>
          </w14:textFill>
        </w:rPr>
        <w:t xml:space="preserve">  </w:t>
      </w:r>
      <w:bookmarkStart w:id="224" w:name="_Hlk71972824"/>
      <w:r>
        <w:rPr>
          <w:rFonts w:hint="eastAsia" w:ascii="宋体" w:hAnsi="宋体" w:eastAsia="宋体" w:cs="宋体"/>
          <w:b/>
          <w:color w:val="000000" w:themeColor="text1"/>
          <w:sz w:val="72"/>
          <w:szCs w:val="72"/>
          <w:highlight w:val="none"/>
          <w14:textFill>
            <w14:solidFill>
              <w14:schemeClr w14:val="tx1"/>
            </w14:solidFill>
          </w14:textFill>
        </w:rPr>
        <w:t>供货合同</w:t>
      </w:r>
    </w:p>
    <w:p>
      <w:pPr>
        <w:spacing w:line="360" w:lineRule="auto"/>
        <w:rPr>
          <w:rFonts w:ascii="宋体" w:hAnsi="宋体" w:eastAsia="宋体" w:cs="宋体"/>
          <w:b/>
          <w:color w:val="000000" w:themeColor="text1"/>
          <w:sz w:val="32"/>
          <w:szCs w:val="32"/>
          <w:highlight w:val="none"/>
          <w14:textFill>
            <w14:solidFill>
              <w14:schemeClr w14:val="tx1"/>
            </w14:solidFill>
          </w14:textFill>
        </w:rPr>
      </w:pPr>
    </w:p>
    <w:p>
      <w:pPr>
        <w:pStyle w:val="113"/>
        <w:rPr>
          <w:rFonts w:ascii="宋体" w:hAnsi="宋体" w:eastAsia="宋体" w:cs="宋体"/>
          <w:b/>
          <w:color w:val="000000" w:themeColor="text1"/>
          <w:sz w:val="32"/>
          <w:szCs w:val="32"/>
          <w:highlight w:val="none"/>
          <w14:textFill>
            <w14:solidFill>
              <w14:schemeClr w14:val="tx1"/>
            </w14:solidFill>
          </w14:textFill>
        </w:rPr>
      </w:pPr>
    </w:p>
    <w:p>
      <w:pPr>
        <w:pStyle w:val="113"/>
        <w:rPr>
          <w:rFonts w:ascii="宋体" w:hAnsi="宋体" w:eastAsia="宋体" w:cs="宋体"/>
          <w:b/>
          <w:color w:val="000000" w:themeColor="text1"/>
          <w:sz w:val="32"/>
          <w:szCs w:val="32"/>
          <w:highlight w:val="none"/>
          <w14:textFill>
            <w14:solidFill>
              <w14:schemeClr w14:val="tx1"/>
            </w14:solidFill>
          </w14:textFill>
        </w:rPr>
      </w:pPr>
    </w:p>
    <w:p>
      <w:pPr>
        <w:pStyle w:val="113"/>
      </w:pPr>
    </w:p>
    <w:p>
      <w:pPr>
        <w:spacing w:line="360" w:lineRule="auto"/>
        <w:ind w:firstLine="1928" w:firstLineChars="600"/>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合同编号：</w:t>
      </w:r>
      <w: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color w:val="000000" w:themeColor="text1"/>
          <w:sz w:val="32"/>
          <w:szCs w:val="32"/>
          <w:highlight w:val="none"/>
          <w14:textFill>
            <w14:solidFill>
              <w14:schemeClr w14:val="tx1"/>
            </w14:solidFill>
          </w14:textFill>
        </w:rPr>
        <w:t xml:space="preserve">  </w:t>
      </w:r>
    </w:p>
    <w:p>
      <w:pPr>
        <w:spacing w:line="360" w:lineRule="auto"/>
        <w:ind w:firstLine="1928" w:firstLineChars="600"/>
        <w:rPr>
          <w:rFonts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甲</w:t>
      </w:r>
      <w:r>
        <w:rPr>
          <w:rFonts w:hint="eastAsia" w:ascii="宋体" w:hAnsi="宋体" w:eastAsia="宋体" w:cs="宋体"/>
          <w:b/>
          <w:color w:val="000000" w:themeColor="text1"/>
          <w:sz w:val="32"/>
          <w:szCs w:val="32"/>
          <w:highlight w:val="none"/>
          <w14:textFill>
            <w14:solidFill>
              <w14:schemeClr w14:val="tx1"/>
            </w14:solidFill>
          </w14:textFill>
        </w:rPr>
        <w:t xml:space="preserve">    方：</w:t>
      </w:r>
      <w:r>
        <w:rPr>
          <w:rFonts w:hint="eastAsia" w:ascii="宋体" w:hAnsi="宋体" w:eastAsia="宋体" w:cs="宋体"/>
          <w:b/>
          <w:color w:val="000000" w:themeColor="text1"/>
          <w:sz w:val="32"/>
          <w:szCs w:val="32"/>
          <w:highlight w:val="none"/>
          <w:u w:val="single"/>
          <w:lang w:eastAsia="zh-CN"/>
          <w14:textFill>
            <w14:solidFill>
              <w14:schemeClr w14:val="tx1"/>
            </w14:solidFill>
          </w14:textFill>
        </w:rPr>
        <w:t>西安市未央区未央宫街道办事处</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p>
    <w:p>
      <w:pPr>
        <w:spacing w:line="360" w:lineRule="auto"/>
        <w:ind w:firstLine="1928" w:firstLineChars="600"/>
        <w:rPr>
          <w:rFonts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乙 </w:t>
      </w:r>
      <w:r>
        <w:rPr>
          <w:rFonts w:hint="eastAsia" w:ascii="宋体" w:hAnsi="宋体" w:eastAsia="宋体" w:cs="宋体"/>
          <w:b/>
          <w:color w:val="000000" w:themeColor="text1"/>
          <w:sz w:val="32"/>
          <w:szCs w:val="32"/>
          <w:highlight w:val="none"/>
          <w14:textFill>
            <w14:solidFill>
              <w14:schemeClr w14:val="tx1"/>
            </w14:solidFill>
          </w14:textFill>
        </w:rPr>
        <w:t xml:space="preserve">   方：</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p>
    <w:p>
      <w:pPr>
        <w:spacing w:line="360" w:lineRule="auto"/>
        <w:ind w:left="3832" w:leftChars="1463" w:hanging="321" w:hangingChars="100"/>
        <w:jc w:val="both"/>
        <w:rPr>
          <w:rFonts w:hint="eastAsia" w:ascii="宋体" w:hAnsi="宋体" w:eastAsia="宋体" w:cs="宋体"/>
          <w:b/>
          <w:color w:val="000000" w:themeColor="text1"/>
          <w:sz w:val="32"/>
          <w:szCs w:val="32"/>
          <w:highlight w:val="none"/>
          <w14:textFill>
            <w14:solidFill>
              <w14:schemeClr w14:val="tx1"/>
            </w14:solidFill>
          </w14:textFill>
        </w:rPr>
      </w:pPr>
    </w:p>
    <w:p>
      <w:pPr>
        <w:spacing w:line="360" w:lineRule="auto"/>
        <w:ind w:left="3832" w:leftChars="1463" w:hanging="321" w:hangingChars="100"/>
        <w:jc w:val="both"/>
        <w:rPr>
          <w:rFonts w:ascii="宋体" w:hAnsi="宋体" w:eastAsia="宋体" w:cs="宋体"/>
          <w:b/>
          <w:color w:val="000000" w:themeColor="text1"/>
          <w:sz w:val="32"/>
          <w:szCs w:val="32"/>
          <w:highlight w:val="none"/>
          <w14:textFill>
            <w14:solidFill>
              <w14:schemeClr w14:val="tx1"/>
            </w14:solidFill>
          </w14:textFill>
        </w:rPr>
        <w:sectPr>
          <w:footerReference r:id="rId6" w:type="default"/>
          <w:pgSz w:w="11906" w:h="16838"/>
          <w:pgMar w:top="1418" w:right="1133" w:bottom="1418" w:left="755" w:header="907" w:footer="1021" w:gutter="567"/>
          <w:pgNumType w:fmt="numberInDash" w:start="1"/>
          <w:cols w:space="720" w:num="1"/>
          <w:docGrid w:linePitch="312" w:charSpace="0"/>
        </w:sectPr>
      </w:pPr>
      <w:r>
        <w:rPr>
          <w:rFonts w:hint="eastAsia" w:ascii="宋体" w:hAnsi="宋体" w:eastAsia="宋体" w:cs="宋体"/>
          <w:b/>
          <w:color w:val="000000" w:themeColor="text1"/>
          <w:sz w:val="32"/>
          <w:szCs w:val="32"/>
          <w:highlight w:val="none"/>
          <w14:textFill>
            <w14:solidFill>
              <w14:schemeClr w14:val="tx1"/>
            </w14:solidFill>
          </w14:textFill>
        </w:rPr>
        <w:t>二零二</w:t>
      </w:r>
      <w:r>
        <w:rPr>
          <w:rFonts w:hint="eastAsia" w:ascii="宋体" w:hAnsi="宋体" w:eastAsia="宋体" w:cs="宋体"/>
          <w:b/>
          <w:color w:val="000000" w:themeColor="text1"/>
          <w:sz w:val="32"/>
          <w:szCs w:val="32"/>
          <w:highlight w:val="none"/>
          <w:lang w:val="en-US" w:eastAsia="zh-CN"/>
          <w14:textFill>
            <w14:solidFill>
              <w14:schemeClr w14:val="tx1"/>
            </w14:solidFill>
          </w14:textFill>
        </w:rPr>
        <w:t>三</w:t>
      </w:r>
      <w:r>
        <w:rPr>
          <w:rFonts w:hint="eastAsia" w:ascii="宋体" w:hAnsi="宋体" w:eastAsia="宋体" w:cs="宋体"/>
          <w:b/>
          <w:color w:val="000000" w:themeColor="text1"/>
          <w:sz w:val="32"/>
          <w:szCs w:val="32"/>
          <w:highlight w:val="none"/>
          <w14:textFill>
            <w14:solidFill>
              <w14:schemeClr w14:val="tx1"/>
            </w14:solidFill>
          </w14:textFill>
        </w:rPr>
        <w:t>年   月</w:t>
      </w:r>
    </w:p>
    <w:bookmarkEnd w:id="224"/>
    <w:p>
      <w:pPr>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根据《中华人民共和国政府采购法》、《中华人民共和国民法典》等有关法律法规规定，</w:t>
      </w:r>
      <w:r>
        <w:rPr>
          <w:rFonts w:hint="eastAsia" w:ascii="宋体" w:hAnsi="宋体" w:eastAsia="宋体" w:cs="宋体"/>
          <w:sz w:val="24"/>
          <w:szCs w:val="24"/>
          <w:u w:val="single"/>
        </w:rPr>
        <w:t>西安市未央区未央宫街道办事处</w:t>
      </w:r>
      <w:r>
        <w:rPr>
          <w:rFonts w:hint="eastAsia" w:ascii="宋体" w:hAnsi="宋体" w:eastAsia="宋体" w:cs="宋体"/>
          <w:sz w:val="24"/>
          <w:szCs w:val="24"/>
        </w:rPr>
        <w:t>(采购人名称)(以下简称：“甲方”)通过</w:t>
      </w:r>
      <w:r>
        <w:rPr>
          <w:rFonts w:hint="eastAsia" w:ascii="宋体" w:hAnsi="宋体" w:eastAsia="宋体" w:cs="宋体"/>
          <w:sz w:val="24"/>
          <w:szCs w:val="24"/>
          <w:u w:val="single"/>
          <w:lang w:val="en-US" w:eastAsia="zh-CN"/>
        </w:rPr>
        <w:t>公开招标</w:t>
      </w:r>
      <w:r>
        <w:rPr>
          <w:rFonts w:hint="eastAsia" w:ascii="宋体" w:hAnsi="宋体" w:eastAsia="宋体" w:cs="宋体"/>
          <w:sz w:val="24"/>
          <w:szCs w:val="24"/>
        </w:rPr>
        <w:t>采购(采购方式)确定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(中标人名称)(以下简称：“乙方”)为</w:t>
      </w:r>
      <w:r>
        <w:rPr>
          <w:rFonts w:hint="eastAsia" w:ascii="宋体" w:hAnsi="宋体" w:eastAsia="宋体" w:cs="宋体"/>
          <w:sz w:val="24"/>
          <w:szCs w:val="24"/>
          <w:u w:val="single"/>
        </w:rPr>
        <w:t>未央宫街道遗址区“六村三校”农村饮水安全巩固提升工程材料购置</w:t>
      </w:r>
      <w:r>
        <w:rPr>
          <w:rFonts w:hint="eastAsia" w:ascii="宋体" w:hAnsi="宋体" w:eastAsia="宋体" w:cs="宋体"/>
          <w:sz w:val="24"/>
          <w:szCs w:val="24"/>
        </w:rPr>
        <w:t>项目(项目名称)的</w:t>
      </w:r>
      <w:r>
        <w:rPr>
          <w:rFonts w:hint="eastAsia" w:ascii="宋体" w:hAnsi="宋体" w:eastAsia="宋体" w:cs="宋体"/>
          <w:sz w:val="24"/>
          <w:szCs w:val="24"/>
          <w:lang w:val="en-US" w:eastAsia="zh-CN"/>
        </w:rPr>
        <w:t>中标人</w:t>
      </w:r>
      <w:r>
        <w:rPr>
          <w:rFonts w:hint="eastAsia" w:ascii="宋体" w:hAnsi="宋体" w:eastAsia="宋体" w:cs="宋体"/>
          <w:sz w:val="24"/>
          <w:szCs w:val="24"/>
        </w:rPr>
        <w:t>。甲乙双方同意签署《</w:t>
      </w:r>
      <w:r>
        <w:rPr>
          <w:rFonts w:hint="eastAsia" w:ascii="宋体" w:hAnsi="宋体" w:eastAsia="宋体" w:cs="宋体"/>
          <w:sz w:val="24"/>
          <w:szCs w:val="24"/>
          <w:u w:val="single"/>
        </w:rPr>
        <w:t>未央宫街道遗址区“六村三校”农村饮水安全巩固提升工程材料购置</w:t>
      </w:r>
      <w:r>
        <w:rPr>
          <w:rFonts w:hint="eastAsia" w:ascii="宋体" w:hAnsi="宋体" w:eastAsia="宋体" w:cs="宋体"/>
          <w:sz w:val="24"/>
          <w:szCs w:val="24"/>
        </w:rPr>
        <w:t>项目(项目名称)合同》(合同编号：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，以下简称：“合同”)。</w:t>
      </w:r>
    </w:p>
    <w:p>
      <w:pPr>
        <w:spacing w:line="360" w:lineRule="auto"/>
        <w:rPr>
          <w:rFonts w:hint="eastAsia" w:ascii="宋体" w:hAnsi="宋体" w:eastAsia="宋体" w:cs="宋体"/>
          <w:sz w:val="24"/>
          <w:szCs w:val="24"/>
        </w:rPr>
      </w:pPr>
      <w:r>
        <w:rPr>
          <w:rFonts w:hint="eastAsia" w:ascii="宋体" w:hAnsi="宋体" w:eastAsia="宋体" w:cs="宋体"/>
          <w:sz w:val="24"/>
          <w:szCs w:val="24"/>
        </w:rPr>
        <w:t>1.合同文件</w:t>
      </w:r>
    </w:p>
    <w:p>
      <w:pPr>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下列文件是构成本合同不可分割的部分：</w:t>
      </w:r>
    </w:p>
    <w:p>
      <w:pPr>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 合同条款；</w:t>
      </w:r>
    </w:p>
    <w:p>
      <w:pPr>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 中标通知书；</w:t>
      </w:r>
    </w:p>
    <w:p>
      <w:pPr>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 招标文件；</w:t>
      </w:r>
    </w:p>
    <w:p>
      <w:pPr>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(4) 投标文件；</w:t>
      </w:r>
    </w:p>
    <w:p>
      <w:pPr>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(5) 其他(根据实际情况需要增加的内容)。</w:t>
      </w:r>
    </w:p>
    <w:p>
      <w:pPr>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组成合同的各项文件应互相解释，互为说明。合同文件的解释优先顺序以上述文件先后顺序为准。</w:t>
      </w:r>
    </w:p>
    <w:p>
      <w:pPr>
        <w:spacing w:line="360" w:lineRule="auto"/>
        <w:rPr>
          <w:rFonts w:hint="eastAsia" w:ascii="宋体" w:hAnsi="宋体" w:eastAsia="宋体" w:cs="宋体"/>
          <w:sz w:val="24"/>
          <w:szCs w:val="24"/>
        </w:rPr>
      </w:pPr>
      <w:r>
        <w:rPr>
          <w:rFonts w:hint="eastAsia" w:ascii="宋体" w:hAnsi="宋体" w:eastAsia="宋体" w:cs="宋体"/>
          <w:sz w:val="24"/>
          <w:szCs w:val="24"/>
        </w:rPr>
        <w:t>2.合同主要标的及数量</w:t>
      </w:r>
    </w:p>
    <w:p>
      <w:pPr>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乙方应按照合同的规定，提供本项目《招标(采购)文件》中有关要求的产品及服务，包括但不限于以下内容：</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56"/>
        <w:gridCol w:w="996"/>
        <w:gridCol w:w="1656"/>
        <w:gridCol w:w="996"/>
        <w:gridCol w:w="996"/>
        <w:gridCol w:w="995"/>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序号</w:t>
            </w:r>
          </w:p>
        </w:tc>
        <w:tc>
          <w:tcPr>
            <w:tcW w:w="1656"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货物名称</w:t>
            </w:r>
          </w:p>
        </w:tc>
        <w:tc>
          <w:tcPr>
            <w:tcW w:w="996"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品牌</w:t>
            </w:r>
          </w:p>
        </w:tc>
        <w:tc>
          <w:tcPr>
            <w:tcW w:w="1656"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型号规格</w:t>
            </w:r>
          </w:p>
        </w:tc>
        <w:tc>
          <w:tcPr>
            <w:tcW w:w="996"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单价</w:t>
            </w:r>
          </w:p>
        </w:tc>
        <w:tc>
          <w:tcPr>
            <w:tcW w:w="996"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数量</w:t>
            </w:r>
          </w:p>
        </w:tc>
        <w:tc>
          <w:tcPr>
            <w:tcW w:w="995"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小计</w:t>
            </w:r>
          </w:p>
        </w:tc>
        <w:tc>
          <w:tcPr>
            <w:tcW w:w="995"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165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4" w:type="dxa"/>
            <w:gridSpan w:val="4"/>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合计</w:t>
            </w:r>
          </w:p>
        </w:tc>
        <w:tc>
          <w:tcPr>
            <w:tcW w:w="996" w:type="dxa"/>
            <w:noWrap w:val="0"/>
            <w:vAlign w:val="center"/>
          </w:tcPr>
          <w:p>
            <w:pPr>
              <w:spacing w:line="360" w:lineRule="auto"/>
              <w:rPr>
                <w:rFonts w:hint="eastAsia" w:ascii="宋体" w:hAnsi="宋体" w:eastAsia="宋体" w:cs="宋体"/>
                <w:sz w:val="24"/>
                <w:szCs w:val="24"/>
              </w:rPr>
            </w:pPr>
          </w:p>
        </w:tc>
        <w:tc>
          <w:tcPr>
            <w:tcW w:w="996"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c>
          <w:tcPr>
            <w:tcW w:w="995" w:type="dxa"/>
            <w:noWrap w:val="0"/>
            <w:vAlign w:val="center"/>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3.合同总金额及付款方式</w:t>
      </w:r>
    </w:p>
    <w:p>
      <w:pPr>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sz w:val="24"/>
          <w:szCs w:val="24"/>
        </w:rPr>
        <w:t>3.1合同总金额</w:t>
      </w:r>
      <w:r>
        <w:rPr>
          <w:rFonts w:hint="eastAsia" w:ascii="宋体" w:hAnsi="宋体" w:eastAsia="宋体" w:cs="宋体"/>
          <w:sz w:val="24"/>
          <w:szCs w:val="24"/>
          <w:lang w:eastAsia="zh-CN"/>
        </w:rPr>
        <w:t>：</w:t>
      </w:r>
      <w:r>
        <w:rPr>
          <w:rFonts w:hint="eastAsia" w:ascii="宋体" w:hAnsi="宋体" w:eastAsia="宋体" w:cs="宋体"/>
          <w:sz w:val="24"/>
          <w:szCs w:val="24"/>
        </w:rPr>
        <w:t>本合同总金额为</w:t>
      </w:r>
      <w:r>
        <w:rPr>
          <w:rFonts w:hint="eastAsia" w:ascii="宋体" w:hAnsi="宋体" w:eastAsia="宋体" w:cs="宋体"/>
          <w:color w:val="000000"/>
          <w:sz w:val="24"/>
          <w:szCs w:val="24"/>
        </w:rPr>
        <w:t>人民币</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元(¥</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)。本项目包括但不限于运输费、人工费、材料费、机械费、利润、税金</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技术支持、质量保障、售后服务、培训和评审过程中其它相关的一切费用</w:t>
      </w:r>
      <w:r>
        <w:rPr>
          <w:rFonts w:hint="eastAsia" w:ascii="宋体" w:hAnsi="宋体" w:eastAsia="宋体" w:cs="宋体"/>
          <w:color w:val="000000"/>
          <w:sz w:val="24"/>
          <w:szCs w:val="24"/>
          <w:lang w:val="en-US" w:eastAsia="zh-CN"/>
        </w:rPr>
        <w:t>及</w:t>
      </w:r>
      <w:r>
        <w:rPr>
          <w:rFonts w:hint="eastAsia" w:ascii="宋体" w:hAnsi="宋体" w:eastAsia="宋体" w:cs="宋体"/>
          <w:color w:val="000000"/>
          <w:sz w:val="24"/>
          <w:szCs w:val="24"/>
        </w:rPr>
        <w:t>合同中规定乙方应承担的其他义务的费用已由乙方计入本合同总金额中。</w:t>
      </w:r>
    </w:p>
    <w:p>
      <w:pPr>
        <w:spacing w:line="360" w:lineRule="auto"/>
        <w:ind w:firstLine="496"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3.2付款方式</w:t>
      </w:r>
      <w:r>
        <w:rPr>
          <w:rFonts w:hint="eastAsia" w:ascii="宋体" w:hAnsi="宋体" w:eastAsia="宋体" w:cs="宋体"/>
          <w:color w:val="000000"/>
          <w:sz w:val="24"/>
          <w:szCs w:val="24"/>
          <w:lang w:eastAsia="zh-CN"/>
        </w:rPr>
        <w:t>：合同签订后，供应商持合同复印件、预付款发票，至采购人处办理合同总价款40%的预付款项。验收合格（满足使用标准）后，供应商持相对应金额的发票至采购人办理支付剩余款项。</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4.合同签订地：</w:t>
      </w:r>
      <w:r>
        <w:rPr>
          <w:rFonts w:hint="eastAsia" w:ascii="宋体" w:hAnsi="宋体" w:eastAsia="宋体" w:cs="宋体"/>
          <w:sz w:val="24"/>
          <w:szCs w:val="24"/>
          <w:u w:val="single"/>
          <w:lang w:val="en-US" w:eastAsia="zh-CN"/>
        </w:rPr>
        <w:t xml:space="preserve"> 西安市未央区  </w:t>
      </w:r>
    </w:p>
    <w:p>
      <w:pPr>
        <w:spacing w:line="360" w:lineRule="auto"/>
        <w:rPr>
          <w:rFonts w:hint="eastAsia" w:ascii="宋体" w:hAnsi="宋体" w:eastAsia="宋体" w:cs="宋体"/>
          <w:sz w:val="24"/>
          <w:szCs w:val="24"/>
        </w:rPr>
      </w:pPr>
      <w:r>
        <w:rPr>
          <w:rFonts w:hint="eastAsia" w:ascii="宋体" w:hAnsi="宋体" w:eastAsia="宋体" w:cs="宋体"/>
          <w:sz w:val="24"/>
          <w:szCs w:val="24"/>
        </w:rPr>
        <w:t>5.合同生效</w:t>
      </w:r>
    </w:p>
    <w:p>
      <w:pPr>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本合同一式肆份，甲方执贰份、乙方执壹份、采购代理机构（见证方）执壹份。在甲、乙及见证方签字盖章，并甲方收到乙方提交的履约保证金后生效。</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tbl>
      <w:tblPr>
        <w:tblStyle w:val="34"/>
        <w:tblW w:w="0" w:type="auto"/>
        <w:tblInd w:w="93" w:type="dxa"/>
        <w:tblLayout w:type="fixed"/>
        <w:tblCellMar>
          <w:top w:w="0" w:type="dxa"/>
          <w:left w:w="108" w:type="dxa"/>
          <w:bottom w:w="0" w:type="dxa"/>
          <w:right w:w="108" w:type="dxa"/>
        </w:tblCellMar>
      </w:tblPr>
      <w:tblGrid>
        <w:gridCol w:w="4551"/>
        <w:gridCol w:w="4253"/>
      </w:tblGrid>
      <w:tr>
        <w:tblPrEx>
          <w:tblCellMar>
            <w:top w:w="0" w:type="dxa"/>
            <w:left w:w="108" w:type="dxa"/>
            <w:bottom w:w="0" w:type="dxa"/>
            <w:right w:w="108" w:type="dxa"/>
          </w:tblCellMar>
        </w:tblPrEx>
        <w:trPr>
          <w:trHeight w:val="390" w:hRule="atLeast"/>
        </w:trPr>
        <w:tc>
          <w:tcPr>
            <w:tcW w:w="4551" w:type="dxa"/>
            <w:tcBorders>
              <w:top w:val="single" w:color="auto" w:sz="8" w:space="0"/>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甲  方</w:t>
            </w:r>
          </w:p>
        </w:tc>
        <w:tc>
          <w:tcPr>
            <w:tcW w:w="4253" w:type="dxa"/>
            <w:tcBorders>
              <w:top w:val="single" w:color="auto" w:sz="8" w:space="0"/>
              <w:left w:val="nil"/>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乙  方</w:t>
            </w:r>
          </w:p>
        </w:tc>
      </w:tr>
      <w:tr>
        <w:tblPrEx>
          <w:tblCellMar>
            <w:top w:w="0" w:type="dxa"/>
            <w:left w:w="108" w:type="dxa"/>
            <w:bottom w:w="0" w:type="dxa"/>
            <w:right w:w="108" w:type="dxa"/>
          </w:tblCellMar>
        </w:tblPrEx>
        <w:trPr>
          <w:trHeight w:val="735" w:hRule="atLeast"/>
        </w:trPr>
        <w:tc>
          <w:tcPr>
            <w:tcW w:w="4551" w:type="dxa"/>
            <w:vMerge w:val="restart"/>
            <w:tcBorders>
              <w:top w:val="nil"/>
              <w:left w:val="single" w:color="auto" w:sz="8" w:space="0"/>
              <w:bottom w:val="single" w:color="000000"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（盖章）</w:t>
            </w:r>
          </w:p>
        </w:tc>
        <w:tc>
          <w:tcPr>
            <w:tcW w:w="4253" w:type="dxa"/>
            <w:tcBorders>
              <w:top w:val="nil"/>
              <w:left w:val="nil"/>
              <w:bottom w:val="nil"/>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（盖章）</w:t>
            </w:r>
          </w:p>
        </w:tc>
      </w:tr>
      <w:tr>
        <w:tblPrEx>
          <w:tblCellMar>
            <w:top w:w="0" w:type="dxa"/>
            <w:left w:w="108" w:type="dxa"/>
            <w:bottom w:w="0" w:type="dxa"/>
            <w:right w:w="108" w:type="dxa"/>
          </w:tblCellMar>
        </w:tblPrEx>
        <w:trPr>
          <w:trHeight w:val="235" w:hRule="atLeast"/>
        </w:trPr>
        <w:tc>
          <w:tcPr>
            <w:tcW w:w="4551" w:type="dxa"/>
            <w:vMerge w:val="continue"/>
            <w:tcBorders>
              <w:top w:val="nil"/>
              <w:left w:val="single" w:color="auto" w:sz="8" w:space="0"/>
              <w:bottom w:val="single" w:color="000000" w:sz="8" w:space="0"/>
              <w:right w:val="single" w:color="auto" w:sz="8" w:space="0"/>
            </w:tcBorders>
            <w:noWrap w:val="0"/>
            <w:vAlign w:val="center"/>
          </w:tcPr>
          <w:p>
            <w:pPr>
              <w:spacing w:line="360" w:lineRule="auto"/>
              <w:rPr>
                <w:rFonts w:hint="eastAsia" w:ascii="宋体" w:hAnsi="宋体" w:eastAsia="宋体" w:cs="宋体"/>
                <w:kern w:val="0"/>
                <w:sz w:val="24"/>
                <w:szCs w:val="24"/>
              </w:rPr>
            </w:pPr>
          </w:p>
        </w:tc>
        <w:tc>
          <w:tcPr>
            <w:tcW w:w="4253" w:type="dxa"/>
            <w:tcBorders>
              <w:top w:val="nil"/>
              <w:left w:val="nil"/>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地址：</w:t>
            </w:r>
          </w:p>
        </w:tc>
        <w:tc>
          <w:tcPr>
            <w:tcW w:w="4253" w:type="dxa"/>
            <w:tcBorders>
              <w:top w:val="nil"/>
              <w:left w:val="nil"/>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地址：</w:t>
            </w:r>
          </w:p>
        </w:tc>
      </w:tr>
      <w:tr>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邮编：</w:t>
            </w:r>
          </w:p>
        </w:tc>
        <w:tc>
          <w:tcPr>
            <w:tcW w:w="4253" w:type="dxa"/>
            <w:tcBorders>
              <w:top w:val="nil"/>
              <w:left w:val="nil"/>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邮编：</w:t>
            </w:r>
          </w:p>
        </w:tc>
      </w:tr>
      <w:tr>
        <w:tblPrEx>
          <w:tblCellMar>
            <w:top w:w="0" w:type="dxa"/>
            <w:left w:w="108" w:type="dxa"/>
            <w:bottom w:w="0" w:type="dxa"/>
            <w:right w:w="108" w:type="dxa"/>
          </w:tblCellMar>
        </w:tblPrEx>
        <w:trPr>
          <w:trHeight w:val="576" w:hRule="atLeast"/>
        </w:trPr>
        <w:tc>
          <w:tcPr>
            <w:tcW w:w="4551" w:type="dxa"/>
            <w:vMerge w:val="restart"/>
            <w:tcBorders>
              <w:top w:val="nil"/>
              <w:left w:val="single" w:color="auto" w:sz="8" w:space="0"/>
              <w:bottom w:val="single" w:color="000000"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全权代表：（签字）</w:t>
            </w:r>
          </w:p>
        </w:tc>
        <w:tc>
          <w:tcPr>
            <w:tcW w:w="4253" w:type="dxa"/>
            <w:tcBorders>
              <w:top w:val="nil"/>
              <w:left w:val="nil"/>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r>
      <w:tr>
        <w:tblPrEx>
          <w:tblCellMar>
            <w:top w:w="0" w:type="dxa"/>
            <w:left w:w="108" w:type="dxa"/>
            <w:bottom w:w="0" w:type="dxa"/>
            <w:right w:w="108" w:type="dxa"/>
          </w:tblCellMar>
        </w:tblPrEx>
        <w:trPr>
          <w:trHeight w:val="502" w:hRule="atLeast"/>
        </w:trPr>
        <w:tc>
          <w:tcPr>
            <w:tcW w:w="4551" w:type="dxa"/>
            <w:vMerge w:val="continue"/>
            <w:tcBorders>
              <w:top w:val="nil"/>
              <w:left w:val="single" w:color="auto" w:sz="8" w:space="0"/>
              <w:bottom w:val="single" w:color="000000" w:sz="8" w:space="0"/>
              <w:right w:val="single" w:color="auto" w:sz="8" w:space="0"/>
            </w:tcBorders>
            <w:noWrap w:val="0"/>
            <w:vAlign w:val="center"/>
          </w:tcPr>
          <w:p>
            <w:pPr>
              <w:spacing w:line="360" w:lineRule="auto"/>
              <w:rPr>
                <w:rFonts w:hint="eastAsia" w:ascii="宋体" w:hAnsi="宋体" w:eastAsia="宋体" w:cs="宋体"/>
                <w:kern w:val="0"/>
                <w:sz w:val="24"/>
                <w:szCs w:val="24"/>
              </w:rPr>
            </w:pPr>
          </w:p>
        </w:tc>
        <w:tc>
          <w:tcPr>
            <w:tcW w:w="4253" w:type="dxa"/>
            <w:tcBorders>
              <w:top w:val="nil"/>
              <w:left w:val="nil"/>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被授权代表：（签字）</w:t>
            </w:r>
          </w:p>
        </w:tc>
      </w:tr>
      <w:tr>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4253" w:type="dxa"/>
            <w:tcBorders>
              <w:top w:val="nil"/>
              <w:left w:val="nil"/>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电话：</w:t>
            </w:r>
          </w:p>
        </w:tc>
      </w:tr>
      <w:tr>
        <w:tblPrEx>
          <w:tblCellMar>
            <w:top w:w="0" w:type="dxa"/>
            <w:left w:w="108" w:type="dxa"/>
            <w:bottom w:w="0" w:type="dxa"/>
            <w:right w:w="108" w:type="dxa"/>
          </w:tblCellMar>
        </w:tblPrEx>
        <w:trPr>
          <w:trHeight w:val="390" w:hRule="atLeast"/>
        </w:trPr>
        <w:tc>
          <w:tcPr>
            <w:tcW w:w="4551" w:type="dxa"/>
            <w:vMerge w:val="restart"/>
            <w:tcBorders>
              <w:top w:val="nil"/>
              <w:left w:val="single" w:color="auto" w:sz="8" w:space="0"/>
              <w:bottom w:val="single" w:color="000000"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传真：</w:t>
            </w:r>
          </w:p>
        </w:tc>
        <w:tc>
          <w:tcPr>
            <w:tcW w:w="4253" w:type="dxa"/>
            <w:tcBorders>
              <w:top w:val="nil"/>
              <w:left w:val="nil"/>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传真：</w:t>
            </w:r>
          </w:p>
        </w:tc>
      </w:tr>
      <w:tr>
        <w:tblPrEx>
          <w:tblCellMar>
            <w:top w:w="0" w:type="dxa"/>
            <w:left w:w="108" w:type="dxa"/>
            <w:bottom w:w="0" w:type="dxa"/>
            <w:right w:w="108" w:type="dxa"/>
          </w:tblCellMar>
        </w:tblPrEx>
        <w:trPr>
          <w:trHeight w:val="390" w:hRule="atLeast"/>
        </w:trPr>
        <w:tc>
          <w:tcPr>
            <w:tcW w:w="4551" w:type="dxa"/>
            <w:vMerge w:val="continue"/>
            <w:tcBorders>
              <w:top w:val="nil"/>
              <w:left w:val="single" w:color="auto" w:sz="8" w:space="0"/>
              <w:bottom w:val="single" w:color="000000" w:sz="8" w:space="0"/>
              <w:right w:val="single" w:color="auto" w:sz="8" w:space="0"/>
            </w:tcBorders>
            <w:noWrap w:val="0"/>
            <w:vAlign w:val="center"/>
          </w:tcPr>
          <w:p>
            <w:pPr>
              <w:spacing w:line="360" w:lineRule="auto"/>
              <w:rPr>
                <w:rFonts w:hint="eastAsia" w:ascii="宋体" w:hAnsi="宋体" w:eastAsia="宋体" w:cs="宋体"/>
                <w:kern w:val="0"/>
                <w:sz w:val="24"/>
                <w:szCs w:val="24"/>
              </w:rPr>
            </w:pPr>
          </w:p>
        </w:tc>
        <w:tc>
          <w:tcPr>
            <w:tcW w:w="4253" w:type="dxa"/>
            <w:tcBorders>
              <w:top w:val="nil"/>
              <w:left w:val="nil"/>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开户银行：</w:t>
            </w:r>
          </w:p>
        </w:tc>
      </w:tr>
      <w:tr>
        <w:tblPrEx>
          <w:tblCellMar>
            <w:top w:w="0" w:type="dxa"/>
            <w:left w:w="108" w:type="dxa"/>
            <w:bottom w:w="0" w:type="dxa"/>
            <w:right w:w="108" w:type="dxa"/>
          </w:tblCellMar>
        </w:tblPrEx>
        <w:trPr>
          <w:trHeight w:val="390" w:hRule="atLeast"/>
        </w:trPr>
        <w:tc>
          <w:tcPr>
            <w:tcW w:w="4551" w:type="dxa"/>
            <w:vMerge w:val="continue"/>
            <w:tcBorders>
              <w:top w:val="nil"/>
              <w:left w:val="single" w:color="auto" w:sz="8" w:space="0"/>
              <w:bottom w:val="single" w:color="000000" w:sz="8" w:space="0"/>
              <w:right w:val="single" w:color="auto" w:sz="8" w:space="0"/>
            </w:tcBorders>
            <w:noWrap w:val="0"/>
            <w:vAlign w:val="center"/>
          </w:tcPr>
          <w:p>
            <w:pPr>
              <w:spacing w:line="360" w:lineRule="auto"/>
              <w:rPr>
                <w:rFonts w:hint="eastAsia" w:ascii="宋体" w:hAnsi="宋体" w:eastAsia="宋体" w:cs="宋体"/>
                <w:kern w:val="0"/>
                <w:sz w:val="24"/>
                <w:szCs w:val="24"/>
              </w:rPr>
            </w:pPr>
          </w:p>
        </w:tc>
        <w:tc>
          <w:tcPr>
            <w:tcW w:w="4253" w:type="dxa"/>
            <w:tcBorders>
              <w:top w:val="nil"/>
              <w:left w:val="nil"/>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账号:</w:t>
            </w:r>
          </w:p>
        </w:tc>
      </w:tr>
      <w:tr>
        <w:tblPrEx>
          <w:tblCellMar>
            <w:top w:w="0" w:type="dxa"/>
            <w:left w:w="108" w:type="dxa"/>
            <w:bottom w:w="0" w:type="dxa"/>
            <w:right w:w="108" w:type="dxa"/>
          </w:tblCellMar>
        </w:tblPrEx>
        <w:trPr>
          <w:trHeight w:val="390" w:hRule="atLeast"/>
        </w:trPr>
        <w:tc>
          <w:tcPr>
            <w:tcW w:w="4551" w:type="dxa"/>
            <w:tcBorders>
              <w:top w:val="nil"/>
              <w:left w:val="single" w:color="auto" w:sz="8" w:space="0"/>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日期：     年   月   日</w:t>
            </w:r>
          </w:p>
        </w:tc>
        <w:tc>
          <w:tcPr>
            <w:tcW w:w="4253" w:type="dxa"/>
            <w:tcBorders>
              <w:top w:val="nil"/>
              <w:left w:val="nil"/>
              <w:bottom w:val="single" w:color="auto" w:sz="8" w:space="0"/>
              <w:right w:val="single" w:color="auto" w:sz="8" w:space="0"/>
            </w:tcBorders>
            <w:noWrap w:val="0"/>
            <w:vAlign w:val="center"/>
          </w:tcPr>
          <w:p>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日期：     年   月   日</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　　</w:t>
      </w: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一、合同条款</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合同条款前附表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8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pStyle w:val="2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8558" w:type="dxa"/>
            <w:noWrap w:val="0"/>
            <w:vAlign w:val="center"/>
          </w:tcPr>
          <w:p>
            <w:pPr>
              <w:pStyle w:val="2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noWrap w:val="0"/>
            <w:vAlign w:val="center"/>
          </w:tcPr>
          <w:p>
            <w:pPr>
              <w:pStyle w:val="2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558" w:type="dxa"/>
            <w:noWrap w:val="0"/>
            <w:vAlign w:val="center"/>
          </w:tcPr>
          <w:p>
            <w:pPr>
              <w:pStyle w:val="2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合同名称：</w:t>
            </w:r>
          </w:p>
          <w:p>
            <w:pPr>
              <w:pStyle w:val="2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noWrap w:val="0"/>
            <w:vAlign w:val="center"/>
          </w:tcPr>
          <w:p>
            <w:pPr>
              <w:pStyle w:val="2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558" w:type="dxa"/>
            <w:noWrap w:val="0"/>
            <w:vAlign w:val="center"/>
          </w:tcPr>
          <w:p>
            <w:pPr>
              <w:pStyle w:val="2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noWrap w:val="0"/>
            <w:vAlign w:val="center"/>
          </w:tcPr>
          <w:p>
            <w:pPr>
              <w:pStyle w:val="20"/>
              <w:spacing w:line="360" w:lineRule="auto"/>
              <w:jc w:val="center"/>
              <w:rPr>
                <w:rFonts w:hint="eastAsia" w:ascii="宋体" w:hAnsi="宋体" w:eastAsia="宋体" w:cs="宋体"/>
                <w:sz w:val="24"/>
                <w:szCs w:val="24"/>
                <w:lang w:val="en-US" w:eastAsia="zh-CN"/>
              </w:rPr>
            </w:pPr>
          </w:p>
        </w:tc>
        <w:tc>
          <w:tcPr>
            <w:tcW w:w="8558" w:type="dxa"/>
            <w:noWrap w:val="0"/>
            <w:vAlign w:val="center"/>
          </w:tcPr>
          <w:p>
            <w:pPr>
              <w:pStyle w:val="2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noWrap w:val="0"/>
            <w:vAlign w:val="center"/>
          </w:tcPr>
          <w:p>
            <w:pPr>
              <w:pStyle w:val="20"/>
              <w:spacing w:line="360" w:lineRule="auto"/>
              <w:jc w:val="center"/>
              <w:rPr>
                <w:rFonts w:hint="eastAsia" w:ascii="宋体" w:hAnsi="宋体" w:eastAsia="宋体" w:cs="宋体"/>
                <w:sz w:val="24"/>
                <w:szCs w:val="24"/>
                <w:lang w:val="en-US" w:eastAsia="zh-CN"/>
              </w:rPr>
            </w:pPr>
          </w:p>
        </w:tc>
        <w:tc>
          <w:tcPr>
            <w:tcW w:w="8558" w:type="dxa"/>
            <w:noWrap w:val="0"/>
            <w:vAlign w:val="center"/>
          </w:tcPr>
          <w:p>
            <w:pPr>
              <w:pStyle w:val="2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noWrap w:val="0"/>
            <w:vAlign w:val="center"/>
          </w:tcPr>
          <w:p>
            <w:pPr>
              <w:pStyle w:val="2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558" w:type="dxa"/>
            <w:noWrap w:val="0"/>
            <w:vAlign w:val="center"/>
          </w:tcPr>
          <w:p>
            <w:pPr>
              <w:pStyle w:val="2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noWrap w:val="0"/>
            <w:vAlign w:val="center"/>
          </w:tcPr>
          <w:p>
            <w:pPr>
              <w:pStyle w:val="20"/>
              <w:spacing w:line="360" w:lineRule="auto"/>
              <w:jc w:val="center"/>
              <w:rPr>
                <w:rFonts w:hint="eastAsia" w:ascii="宋体" w:hAnsi="宋体" w:eastAsia="宋体" w:cs="宋体"/>
                <w:sz w:val="24"/>
                <w:szCs w:val="24"/>
                <w:lang w:val="en-US" w:eastAsia="zh-CN"/>
              </w:rPr>
            </w:pPr>
          </w:p>
        </w:tc>
        <w:tc>
          <w:tcPr>
            <w:tcW w:w="8558" w:type="dxa"/>
            <w:noWrap w:val="0"/>
            <w:vAlign w:val="center"/>
          </w:tcPr>
          <w:p>
            <w:pPr>
              <w:pStyle w:val="2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noWrap w:val="0"/>
            <w:vAlign w:val="center"/>
          </w:tcPr>
          <w:p>
            <w:pPr>
              <w:pStyle w:val="20"/>
              <w:spacing w:line="360" w:lineRule="auto"/>
              <w:jc w:val="center"/>
              <w:rPr>
                <w:rFonts w:hint="eastAsia" w:ascii="宋体" w:hAnsi="宋体" w:eastAsia="宋体" w:cs="宋体"/>
                <w:sz w:val="24"/>
                <w:szCs w:val="24"/>
                <w:lang w:val="en-US" w:eastAsia="zh-CN"/>
              </w:rPr>
            </w:pPr>
          </w:p>
        </w:tc>
        <w:tc>
          <w:tcPr>
            <w:tcW w:w="8558" w:type="dxa"/>
            <w:noWrap w:val="0"/>
            <w:vAlign w:val="center"/>
          </w:tcPr>
          <w:p>
            <w:pPr>
              <w:pStyle w:val="2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noWrap w:val="0"/>
            <w:vAlign w:val="center"/>
          </w:tcPr>
          <w:p>
            <w:pPr>
              <w:pStyle w:val="20"/>
              <w:spacing w:line="360" w:lineRule="auto"/>
              <w:jc w:val="center"/>
              <w:rPr>
                <w:rFonts w:hint="eastAsia" w:ascii="宋体" w:hAnsi="宋体" w:eastAsia="宋体" w:cs="宋体"/>
                <w:color w:val="000000"/>
                <w:sz w:val="24"/>
                <w:szCs w:val="24"/>
                <w:lang w:val="en-US" w:eastAsia="zh-CN"/>
              </w:rPr>
            </w:pPr>
          </w:p>
        </w:tc>
        <w:tc>
          <w:tcPr>
            <w:tcW w:w="8558" w:type="dxa"/>
            <w:noWrap w:val="0"/>
            <w:vAlign w:val="center"/>
          </w:tcPr>
          <w:p>
            <w:pPr>
              <w:pStyle w:val="2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乙方开户银行名称：</w:t>
            </w:r>
          </w:p>
          <w:p>
            <w:pPr>
              <w:pStyle w:val="2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pStyle w:val="20"/>
              <w:spacing w:line="360" w:lineRule="auto"/>
              <w:jc w:val="center"/>
              <w:rPr>
                <w:rFonts w:hint="eastAsia" w:ascii="宋体" w:hAnsi="宋体" w:eastAsia="宋体" w:cs="宋体"/>
                <w:color w:val="000000"/>
                <w:sz w:val="24"/>
                <w:szCs w:val="24"/>
                <w:lang w:val="en-US" w:eastAsia="zh-CN"/>
              </w:rPr>
            </w:pPr>
            <w:r>
              <w:rPr>
                <w:rFonts w:hint="eastAsia" w:hAnsi="宋体" w:eastAsia="宋体" w:cs="宋体"/>
                <w:color w:val="000000"/>
                <w:sz w:val="24"/>
                <w:szCs w:val="24"/>
                <w:lang w:val="en-US" w:eastAsia="zh-CN"/>
              </w:rPr>
              <w:t>4</w:t>
            </w:r>
          </w:p>
        </w:tc>
        <w:tc>
          <w:tcPr>
            <w:tcW w:w="8558" w:type="dxa"/>
            <w:noWrap w:val="0"/>
            <w:vAlign w:val="center"/>
          </w:tcPr>
          <w:p>
            <w:pPr>
              <w:pStyle w:val="2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pStyle w:val="2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8558" w:type="dxa"/>
            <w:noWrap w:val="0"/>
            <w:vAlign w:val="center"/>
          </w:tcPr>
          <w:p>
            <w:pPr>
              <w:pStyle w:val="20"/>
              <w:spacing w:line="360" w:lineRule="auto"/>
              <w:jc w:val="left"/>
              <w:rPr>
                <w:rFonts w:hint="eastAsia" w:ascii="宋体" w:hAnsi="宋体" w:eastAsia="宋体" w:cs="宋体"/>
                <w:color w:val="000000"/>
                <w:sz w:val="24"/>
                <w:szCs w:val="24"/>
                <w:lang w:val="en-US" w:eastAsia="zh-CN"/>
              </w:rPr>
            </w:pPr>
            <w:r>
              <w:rPr>
                <w:rFonts w:hint="eastAsia" w:hAnsi="宋体" w:eastAsia="宋体" w:cs="宋体"/>
                <w:color w:val="000000"/>
                <w:sz w:val="24"/>
                <w:szCs w:val="24"/>
                <w:lang w:val="en-US" w:eastAsia="zh-CN"/>
              </w:rPr>
              <w:t>交货期</w:t>
            </w:r>
            <w:r>
              <w:rPr>
                <w:rFonts w:hint="eastAsia" w:ascii="宋体" w:hAnsi="宋体" w:eastAsia="宋体" w:cs="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pStyle w:val="2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8558" w:type="dxa"/>
            <w:noWrap w:val="0"/>
            <w:vAlign w:val="center"/>
          </w:tcPr>
          <w:p>
            <w:pPr>
              <w:pStyle w:val="2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pStyle w:val="2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8558" w:type="dxa"/>
            <w:noWrap w:val="0"/>
            <w:vAlign w:val="center"/>
          </w:tcPr>
          <w:p>
            <w:pPr>
              <w:pStyle w:val="2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pStyle w:val="2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8558" w:type="dxa"/>
            <w:noWrap w:val="0"/>
            <w:vAlign w:val="center"/>
          </w:tcPr>
          <w:p>
            <w:pPr>
              <w:pStyle w:val="2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pStyle w:val="2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8558" w:type="dxa"/>
            <w:noWrap w:val="0"/>
            <w:vAlign w:val="center"/>
          </w:tcPr>
          <w:p>
            <w:pPr>
              <w:pStyle w:val="20"/>
              <w:spacing w:line="360" w:lineRule="auto"/>
              <w:jc w:val="left"/>
              <w:rPr>
                <w:rFonts w:hint="eastAsia" w:ascii="宋体" w:hAnsi="宋体" w:eastAsia="宋体" w:cs="宋体"/>
                <w:color w:val="000000"/>
                <w:sz w:val="24"/>
                <w:szCs w:val="24"/>
                <w:lang w:val="en-US" w:eastAsia="zh-CN"/>
              </w:rPr>
            </w:pPr>
            <w:r>
              <w:rPr>
                <w:rFonts w:hint="eastAsia" w:hAnsi="宋体" w:eastAsia="宋体" w:cs="宋体"/>
                <w:color w:val="000000"/>
                <w:sz w:val="24"/>
                <w:szCs w:val="24"/>
                <w:lang w:val="en-US" w:eastAsia="zh-CN"/>
              </w:rPr>
              <w:t>交货地点</w:t>
            </w:r>
            <w:r>
              <w:rPr>
                <w:rFonts w:hint="eastAsia" w:ascii="宋体" w:hAnsi="宋体" w:eastAsia="宋体" w:cs="宋体"/>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28" w:type="dxa"/>
            <w:noWrap w:val="0"/>
            <w:vAlign w:val="center"/>
          </w:tcPr>
          <w:p>
            <w:pPr>
              <w:pStyle w:val="2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8558" w:type="dxa"/>
            <w:noWrap w:val="0"/>
            <w:vAlign w:val="center"/>
          </w:tcPr>
          <w:p>
            <w:pPr>
              <w:pStyle w:val="2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误期赔偿费约定：如果乙方没有按照合同规定的时间交货和提供服务，甲方有权从货款中扣除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noWrap w:val="0"/>
            <w:vAlign w:val="center"/>
          </w:tcPr>
          <w:p>
            <w:pPr>
              <w:pStyle w:val="20"/>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8558" w:type="dxa"/>
            <w:noWrap w:val="0"/>
            <w:vAlign w:val="center"/>
          </w:tcPr>
          <w:p>
            <w:pPr>
              <w:pStyle w:val="2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合同纠纷的解决方式：</w:t>
            </w:r>
          </w:p>
          <w:p>
            <w:pPr>
              <w:pStyle w:val="2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首先通过双方协商解决，协商解决不成，则通过以下途径之一解决纠纷(请在方框内画“√”选择)：</w:t>
            </w:r>
          </w:p>
          <w:p>
            <w:pPr>
              <w:pStyle w:val="2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□提请______仲裁委员会按照仲裁程序在______(仲裁地)仲裁</w:t>
            </w:r>
          </w:p>
          <w:p>
            <w:pPr>
              <w:pStyle w:val="20"/>
              <w:spacing w:line="360" w:lineRule="auto"/>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□向甲方所在地人民法院提起诉讼</w:t>
            </w:r>
          </w:p>
        </w:tc>
      </w:tr>
    </w:tbl>
    <w:p>
      <w:pPr>
        <w:pStyle w:val="20"/>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1.定义</w:t>
      </w:r>
    </w:p>
    <w:p>
      <w:pPr>
        <w:pStyle w:val="20"/>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本合同下列术语应解释为：</w:t>
      </w:r>
    </w:p>
    <w:p>
      <w:pPr>
        <w:pStyle w:val="20"/>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　“甲方”是指采购人。</w:t>
      </w:r>
    </w:p>
    <w:p>
      <w:pPr>
        <w:pStyle w:val="20"/>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　“乙方”是指中标人。</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hAnsi="宋体" w:eastAsia="宋体" w:cs="宋体"/>
          <w:color w:val="000000"/>
          <w:sz w:val="24"/>
          <w:szCs w:val="24"/>
          <w:lang w:val="en-US" w:eastAsia="zh-CN"/>
        </w:rPr>
        <w:t>3</w:t>
      </w:r>
      <w:r>
        <w:rPr>
          <w:rFonts w:hint="eastAsia" w:ascii="宋体" w:hAnsi="宋体" w:eastAsia="宋体" w:cs="宋体"/>
          <w:color w:val="000000"/>
          <w:sz w:val="24"/>
          <w:szCs w:val="24"/>
        </w:rPr>
        <w:t>　“合同”系指甲乙双方签署的、合同中载明的甲乙双方所达成的协议，包括所有的附件、附录和上述文件所提到的构成合同的所有文件。</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hAnsi="宋体" w:eastAsia="宋体" w:cs="宋体"/>
          <w:sz w:val="24"/>
          <w:szCs w:val="24"/>
          <w:lang w:val="en-US" w:eastAsia="zh-CN"/>
        </w:rPr>
        <w:t>4</w:t>
      </w:r>
      <w:r>
        <w:rPr>
          <w:rFonts w:hint="eastAsia" w:ascii="宋体" w:hAnsi="宋体" w:eastAsia="宋体" w:cs="宋体"/>
          <w:sz w:val="24"/>
          <w:szCs w:val="24"/>
        </w:rPr>
        <w:t>　“货物”是指根据本合同规定，乙方按照招标(采购)、投标文件，向甲方提供符合要求的全部产品。</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hAnsi="宋体" w:eastAsia="宋体" w:cs="宋体"/>
          <w:sz w:val="24"/>
          <w:szCs w:val="24"/>
          <w:lang w:val="en-US" w:eastAsia="zh-CN"/>
        </w:rPr>
        <w:t>5</w:t>
      </w:r>
      <w:r>
        <w:rPr>
          <w:rFonts w:hint="eastAsia" w:ascii="宋体" w:hAnsi="宋体" w:eastAsia="宋体" w:cs="宋体"/>
          <w:sz w:val="24"/>
          <w:szCs w:val="24"/>
        </w:rPr>
        <w:t>　“服务”是指根据本合同规定，乙方承担与货物有关的相关服务，包括但不限于运输、保险、安装、调试、技术支持、质量保障、售后服务、培训和合同中规定乙方应承担的其他义务。</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hAnsi="宋体" w:eastAsia="宋体" w:cs="宋体"/>
          <w:sz w:val="24"/>
          <w:szCs w:val="24"/>
          <w:lang w:val="en-US" w:eastAsia="zh-CN"/>
        </w:rPr>
        <w:t>6</w:t>
      </w:r>
      <w:r>
        <w:rPr>
          <w:rFonts w:hint="eastAsia" w:ascii="宋体" w:hAnsi="宋体" w:eastAsia="宋体" w:cs="宋体"/>
          <w:sz w:val="24"/>
          <w:szCs w:val="24"/>
        </w:rPr>
        <w:t>　除非特别指出，“天”均为自然天。</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　合同标的标准</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2.1　乙方为甲方交付的货物及服务应符合招标文件所述的内容，如果没有提及适用标准，则应符合相应的国家标准。这些标准必须是有关机构发布的最新版本的标准。</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2.2　除非技术要求中另有规定，计量单位均采用中华人民共和国法定计量单位。</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2.3　货物还应符合国家有关安全、环保、卫生的相关规定。</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　质量保证</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3.1　乙方应保证所供货物是全新的、未使用过的，并完全符合或高于合同要求的质量、规格和技术性能的要求。</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3.2　乙方应保证其货物在正确安装、正常使用和保养条件下，在其使用寿命期内具有满意的性能，或者没有因乙方的行为或疏忽而产生的缺陷。在货物最终交付验收后不少于合同规定或乙方承诺(两者以较长的为准)的质量保证期内，本保证保持有效。</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3.3　如果服务和交付物与合同不符或不符合甲方要求，或证实交付物是有缺陷的，包括潜在的缺陷或使用不符合要求的材料等，由此引起的全部费用由乙方承担。若以上原因导致或引起甲方损失及导致或引起第三方受到损害的，全部赔偿责任均应由乙方承担。</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3.4　在质量保证期内所发现的缺陷，甲方应尽快以书面形式通知乙方。</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3.5　乙方收到通知后应在本合同规定的响应时间内以合理的速度免费维修或更换有缺陷的货物或部件。</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3.6　在质量保证期内，如果货物的质量或规格与合同不符，或证实货物是有缺陷的，包括潜在的缺陷或使用不符合要求的材料等，甲方可以根据本合同第10.1条规定以书面形式向乙方提出补救措施或索赔。</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3.7　乙方在约定的时间内未能弥补缺陷，甲方可采取必要的补救措施，但其风险和费用将由乙方承担，甲方根据合同规定对乙方行使的其他权利不受影响。</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3.8　本合同的质量保证期见合同条款前附表。</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4.包装要求</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4.1　除合同另有规定外，乙方提供的全部货物均应按标准保护措施进行包装，这类包装应适应于远距离运输、防潮、防震、防锈和防野蛮装卸，以确保货物安全无损运抵指定现场。</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4.2　乙方应承担由于其包装或防护措施不当而引起的货物损坏和丢失的任何损失责任和费用。</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4.3　每一个包装箱内应附一份详细装箱单和质量证书。</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5.知识产权</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5.1　乙方应保证所提供的货物及服务免受第三方提出侵犯其知识产权(专利权、商标权、版权等)的起诉。如果甲方在使用乙方货物或货物的任何一部分过程中，第三方提出货物侵犯其专利权、工业设计权、使用权等知识产权，乙方应当修正以避免侵权。</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5.2　如果甲方在使用乙方货物或货物的任何一部分过程中，第三方指控侵犯其专利权、工业设计权、使用权等知识产权，乙方将自费为甲方、各采购人答辩，并支付法院最终判决的甲方应支付第三方的一切费用。</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5.3　有关本项目的所有设计、施工文件的著作权属于甲方。乙方有保护甲方著作权的义务，并对在设计过程中所接触到的甲方的相关秘密有保密的义务。未经甲方书面同意，乙方不得将设计文件、成果另作其他商业用途或向任何第三方披露，不得将设计文件用于其他项目工程的建设，不得用于与本协议无关的工程。发生此类情况时，乙方应当赔偿甲方损失，甲方保留向乙方追偿的权利。</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6.权利瑕疵担保</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6.1　乙方保证对其出售的货物享有合法的权利。</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6.2　乙方保证在其出售的货物上不存在任何未曾向甲方透露的担保物权，如抵押权、质押权、留置权等。</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6.3　如甲方使用该货物构成上述侵权的，则由乙方承担全部责任。</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7.保密义务</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7.1　甲乙双方在采购和履行合同过程中所获悉的对方属于保密的内容，双方均有保密义务。</w:t>
      </w:r>
    </w:p>
    <w:p>
      <w:pPr>
        <w:pStyle w:val="20"/>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8.履约保证金</w:t>
      </w:r>
    </w:p>
    <w:p>
      <w:pPr>
        <w:pStyle w:val="20"/>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8.1　乙方应在签署合同前，以银行转账等非现金形式向甲方提供。乙方以银行、保险公司出具保函形式提交履约保证金的，甲方不得拒收。</w:t>
      </w:r>
    </w:p>
    <w:p>
      <w:pPr>
        <w:pStyle w:val="20"/>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8.2　履约保证金具体金额及返还要求见合同条款前附表。</w:t>
      </w:r>
    </w:p>
    <w:p>
      <w:pPr>
        <w:pStyle w:val="20"/>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8.3　如乙方未能履行合同规定的义务，甲方有权按照本合同的约定从履约保证金中进行相应扣除。乙方应在甲方扣除履约保证金后15天内，及时补充扣除部分金额。</w:t>
      </w:r>
    </w:p>
    <w:p>
      <w:pPr>
        <w:pStyle w:val="20"/>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8.4　乙方不履行合同，或者履行合同义务不符合约定使得合同目的不能实现，履约保证金不予退还，给甲方造成的损失超过履约保证金数额的，还应当对超过部分予以赔偿。</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9.交货与验收</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9.1　交货地点：合同条款前附表指定地点。</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9.2　交货时间：合同条款前附表指定时间。</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9.3　甲方在收到乙方交付的货物后应当及时组织验收。</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9.4　货物的包装：符合出厂规范及符合《商品包装政府采购需求标准（试行）《快递包装政府采购需求标准（试行）》，包装完整无破损，防雨、防潮等各种符号标识清楚，进口设备应具有原产国标识且标识清楚。货物的表面瑕疵，甲方应在验收时当面提出；对质量问题有异议的应在安装调试时进行记录。</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9.5　在验收过程中发现数量不足或有质量、技术等问题，乙方应按照合同要求采取补足、更换或退货等处理措施，并承担由此发生的一切费用和损失。</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9.6　甲方对货物进行检查验收合格后，应当及时履行验收手续。</w:t>
      </w:r>
    </w:p>
    <w:p>
      <w:pPr>
        <w:pStyle w:val="20"/>
        <w:spacing w:line="360" w:lineRule="auto"/>
        <w:ind w:firstLine="496" w:firstLineChars="200"/>
        <w:rPr>
          <w:rFonts w:hint="eastAsia" w:ascii="宋体" w:hAnsi="宋体" w:eastAsia="宋体" w:cs="宋体"/>
          <w:sz w:val="24"/>
          <w:szCs w:val="24"/>
          <w:lang w:eastAsia="zh-CN"/>
        </w:rPr>
      </w:pPr>
      <w:r>
        <w:rPr>
          <w:rFonts w:hint="eastAsia" w:ascii="宋体" w:hAnsi="宋体" w:eastAsia="宋体" w:cs="宋体"/>
          <w:sz w:val="24"/>
          <w:szCs w:val="24"/>
        </w:rPr>
        <w:t>9.7　大型或者复杂的货物采购项目，甲方可以邀请国家认可的质量检测机构参加验收工作，并由其出具验收报告。</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 xml:space="preserve">    9.8  在履约验收环节，乙方须按照《商品包装政府采购需求标准（试行）《快递包装政府采购需求标准（试行）》的环保要求出具检测报告。</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10.违约责任</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10.1　质量缺陷的补救措施和索赔</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如果乙方提供的产品不符合质量标准或存在产品质量缺陷，而甲方在合同条款规定的检验、安装、调试、验收和质量保证期内，根据法定质量检测部门出具的检验证书向乙方提出了索赔，乙方应按照甲方同意的下列一种或几种方式结合起来解决索赔事宜：</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①乙方同意退货并将货款退还给甲方，由此发生的一切费用和损失由乙方承担。如甲方以适当的条件和方法购买与未履约标的相类似的货物，乙方应负担新购买类似货物所超出的费用。</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②根据货物的质量状况以及甲方所遭受的损失，经过甲乙双方商定降低货物的价格。</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③乙方应在接到甲方通知后7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如果在甲方发出索赔通知后10日内乙方未作答复，上述索赔应视为已被乙方接受。如果乙方未能在甲方发出索赔通知后10日内或甲方同意延长的期限内，按照上述规定的任何一种方法采取补救措施，甲方有权从应付货款中扣除索赔金额或者没收履约保证金，如不足以弥补甲方损失的，甲方有权进一步要求乙方赔偿。</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10.2　迟延交货的违约责任</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(1)乙方应按照本合同规定的时间、地点交货和提供服务。</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除甲乙双方另有约定外，如果乙方没有按照合同规定的时间交货和提供服务，甲方有权从货款、履约保证金中扣除或要求乙方另行支付误期赔偿费而不影响合同项下的其他补救方法。赔偿费每日按合同金额的0.5%(各单位可根据实际情况重新设定)计收，直至交货或提供服务为止。但误期赔偿费的最高限额不超过合同价的15%(各单位可根据实际情况重新设定)。</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(4)如果乙方迟延交货超过30日，甲方有权终止全部或部分合同，并依其认为适当的条件和方法购买与未交货物类似的货物，乙方应负担购买类似货物所超出的费用。但是，乙方应继续执行合同中未终止的部分。</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10.3　未履行合同义务的违约责任</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(1)守约方有权终止全部或部分合同。</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(2)乙方违约的，甲方有权没收全额履约保证金。</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(3)由违约一方支付违约金，违约金标准见合同条款前附表(各单位可根据实际情况自行约定)。</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(4)违约金不足以弥补守约方实际损失、可预见或者应当预见的损失，由违约方全额予以赔偿。</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11.不可抗力</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11.1　如果合同双方因不可抗力而导致合同实施延误或合同无法实施，不应该承担误期赔偿或不能履行合同义务的责任。</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11.2　本条所述的“不可抗力”系指那些双方不可预见、不可避免、不可克服的客观情况，但不包括双方的违约或疏忽。这些事件包括但不限于：战争、严重火灾、洪水、台风、地震等。</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11.3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12.合同纠纷的解决方式</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12.1　合同各方应通过友好协商，解决在执行合同过程中所发生的或与合同有关的一切争端。如协商30日内(根据实际情况设定)不能解决，可以按合同规定的方式提起仲裁或诉讼。</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12.2　仲裁裁决应为最终裁决，对双方均具有约束力。</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12.3　仲裁费除仲裁机关另有裁决外应由败诉方负担。</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12.4　诉讼应由甲方住所地人民法院管辖。财产保全担保保险费、财产保全申请费、律师代理费、差旅费、评估费、鉴定费及诉讼费等与仲裁或诉讼活动相关费用应由败诉方负担。</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12.5　如仲裁或诉讼事项不影响合同其他部分的履行，则在仲裁或诉讼期间，除正在进行仲裁或诉讼的部分外，合同的其他部分应继续执行。</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13.合同修改或变更</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13.1　如无重大变故，甲方双方不得擅自变更合同。</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13.2　如确需变更合同，甲乙双方应签署书面变更协议。变更协议为本合同不可分割的一部分。</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13.3　在不改变合同其他条款的前提下，甲方有权在合同价款10%的范围内追加与合同标的相同的货物或服务，并就此与乙方签订补充合同，乙方不得拒绝。</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14.合同中止</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14.1　合同在履行过程中，因采购计划调整，甲方可以要求中止履行，待计划确定后继续履行；合同履行过程中因</w:t>
      </w:r>
      <w:r>
        <w:rPr>
          <w:rFonts w:hint="eastAsia" w:ascii="宋体" w:hAnsi="宋体" w:eastAsia="宋体" w:cs="宋体"/>
          <w:kern w:val="0"/>
          <w:sz w:val="24"/>
          <w:szCs w:val="24"/>
        </w:rPr>
        <w:t>投标人</w:t>
      </w:r>
      <w:r>
        <w:rPr>
          <w:rFonts w:hint="eastAsia" w:ascii="宋体" w:hAnsi="宋体" w:eastAsia="宋体" w:cs="宋体"/>
          <w:sz w:val="24"/>
          <w:szCs w:val="24"/>
        </w:rPr>
        <w:t>就采购过程或结果提起投诉的，甲方认为有必要或财政部门责令中止的，应当中止合同的履行。</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15.终止合同</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15.1　若出现如下情形，在甲方对乙方违约行为而采取的任何补救措施不受影响的情况下，甲方可向乙方发出书面通知书，提出终止部分或全部合同：</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(1)如果乙方未能在合同规定的期限或甲方同意延长的期限内提供货物或服务；</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(2)如果乙方未能履行合同规定的其他任何义务，出现两次服务达不到承诺标准情况，甲方有权终止合同；</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(3)如果甲方认为乙方在本合同的竞争或实施中有腐败和欺诈行为。</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15.2　如果甲方根据上述第15.1条的规定，终止了全部或部分合同，甲方可以适当的条件和方法购买乙方未能提供的货物或服务，乙方应对甲方购买类似货物或服务所超出的费用负责。同时，乙方应继续执行合同中未终止的部分。</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16.破产终止合同</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16.1　如果乙方破产或无清偿能力，甲方可在任何时候以书面形式通知乙方终止合同而不给乙方补偿。</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16.2　该终止行为将不损害或影响甲方已经采取或将要采取的任何行动或补救措施的权利。</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17.其他终止合同情况</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17.1　若合同继续履行将给甲方造成重大损失的，甲方可以终止合同而不给予乙方任何补偿。</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17.2　乙方在执行合同的过程中发生重大事故，对履行合同有直接影响的，甲方可以终止合同而不给予乙方任何补偿。</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17.3　甲方因重大变故取消或部分取消原来的采购任务，导致合同全部或部分内容无须继续履行的，可以终止合同而不给予乙方任何补偿。</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18.合同转让和分包</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18.1　乙方不得以任何形式将合同转包，或部分或全部转让其应履行的合同义务。</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18.2　除经甲方事先书面同意外，乙方不得以任何形式将合同分包。</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19.适用法律</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19.1　本合同适用中华人民共和国现行法律、行政法规和规章，如合同条款与法律、行政法规和规章不一致的，按照法律、行政法规和规章修改本合同。</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20.合同语言</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20.1　本合同语言为中文。</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20.2　双方交换的与合同有关的信件和其他文件应用合同语言书写。</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21.合同生效</w:t>
      </w:r>
    </w:p>
    <w:p>
      <w:pPr>
        <w:pStyle w:val="20"/>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sz w:val="24"/>
          <w:szCs w:val="24"/>
        </w:rPr>
        <w:t>21.1　本合同应在双方签字</w:t>
      </w:r>
      <w:r>
        <w:rPr>
          <w:rFonts w:hint="eastAsia" w:ascii="宋体" w:hAnsi="宋体" w:eastAsia="宋体" w:cs="宋体"/>
          <w:color w:val="000000"/>
          <w:sz w:val="24"/>
          <w:szCs w:val="24"/>
        </w:rPr>
        <w:t>盖章和甲方收到乙方提供的履约保证金后生效。</w:t>
      </w:r>
    </w:p>
    <w:p>
      <w:pPr>
        <w:pStyle w:val="20"/>
        <w:spacing w:line="360" w:lineRule="auto"/>
        <w:ind w:firstLine="49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22.合同效力</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22.1　除本合同和甲乙双方书面签署的补充协议外，其他任何形式的双方约定和往来函件均不具有法律效力，对本项目无约束力。</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23.检查和审计</w:t>
      </w:r>
    </w:p>
    <w:p>
      <w:pPr>
        <w:pStyle w:val="20"/>
        <w:spacing w:line="360" w:lineRule="auto"/>
        <w:ind w:firstLine="496" w:firstLineChars="200"/>
        <w:rPr>
          <w:rFonts w:hint="eastAsia" w:ascii="宋体" w:hAnsi="宋体" w:eastAsia="宋体" w:cs="宋体"/>
          <w:sz w:val="24"/>
          <w:szCs w:val="24"/>
        </w:rPr>
      </w:pPr>
      <w:r>
        <w:rPr>
          <w:rFonts w:hint="eastAsia" w:ascii="宋体" w:hAnsi="宋体" w:eastAsia="宋体" w:cs="宋体"/>
          <w:sz w:val="24"/>
          <w:szCs w:val="24"/>
        </w:rPr>
        <w:t>23.1在本合同的履行过程中，甲方有权对乙方的合同履约情况进行阶段性检查，并对乙方投标时提供的相关资料进行复核。</w:t>
      </w:r>
    </w:p>
    <w:p>
      <w:pPr>
        <w:pStyle w:val="20"/>
        <w:spacing w:line="360" w:lineRule="auto"/>
        <w:ind w:firstLine="496" w:firstLineChars="200"/>
        <w:rPr>
          <w:rFonts w:hint="eastAsia" w:ascii="宋体" w:hAnsi="宋体" w:eastAsia="宋体" w:cs="宋体"/>
          <w:sz w:val="24"/>
          <w:szCs w:val="24"/>
          <w:lang w:eastAsia="zh-CN"/>
        </w:rPr>
      </w:pPr>
      <w:r>
        <w:rPr>
          <w:rFonts w:hint="eastAsia" w:ascii="宋体" w:hAnsi="宋体" w:eastAsia="宋体" w:cs="宋体"/>
          <w:sz w:val="24"/>
          <w:szCs w:val="24"/>
        </w:rPr>
        <w:t>23.2　在本合同的履行过程中，如果甲乙双方发生争议或者乙方没有按照合同约定履行义务，乙方应允许甲方检查乙方与实施本合同有关的账户和记录，并由甲方指定的审计人员对其进行审计</w:t>
      </w:r>
      <w:r>
        <w:rPr>
          <w:rFonts w:hint="eastAsia" w:ascii="宋体" w:hAnsi="宋体" w:eastAsia="宋体" w:cs="宋体"/>
          <w:sz w:val="24"/>
          <w:szCs w:val="24"/>
          <w:lang w:eastAsia="zh-CN"/>
        </w:rPr>
        <w:t>。</w:t>
      </w:r>
    </w:p>
    <w:p>
      <w:pPr>
        <w:spacing w:line="360" w:lineRule="auto"/>
        <w:rPr>
          <w:rFonts w:ascii="宋体" w:hAnsi="宋体" w:eastAsia="宋体" w:cs="宋体"/>
          <w:b/>
          <w:bCs/>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bookmarkStart w:id="225" w:name="_Toc5730"/>
      <w:r>
        <w:rPr>
          <w:rFonts w:hint="eastAsia" w:ascii="宋体" w:hAnsi="宋体" w:eastAsia="宋体" w:cs="宋体"/>
          <w:color w:val="000000" w:themeColor="text1"/>
          <w:highlight w:val="none"/>
          <w14:textFill>
            <w14:solidFill>
              <w14:schemeClr w14:val="tx1"/>
            </w14:solidFill>
          </w14:textFill>
        </w:rPr>
        <w:br w:type="page"/>
      </w:r>
    </w:p>
    <w:p>
      <w:pPr>
        <w:pStyle w:val="7"/>
        <w:rPr>
          <w:rFonts w:ascii="宋体" w:hAnsi="宋体" w:eastAsia="宋体" w:cs="宋体"/>
          <w:color w:val="000000" w:themeColor="text1"/>
          <w:highlight w:val="none"/>
          <w14:textFill>
            <w14:solidFill>
              <w14:schemeClr w14:val="tx1"/>
            </w14:solidFill>
          </w14:textFill>
        </w:rPr>
      </w:pPr>
      <w:bookmarkStart w:id="226" w:name="_Toc27364"/>
      <w:r>
        <w:rPr>
          <w:rFonts w:hint="eastAsia" w:ascii="宋体" w:hAnsi="宋体" w:eastAsia="宋体" w:cs="宋体"/>
          <w:color w:val="000000" w:themeColor="text1"/>
          <w:highlight w:val="none"/>
          <w14:textFill>
            <w14:solidFill>
              <w14:schemeClr w14:val="tx1"/>
            </w14:solidFill>
          </w14:textFill>
        </w:rPr>
        <w:t>第五章  投标文件构成及格式</w:t>
      </w:r>
      <w:bookmarkEnd w:id="223"/>
      <w:bookmarkEnd w:id="225"/>
      <w:bookmarkEnd w:id="226"/>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ascii="宋体" w:hAnsi="宋体" w:eastAsia="宋体" w:cs="宋体"/>
          <w:color w:val="000000" w:themeColor="text1"/>
          <w:sz w:val="32"/>
          <w:szCs w:val="32"/>
          <w:highlight w:val="none"/>
          <w14:textFill>
            <w14:solidFill>
              <w14:schemeClr w14:val="tx1"/>
            </w14:solidFill>
          </w14:textFill>
        </w:rPr>
      </w:pPr>
    </w:p>
    <w:p>
      <w:pPr>
        <w:snapToGrid w:val="0"/>
        <w:jc w:val="center"/>
        <w:rPr>
          <w:rFonts w:hint="default" w:ascii="宋体" w:hAnsi="宋体" w:eastAsia="宋体" w:cs="宋体"/>
          <w:b/>
          <w:bCs/>
          <w:color w:val="000000" w:themeColor="text1"/>
          <w:sz w:val="56"/>
          <w:szCs w:val="56"/>
          <w:highlight w:val="none"/>
          <w:lang w:val="en-US" w:eastAsia="zh-CN"/>
          <w14:textFill>
            <w14:solidFill>
              <w14:schemeClr w14:val="tx1"/>
            </w14:solidFill>
          </w14:textFill>
        </w:rPr>
      </w:pPr>
      <w:bookmarkStart w:id="227" w:name="_Toc17434"/>
      <w:r>
        <w:rPr>
          <w:rFonts w:hint="eastAsia" w:ascii="宋体" w:hAnsi="宋体" w:eastAsia="宋体" w:cs="宋体"/>
          <w:b/>
          <w:bCs/>
          <w:color w:val="000000" w:themeColor="text1"/>
          <w:sz w:val="56"/>
          <w:szCs w:val="56"/>
          <w:highlight w:val="none"/>
          <w:lang w:val="en-US" w:eastAsia="zh-CN"/>
          <w14:textFill>
            <w14:solidFill>
              <w14:schemeClr w14:val="tx1"/>
            </w14:solidFill>
          </w14:textFill>
        </w:rPr>
        <w:t>未央宫街道遗址区“六村三校”农村饮水安全巩固提升工程材料购置</w:t>
      </w:r>
    </w:p>
    <w:p>
      <w:pPr>
        <w:snapToGrid w:val="0"/>
        <w:jc w:val="center"/>
        <w:rPr>
          <w:rFonts w:ascii="宋体" w:hAnsi="宋体" w:eastAsia="宋体" w:cs="宋体"/>
          <w:b/>
          <w:bCs/>
          <w:color w:val="000000" w:themeColor="text1"/>
          <w:sz w:val="56"/>
          <w:szCs w:val="56"/>
          <w:highlight w:val="none"/>
          <w14:textFill>
            <w14:solidFill>
              <w14:schemeClr w14:val="tx1"/>
            </w14:solidFill>
          </w14:textFill>
        </w:rPr>
      </w:pPr>
    </w:p>
    <w:p>
      <w:pPr>
        <w:pStyle w:val="43"/>
      </w:pPr>
    </w:p>
    <w:p>
      <w:pPr>
        <w:snapToGrid w:val="0"/>
        <w:jc w:val="center"/>
        <w:rPr>
          <w:rFonts w:ascii="宋体" w:hAnsi="宋体" w:eastAsia="宋体" w:cs="宋体"/>
          <w:b/>
          <w:bCs/>
          <w:color w:val="000000" w:themeColor="text1"/>
          <w:sz w:val="56"/>
          <w:szCs w:val="56"/>
          <w:highlight w:val="none"/>
          <w14:textFill>
            <w14:solidFill>
              <w14:schemeClr w14:val="tx1"/>
            </w14:solidFill>
          </w14:textFill>
        </w:rPr>
      </w:pPr>
      <w:r>
        <w:rPr>
          <w:rFonts w:hint="eastAsia" w:ascii="宋体" w:hAnsi="宋体" w:eastAsia="宋体" w:cs="宋体"/>
          <w:b/>
          <w:bCs/>
          <w:color w:val="000000" w:themeColor="text1"/>
          <w:sz w:val="56"/>
          <w:szCs w:val="56"/>
          <w:highlight w:val="none"/>
          <w14:textFill>
            <w14:solidFill>
              <w14:schemeClr w14:val="tx1"/>
            </w14:solidFill>
          </w14:textFill>
        </w:rPr>
        <w:t>投标文件</w:t>
      </w:r>
      <w:bookmarkEnd w:id="227"/>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p>
    <w:p>
      <w:pPr>
        <w:spacing w:line="560" w:lineRule="exact"/>
        <w:jc w:val="center"/>
        <w:rPr>
          <w:rFonts w:hint="eastAsia" w:ascii="宋体" w:hAnsi="宋体" w:eastAsia="宋体" w:cs="宋体"/>
          <w:color w:val="000000" w:themeColor="text1"/>
          <w:sz w:val="32"/>
          <w:szCs w:val="32"/>
          <w:highlight w:val="none"/>
          <w:lang w:eastAsia="zh-CN"/>
          <w14:textFill>
            <w14:solidFill>
              <w14:schemeClr w14:val="tx1"/>
            </w14:solidFill>
          </w14:textFill>
        </w:rPr>
      </w:pPr>
      <w:bookmarkStart w:id="228" w:name="_Toc31589"/>
      <w:r>
        <w:rPr>
          <w:rFonts w:hint="eastAsia" w:ascii="宋体" w:hAnsi="宋体" w:eastAsia="宋体" w:cs="宋体"/>
          <w:b/>
          <w:bCs/>
          <w:color w:val="000000" w:themeColor="text1"/>
          <w:sz w:val="32"/>
          <w:szCs w:val="32"/>
          <w:highlight w:val="none"/>
          <w14:textFill>
            <w14:solidFill>
              <w14:schemeClr w14:val="tx1"/>
            </w14:solidFill>
          </w14:textFill>
        </w:rPr>
        <w:t>项目编号：</w:t>
      </w:r>
      <w:bookmarkEnd w:id="228"/>
      <w:r>
        <w:rPr>
          <w:rFonts w:hint="eastAsia" w:ascii="宋体" w:hAnsi="宋体" w:eastAsia="宋体" w:cs="宋体"/>
          <w:b/>
          <w:bCs/>
          <w:color w:val="000000" w:themeColor="text1"/>
          <w:sz w:val="32"/>
          <w:szCs w:val="32"/>
          <w:highlight w:val="none"/>
          <w:lang w:eastAsia="zh-CN"/>
          <w14:textFill>
            <w14:solidFill>
              <w14:schemeClr w14:val="tx1"/>
            </w14:solidFill>
          </w14:textFill>
        </w:rPr>
        <w:t>ZJXG2023026</w:t>
      </w: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napToGrid w:val="0"/>
        <w:spacing w:line="480" w:lineRule="auto"/>
        <w:ind w:firstLine="1152" w:firstLineChars="4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zh-CN"/>
          <w14:textFill>
            <w14:solidFill>
              <w14:schemeClr w14:val="tx1"/>
            </w14:solidFill>
          </w14:textFill>
        </w:rPr>
        <w:t>供应商（单位名称及公章）：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jc w:val="both"/>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napToGrid w:val="0"/>
        <w:spacing w:line="480" w:lineRule="auto"/>
        <w:ind w:firstLine="1152" w:firstLineChars="400"/>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w:t>
      </w:r>
      <w:r>
        <w:rPr>
          <w:rFonts w:hint="eastAsia" w:ascii="宋体" w:hAnsi="宋体" w:eastAsia="宋体" w:cs="宋体"/>
          <w:color w:val="000000" w:themeColor="text1"/>
          <w:sz w:val="28"/>
          <w:szCs w:val="28"/>
          <w:highlight w:val="none"/>
          <w:lang w:val="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spacing w:line="560" w:lineRule="exact"/>
        <w:ind w:firstLine="896" w:firstLineChars="200"/>
        <w:jc w:val="center"/>
        <w:rPr>
          <w:rFonts w:ascii="宋体" w:hAnsi="宋体" w:eastAsia="宋体" w:cs="宋体"/>
          <w:color w:val="000000" w:themeColor="text1"/>
          <w:sz w:val="44"/>
          <w:szCs w:val="44"/>
          <w:highlight w:val="none"/>
          <w14:textFill>
            <w14:solidFill>
              <w14:schemeClr w14:val="tx1"/>
            </w14:solidFill>
          </w14:textFill>
        </w:rPr>
      </w:pPr>
    </w:p>
    <w:p>
      <w:pPr>
        <w:spacing w:line="560" w:lineRule="exact"/>
        <w:ind w:firstLine="896" w:firstLineChars="200"/>
        <w:jc w:val="center"/>
        <w:rPr>
          <w:rFonts w:ascii="宋体" w:hAnsi="宋体" w:eastAsia="宋体" w:cs="宋体"/>
          <w:color w:val="000000" w:themeColor="text1"/>
          <w:sz w:val="44"/>
          <w:szCs w:val="44"/>
          <w:highlight w:val="none"/>
          <w14:textFill>
            <w14:solidFill>
              <w14:schemeClr w14:val="tx1"/>
            </w14:solidFill>
          </w14:textFill>
        </w:rPr>
      </w:pPr>
      <w:bookmarkStart w:id="229" w:name="_Toc28284"/>
      <w:r>
        <w:rPr>
          <w:rFonts w:hint="eastAsia" w:ascii="宋体" w:hAnsi="宋体" w:eastAsia="宋体" w:cs="宋体"/>
          <w:color w:val="000000" w:themeColor="text1"/>
          <w:sz w:val="44"/>
          <w:szCs w:val="44"/>
          <w:highlight w:val="none"/>
          <w14:textFill>
            <w14:solidFill>
              <w14:schemeClr w14:val="tx1"/>
            </w14:solidFill>
          </w14:textFill>
        </w:rPr>
        <w:t>目    录</w:t>
      </w:r>
      <w:bookmarkEnd w:id="229"/>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pStyle w:val="20"/>
        <w:snapToGrid w:val="0"/>
        <w:spacing w:line="480" w:lineRule="auto"/>
        <w:ind w:firstLine="576" w:firstLineChars="200"/>
        <w:rPr>
          <w:rFonts w:hAnsi="宋体" w:eastAsia="宋体" w:cs="宋体"/>
          <w:b/>
          <w:bCs/>
          <w:color w:val="000000" w:themeColor="text1"/>
          <w:sz w:val="28"/>
          <w:szCs w:val="28"/>
          <w:highlight w:val="none"/>
          <w14:textFill>
            <w14:solidFill>
              <w14:schemeClr w14:val="tx1"/>
            </w14:solidFill>
          </w14:textFill>
        </w:rPr>
      </w:pPr>
      <w:r>
        <w:rPr>
          <w:rFonts w:hint="eastAsia" w:hAnsi="宋体" w:eastAsia="宋体" w:cs="宋体"/>
          <w:b/>
          <w:bCs/>
          <w:color w:val="000000" w:themeColor="text1"/>
          <w:sz w:val="28"/>
          <w:szCs w:val="28"/>
          <w:highlight w:val="none"/>
          <w14:textFill>
            <w14:solidFill>
              <w14:schemeClr w14:val="tx1"/>
            </w14:solidFill>
          </w14:textFill>
        </w:rPr>
        <w:t>第一部分   投标函</w:t>
      </w:r>
    </w:p>
    <w:p>
      <w:pPr>
        <w:snapToGrid w:val="0"/>
        <w:spacing w:line="480" w:lineRule="auto"/>
        <w:ind w:firstLine="576" w:firstLineChars="200"/>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第二</w:t>
      </w:r>
      <w:r>
        <w:rPr>
          <w:rFonts w:hint="eastAsia" w:ascii="宋体" w:hAnsi="宋体" w:eastAsia="宋体" w:cs="宋体"/>
          <w:b/>
          <w:bCs/>
          <w:color w:val="000000" w:themeColor="text1"/>
          <w:sz w:val="28"/>
          <w:szCs w:val="28"/>
          <w:highlight w:val="none"/>
          <w14:textFill>
            <w14:solidFill>
              <w14:schemeClr w14:val="tx1"/>
            </w14:solidFill>
          </w14:textFill>
        </w:rPr>
        <w:t>部分</w:t>
      </w:r>
      <w:r>
        <w:rPr>
          <w:rFonts w:hint="eastAsia" w:ascii="宋体" w:hAnsi="宋体" w:eastAsia="宋体" w:cs="宋体"/>
          <w:b/>
          <w:color w:val="000000" w:themeColor="text1"/>
          <w:sz w:val="28"/>
          <w:szCs w:val="28"/>
          <w:highlight w:val="none"/>
          <w14:textFill>
            <w14:solidFill>
              <w14:schemeClr w14:val="tx1"/>
            </w14:solidFill>
          </w14:textFill>
        </w:rPr>
        <w:t xml:space="preserve">   开标一览表 </w:t>
      </w:r>
    </w:p>
    <w:p>
      <w:pPr>
        <w:pStyle w:val="20"/>
        <w:snapToGrid w:val="0"/>
        <w:spacing w:line="480" w:lineRule="auto"/>
        <w:ind w:firstLine="576" w:firstLineChars="200"/>
        <w:rPr>
          <w:rFonts w:hAnsi="宋体" w:eastAsia="宋体" w:cs="宋体"/>
          <w:b/>
          <w:bCs/>
          <w:color w:val="000000" w:themeColor="text1"/>
          <w:sz w:val="28"/>
          <w:szCs w:val="28"/>
          <w:highlight w:val="none"/>
          <w14:textFill>
            <w14:solidFill>
              <w14:schemeClr w14:val="tx1"/>
            </w14:solidFill>
          </w14:textFill>
        </w:rPr>
      </w:pPr>
      <w:r>
        <w:rPr>
          <w:rFonts w:hint="eastAsia" w:hAnsi="宋体" w:eastAsia="宋体" w:cs="宋体"/>
          <w:b/>
          <w:bCs/>
          <w:color w:val="000000" w:themeColor="text1"/>
          <w:sz w:val="28"/>
          <w:szCs w:val="28"/>
          <w:highlight w:val="none"/>
          <w14:textFill>
            <w14:solidFill>
              <w14:schemeClr w14:val="tx1"/>
            </w14:solidFill>
          </w14:textFill>
        </w:rPr>
        <w:t xml:space="preserve">第三部分   </w:t>
      </w:r>
      <w:r>
        <w:rPr>
          <w:rFonts w:hint="eastAsia" w:hAnsi="宋体" w:eastAsia="宋体" w:cs="宋体"/>
          <w:b/>
          <w:color w:val="000000" w:themeColor="text1"/>
          <w:sz w:val="28"/>
          <w:szCs w:val="28"/>
          <w:highlight w:val="none"/>
          <w14:textFill>
            <w14:solidFill>
              <w14:schemeClr w14:val="tx1"/>
            </w14:solidFill>
          </w14:textFill>
        </w:rPr>
        <w:t>供应商资质证明资料</w:t>
      </w:r>
    </w:p>
    <w:p>
      <w:pPr>
        <w:pStyle w:val="20"/>
        <w:snapToGrid w:val="0"/>
        <w:spacing w:line="480" w:lineRule="auto"/>
        <w:ind w:firstLine="576" w:firstLineChars="200"/>
        <w:rPr>
          <w:rFonts w:hAnsi="宋体" w:eastAsia="宋体" w:cs="宋体"/>
          <w:b/>
          <w:bCs/>
          <w:color w:val="000000" w:themeColor="text1"/>
          <w:sz w:val="28"/>
          <w:szCs w:val="28"/>
          <w:highlight w:val="none"/>
          <w14:textFill>
            <w14:solidFill>
              <w14:schemeClr w14:val="tx1"/>
            </w14:solidFill>
          </w14:textFill>
        </w:rPr>
      </w:pPr>
      <w:r>
        <w:rPr>
          <w:rFonts w:hint="eastAsia" w:hAnsi="宋体" w:eastAsia="宋体" w:cs="宋体"/>
          <w:b/>
          <w:color w:val="000000" w:themeColor="text1"/>
          <w:sz w:val="28"/>
          <w:szCs w:val="28"/>
          <w:highlight w:val="none"/>
          <w14:textFill>
            <w14:solidFill>
              <w14:schemeClr w14:val="tx1"/>
            </w14:solidFill>
          </w14:textFill>
        </w:rPr>
        <w:t>第四</w:t>
      </w:r>
      <w:r>
        <w:rPr>
          <w:rFonts w:hint="eastAsia" w:hAnsi="宋体" w:eastAsia="宋体" w:cs="宋体"/>
          <w:b/>
          <w:bCs/>
          <w:color w:val="000000" w:themeColor="text1"/>
          <w:sz w:val="28"/>
          <w:szCs w:val="28"/>
          <w:highlight w:val="none"/>
          <w14:textFill>
            <w14:solidFill>
              <w14:schemeClr w14:val="tx1"/>
            </w14:solidFill>
          </w14:textFill>
        </w:rPr>
        <w:t>部分</w:t>
      </w:r>
      <w:r>
        <w:rPr>
          <w:rFonts w:hint="eastAsia" w:hAnsi="宋体" w:eastAsia="宋体" w:cs="宋体"/>
          <w:b/>
          <w:color w:val="000000" w:themeColor="text1"/>
          <w:sz w:val="28"/>
          <w:szCs w:val="28"/>
          <w:highlight w:val="none"/>
          <w14:textFill>
            <w14:solidFill>
              <w14:schemeClr w14:val="tx1"/>
            </w14:solidFill>
          </w14:textFill>
        </w:rPr>
        <w:t xml:space="preserve">   供应商概况</w:t>
      </w:r>
    </w:p>
    <w:p>
      <w:pPr>
        <w:pStyle w:val="20"/>
        <w:snapToGrid w:val="0"/>
        <w:spacing w:line="480" w:lineRule="auto"/>
        <w:ind w:firstLine="576" w:firstLineChars="200"/>
        <w:rPr>
          <w:rFonts w:hAnsi="宋体" w:eastAsia="宋体" w:cs="宋体"/>
          <w:b/>
          <w:color w:val="000000" w:themeColor="text1"/>
          <w:sz w:val="28"/>
          <w:szCs w:val="28"/>
          <w:highlight w:val="none"/>
          <w14:textFill>
            <w14:solidFill>
              <w14:schemeClr w14:val="tx1"/>
            </w14:solidFill>
          </w14:textFill>
        </w:rPr>
      </w:pPr>
      <w:r>
        <w:rPr>
          <w:rFonts w:hint="eastAsia" w:hAnsi="宋体" w:eastAsia="宋体" w:cs="宋体"/>
          <w:b/>
          <w:color w:val="000000" w:themeColor="text1"/>
          <w:sz w:val="28"/>
          <w:szCs w:val="28"/>
          <w:highlight w:val="none"/>
          <w14:textFill>
            <w14:solidFill>
              <w14:schemeClr w14:val="tx1"/>
            </w14:solidFill>
          </w14:textFill>
        </w:rPr>
        <w:t>第五</w:t>
      </w:r>
      <w:r>
        <w:rPr>
          <w:rFonts w:hint="eastAsia" w:hAnsi="宋体" w:eastAsia="宋体" w:cs="宋体"/>
          <w:b/>
          <w:bCs/>
          <w:color w:val="000000" w:themeColor="text1"/>
          <w:sz w:val="28"/>
          <w:szCs w:val="28"/>
          <w:highlight w:val="none"/>
          <w14:textFill>
            <w14:solidFill>
              <w14:schemeClr w14:val="tx1"/>
            </w14:solidFill>
          </w14:textFill>
        </w:rPr>
        <w:t>部分</w:t>
      </w:r>
      <w:r>
        <w:rPr>
          <w:rFonts w:hint="eastAsia" w:hAnsi="宋体" w:eastAsia="宋体" w:cs="宋体"/>
          <w:b/>
          <w:color w:val="000000" w:themeColor="text1"/>
          <w:sz w:val="28"/>
          <w:szCs w:val="28"/>
          <w:highlight w:val="none"/>
          <w14:textFill>
            <w14:solidFill>
              <w14:schemeClr w14:val="tx1"/>
            </w14:solidFill>
          </w14:textFill>
        </w:rPr>
        <w:t xml:space="preserve">   </w:t>
      </w:r>
      <w:r>
        <w:rPr>
          <w:rFonts w:hint="eastAsia" w:hAnsi="宋体" w:eastAsia="宋体" w:cs="宋体"/>
          <w:b/>
          <w:color w:val="000000" w:themeColor="text1"/>
          <w:sz w:val="28"/>
          <w:szCs w:val="28"/>
          <w:highlight w:val="none"/>
          <w:lang w:val="en-US" w:eastAsia="zh-CN"/>
          <w14:textFill>
            <w14:solidFill>
              <w14:schemeClr w14:val="tx1"/>
            </w14:solidFill>
          </w14:textFill>
        </w:rPr>
        <w:t>投标</w:t>
      </w:r>
      <w:r>
        <w:rPr>
          <w:rFonts w:hint="eastAsia" w:hAnsi="宋体" w:eastAsia="宋体" w:cs="宋体"/>
          <w:b/>
          <w:color w:val="000000" w:themeColor="text1"/>
          <w:sz w:val="28"/>
          <w:szCs w:val="28"/>
          <w:highlight w:val="none"/>
          <w14:textFill>
            <w14:solidFill>
              <w14:schemeClr w14:val="tx1"/>
            </w14:solidFill>
          </w14:textFill>
        </w:rPr>
        <w:t>方案</w:t>
      </w:r>
    </w:p>
    <w:p>
      <w:pPr>
        <w:pStyle w:val="20"/>
        <w:snapToGrid w:val="0"/>
        <w:spacing w:line="480" w:lineRule="auto"/>
        <w:ind w:firstLine="576" w:firstLineChars="200"/>
        <w:rPr>
          <w:rFonts w:hAnsi="宋体" w:eastAsia="宋体" w:cs="宋体"/>
          <w:b/>
          <w:color w:val="000000" w:themeColor="text1"/>
          <w:sz w:val="28"/>
          <w:szCs w:val="28"/>
          <w:highlight w:val="none"/>
          <w14:textFill>
            <w14:solidFill>
              <w14:schemeClr w14:val="tx1"/>
            </w14:solidFill>
          </w14:textFill>
        </w:rPr>
      </w:pPr>
      <w:r>
        <w:rPr>
          <w:rFonts w:hint="eastAsia" w:hAnsi="宋体" w:eastAsia="宋体" w:cs="宋体"/>
          <w:b/>
          <w:color w:val="000000" w:themeColor="text1"/>
          <w:sz w:val="28"/>
          <w:szCs w:val="28"/>
          <w:highlight w:val="none"/>
          <w14:textFill>
            <w14:solidFill>
              <w14:schemeClr w14:val="tx1"/>
            </w14:solidFill>
          </w14:textFill>
        </w:rPr>
        <w:t>第六</w:t>
      </w:r>
      <w:r>
        <w:rPr>
          <w:rFonts w:hint="eastAsia" w:hAnsi="宋体" w:eastAsia="宋体" w:cs="宋体"/>
          <w:b/>
          <w:bCs/>
          <w:color w:val="000000" w:themeColor="text1"/>
          <w:sz w:val="28"/>
          <w:szCs w:val="28"/>
          <w:highlight w:val="none"/>
          <w14:textFill>
            <w14:solidFill>
              <w14:schemeClr w14:val="tx1"/>
            </w14:solidFill>
          </w14:textFill>
        </w:rPr>
        <w:t>部分</w:t>
      </w:r>
      <w:r>
        <w:rPr>
          <w:rFonts w:hint="eastAsia" w:hAnsi="宋体" w:eastAsia="宋体" w:cs="宋体"/>
          <w:b/>
          <w:color w:val="000000" w:themeColor="text1"/>
          <w:sz w:val="28"/>
          <w:szCs w:val="28"/>
          <w:highlight w:val="none"/>
          <w14:textFill>
            <w14:solidFill>
              <w14:schemeClr w14:val="tx1"/>
            </w14:solidFill>
          </w14:textFill>
        </w:rPr>
        <w:t xml:space="preserve">   商务和技术响应偏离表</w:t>
      </w:r>
    </w:p>
    <w:p>
      <w:pPr>
        <w:pStyle w:val="20"/>
        <w:snapToGrid w:val="0"/>
        <w:spacing w:line="480" w:lineRule="auto"/>
        <w:ind w:firstLine="576" w:firstLineChars="200"/>
        <w:rPr>
          <w:rFonts w:hAnsi="宋体" w:eastAsia="宋体" w:cs="宋体"/>
          <w:b/>
          <w:color w:val="000000" w:themeColor="text1"/>
          <w:sz w:val="28"/>
          <w:szCs w:val="28"/>
          <w:highlight w:val="none"/>
          <w14:textFill>
            <w14:solidFill>
              <w14:schemeClr w14:val="tx1"/>
            </w14:solidFill>
          </w14:textFill>
        </w:rPr>
      </w:pPr>
      <w:r>
        <w:rPr>
          <w:rFonts w:hint="eastAsia" w:hAnsi="宋体" w:eastAsia="宋体" w:cs="宋体"/>
          <w:b/>
          <w:color w:val="000000" w:themeColor="text1"/>
          <w:sz w:val="28"/>
          <w:szCs w:val="28"/>
          <w:highlight w:val="none"/>
          <w14:textFill>
            <w14:solidFill>
              <w14:schemeClr w14:val="tx1"/>
            </w14:solidFill>
          </w14:textFill>
        </w:rPr>
        <w:t>第七部分   供应商认为有必要说明的其他问题</w:t>
      </w:r>
    </w:p>
    <w:p>
      <w:pP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8"/>
        <w:ind w:firstLine="657"/>
        <w:jc w:val="center"/>
        <w:rPr>
          <w:rFonts w:ascii="宋体" w:hAnsi="宋体" w:eastAsia="宋体" w:cs="宋体"/>
          <w:color w:val="000000" w:themeColor="text1"/>
          <w:highlight w:val="none"/>
          <w14:textFill>
            <w14:solidFill>
              <w14:schemeClr w14:val="tx1"/>
            </w14:solidFill>
          </w14:textFill>
        </w:rPr>
      </w:pPr>
      <w:bookmarkStart w:id="230" w:name="_Toc9160"/>
      <w:bookmarkStart w:id="231" w:name="_Toc22015"/>
      <w:r>
        <w:rPr>
          <w:rFonts w:hint="eastAsia" w:ascii="宋体" w:hAnsi="宋体" w:eastAsia="宋体" w:cs="宋体"/>
          <w:color w:val="000000" w:themeColor="text1"/>
          <w:highlight w:val="none"/>
          <w14:textFill>
            <w14:solidFill>
              <w14:schemeClr w14:val="tx1"/>
            </w14:solidFill>
          </w14:textFill>
        </w:rPr>
        <w:t>第一部分  投标函</w:t>
      </w:r>
      <w:bookmarkEnd w:id="230"/>
      <w:bookmarkEnd w:id="231"/>
    </w:p>
    <w:p>
      <w:pPr>
        <w:spacing w:line="560" w:lineRule="exact"/>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陕西中鉴项目管理有限公司</w:t>
      </w:r>
      <w:r>
        <w:rPr>
          <w:rFonts w:hint="eastAsia" w:ascii="宋体" w:hAnsi="宋体" w:eastAsia="宋体" w:cs="宋体"/>
          <w:color w:val="000000" w:themeColor="text1"/>
          <w:sz w:val="28"/>
          <w:szCs w:val="28"/>
          <w:highlight w:val="none"/>
          <w14:textFill>
            <w14:solidFill>
              <w14:schemeClr w14:val="tx1"/>
            </w14:solidFill>
          </w14:textFill>
        </w:rPr>
        <w:t>：</w:t>
      </w:r>
    </w:p>
    <w:p>
      <w:pPr>
        <w:spacing w:line="560" w:lineRule="exact"/>
        <w:ind w:firstLine="576" w:firstLineChars="20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我单位收到项目名称为：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（项目编号为</w:t>
      </w:r>
      <w:r>
        <w:rPr>
          <w:rFonts w:hint="eastAsia" w:ascii="宋体" w:hAnsi="宋体" w:eastAsia="宋体" w:cs="宋体"/>
          <w:color w:val="000000" w:themeColor="text1"/>
          <w:sz w:val="28"/>
          <w:szCs w:val="28"/>
          <w:highlight w:val="none"/>
          <w:u w:val="none"/>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的招标文件，经详细研究，我公司决定参加本次招标活动。为此，我方郑重承诺以下诸点，并负法律责任。</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1．我方已详细阅读了招标文件，完全理解并同意招标文件的所有事项及内容。</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我方已悉知并及时关注了贵单位在陕西省政府采购网、全国公共资源交易平台（陕西省·西安市）上发布的关于本项目的有关变更公告（包括但不限于对招标文件做出的修改或澄清、答疑纪要，以及项目暂停、重启、延期、终止等）。</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3．我方同意向贵单位提供与本次招标有关的全部证明材料，并保证所提交的证明材料真实、合法、有效。</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4．我方理解最低价不是中标的唯一条件，并尊重评标委员会的评审结果。</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5．我方投标文件在开启之日起___个日历日（应不少于90个日历日）内有效。</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6．若我方中标，我方承诺：（1）将投标文件有效期延长至合同执行完毕。（2）遵照招标文件中的要求，完成本项目的合同责任和义务。</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7．所有关于此次招标活动的函电，请按下列方式联系：</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供应商：（供应商全称并加盖公章）</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法定代表人或委托代理人：（签字或盖章）</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联系电话：</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通讯地址：</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邮    编：</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电子邮箱：</w:t>
      </w:r>
    </w:p>
    <w:p>
      <w:pPr>
        <w:spacing w:line="560" w:lineRule="exact"/>
        <w:ind w:firstLine="576" w:firstLineChars="200"/>
        <w:jc w:val="both"/>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日    期：    年  </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日</w:t>
      </w:r>
    </w:p>
    <w:p>
      <w:pP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pStyle w:val="8"/>
        <w:numPr>
          <w:ilvl w:val="0"/>
          <w:numId w:val="2"/>
        </w:numPr>
        <w:ind w:firstLine="657"/>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bookmarkStart w:id="232" w:name="_Toc9518"/>
      <w:bookmarkStart w:id="233" w:name="_Toc3282"/>
      <w:r>
        <w:rPr>
          <w:rFonts w:hint="eastAsia" w:ascii="宋体" w:hAnsi="宋体" w:eastAsia="宋体" w:cs="宋体"/>
          <w:color w:val="000000" w:themeColor="text1"/>
          <w:highlight w:val="none"/>
          <w14:textFill>
            <w14:solidFill>
              <w14:schemeClr w14:val="tx1"/>
            </w14:solidFill>
          </w14:textFill>
        </w:rPr>
        <w:t>开标一览表</w:t>
      </w:r>
      <w:bookmarkEnd w:id="232"/>
      <w:bookmarkEnd w:id="233"/>
    </w:p>
    <w:p>
      <w:pPr>
        <w:wordWrap w:val="0"/>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kern w:val="0"/>
          <w:sz w:val="24"/>
          <w:szCs w:val="24"/>
          <w:lang w:eastAsia="zh-CN"/>
        </w:rPr>
        <w:t>未央宫街道遗址区“六村三校”农村饮水安全巩固提升工程材料购置</w:t>
      </w:r>
      <w:r>
        <w:rPr>
          <w:rFonts w:hint="eastAsia" w:ascii="宋体" w:hAnsi="宋体" w:eastAsia="宋体" w:cs="宋体"/>
          <w:color w:val="000000" w:themeColor="text1"/>
          <w:highlight w:val="none"/>
          <w14:textFill>
            <w14:solidFill>
              <w14:schemeClr w14:val="tx1"/>
            </w14:solidFill>
          </w14:textFill>
        </w:rPr>
        <w:t xml:space="preserve">   </w:t>
      </w:r>
    </w:p>
    <w:p>
      <w:pPr>
        <w:wordWrap w:val="0"/>
        <w:spacing w:line="360" w:lineRule="auto"/>
        <w:rPr>
          <w:rFonts w:hint="eastAsia" w:ascii="宋体" w:hAnsi="宋体" w:eastAsia="宋体" w:cs="宋体"/>
          <w:color w:val="000000" w:themeColor="text1"/>
          <w:highlight w:val="none"/>
          <w:u w:val="singl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lang w:eastAsia="zh-CN"/>
          <w14:textFill>
            <w14:solidFill>
              <w14:schemeClr w14:val="tx1"/>
            </w14:solidFill>
          </w14:textFill>
        </w:rPr>
        <w:t>ZJXG2023026</w:t>
      </w:r>
    </w:p>
    <w:p>
      <w:pPr>
        <w:kinsoku w:val="0"/>
        <w:spacing w:line="360" w:lineRule="auto"/>
        <w:rPr>
          <w:rFonts w:ascii="宋体" w:hAnsi="宋体" w:eastAsia="宋体" w:cs="宋体"/>
          <w:b/>
          <w:bCs/>
          <w:color w:val="000000" w:themeColor="text1"/>
          <w:spacing w:val="20"/>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    位：元</w:t>
      </w:r>
    </w:p>
    <w:tbl>
      <w:tblPr>
        <w:tblStyle w:val="34"/>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2485"/>
        <w:gridCol w:w="2875"/>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2259" w:type="dxa"/>
            <w:tcBorders>
              <w:tl2br w:val="single" w:color="auto" w:sz="4" w:space="0"/>
            </w:tcBorders>
          </w:tcPr>
          <w:p>
            <w:pPr>
              <w:kinsoku w:val="0"/>
              <w:spacing w:line="480" w:lineRule="auto"/>
              <w:ind w:firstLine="992" w:firstLineChars="4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报价内容</w:t>
            </w:r>
          </w:p>
          <w:p>
            <w:pPr>
              <w:kinsoku w:val="0"/>
              <w:spacing w:line="4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投标内容</w:t>
            </w:r>
          </w:p>
        </w:tc>
        <w:tc>
          <w:tcPr>
            <w:tcW w:w="2485" w:type="dxa"/>
            <w:vAlign w:val="center"/>
          </w:tcPr>
          <w:p>
            <w:pPr>
              <w:kinsoku w:val="0"/>
              <w:spacing w:line="48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投标总报价</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2875" w:type="dxa"/>
            <w:vAlign w:val="center"/>
          </w:tcPr>
          <w:p>
            <w:pPr>
              <w:kinsoku w:val="0"/>
              <w:spacing w:line="48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交货期</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日历日</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2799" w:type="dxa"/>
            <w:vAlign w:val="center"/>
          </w:tcPr>
          <w:p>
            <w:pPr>
              <w:kinsoku w:val="0"/>
              <w:spacing w:line="48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年</w:t>
            </w:r>
            <w:r>
              <w:rPr>
                <w:rFonts w:hint="eastAsia" w:ascii="宋体" w:hAnsi="宋体" w:eastAsia="宋体" w:cs="宋体"/>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2259" w:type="dxa"/>
            <w:vAlign w:val="center"/>
          </w:tcPr>
          <w:p>
            <w:pPr>
              <w:kinsoku w:val="0"/>
              <w:spacing w:line="48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kern w:val="0"/>
                <w:sz w:val="24"/>
                <w:szCs w:val="24"/>
                <w:lang w:eastAsia="zh-CN"/>
              </w:rPr>
              <w:t>未央宫街道遗址区“六村三校”农村饮水安全巩固提升工程材料购置</w:t>
            </w:r>
          </w:p>
        </w:tc>
        <w:tc>
          <w:tcPr>
            <w:tcW w:w="2485" w:type="dxa"/>
            <w:vAlign w:val="center"/>
          </w:tcPr>
          <w:p>
            <w:pPr>
              <w:kinsoku w:val="0"/>
              <w:spacing w:line="480" w:lineRule="auto"/>
              <w:rPr>
                <w:rFonts w:ascii="宋体" w:hAnsi="宋体" w:eastAsia="宋体" w:cs="宋体"/>
                <w:color w:val="000000" w:themeColor="text1"/>
                <w:szCs w:val="21"/>
                <w:highlight w:val="none"/>
                <w14:textFill>
                  <w14:solidFill>
                    <w14:schemeClr w14:val="tx1"/>
                  </w14:solidFill>
                </w14:textFill>
              </w:rPr>
            </w:pPr>
          </w:p>
        </w:tc>
        <w:tc>
          <w:tcPr>
            <w:tcW w:w="2875" w:type="dxa"/>
            <w:vAlign w:val="center"/>
          </w:tcPr>
          <w:p>
            <w:pPr>
              <w:kinsoku w:val="0"/>
              <w:spacing w:line="480" w:lineRule="auto"/>
              <w:ind w:firstLine="496" w:firstLineChars="200"/>
              <w:rPr>
                <w:rFonts w:ascii="宋体" w:hAnsi="宋体" w:eastAsia="宋体" w:cs="宋体"/>
                <w:color w:val="000000" w:themeColor="text1"/>
                <w:szCs w:val="21"/>
                <w:highlight w:val="none"/>
                <w14:textFill>
                  <w14:solidFill>
                    <w14:schemeClr w14:val="tx1"/>
                  </w14:solidFill>
                </w14:textFill>
              </w:rPr>
            </w:pPr>
          </w:p>
        </w:tc>
        <w:tc>
          <w:tcPr>
            <w:tcW w:w="2799" w:type="dxa"/>
            <w:vAlign w:val="center"/>
          </w:tcPr>
          <w:p>
            <w:pPr>
              <w:kinsoku w:val="0"/>
              <w:spacing w:line="480" w:lineRule="auto"/>
              <w:ind w:firstLine="496" w:firstLineChars="200"/>
              <w:rPr>
                <w:rFonts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0418" w:type="dxa"/>
            <w:gridSpan w:val="4"/>
            <w:vAlign w:val="center"/>
          </w:tcPr>
          <w:p>
            <w:pPr>
              <w:kinsoku w:val="0"/>
              <w:spacing w:line="48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投标总报价：人民币</w:t>
            </w:r>
            <w:r>
              <w:rPr>
                <w:rFonts w:hint="eastAsia" w:ascii="宋体" w:hAnsi="宋体" w:eastAsia="宋体" w:cs="宋体"/>
                <w:color w:val="000000" w:themeColor="text1"/>
                <w:szCs w:val="21"/>
                <w:highlight w:val="none"/>
                <w:u w:val="single"/>
                <w14:textFill>
                  <w14:solidFill>
                    <w14:schemeClr w14:val="tx1"/>
                  </w14:solidFill>
                </w14:textFill>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418" w:type="dxa"/>
            <w:gridSpan w:val="4"/>
            <w:vAlign w:val="center"/>
          </w:tcPr>
          <w:p>
            <w:pPr>
              <w:kinsoku w:val="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p>
            <w:pPr>
              <w:kinsoku w:val="0"/>
              <w:ind w:firstLine="496"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1、表内报价内容以元为单位，精确到小数点后两位。 </w:t>
            </w:r>
          </w:p>
          <w:p>
            <w:pPr>
              <w:ind w:firstLine="496"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2、交货期、质保期要求详见第三章招标内容及要求中一、商务条款。</w:t>
            </w:r>
          </w:p>
        </w:tc>
      </w:tr>
    </w:tbl>
    <w:p>
      <w:pPr>
        <w:tabs>
          <w:tab w:val="left" w:pos="4000"/>
        </w:tabs>
        <w:snapToGrid w:val="0"/>
        <w:spacing w:line="300" w:lineRule="auto"/>
        <w:rPr>
          <w:rFonts w:ascii="宋体" w:hAnsi="宋体" w:eastAsia="宋体" w:cs="宋体"/>
          <w:b/>
          <w:bCs/>
          <w:color w:val="000000" w:themeColor="text1"/>
          <w:spacing w:val="20"/>
          <w:sz w:val="28"/>
          <w:szCs w:val="28"/>
          <w:highlight w:val="none"/>
          <w14:textFill>
            <w14:solidFill>
              <w14:schemeClr w14:val="tx1"/>
            </w14:solidFill>
          </w14:textFill>
        </w:rPr>
      </w:pPr>
    </w:p>
    <w:p>
      <w:pPr>
        <w:adjustRightInd w:val="0"/>
        <w:snapToGrid w:val="0"/>
        <w:spacing w:line="480" w:lineRule="auto"/>
        <w:rPr>
          <w:rFonts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供应商（单位名称及公章）：</w:t>
      </w:r>
    </w:p>
    <w:p>
      <w:pPr>
        <w:adjustRightInd w:val="0"/>
        <w:snapToGrid w:val="0"/>
        <w:spacing w:line="48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期：年  月  日</w:t>
      </w: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p>
    <w:p>
      <w:pPr>
        <w:spacing w:line="560" w:lineRule="exact"/>
        <w:ind w:firstLine="656" w:firstLineChars="200"/>
        <w:jc w:val="both"/>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2.2分项报价表</w:t>
      </w:r>
    </w:p>
    <w:p>
      <w:pPr>
        <w:wordWrap w:val="0"/>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kern w:val="0"/>
          <w:sz w:val="24"/>
          <w:szCs w:val="24"/>
          <w:lang w:eastAsia="zh-CN"/>
        </w:rPr>
        <w:t>未央宫街道遗址区“六村三校”农村饮水安全巩固提升工程材料购置</w:t>
      </w:r>
      <w:r>
        <w:rPr>
          <w:rFonts w:hint="eastAsia" w:ascii="宋体" w:hAnsi="宋体" w:eastAsia="宋体" w:cs="宋体"/>
          <w:color w:val="000000" w:themeColor="text1"/>
          <w:highlight w:val="none"/>
          <w14:textFill>
            <w14:solidFill>
              <w14:schemeClr w14:val="tx1"/>
            </w14:solidFill>
          </w14:textFill>
        </w:rPr>
        <w:t xml:space="preserve">   </w:t>
      </w:r>
    </w:p>
    <w:p>
      <w:pPr>
        <w:wordWrap w:val="0"/>
        <w:spacing w:line="360" w:lineRule="auto"/>
        <w:rPr>
          <w:rFonts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u w:val="single"/>
          <w:lang w:eastAsia="zh-CN"/>
          <w14:textFill>
            <w14:solidFill>
              <w14:schemeClr w14:val="tx1"/>
            </w14:solidFill>
          </w14:textFill>
        </w:rPr>
        <w:t>ZJXG2023026</w:t>
      </w:r>
    </w:p>
    <w:p>
      <w:pPr>
        <w:spacing w:line="56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单位：元</w:t>
      </w:r>
    </w:p>
    <w:tbl>
      <w:tblPr>
        <w:tblStyle w:val="34"/>
        <w:tblW w:w="1039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775"/>
        <w:gridCol w:w="1642"/>
        <w:gridCol w:w="1821"/>
        <w:gridCol w:w="1560"/>
        <w:gridCol w:w="1112"/>
        <w:gridCol w:w="16"/>
        <w:gridCol w:w="1097"/>
        <w:gridCol w:w="16"/>
        <w:gridCol w:w="1201"/>
        <w:gridCol w:w="16"/>
        <w:gridCol w:w="114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75" w:type="dxa"/>
            <w:shd w:val="clear" w:color="auto" w:fill="F1F1F1" w:themeFill="background1" w:themeFillShade="F2"/>
            <w:noWrap/>
            <w:tcMar>
              <w:top w:w="20" w:type="dxa"/>
              <w:left w:w="20" w:type="dxa"/>
              <w:bottom w:w="0" w:type="dxa"/>
              <w:right w:w="20" w:type="dxa"/>
            </w:tcMar>
            <w:vAlign w:val="center"/>
          </w:tcPr>
          <w:p>
            <w:pPr>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w:t>
            </w:r>
          </w:p>
        </w:tc>
        <w:tc>
          <w:tcPr>
            <w:tcW w:w="9624" w:type="dxa"/>
            <w:gridSpan w:val="10"/>
            <w:shd w:val="clear" w:color="auto" w:fill="F1F1F1" w:themeFill="background1" w:themeFillShade="F2"/>
            <w:noWrap/>
            <w:tcMar>
              <w:top w:w="20" w:type="dxa"/>
              <w:left w:w="20" w:type="dxa"/>
              <w:bottom w:w="0" w:type="dxa"/>
              <w:right w:w="20" w:type="dxa"/>
            </w:tcMar>
            <w:vAlign w:val="center"/>
          </w:tcPr>
          <w:p>
            <w:pPr>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92" w:hRule="atLeast"/>
          <w:jc w:val="center"/>
        </w:trPr>
        <w:tc>
          <w:tcPr>
            <w:tcW w:w="775" w:type="dxa"/>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642" w:type="dxa"/>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产品名称</w:t>
            </w:r>
          </w:p>
        </w:tc>
        <w:tc>
          <w:tcPr>
            <w:tcW w:w="1821" w:type="dxa"/>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品牌及</w:t>
            </w:r>
          </w:p>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规格型号</w:t>
            </w:r>
          </w:p>
        </w:tc>
        <w:tc>
          <w:tcPr>
            <w:tcW w:w="1560" w:type="dxa"/>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生产厂家</w:t>
            </w:r>
          </w:p>
        </w:tc>
        <w:tc>
          <w:tcPr>
            <w:tcW w:w="1112" w:type="dxa"/>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是否小微企业产品</w:t>
            </w:r>
          </w:p>
        </w:tc>
        <w:tc>
          <w:tcPr>
            <w:tcW w:w="1113" w:type="dxa"/>
            <w:gridSpan w:val="2"/>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c>
          <w:tcPr>
            <w:tcW w:w="1217" w:type="dxa"/>
            <w:gridSpan w:val="2"/>
            <w:shd w:val="clear" w:color="auto" w:fill="auto"/>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单价</w:t>
            </w:r>
          </w:p>
        </w:tc>
        <w:tc>
          <w:tcPr>
            <w:tcW w:w="1159" w:type="dxa"/>
            <w:gridSpan w:val="2"/>
            <w:shd w:val="clear" w:color="auto" w:fill="auto"/>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821"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560"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59" w:type="dxa"/>
            <w:gridSpan w:val="2"/>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821"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560"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59" w:type="dxa"/>
            <w:gridSpan w:val="2"/>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821"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560"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59" w:type="dxa"/>
            <w:gridSpan w:val="2"/>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821"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560"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59" w:type="dxa"/>
            <w:gridSpan w:val="2"/>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shd w:val="clear" w:color="auto" w:fill="F1F1F1" w:themeFill="background1" w:themeFillShade="F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w:t>
            </w:r>
          </w:p>
        </w:tc>
        <w:tc>
          <w:tcPr>
            <w:tcW w:w="9624" w:type="dxa"/>
            <w:gridSpan w:val="10"/>
            <w:shd w:val="clear" w:color="auto" w:fill="F1F1F1" w:themeFill="background1" w:themeFillShade="F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费用名称</w:t>
            </w:r>
          </w:p>
        </w:tc>
        <w:tc>
          <w:tcPr>
            <w:tcW w:w="4509" w:type="dxa"/>
            <w:gridSpan w:val="4"/>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费用描述</w:t>
            </w: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数量</w:t>
            </w: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单价</w:t>
            </w:r>
          </w:p>
        </w:tc>
        <w:tc>
          <w:tcPr>
            <w:tcW w:w="1143" w:type="dxa"/>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4509" w:type="dxa"/>
            <w:gridSpan w:val="4"/>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43" w:type="dxa"/>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4509" w:type="dxa"/>
            <w:gridSpan w:val="4"/>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43" w:type="dxa"/>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4509" w:type="dxa"/>
            <w:gridSpan w:val="4"/>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43" w:type="dxa"/>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775"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p>
        </w:tc>
        <w:tc>
          <w:tcPr>
            <w:tcW w:w="1642" w:type="dxa"/>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4509" w:type="dxa"/>
            <w:gridSpan w:val="4"/>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13"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2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p>
        </w:tc>
        <w:tc>
          <w:tcPr>
            <w:tcW w:w="1143" w:type="dxa"/>
            <w:vAlign w:val="center"/>
          </w:tcPr>
          <w:p>
            <w:pPr>
              <w:jc w:val="center"/>
              <w:rPr>
                <w:rFonts w:ascii="宋体" w:hAnsi="宋体" w:eastAsia="宋体" w:cs="宋体"/>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5" w:hRule="atLeast"/>
          <w:jc w:val="center"/>
        </w:trPr>
        <w:tc>
          <w:tcPr>
            <w:tcW w:w="24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投标总报价</w:t>
            </w:r>
          </w:p>
        </w:tc>
        <w:tc>
          <w:tcPr>
            <w:tcW w:w="7982" w:type="dxa"/>
            <w:gridSpan w:val="9"/>
            <w:noWrap/>
            <w:tcMar>
              <w:top w:w="20" w:type="dxa"/>
              <w:left w:w="20" w:type="dxa"/>
              <w:bottom w:w="0" w:type="dxa"/>
              <w:right w:w="20" w:type="dxa"/>
            </w:tcMar>
            <w:vAlign w:val="center"/>
          </w:tcPr>
          <w:p>
            <w:pPr>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大写：                       小写：元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82" w:hRule="atLeast"/>
          <w:jc w:val="center"/>
        </w:trPr>
        <w:tc>
          <w:tcPr>
            <w:tcW w:w="2417" w:type="dxa"/>
            <w:gridSpan w:val="2"/>
            <w:noWrap/>
            <w:tcMar>
              <w:top w:w="20" w:type="dxa"/>
              <w:left w:w="20" w:type="dxa"/>
              <w:bottom w:w="0" w:type="dxa"/>
              <w:right w:w="20" w:type="dxa"/>
            </w:tcMar>
            <w:vAlign w:val="center"/>
          </w:tcPr>
          <w:p>
            <w:pPr>
              <w:jc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备注</w:t>
            </w:r>
          </w:p>
        </w:tc>
        <w:tc>
          <w:tcPr>
            <w:tcW w:w="7982" w:type="dxa"/>
            <w:gridSpan w:val="9"/>
            <w:noWrap/>
            <w:tcMar>
              <w:top w:w="20" w:type="dxa"/>
              <w:left w:w="20" w:type="dxa"/>
              <w:bottom w:w="0" w:type="dxa"/>
              <w:right w:w="20" w:type="dxa"/>
            </w:tcMar>
            <w:vAlign w:val="center"/>
          </w:tcPr>
          <w:p>
            <w:pPr>
              <w:spacing w:beforeLines="50"/>
              <w:jc w:val="center"/>
              <w:rPr>
                <w:rFonts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产品购置费</w:t>
            </w:r>
            <w:r>
              <w:rPr>
                <w:rFonts w:hint="eastAsia" w:ascii="宋体" w:hAnsi="宋体" w:eastAsia="宋体" w:cs="宋体"/>
                <w:color w:val="000000" w:themeColor="text1"/>
                <w:sz w:val="22"/>
                <w:highlight w:val="none"/>
                <w:lang w:val="en-US" w:eastAsia="zh-CN"/>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其他费用</w:t>
            </w:r>
            <w:r>
              <w:rPr>
                <w:rFonts w:hint="eastAsia" w:ascii="宋体" w:hAnsi="宋体" w:eastAsia="宋体" w:cs="宋体"/>
                <w:color w:val="000000" w:themeColor="text1"/>
                <w:sz w:val="22"/>
                <w:highlight w:val="none"/>
                <w:lang w:val="en-US" w:eastAsia="zh-CN"/>
                <w14:textFill>
                  <w14:solidFill>
                    <w14:schemeClr w14:val="tx1"/>
                  </w14:solidFill>
                </w14:textFill>
              </w:rPr>
              <w:t>=</w:t>
            </w:r>
            <w:r>
              <w:rPr>
                <w:rFonts w:hint="eastAsia" w:ascii="宋体" w:hAnsi="宋体" w:eastAsia="宋体" w:cs="宋体"/>
                <w:color w:val="000000" w:themeColor="text1"/>
                <w:sz w:val="22"/>
                <w:highlight w:val="none"/>
                <w14:textFill>
                  <w14:solidFill>
                    <w14:schemeClr w14:val="tx1"/>
                  </w14:solidFill>
                </w14:textFill>
              </w:rPr>
              <w:t>投标总报价精确到小数点后两位</w:t>
            </w:r>
          </w:p>
        </w:tc>
      </w:tr>
    </w:tbl>
    <w:p>
      <w:pPr>
        <w:spacing w:line="560" w:lineRule="exac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说明：1.此表由供应商按项目情况自行列支，仅作参考。</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2.表格空间不足时，可自行扩展。</w:t>
      </w:r>
    </w:p>
    <w:p>
      <w:pPr>
        <w:adjustRightInd w:val="0"/>
        <w:snapToGrid w:val="0"/>
        <w:spacing w:line="48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供应商（供应商名称及公章）：</w:t>
      </w:r>
    </w:p>
    <w:p>
      <w:pPr>
        <w:adjustRightInd w:val="0"/>
        <w:snapToGrid w:val="0"/>
        <w:spacing w:line="480" w:lineRule="auto"/>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法定代表人或被授权人（签字或盖章）：</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     年     月     日</w:t>
      </w:r>
    </w:p>
    <w:p>
      <w:pPr>
        <w:adjustRightInd w:val="0"/>
        <w:snapToGrid w:val="0"/>
        <w:spacing w:line="480" w:lineRule="auto"/>
        <w:rPr>
          <w:rFonts w:ascii="宋体" w:hAnsi="宋体" w:eastAsia="宋体" w:cs="宋体"/>
          <w:color w:val="000000" w:themeColor="text1"/>
          <w:sz w:val="36"/>
          <w:szCs w:val="36"/>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440" w:right="1083" w:bottom="1440" w:left="1083" w:header="850" w:footer="992" w:gutter="0"/>
          <w:pgNumType w:fmt="numberInDash"/>
          <w:cols w:space="0" w:num="1"/>
          <w:titlePg/>
          <w:docGrid w:type="linesAndChars" w:linePitch="395" w:charSpace="1724"/>
        </w:sectPr>
      </w:pPr>
    </w:p>
    <w:p>
      <w:pPr>
        <w:pStyle w:val="8"/>
        <w:ind w:firstLine="657"/>
        <w:jc w:val="center"/>
        <w:rPr>
          <w:rFonts w:ascii="宋体" w:hAnsi="宋体" w:eastAsia="宋体" w:cs="宋体"/>
          <w:color w:val="000000" w:themeColor="text1"/>
          <w:highlight w:val="none"/>
          <w14:textFill>
            <w14:solidFill>
              <w14:schemeClr w14:val="tx1"/>
            </w14:solidFill>
          </w14:textFill>
        </w:rPr>
      </w:pPr>
      <w:bookmarkStart w:id="234" w:name="_Toc26305"/>
      <w:bookmarkStart w:id="235" w:name="_Toc27005"/>
      <w:r>
        <w:rPr>
          <w:rFonts w:hint="eastAsia" w:ascii="宋体" w:hAnsi="宋体" w:eastAsia="宋体" w:cs="宋体"/>
          <w:color w:val="000000" w:themeColor="text1"/>
          <w:highlight w:val="none"/>
          <w14:textFill>
            <w14:solidFill>
              <w14:schemeClr w14:val="tx1"/>
            </w14:solidFill>
          </w14:textFill>
        </w:rPr>
        <w:t xml:space="preserve">第三部分  </w:t>
      </w:r>
      <w:bookmarkEnd w:id="234"/>
      <w:bookmarkEnd w:id="235"/>
      <w:r>
        <w:rPr>
          <w:rFonts w:hint="eastAsia" w:ascii="宋体" w:hAnsi="宋体" w:eastAsia="宋体" w:cs="宋体"/>
          <w:color w:val="000000" w:themeColor="text1"/>
          <w:highlight w:val="none"/>
          <w14:textFill>
            <w14:solidFill>
              <w14:schemeClr w14:val="tx1"/>
            </w14:solidFill>
          </w14:textFill>
        </w:rPr>
        <w:t>供应商资质证明资料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bookmarkStart w:id="236" w:name="_Toc30568"/>
      <w:bookmarkStart w:id="237" w:name="_Toc28294"/>
      <w:bookmarkStart w:id="238" w:name="_Toc32575"/>
      <w:bookmarkStart w:id="239" w:name="_Toc9106"/>
      <w:bookmarkStart w:id="240" w:name="_Toc14575"/>
      <w:bookmarkStart w:id="241" w:name="_Toc18738"/>
      <w:bookmarkStart w:id="242" w:name="_Toc26570"/>
      <w:bookmarkStart w:id="243" w:name="_Toc29109"/>
      <w:r>
        <w:rPr>
          <w:rFonts w:hint="eastAsia" w:ascii="宋体" w:hAnsi="宋体" w:eastAsia="宋体" w:cs="宋体"/>
          <w:color w:val="auto"/>
          <w:kern w:val="2"/>
          <w:sz w:val="24"/>
          <w:szCs w:val="24"/>
          <w:highlight w:val="none"/>
          <w:lang w:val="en-US" w:eastAsia="zh-CN" w:bidi="ar-SA"/>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财务状况报告：提供2021或2022年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3）税收缴纳证明：提供2022年至今已缴纳的6个月的纳税证明或完税证明，依法免税的单位应提供相关证明材料；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4）社会保障资金缴纳证明：提供2022年至今已缴纳的6个月的社会保障资金缴存单据或社保机构开具的社会保险参保缴费情况证明，依法不需要缴纳社会保障资金的单位应提供相关证明材料；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5）提供具有履行合同所必需的设备和专业技术能力的承诺；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6）参加政府采购活动前三年内，在经营活动中没有重大违法记录的书面声明；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7）法定代表人授权书及被授权人身份证（法定代表人直接参加磋商的须提供其法人身份证），非法人单位参照执行；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政府采购严重违法失信行为记录名单中被财政部门禁止参加政府采购活动的供应商（采购代理机构自行查询，采购代理机构查询时限为投标文件递交截止之日）；</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96"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9）本项目为专门面向中小企业采购（提供中小企业声明函或监狱企业的证明文件或残疾人福利性单位声明函）。</w:t>
      </w:r>
    </w:p>
    <w:p>
      <w:pPr>
        <w:spacing w:line="360" w:lineRule="auto"/>
        <w:rPr>
          <w:rFonts w:hint="default" w:ascii="宋体" w:hAnsi="宋体" w:eastAsia="宋体" w:cs="宋体"/>
          <w:sz w:val="24"/>
          <w:szCs w:val="24"/>
          <w:lang w:val="en-US" w:eastAsia="zh-CN" w:bidi="ar-SA"/>
        </w:rPr>
      </w:pPr>
    </w:p>
    <w:p>
      <w:pPr>
        <w:pStyle w:val="3"/>
        <w:rPr>
          <w:rFonts w:hint="eastAsia"/>
        </w:rPr>
      </w:pP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snapToGrid w:val="0"/>
        <w:spacing w:line="360" w:lineRule="auto"/>
        <w:rPr>
          <w:rFonts w:hint="eastAsia" w:ascii="宋体" w:hAnsi="宋体" w:cs="宋体"/>
          <w:b/>
          <w:bCs/>
          <w:sz w:val="28"/>
          <w:szCs w:val="28"/>
        </w:rPr>
      </w:pPr>
      <w:bookmarkStart w:id="244" w:name="_Toc27179"/>
      <w:bookmarkStart w:id="245" w:name="_Toc26943"/>
      <w:r>
        <w:rPr>
          <w:rFonts w:hint="eastAsia" w:ascii="宋体" w:hAnsi="宋体" w:cs="宋体"/>
          <w:b/>
          <w:bCs/>
          <w:sz w:val="28"/>
          <w:szCs w:val="28"/>
        </w:rPr>
        <w:t>附件1-</w:t>
      </w:r>
      <w:r>
        <w:rPr>
          <w:rFonts w:hint="eastAsia" w:ascii="宋体" w:hAnsi="宋体" w:cs="宋体"/>
          <w:b/>
          <w:bCs/>
          <w:sz w:val="28"/>
          <w:szCs w:val="28"/>
          <w:lang w:val="en-US" w:eastAsia="zh-CN"/>
        </w:rPr>
        <w:t>9</w:t>
      </w:r>
      <w:bookmarkStart w:id="262" w:name="_GoBack"/>
      <w:bookmarkEnd w:id="262"/>
      <w:r>
        <w:rPr>
          <w:rFonts w:hint="eastAsia" w:ascii="宋体" w:hAnsi="宋体" w:cs="宋体"/>
          <w:b/>
          <w:bCs/>
          <w:sz w:val="28"/>
          <w:szCs w:val="28"/>
        </w:rPr>
        <w:t>为给定格式，其余格式自拟</w:t>
      </w:r>
    </w:p>
    <w:p>
      <w:pPr>
        <w:adjustRightInd w:val="0"/>
        <w:snapToGrid w:val="0"/>
        <w:spacing w:line="360" w:lineRule="auto"/>
        <w:jc w:val="left"/>
        <w:rPr>
          <w:rFonts w:hint="eastAsia" w:ascii="宋体" w:hAnsi="宋体" w:cs="宋体"/>
          <w:b/>
          <w:bCs/>
          <w:sz w:val="24"/>
          <w:szCs w:val="24"/>
        </w:rPr>
      </w:pPr>
      <w:r>
        <w:rPr>
          <w:rFonts w:hint="eastAsia" w:ascii="宋体" w:hAnsi="宋体" w:cs="宋体"/>
          <w:b/>
          <w:sz w:val="24"/>
          <w:szCs w:val="24"/>
        </w:rPr>
        <w:t>附件</w:t>
      </w:r>
      <w:r>
        <w:rPr>
          <w:rFonts w:hint="eastAsia" w:ascii="宋体" w:hAnsi="宋体" w:cs="宋体"/>
          <w:b/>
          <w:bCs/>
          <w:sz w:val="24"/>
          <w:szCs w:val="24"/>
        </w:rPr>
        <w:t>1</w:t>
      </w:r>
    </w:p>
    <w:p>
      <w:pPr>
        <w:adjustRightInd w:val="0"/>
        <w:snapToGrid w:val="0"/>
        <w:spacing w:line="360" w:lineRule="auto"/>
        <w:jc w:val="center"/>
        <w:rPr>
          <w:rFonts w:hint="eastAsia" w:ascii="宋体" w:hAnsi="宋体" w:cs="宋体"/>
          <w:b/>
          <w:sz w:val="24"/>
          <w:szCs w:val="24"/>
        </w:rPr>
      </w:pPr>
      <w:r>
        <w:rPr>
          <w:rFonts w:hint="eastAsia" w:ascii="宋体" w:hAnsi="宋体" w:cs="宋体"/>
          <w:b/>
          <w:sz w:val="24"/>
          <w:szCs w:val="24"/>
        </w:rPr>
        <w:t>法定代表人身份证明</w:t>
      </w:r>
    </w:p>
    <w:p>
      <w:pPr>
        <w:autoSpaceDE w:val="0"/>
        <w:autoSpaceDN w:val="0"/>
        <w:adjustRightInd w:val="0"/>
        <w:snapToGrid w:val="0"/>
        <w:spacing w:before="120" w:beforeLines="50" w:line="360" w:lineRule="auto"/>
        <w:ind w:firstLine="496" w:firstLineChars="200"/>
        <w:jc w:val="left"/>
        <w:rPr>
          <w:rFonts w:hint="eastAsia" w:ascii="宋体" w:hAnsi="宋体" w:cs="宋体"/>
          <w:kern w:val="0"/>
          <w:sz w:val="24"/>
          <w:szCs w:val="24"/>
        </w:rPr>
      </w:pPr>
      <w:r>
        <w:rPr>
          <w:rFonts w:hint="eastAsia" w:ascii="宋体" w:hAnsi="宋体" w:cs="宋体"/>
          <w:sz w:val="24"/>
          <w:szCs w:val="24"/>
        </w:rPr>
        <w:t>供应商</w:t>
      </w:r>
      <w:r>
        <w:rPr>
          <w:rFonts w:hint="eastAsia" w:ascii="宋体" w:hAnsi="宋体" w:cs="宋体"/>
          <w:kern w:val="0"/>
          <w:sz w:val="24"/>
          <w:szCs w:val="24"/>
        </w:rPr>
        <w:t>名称：</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cs="宋体"/>
          <w:kern w:val="0"/>
          <w:sz w:val="24"/>
          <w:szCs w:val="24"/>
        </w:rPr>
      </w:pPr>
      <w:r>
        <w:rPr>
          <w:rFonts w:hint="eastAsia" w:ascii="宋体" w:hAnsi="宋体" w:cs="宋体"/>
          <w:kern w:val="0"/>
          <w:sz w:val="24"/>
          <w:szCs w:val="24"/>
        </w:rPr>
        <w:t>统一社会信用代码：</w:t>
      </w:r>
      <w:r>
        <w:rPr>
          <w:rFonts w:hint="eastAsia" w:ascii="宋体" w:hAnsi="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cs="宋体"/>
          <w:kern w:val="0"/>
          <w:sz w:val="24"/>
          <w:szCs w:val="24"/>
          <w:u w:val="single"/>
        </w:rPr>
      </w:pPr>
      <w:r>
        <w:rPr>
          <w:rFonts w:hint="eastAsia" w:ascii="宋体" w:hAnsi="宋体" w:cs="宋体"/>
          <w:kern w:val="0"/>
          <w:sz w:val="24"/>
          <w:szCs w:val="24"/>
        </w:rPr>
        <w:t>注册地址：</w:t>
      </w:r>
      <w:r>
        <w:rPr>
          <w:rFonts w:hint="eastAsia" w:ascii="宋体" w:hAnsi="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cs="宋体"/>
          <w:kern w:val="0"/>
          <w:sz w:val="24"/>
          <w:szCs w:val="24"/>
        </w:rPr>
      </w:pPr>
      <w:r>
        <w:rPr>
          <w:rFonts w:hint="eastAsia" w:ascii="宋体" w:hAnsi="宋体" w:cs="宋体"/>
          <w:kern w:val="0"/>
          <w:sz w:val="24"/>
          <w:szCs w:val="24"/>
        </w:rPr>
        <w:t>成立时间：</w:t>
      </w:r>
      <w:r>
        <w:rPr>
          <w:rFonts w:hint="eastAsia" w:ascii="宋体" w:hAnsi="宋体" w:cs="宋体"/>
          <w:kern w:val="0"/>
          <w:sz w:val="24"/>
          <w:szCs w:val="24"/>
          <w:u w:val="single"/>
        </w:rPr>
        <w:t xml:space="preserve">    </w:t>
      </w:r>
      <w:r>
        <w:rPr>
          <w:rFonts w:hint="eastAsia" w:ascii="宋体" w:hAnsi="宋体" w:cs="宋体"/>
          <w:kern w:val="0"/>
          <w:sz w:val="24"/>
          <w:szCs w:val="24"/>
        </w:rPr>
        <w:t xml:space="preserve">年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日；经营期限：</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cs="宋体"/>
          <w:kern w:val="0"/>
          <w:sz w:val="24"/>
          <w:szCs w:val="24"/>
          <w:u w:val="single"/>
        </w:rPr>
      </w:pPr>
      <w:r>
        <w:rPr>
          <w:rFonts w:hint="eastAsia" w:ascii="宋体" w:hAnsi="宋体" w:cs="宋体"/>
          <w:kern w:val="0"/>
          <w:sz w:val="24"/>
          <w:szCs w:val="24"/>
        </w:rPr>
        <w:t>经营范围：主营：</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；兼营：</w:t>
      </w:r>
      <w:r>
        <w:rPr>
          <w:rFonts w:hint="eastAsia" w:ascii="宋体" w:hAnsi="宋体" w:cs="宋体"/>
          <w:kern w:val="0"/>
          <w:sz w:val="24"/>
          <w:szCs w:val="24"/>
          <w:u w:val="single"/>
        </w:rPr>
        <w:t xml:space="preserve">               </w:t>
      </w:r>
    </w:p>
    <w:p>
      <w:pPr>
        <w:autoSpaceDE w:val="0"/>
        <w:autoSpaceDN w:val="0"/>
        <w:adjustRightInd w:val="0"/>
        <w:snapToGrid w:val="0"/>
        <w:spacing w:before="120" w:beforeLines="50" w:line="360" w:lineRule="auto"/>
        <w:ind w:firstLine="496" w:firstLineChars="200"/>
        <w:jc w:val="left"/>
        <w:rPr>
          <w:rFonts w:hint="eastAsia" w:ascii="宋体" w:hAnsi="宋体" w:cs="宋体"/>
          <w:kern w:val="0"/>
          <w:sz w:val="24"/>
          <w:szCs w:val="24"/>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性别：</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系</w:t>
      </w:r>
      <w:r>
        <w:rPr>
          <w:rFonts w:hint="eastAsia" w:ascii="宋体" w:hAnsi="宋体" w:cs="宋体"/>
          <w:kern w:val="0"/>
          <w:sz w:val="24"/>
          <w:szCs w:val="24"/>
          <w:u w:val="single"/>
        </w:rPr>
        <w:t xml:space="preserve">  （</w:t>
      </w:r>
      <w:r>
        <w:rPr>
          <w:rFonts w:hint="eastAsia" w:ascii="宋体" w:hAnsi="宋体" w:cs="宋体"/>
          <w:sz w:val="24"/>
          <w:szCs w:val="24"/>
          <w:u w:val="single"/>
        </w:rPr>
        <w:t>供应商</w:t>
      </w:r>
      <w:r>
        <w:rPr>
          <w:rFonts w:hint="eastAsia" w:ascii="宋体" w:hAnsi="宋体" w:cs="宋体"/>
          <w:kern w:val="0"/>
          <w:sz w:val="24"/>
          <w:szCs w:val="24"/>
          <w:u w:val="single"/>
        </w:rPr>
        <w:t xml:space="preserve">名称）  </w:t>
      </w:r>
      <w:r>
        <w:rPr>
          <w:rFonts w:hint="eastAsia" w:ascii="宋体" w:hAnsi="宋体" w:cs="宋体"/>
          <w:kern w:val="0"/>
          <w:sz w:val="24"/>
          <w:szCs w:val="24"/>
        </w:rPr>
        <w:t>的法定代表人。</w:t>
      </w:r>
    </w:p>
    <w:p>
      <w:pPr>
        <w:autoSpaceDE w:val="0"/>
        <w:autoSpaceDN w:val="0"/>
        <w:adjustRightInd w:val="0"/>
        <w:snapToGrid w:val="0"/>
        <w:spacing w:before="120" w:beforeLines="50" w:line="360" w:lineRule="auto"/>
        <w:ind w:firstLine="496" w:firstLineChars="200"/>
        <w:jc w:val="left"/>
        <w:rPr>
          <w:rFonts w:hint="eastAsia" w:ascii="宋体" w:hAnsi="宋体" w:cs="宋体"/>
          <w:kern w:val="0"/>
          <w:sz w:val="24"/>
          <w:szCs w:val="24"/>
        </w:rPr>
      </w:pPr>
      <w:r>
        <w:rPr>
          <w:rFonts w:hint="eastAsia" w:ascii="宋体" w:hAnsi="宋体" w:cs="宋体"/>
          <w:kern w:val="0"/>
          <w:sz w:val="24"/>
          <w:szCs w:val="24"/>
        </w:rPr>
        <w:t>特此证明。</w:t>
      </w:r>
    </w:p>
    <w:p>
      <w:pPr>
        <w:autoSpaceDE w:val="0"/>
        <w:autoSpaceDN w:val="0"/>
        <w:adjustRightInd w:val="0"/>
        <w:snapToGrid w:val="0"/>
        <w:spacing w:before="120" w:beforeLines="50" w:line="360" w:lineRule="auto"/>
        <w:ind w:firstLine="496" w:firstLineChars="200"/>
        <w:jc w:val="left"/>
        <w:rPr>
          <w:rFonts w:hint="eastAsia" w:ascii="宋体" w:hAnsi="宋体" w:cs="宋体"/>
          <w:sz w:val="24"/>
          <w:szCs w:val="24"/>
        </w:rPr>
      </w:pPr>
    </w:p>
    <w:tbl>
      <w:tblPr>
        <w:tblStyle w:val="34"/>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jc w:val="center"/>
              <w:rPr>
                <w:rFonts w:hint="eastAsia" w:ascii="宋体" w:hAnsi="宋体" w:cs="宋体"/>
                <w:szCs w:val="21"/>
                <w:lang w:val="zh-CN"/>
              </w:rPr>
            </w:pPr>
          </w:p>
          <w:p>
            <w:pPr>
              <w:snapToGrid w:val="0"/>
              <w:spacing w:line="360" w:lineRule="auto"/>
              <w:jc w:val="center"/>
              <w:rPr>
                <w:rFonts w:hint="eastAsia" w:ascii="宋体" w:hAnsi="宋体" w:cs="宋体"/>
                <w:szCs w:val="21"/>
              </w:rPr>
            </w:pPr>
            <w:r>
              <w:rPr>
                <w:rFonts w:hint="eastAsia" w:ascii="宋体" w:hAnsi="宋体" w:cs="宋体"/>
                <w:szCs w:val="21"/>
                <w:lang w:val="zh-CN"/>
              </w:rPr>
              <w:t>法定代表人身份证复印件</w:t>
            </w:r>
            <w:r>
              <w:rPr>
                <w:rFonts w:hint="eastAsia" w:ascii="宋体" w:hAnsi="宋体" w:cs="宋体"/>
                <w:szCs w:val="21"/>
              </w:rPr>
              <w:t>或扫描件</w:t>
            </w:r>
          </w:p>
          <w:p>
            <w:pPr>
              <w:snapToGrid w:val="0"/>
              <w:spacing w:line="360" w:lineRule="auto"/>
              <w:jc w:val="center"/>
              <w:rPr>
                <w:rFonts w:hint="eastAsia" w:ascii="宋体" w:hAnsi="宋体" w:eastAsia="宋体" w:cs="宋体"/>
                <w:szCs w:val="21"/>
                <w:u w:val="single"/>
                <w:lang w:eastAsia="zh-CN"/>
              </w:rPr>
            </w:pPr>
            <w:r>
              <w:rPr>
                <w:rFonts w:hint="eastAsia" w:ascii="宋体" w:hAnsi="宋体" w:cs="宋体"/>
                <w:szCs w:val="21"/>
                <w:u w:val="none"/>
                <w:lang w:eastAsia="zh-CN"/>
              </w:rPr>
              <w:t>（国徽面、人像面）</w:t>
            </w:r>
          </w:p>
        </w:tc>
      </w:tr>
    </w:tbl>
    <w:p>
      <w:pPr>
        <w:autoSpaceDE w:val="0"/>
        <w:autoSpaceDN w:val="0"/>
        <w:adjustRightInd w:val="0"/>
        <w:snapToGrid w:val="0"/>
        <w:spacing w:before="120" w:beforeLines="50" w:line="360" w:lineRule="auto"/>
        <w:ind w:firstLine="496" w:firstLineChars="200"/>
        <w:jc w:val="left"/>
        <w:rPr>
          <w:rFonts w:hint="eastAsia" w:ascii="宋体" w:hAnsi="宋体" w:cs="宋体"/>
          <w:sz w:val="24"/>
          <w:szCs w:val="24"/>
        </w:rPr>
      </w:pPr>
      <w:r>
        <w:rPr>
          <w:rFonts w:hint="eastAsia" w:ascii="宋体" w:hAnsi="宋体" w:cs="宋体"/>
          <w:sz w:val="24"/>
          <w:szCs w:val="24"/>
        </w:rPr>
        <w:t xml:space="preserve"> </w:t>
      </w:r>
    </w:p>
    <w:p>
      <w:pPr>
        <w:snapToGrid w:val="0"/>
        <w:spacing w:line="360" w:lineRule="auto"/>
        <w:ind w:firstLine="1984" w:firstLineChars="800"/>
        <w:rPr>
          <w:rFonts w:hint="eastAsia" w:ascii="宋体" w:hAnsi="宋体" w:cs="宋体"/>
          <w:kern w:val="0"/>
          <w:sz w:val="24"/>
          <w:szCs w:val="24"/>
        </w:rPr>
      </w:pPr>
    </w:p>
    <w:p>
      <w:pPr>
        <w:snapToGrid w:val="0"/>
        <w:spacing w:line="360" w:lineRule="auto"/>
        <w:rPr>
          <w:rFonts w:hint="eastAsia"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szCs w:val="24"/>
          <w:u w:val="single"/>
        </w:rPr>
        <w:t xml:space="preserve">     （供应商名称）  </w:t>
      </w:r>
    </w:p>
    <w:p>
      <w:pPr>
        <w:snapToGrid w:val="0"/>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napToGrid w:val="0"/>
        <w:spacing w:line="360" w:lineRule="auto"/>
        <w:rPr>
          <w:rFonts w:hint="eastAsia" w:ascii="宋体" w:hAnsi="宋体" w:cs="宋体"/>
          <w:b/>
          <w:sz w:val="28"/>
          <w:szCs w:val="28"/>
        </w:rPr>
      </w:pPr>
      <w:r>
        <w:rPr>
          <w:rFonts w:hint="eastAsia" w:ascii="宋体" w:hAnsi="宋体" w:cs="宋体"/>
          <w:sz w:val="24"/>
          <w:szCs w:val="24"/>
          <w:u w:val="single"/>
        </w:rPr>
        <w:br w:type="page"/>
      </w:r>
      <w:r>
        <w:rPr>
          <w:rFonts w:hint="eastAsia" w:ascii="宋体" w:hAnsi="宋体" w:cs="宋体"/>
          <w:b/>
          <w:sz w:val="24"/>
          <w:szCs w:val="24"/>
        </w:rPr>
        <w:t>附件2</w:t>
      </w:r>
    </w:p>
    <w:p>
      <w:pPr>
        <w:adjustRightInd w:val="0"/>
        <w:snapToGrid w:val="0"/>
        <w:spacing w:line="360" w:lineRule="auto"/>
        <w:jc w:val="center"/>
        <w:rPr>
          <w:rFonts w:hint="eastAsia" w:ascii="宋体" w:hAnsi="宋体" w:cs="宋体"/>
          <w:b/>
          <w:sz w:val="24"/>
          <w:szCs w:val="24"/>
        </w:rPr>
      </w:pPr>
      <w:r>
        <w:rPr>
          <w:rFonts w:hint="eastAsia" w:ascii="宋体" w:hAnsi="宋体" w:cs="宋体"/>
          <w:b/>
          <w:sz w:val="24"/>
          <w:szCs w:val="24"/>
        </w:rPr>
        <w:t>法定代表人授权书</w:t>
      </w:r>
    </w:p>
    <w:p>
      <w:pPr>
        <w:adjustRightInd w:val="0"/>
        <w:snapToGrid w:val="0"/>
        <w:spacing w:line="360" w:lineRule="auto"/>
        <w:rPr>
          <w:rFonts w:hint="eastAsia" w:ascii="宋体" w:hAnsi="宋体" w:cs="宋体"/>
          <w:sz w:val="24"/>
          <w:szCs w:val="24"/>
          <w:lang w:val="zh-CN"/>
        </w:rPr>
      </w:pPr>
    </w:p>
    <w:p>
      <w:pPr>
        <w:snapToGrid w:val="0"/>
        <w:spacing w:line="360" w:lineRule="auto"/>
        <w:rPr>
          <w:rFonts w:hint="eastAsia" w:ascii="宋体" w:hAnsi="宋体" w:cs="宋体"/>
          <w:sz w:val="24"/>
          <w:szCs w:val="24"/>
        </w:rPr>
      </w:pPr>
      <w:bookmarkStart w:id="246" w:name="_Toc12199_WPSOffice_Level1"/>
      <w:r>
        <w:rPr>
          <w:rFonts w:hint="eastAsia" w:ascii="宋体" w:hAnsi="宋体" w:cs="宋体"/>
          <w:sz w:val="24"/>
          <w:szCs w:val="24"/>
        </w:rPr>
        <w:t xml:space="preserve">    本授权书声明：注</w:t>
      </w:r>
      <w:r>
        <w:rPr>
          <w:rFonts w:hint="eastAsia" w:ascii="宋体" w:hAnsi="宋体" w:cs="宋体"/>
          <w:sz w:val="24"/>
          <w:szCs w:val="24"/>
          <w:lang w:val="zh-CN"/>
        </w:rPr>
        <w:t>册于</w:t>
      </w:r>
      <w:r>
        <w:rPr>
          <w:rFonts w:hint="eastAsia" w:ascii="宋体" w:hAnsi="宋体" w:cs="宋体"/>
          <w:sz w:val="24"/>
          <w:szCs w:val="24"/>
          <w:u w:val="single"/>
          <w:lang w:val="zh-CN"/>
        </w:rPr>
        <w:t xml:space="preserve">  （供应商地址） </w:t>
      </w:r>
      <w:r>
        <w:rPr>
          <w:rFonts w:hint="eastAsia" w:ascii="宋体" w:hAnsi="宋体" w:cs="宋体"/>
          <w:sz w:val="24"/>
          <w:szCs w:val="24"/>
          <w:u w:val="single"/>
        </w:rPr>
        <w:t xml:space="preserve"> </w:t>
      </w:r>
      <w:r>
        <w:rPr>
          <w:rFonts w:hint="eastAsia" w:ascii="宋体" w:hAnsi="宋体" w:cs="宋体"/>
          <w:sz w:val="24"/>
          <w:szCs w:val="24"/>
          <w:lang w:val="zh-CN"/>
        </w:rPr>
        <w:t>之</w:t>
      </w:r>
      <w:r>
        <w:rPr>
          <w:rFonts w:hint="eastAsia" w:ascii="宋体" w:hAnsi="宋体" w:cs="宋体"/>
          <w:sz w:val="24"/>
          <w:szCs w:val="24"/>
          <w:u w:val="single"/>
          <w:lang w:val="zh-CN"/>
        </w:rPr>
        <w:t xml:space="preserve">  （供应商全称）</w:t>
      </w:r>
      <w:r>
        <w:rPr>
          <w:rFonts w:hint="eastAsia" w:ascii="宋体" w:hAnsi="宋体" w:cs="宋体"/>
          <w:sz w:val="24"/>
          <w:szCs w:val="24"/>
          <w:u w:val="single"/>
        </w:rPr>
        <w:t xml:space="preserve">  </w:t>
      </w:r>
      <w:r>
        <w:rPr>
          <w:rFonts w:hint="eastAsia" w:ascii="宋体" w:hAnsi="宋体" w:cs="宋体"/>
          <w:sz w:val="24"/>
          <w:szCs w:val="24"/>
          <w:lang w:val="zh-CN"/>
        </w:rPr>
        <w:t>的法定代表人</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（姓名）</w:t>
      </w:r>
      <w:r>
        <w:rPr>
          <w:rFonts w:hint="eastAsia" w:ascii="宋体" w:hAnsi="宋体" w:cs="宋体"/>
          <w:sz w:val="24"/>
          <w:szCs w:val="24"/>
          <w:u w:val="single"/>
        </w:rPr>
        <w:t xml:space="preserve">  </w:t>
      </w:r>
      <w:r>
        <w:rPr>
          <w:rFonts w:hint="eastAsia" w:ascii="宋体" w:hAnsi="宋体" w:cs="宋体"/>
          <w:sz w:val="24"/>
          <w:szCs w:val="24"/>
          <w:lang w:val="zh-CN"/>
        </w:rPr>
        <w:t>授权</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（被授权人姓名）</w:t>
      </w:r>
      <w:r>
        <w:rPr>
          <w:rFonts w:hint="eastAsia" w:ascii="宋体" w:hAnsi="宋体" w:cs="宋体"/>
          <w:sz w:val="24"/>
          <w:szCs w:val="24"/>
          <w:u w:val="single"/>
        </w:rPr>
        <w:t xml:space="preserve"> </w:t>
      </w:r>
      <w:r>
        <w:rPr>
          <w:rFonts w:hint="eastAsia" w:ascii="宋体" w:hAnsi="宋体" w:cs="宋体"/>
          <w:sz w:val="24"/>
          <w:szCs w:val="24"/>
        </w:rPr>
        <w:t>为我方合法代理人。代理人根据授权，以我方名义签署、澄清、说明、递交、撤回、修改</w:t>
      </w:r>
      <w:r>
        <w:rPr>
          <w:rFonts w:hint="eastAsia" w:ascii="宋体" w:hAnsi="宋体" w:cs="宋体"/>
          <w:sz w:val="24"/>
          <w:szCs w:val="24"/>
          <w:u w:val="single"/>
        </w:rPr>
        <w:t xml:space="preserve">   （项目名称）（项目编号） </w:t>
      </w:r>
      <w:r>
        <w:rPr>
          <w:rFonts w:hint="eastAsia" w:ascii="宋体" w:hAnsi="宋体" w:cs="宋体"/>
          <w:sz w:val="24"/>
          <w:szCs w:val="24"/>
        </w:rPr>
        <w:t>的</w:t>
      </w:r>
      <w:r>
        <w:rPr>
          <w:rFonts w:hint="eastAsia" w:ascii="宋体" w:hAnsi="宋体" w:cs="宋体"/>
          <w:sz w:val="24"/>
          <w:szCs w:val="24"/>
          <w:lang w:val="en-US" w:eastAsia="zh-CN"/>
        </w:rPr>
        <w:t>投标</w:t>
      </w:r>
      <w:r>
        <w:rPr>
          <w:rFonts w:hint="eastAsia" w:ascii="宋体" w:hAnsi="宋体" w:cs="宋体"/>
          <w:sz w:val="24"/>
          <w:szCs w:val="24"/>
        </w:rPr>
        <w:t>文件、签订合同和处理有关事宜，其法律后果由我方承担。代理人无转委托权。</w:t>
      </w:r>
    </w:p>
    <w:p>
      <w:pPr>
        <w:snapToGrid w:val="0"/>
        <w:spacing w:line="360" w:lineRule="auto"/>
        <w:ind w:firstLine="496" w:firstLineChars="200"/>
        <w:rPr>
          <w:rFonts w:ascii="宋体" w:hAnsi="宋体" w:cs="宋体"/>
          <w:sz w:val="24"/>
          <w:szCs w:val="24"/>
        </w:rPr>
      </w:pPr>
      <w:r>
        <w:rPr>
          <w:rFonts w:hint="eastAsia" w:ascii="宋体" w:hAnsi="宋体" w:cs="宋体"/>
          <w:sz w:val="24"/>
          <w:szCs w:val="24"/>
        </w:rPr>
        <w:t>本授权书签字生效。</w:t>
      </w:r>
    </w:p>
    <w:tbl>
      <w:tblPr>
        <w:tblStyle w:val="34"/>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cs="宋体"/>
                <w:spacing w:val="4"/>
                <w:sz w:val="24"/>
                <w:szCs w:val="24"/>
              </w:rPr>
            </w:pPr>
            <w:r>
              <w:rPr>
                <w:rFonts w:hint="eastAsia" w:ascii="宋体" w:hAnsi="宋体" w:cs="宋体"/>
                <w:spacing w:val="4"/>
                <w:sz w:val="24"/>
                <w:szCs w:val="24"/>
              </w:rPr>
              <w:t xml:space="preserve">法定代表人签字：   </w:t>
            </w:r>
          </w:p>
        </w:tc>
        <w:tc>
          <w:tcPr>
            <w:tcW w:w="3844" w:type="dxa"/>
            <w:noWrap w:val="0"/>
            <w:vAlign w:val="top"/>
          </w:tcPr>
          <w:p>
            <w:pPr>
              <w:snapToGrid w:val="0"/>
              <w:spacing w:line="360" w:lineRule="auto"/>
              <w:ind w:firstLine="256" w:firstLineChars="100"/>
              <w:jc w:val="left"/>
              <w:rPr>
                <w:rFonts w:hint="eastAsia" w:ascii="宋体" w:hAnsi="宋体" w:cs="宋体"/>
                <w:spacing w:val="4"/>
                <w:sz w:val="24"/>
                <w:szCs w:val="24"/>
              </w:rPr>
            </w:pPr>
            <w:r>
              <w:rPr>
                <w:rFonts w:hint="eastAsia" w:ascii="宋体" w:hAnsi="宋体" w:cs="宋体"/>
                <w:spacing w:val="4"/>
                <w:sz w:val="24"/>
                <w:szCs w:val="24"/>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cs="宋体"/>
                <w:spacing w:val="4"/>
                <w:sz w:val="24"/>
                <w:szCs w:val="24"/>
              </w:rPr>
            </w:pPr>
            <w:r>
              <w:rPr>
                <w:rFonts w:hint="eastAsia" w:ascii="宋体" w:hAnsi="宋体" w:cs="宋体"/>
                <w:spacing w:val="4"/>
                <w:sz w:val="24"/>
                <w:szCs w:val="24"/>
              </w:rPr>
              <w:t xml:space="preserve">职务：                     </w:t>
            </w:r>
          </w:p>
        </w:tc>
        <w:tc>
          <w:tcPr>
            <w:tcW w:w="3844" w:type="dxa"/>
            <w:noWrap w:val="0"/>
            <w:vAlign w:val="top"/>
          </w:tcPr>
          <w:p>
            <w:pPr>
              <w:snapToGrid w:val="0"/>
              <w:spacing w:line="360" w:lineRule="auto"/>
              <w:ind w:firstLine="256" w:firstLineChars="100"/>
              <w:jc w:val="left"/>
              <w:rPr>
                <w:rFonts w:hint="eastAsia" w:ascii="宋体" w:hAnsi="宋体" w:cs="宋体"/>
                <w:spacing w:val="4"/>
                <w:sz w:val="24"/>
                <w:szCs w:val="24"/>
              </w:rPr>
            </w:pPr>
            <w:r>
              <w:rPr>
                <w:rFonts w:hint="eastAsia" w:ascii="宋体" w:hAnsi="宋体" w:cs="宋体"/>
                <w:spacing w:val="4"/>
                <w:sz w:val="24"/>
                <w:szCs w:val="24"/>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cs="宋体"/>
                <w:spacing w:val="4"/>
                <w:sz w:val="24"/>
                <w:szCs w:val="24"/>
              </w:rPr>
            </w:pPr>
            <w:r>
              <w:rPr>
                <w:rFonts w:hint="eastAsia" w:ascii="宋体" w:hAnsi="宋体" w:cs="宋体"/>
                <w:spacing w:val="4"/>
                <w:sz w:val="24"/>
                <w:szCs w:val="24"/>
              </w:rPr>
              <w:t xml:space="preserve">                           </w:t>
            </w:r>
          </w:p>
        </w:tc>
        <w:tc>
          <w:tcPr>
            <w:tcW w:w="3844" w:type="dxa"/>
            <w:noWrap w:val="0"/>
            <w:vAlign w:val="top"/>
          </w:tcPr>
          <w:p>
            <w:pPr>
              <w:snapToGrid w:val="0"/>
              <w:spacing w:line="360" w:lineRule="auto"/>
              <w:ind w:firstLine="256" w:firstLineChars="100"/>
              <w:jc w:val="left"/>
              <w:rPr>
                <w:rFonts w:hint="eastAsia" w:ascii="宋体" w:hAnsi="宋体" w:cs="宋体"/>
                <w:spacing w:val="4"/>
                <w:sz w:val="24"/>
                <w:szCs w:val="24"/>
              </w:rPr>
            </w:pPr>
            <w:r>
              <w:rPr>
                <w:rFonts w:hint="eastAsia" w:ascii="宋体" w:hAnsi="宋体" w:cs="宋体"/>
                <w:spacing w:val="4"/>
                <w:sz w:val="24"/>
                <w:szCs w:val="24"/>
              </w:rPr>
              <w:t>所在部门：</w:t>
            </w:r>
          </w:p>
        </w:tc>
      </w:tr>
    </w:tbl>
    <w:p>
      <w:pPr>
        <w:snapToGrid w:val="0"/>
        <w:spacing w:line="360" w:lineRule="auto"/>
        <w:ind w:right="1120" w:firstLine="248" w:firstLineChars="100"/>
        <w:jc w:val="right"/>
        <w:rPr>
          <w:rFonts w:hint="eastAsia" w:ascii="宋体" w:hAnsi="宋体" w:cs="宋体"/>
          <w:sz w:val="24"/>
          <w:szCs w:val="24"/>
        </w:rPr>
      </w:pPr>
    </w:p>
    <w:p>
      <w:pPr>
        <w:snapToGrid w:val="0"/>
        <w:spacing w:line="360" w:lineRule="auto"/>
        <w:rPr>
          <w:rFonts w:hint="eastAsia"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szCs w:val="24"/>
          <w:u w:val="single"/>
        </w:rPr>
        <w:t xml:space="preserve">     （供应商名称）  </w:t>
      </w:r>
    </w:p>
    <w:p>
      <w:pPr>
        <w:pStyle w:val="26"/>
        <w:tabs>
          <w:tab w:val="right" w:leader="dot" w:pos="9060"/>
        </w:tabs>
        <w:ind w:left="0" w:leftChars="0" w:firstLine="0" w:firstLineChars="0"/>
        <w:rPr>
          <w:rFonts w:hint="eastAsia"/>
          <w:b w:val="0"/>
          <w:bCs/>
        </w:rPr>
      </w:pPr>
      <w:r>
        <w:rPr>
          <w:rFonts w:hint="eastAsia" w:ascii="宋体" w:hAnsi="宋体" w:cs="宋体"/>
          <w:b w:val="0"/>
          <w:bCs/>
          <w:sz w:val="24"/>
          <w:szCs w:val="24"/>
        </w:rPr>
        <w:t>日    期：     年     月     日</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643" w:type="dxa"/>
            <w:noWrap w:val="0"/>
            <w:vAlign w:val="center"/>
          </w:tcPr>
          <w:p>
            <w:pPr>
              <w:snapToGrid w:val="0"/>
              <w:spacing w:line="360" w:lineRule="auto"/>
              <w:jc w:val="center"/>
              <w:rPr>
                <w:rFonts w:hint="eastAsia" w:ascii="宋体" w:hAnsi="宋体" w:cs="宋体"/>
                <w:szCs w:val="21"/>
              </w:rPr>
            </w:pPr>
          </w:p>
          <w:p>
            <w:pPr>
              <w:snapToGrid w:val="0"/>
              <w:spacing w:line="360" w:lineRule="auto"/>
              <w:jc w:val="center"/>
              <w:rPr>
                <w:rFonts w:hint="eastAsia" w:ascii="宋体" w:hAnsi="宋体" w:cs="宋体"/>
                <w:szCs w:val="21"/>
              </w:rPr>
            </w:pPr>
            <w:r>
              <w:rPr>
                <w:rFonts w:hint="eastAsia" w:ascii="宋体" w:hAnsi="宋体" w:cs="宋体"/>
                <w:szCs w:val="21"/>
              </w:rPr>
              <w:t>法定代表人身份证复印件或扫描件</w:t>
            </w:r>
          </w:p>
          <w:p>
            <w:pPr>
              <w:snapToGrid w:val="0"/>
              <w:spacing w:line="360" w:lineRule="auto"/>
              <w:jc w:val="center"/>
              <w:rPr>
                <w:rFonts w:hint="eastAsia" w:ascii="宋体" w:hAnsi="宋体" w:cs="宋体"/>
                <w:szCs w:val="21"/>
              </w:rPr>
            </w:pPr>
            <w:r>
              <w:rPr>
                <w:rFonts w:hint="eastAsia" w:ascii="宋体" w:hAnsi="宋体" w:cs="宋体"/>
                <w:szCs w:val="21"/>
                <w:u w:val="none"/>
                <w:lang w:eastAsia="zh-CN"/>
              </w:rPr>
              <w:t>（国徽面、人像面）</w:t>
            </w:r>
          </w:p>
        </w:tc>
        <w:tc>
          <w:tcPr>
            <w:tcW w:w="4644" w:type="dxa"/>
            <w:noWrap w:val="0"/>
            <w:vAlign w:val="center"/>
          </w:tcPr>
          <w:p>
            <w:pPr>
              <w:snapToGrid w:val="0"/>
              <w:spacing w:line="360" w:lineRule="auto"/>
              <w:jc w:val="center"/>
              <w:rPr>
                <w:rFonts w:hint="eastAsia" w:ascii="宋体" w:hAnsi="宋体" w:cs="宋体"/>
                <w:szCs w:val="21"/>
              </w:rPr>
            </w:pPr>
          </w:p>
          <w:p>
            <w:pPr>
              <w:snapToGrid w:val="0"/>
              <w:spacing w:line="360" w:lineRule="auto"/>
              <w:jc w:val="center"/>
              <w:rPr>
                <w:rFonts w:hint="eastAsia" w:ascii="宋体" w:hAnsi="宋体" w:cs="宋体"/>
                <w:szCs w:val="21"/>
              </w:rPr>
            </w:pPr>
            <w:r>
              <w:rPr>
                <w:rFonts w:hint="eastAsia" w:ascii="宋体" w:hAnsi="宋体" w:cs="宋体"/>
                <w:szCs w:val="21"/>
              </w:rPr>
              <w:t>代理人身份证复印件或扫描件</w:t>
            </w:r>
          </w:p>
          <w:p>
            <w:pPr>
              <w:snapToGrid w:val="0"/>
              <w:spacing w:line="360" w:lineRule="auto"/>
              <w:jc w:val="center"/>
              <w:rPr>
                <w:rFonts w:hint="eastAsia" w:ascii="宋体" w:hAnsi="宋体" w:cs="宋体"/>
                <w:szCs w:val="21"/>
              </w:rPr>
            </w:pPr>
            <w:r>
              <w:rPr>
                <w:rFonts w:hint="eastAsia" w:ascii="宋体" w:hAnsi="宋体" w:cs="宋体"/>
                <w:szCs w:val="21"/>
                <w:u w:val="none"/>
                <w:lang w:eastAsia="zh-CN"/>
              </w:rPr>
              <w:t>（国徽面、人像面）</w:t>
            </w:r>
          </w:p>
        </w:tc>
      </w:tr>
    </w:tbl>
    <w:p>
      <w:pPr>
        <w:adjustRightInd w:val="0"/>
        <w:snapToGrid w:val="0"/>
        <w:spacing w:line="360" w:lineRule="auto"/>
        <w:jc w:val="left"/>
        <w:rPr>
          <w:rFonts w:hint="eastAsia" w:ascii="宋体" w:hAnsi="宋体" w:cs="宋体"/>
          <w:sz w:val="24"/>
          <w:szCs w:val="24"/>
        </w:rPr>
      </w:pPr>
    </w:p>
    <w:p>
      <w:pPr>
        <w:adjustRightInd w:val="0"/>
        <w:snapToGrid w:val="0"/>
        <w:spacing w:line="360" w:lineRule="auto"/>
        <w:jc w:val="left"/>
        <w:rPr>
          <w:rFonts w:hint="eastAsia" w:ascii="宋体" w:hAnsi="宋体" w:cs="宋体"/>
          <w:sz w:val="24"/>
          <w:szCs w:val="24"/>
        </w:rPr>
      </w:pPr>
    </w:p>
    <w:p>
      <w:pPr>
        <w:adjustRightInd w:val="0"/>
        <w:snapToGrid w:val="0"/>
        <w:spacing w:line="360" w:lineRule="auto"/>
        <w:jc w:val="left"/>
        <w:rPr>
          <w:rFonts w:hint="eastAsia" w:ascii="宋体" w:hAnsi="宋体" w:cs="宋体"/>
          <w:b/>
          <w:sz w:val="24"/>
          <w:szCs w:val="24"/>
        </w:rPr>
      </w:pPr>
      <w:r>
        <w:rPr>
          <w:rFonts w:hint="eastAsia" w:ascii="宋体" w:hAnsi="宋体" w:cs="宋体"/>
          <w:b/>
          <w:sz w:val="24"/>
          <w:szCs w:val="24"/>
        </w:rPr>
        <w:br w:type="page"/>
      </w:r>
      <w:r>
        <w:rPr>
          <w:rFonts w:hint="eastAsia" w:ascii="宋体" w:hAnsi="宋体" w:cs="宋体"/>
          <w:b/>
          <w:sz w:val="24"/>
          <w:szCs w:val="24"/>
        </w:rPr>
        <w:t>附件3</w:t>
      </w:r>
    </w:p>
    <w:p>
      <w:pPr>
        <w:adjustRightInd w:val="0"/>
        <w:snapToGrid w:val="0"/>
        <w:spacing w:line="360" w:lineRule="auto"/>
        <w:jc w:val="center"/>
        <w:rPr>
          <w:rFonts w:hint="eastAsia" w:ascii="宋体" w:hAnsi="宋体" w:cs="宋体"/>
          <w:b/>
          <w:sz w:val="24"/>
          <w:szCs w:val="24"/>
        </w:rPr>
      </w:pPr>
      <w:r>
        <w:rPr>
          <w:rFonts w:hint="eastAsia" w:ascii="宋体" w:hAnsi="宋体" w:cs="宋体"/>
          <w:b/>
          <w:sz w:val="24"/>
          <w:szCs w:val="24"/>
        </w:rPr>
        <w:t>供应商应提供具有履行合同所必需的设备和专业技术能力的说明及承诺</w:t>
      </w:r>
    </w:p>
    <w:p>
      <w:pPr>
        <w:adjustRightInd w:val="0"/>
        <w:snapToGrid w:val="0"/>
        <w:spacing w:line="360" w:lineRule="auto"/>
        <w:jc w:val="center"/>
        <w:rPr>
          <w:rFonts w:hint="eastAsia" w:ascii="宋体" w:hAnsi="宋体" w:cs="宋体"/>
          <w:b/>
          <w:sz w:val="28"/>
          <w:szCs w:val="28"/>
        </w:rPr>
      </w:pPr>
    </w:p>
    <w:p>
      <w:pPr>
        <w:snapToGrid w:val="0"/>
        <w:spacing w:line="360" w:lineRule="auto"/>
        <w:rPr>
          <w:rFonts w:hint="eastAsia" w:ascii="宋体" w:hAnsi="宋体" w:cs="宋体"/>
          <w:spacing w:val="4"/>
          <w:sz w:val="24"/>
          <w:szCs w:val="24"/>
          <w:u w:val="single"/>
        </w:rPr>
      </w:pPr>
      <w:r>
        <w:rPr>
          <w:rFonts w:hint="eastAsia" w:ascii="宋体" w:hAnsi="宋体" w:cs="宋体"/>
          <w:spacing w:val="4"/>
          <w:sz w:val="24"/>
          <w:szCs w:val="24"/>
          <w:u w:val="single"/>
        </w:rPr>
        <w:t>（采购人名称）：</w:t>
      </w:r>
    </w:p>
    <w:p>
      <w:pPr>
        <w:snapToGrid w:val="0"/>
        <w:spacing w:before="240" w:beforeLines="100" w:after="120" w:afterLines="50" w:line="360" w:lineRule="auto"/>
        <w:ind w:firstLine="640" w:firstLineChars="250"/>
        <w:rPr>
          <w:rFonts w:hint="eastAsia" w:ascii="宋体" w:hAnsi="宋体" w:cs="宋体"/>
          <w:spacing w:val="4"/>
          <w:sz w:val="24"/>
          <w:szCs w:val="24"/>
        </w:rPr>
      </w:pPr>
      <w:r>
        <w:rPr>
          <w:rFonts w:hint="eastAsia" w:ascii="宋体" w:hAnsi="宋体" w:cs="宋体"/>
          <w:spacing w:val="4"/>
          <w:sz w:val="24"/>
          <w:szCs w:val="24"/>
          <w:u w:val="single"/>
        </w:rPr>
        <w:t xml:space="preserve">   （供应商名称）    </w:t>
      </w:r>
      <w:r>
        <w:rPr>
          <w:rFonts w:hint="eastAsia" w:ascii="宋体" w:hAnsi="宋体" w:cs="宋体"/>
          <w:spacing w:val="4"/>
          <w:sz w:val="24"/>
          <w:szCs w:val="24"/>
        </w:rPr>
        <w:t xml:space="preserve"> 于</w:t>
      </w:r>
      <w:r>
        <w:rPr>
          <w:rFonts w:hint="eastAsia" w:ascii="宋体" w:hAnsi="宋体" w:cs="宋体"/>
          <w:spacing w:val="4"/>
          <w:sz w:val="24"/>
          <w:szCs w:val="24"/>
          <w:u w:val="single"/>
        </w:rPr>
        <w:t xml:space="preserve">     </w:t>
      </w:r>
      <w:r>
        <w:rPr>
          <w:rFonts w:hint="eastAsia" w:ascii="宋体" w:hAnsi="宋体" w:cs="宋体"/>
          <w:spacing w:val="4"/>
          <w:sz w:val="24"/>
          <w:szCs w:val="24"/>
        </w:rPr>
        <w:t>年</w:t>
      </w:r>
      <w:r>
        <w:rPr>
          <w:rFonts w:hint="eastAsia" w:ascii="宋体" w:hAnsi="宋体" w:cs="宋体"/>
          <w:spacing w:val="4"/>
          <w:sz w:val="24"/>
          <w:szCs w:val="24"/>
          <w:u w:val="single"/>
        </w:rPr>
        <w:t xml:space="preserve">    </w:t>
      </w:r>
      <w:r>
        <w:rPr>
          <w:rFonts w:hint="eastAsia" w:ascii="宋体" w:hAnsi="宋体" w:cs="宋体"/>
          <w:spacing w:val="4"/>
          <w:sz w:val="24"/>
          <w:szCs w:val="24"/>
        </w:rPr>
        <w:t>月</w:t>
      </w:r>
      <w:r>
        <w:rPr>
          <w:rFonts w:hint="eastAsia" w:ascii="宋体" w:hAnsi="宋体" w:cs="宋体"/>
          <w:spacing w:val="4"/>
          <w:sz w:val="24"/>
          <w:szCs w:val="24"/>
          <w:u w:val="single"/>
        </w:rPr>
        <w:t xml:space="preserve">   </w:t>
      </w:r>
      <w:r>
        <w:rPr>
          <w:rFonts w:hint="eastAsia" w:ascii="宋体" w:hAnsi="宋体" w:cs="宋体"/>
          <w:spacing w:val="4"/>
          <w:sz w:val="24"/>
          <w:szCs w:val="24"/>
        </w:rPr>
        <w:t>日在中华人民共和国境内</w:t>
      </w:r>
      <w:r>
        <w:rPr>
          <w:rFonts w:hint="eastAsia" w:ascii="宋体" w:hAnsi="宋体" w:cs="宋体"/>
          <w:spacing w:val="4"/>
          <w:sz w:val="24"/>
          <w:szCs w:val="24"/>
          <w:u w:val="single"/>
        </w:rPr>
        <w:t xml:space="preserve">               （详细注册地址）     </w:t>
      </w:r>
      <w:r>
        <w:rPr>
          <w:rFonts w:hint="eastAsia" w:ascii="宋体" w:hAnsi="宋体" w:cs="宋体"/>
          <w:spacing w:val="4"/>
          <w:sz w:val="24"/>
          <w:szCs w:val="24"/>
        </w:rPr>
        <w:t>合法注册并经营，公司主营业务为</w:t>
      </w:r>
      <w:r>
        <w:rPr>
          <w:rFonts w:hint="eastAsia" w:ascii="宋体" w:hAnsi="宋体" w:cs="宋体"/>
          <w:spacing w:val="4"/>
          <w:sz w:val="24"/>
          <w:szCs w:val="24"/>
          <w:u w:val="single"/>
        </w:rPr>
        <w:t xml:space="preserve">                    </w:t>
      </w:r>
      <w:r>
        <w:rPr>
          <w:rFonts w:hint="eastAsia" w:ascii="宋体" w:hAnsi="宋体" w:cs="宋体"/>
          <w:spacing w:val="4"/>
          <w:sz w:val="24"/>
          <w:szCs w:val="24"/>
        </w:rPr>
        <w:t>，营业（生产经营）面积为</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 ，现有员工数量为</w:t>
      </w:r>
      <w:r>
        <w:rPr>
          <w:rFonts w:hint="eastAsia" w:ascii="宋体" w:hAnsi="宋体" w:cs="宋体"/>
          <w:spacing w:val="4"/>
          <w:sz w:val="24"/>
          <w:szCs w:val="24"/>
          <w:u w:val="single"/>
        </w:rPr>
        <w:t xml:space="preserve">         </w:t>
      </w:r>
      <w:r>
        <w:rPr>
          <w:rFonts w:hint="eastAsia" w:ascii="宋体" w:hAnsi="宋体" w:cs="宋体"/>
          <w:spacing w:val="4"/>
          <w:sz w:val="24"/>
          <w:szCs w:val="24"/>
        </w:rPr>
        <w:t>，其中与履行本合同相关的专业技术人员有（</w:t>
      </w:r>
      <w:r>
        <w:rPr>
          <w:rFonts w:hint="eastAsia" w:ascii="宋体" w:hAnsi="宋体" w:cs="宋体"/>
          <w:spacing w:val="4"/>
          <w:sz w:val="24"/>
          <w:szCs w:val="24"/>
          <w:u w:val="single"/>
        </w:rPr>
        <w:t xml:space="preserve">             专业能力、数量        </w:t>
      </w:r>
      <w:r>
        <w:rPr>
          <w:rFonts w:hint="eastAsia" w:ascii="宋体" w:hAnsi="宋体" w:cs="宋体"/>
          <w:spacing w:val="4"/>
          <w:sz w:val="24"/>
          <w:szCs w:val="24"/>
        </w:rPr>
        <w:t>），本公司郑重承诺，我单位具有履行本合同所必需的设备和专业技术能力。</w:t>
      </w:r>
    </w:p>
    <w:p>
      <w:pPr>
        <w:snapToGrid w:val="0"/>
        <w:spacing w:before="240" w:beforeLines="100" w:after="120" w:afterLines="50" w:line="360" w:lineRule="auto"/>
        <w:ind w:firstLine="170"/>
        <w:rPr>
          <w:rFonts w:hint="eastAsia" w:ascii="宋体" w:hAnsi="宋体" w:cs="宋体"/>
          <w:spacing w:val="4"/>
          <w:sz w:val="24"/>
          <w:szCs w:val="24"/>
        </w:rPr>
      </w:pPr>
    </w:p>
    <w:p>
      <w:pPr>
        <w:snapToGrid w:val="0"/>
        <w:spacing w:before="240" w:beforeLines="100" w:after="120" w:afterLines="50" w:line="360" w:lineRule="auto"/>
        <w:ind w:firstLine="170"/>
        <w:rPr>
          <w:rFonts w:hint="eastAsia" w:ascii="宋体" w:hAnsi="宋体" w:cs="宋体"/>
          <w:spacing w:val="4"/>
          <w:sz w:val="24"/>
          <w:szCs w:val="24"/>
        </w:rPr>
      </w:pPr>
    </w:p>
    <w:p>
      <w:pPr>
        <w:pStyle w:val="113"/>
        <w:rPr>
          <w:rFonts w:hint="eastAsia" w:ascii="宋体" w:hAnsi="宋体" w:cs="宋体"/>
          <w:spacing w:val="4"/>
          <w:sz w:val="24"/>
          <w:szCs w:val="24"/>
        </w:rPr>
      </w:pPr>
    </w:p>
    <w:p>
      <w:pPr>
        <w:pStyle w:val="113"/>
        <w:rPr>
          <w:rFonts w:hint="eastAsia" w:ascii="宋体" w:hAnsi="宋体" w:cs="宋体"/>
          <w:spacing w:val="4"/>
          <w:sz w:val="24"/>
          <w:szCs w:val="24"/>
        </w:rPr>
      </w:pPr>
    </w:p>
    <w:p>
      <w:pPr>
        <w:tabs>
          <w:tab w:val="center" w:pos="4153"/>
          <w:tab w:val="right" w:pos="8306"/>
        </w:tabs>
        <w:snapToGrid w:val="0"/>
        <w:spacing w:line="360" w:lineRule="auto"/>
        <w:jc w:val="left"/>
        <w:rPr>
          <w:rFonts w:hint="eastAsia" w:ascii="宋体" w:hAnsi="宋体" w:cs="宋体"/>
          <w:sz w:val="24"/>
          <w:szCs w:val="24"/>
        </w:rPr>
      </w:pPr>
    </w:p>
    <w:p>
      <w:pPr>
        <w:snapToGrid w:val="0"/>
        <w:spacing w:line="360" w:lineRule="auto"/>
        <w:rPr>
          <w:rFonts w:hint="eastAsia"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（供应商名称）         </w:t>
      </w:r>
    </w:p>
    <w:p>
      <w:pPr>
        <w:snapToGrid w:val="0"/>
        <w:spacing w:line="360" w:lineRule="auto"/>
        <w:rPr>
          <w:rFonts w:hint="eastAsia" w:ascii="宋体" w:hAnsi="宋体" w:cs="宋体"/>
          <w:sz w:val="24"/>
          <w:szCs w:val="24"/>
          <w:u w:val="single"/>
        </w:rPr>
      </w:pPr>
      <w:r>
        <w:rPr>
          <w:rFonts w:hint="eastAsia" w:ascii="宋体" w:hAnsi="宋体" w:cs="宋体"/>
          <w:sz w:val="24"/>
          <w:szCs w:val="24"/>
        </w:rPr>
        <w:t xml:space="preserve">法定代表人/授权代表（签字或盖章）： </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val="0"/>
        <w:snapToGrid w:val="0"/>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adjustRightInd w:val="0"/>
        <w:snapToGrid w:val="0"/>
        <w:spacing w:line="360" w:lineRule="auto"/>
        <w:jc w:val="left"/>
        <w:rPr>
          <w:rFonts w:hint="eastAsia" w:ascii="宋体" w:hAnsi="宋体" w:cs="宋体"/>
          <w:b/>
          <w:sz w:val="24"/>
          <w:szCs w:val="24"/>
        </w:rPr>
      </w:pPr>
      <w:r>
        <w:rPr>
          <w:rFonts w:hint="eastAsia" w:ascii="宋体" w:hAnsi="宋体" w:cs="宋体"/>
          <w:b/>
          <w:bCs/>
          <w:sz w:val="24"/>
          <w:szCs w:val="24"/>
          <w:lang w:val="zh-CN"/>
        </w:rPr>
        <w:br w:type="page"/>
      </w:r>
      <w:r>
        <w:rPr>
          <w:rFonts w:hint="eastAsia" w:ascii="宋体" w:hAnsi="宋体" w:cs="宋体"/>
          <w:b/>
          <w:sz w:val="24"/>
          <w:szCs w:val="24"/>
        </w:rPr>
        <w:t>附件4</w:t>
      </w:r>
    </w:p>
    <w:bookmarkEnd w:id="246"/>
    <w:p>
      <w:pPr>
        <w:pStyle w:val="20"/>
        <w:adjustRightInd w:val="0"/>
        <w:snapToGrid w:val="0"/>
        <w:spacing w:line="360" w:lineRule="auto"/>
        <w:jc w:val="center"/>
        <w:rPr>
          <w:rFonts w:hint="eastAsia" w:ascii="宋体" w:hAnsi="宋体" w:cs="宋体" w:eastAsiaTheme="minorEastAsia"/>
          <w:b/>
          <w:sz w:val="24"/>
          <w:szCs w:val="24"/>
          <w:lang w:val="en-US" w:eastAsia="zh-CN" w:bidi="ar-SA"/>
        </w:rPr>
      </w:pPr>
      <w:r>
        <w:rPr>
          <w:rFonts w:hint="eastAsia" w:ascii="宋体" w:hAnsi="宋体" w:cs="宋体" w:eastAsiaTheme="minorEastAsia"/>
          <w:b/>
          <w:sz w:val="24"/>
          <w:szCs w:val="24"/>
          <w:lang w:val="en-US" w:eastAsia="zh-CN" w:bidi="ar-SA"/>
        </w:rPr>
        <w:t>参加政府采购活动前三年内，在经营活动中没有重大违法记录的书面声明</w:t>
      </w:r>
    </w:p>
    <w:p>
      <w:pPr>
        <w:pStyle w:val="20"/>
        <w:adjustRightInd w:val="0"/>
        <w:snapToGrid w:val="0"/>
        <w:spacing w:line="360" w:lineRule="auto"/>
        <w:jc w:val="center"/>
        <w:rPr>
          <w:rFonts w:hint="eastAsia" w:hAnsi="宋体" w:cs="宋体"/>
          <w:b/>
          <w:sz w:val="13"/>
          <w:szCs w:val="13"/>
        </w:rPr>
      </w:pPr>
    </w:p>
    <w:p>
      <w:pPr>
        <w:autoSpaceDE w:val="0"/>
        <w:autoSpaceDN w:val="0"/>
        <w:adjustRightInd w:val="0"/>
        <w:snapToGrid w:val="0"/>
        <w:spacing w:line="360" w:lineRule="auto"/>
        <w:rPr>
          <w:rFonts w:hint="eastAsia" w:ascii="宋体" w:hAnsi="宋体" w:eastAsia="宋体" w:cs="宋体"/>
          <w:spacing w:val="4"/>
          <w:sz w:val="24"/>
          <w:szCs w:val="24"/>
          <w:lang w:eastAsia="zh-CN"/>
        </w:rPr>
      </w:pPr>
      <w:r>
        <w:rPr>
          <w:rFonts w:hint="eastAsia" w:ascii="宋体" w:hAnsi="宋体" w:cs="宋体"/>
          <w:spacing w:val="4"/>
          <w:sz w:val="24"/>
          <w:szCs w:val="24"/>
          <w:u w:val="single"/>
        </w:rPr>
        <w:t>（采购人名称）</w:t>
      </w:r>
      <w:r>
        <w:rPr>
          <w:rFonts w:hint="eastAsia" w:ascii="宋体" w:hAnsi="宋体" w:cs="宋体"/>
          <w:spacing w:val="4"/>
          <w:sz w:val="24"/>
          <w:szCs w:val="24"/>
        </w:rPr>
        <w:t>：</w:t>
      </w:r>
    </w:p>
    <w:p>
      <w:pPr>
        <w:autoSpaceDE w:val="0"/>
        <w:autoSpaceDN w:val="0"/>
        <w:adjustRightInd w:val="0"/>
        <w:snapToGrid w:val="0"/>
        <w:spacing w:line="360" w:lineRule="auto"/>
        <w:rPr>
          <w:rFonts w:hint="eastAsia" w:ascii="宋体" w:hAnsi="宋体" w:eastAsia="宋体" w:cs="宋体"/>
          <w:sz w:val="24"/>
          <w:szCs w:val="24"/>
          <w:lang w:eastAsia="zh-CN"/>
        </w:rPr>
      </w:pPr>
      <w:r>
        <w:rPr>
          <w:rFonts w:hint="eastAsia" w:ascii="宋体" w:hAnsi="宋体" w:cs="宋体"/>
          <w:sz w:val="24"/>
          <w:szCs w:val="24"/>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有关"提供虚假材料的规定"接受处罚。</w:t>
      </w:r>
    </w:p>
    <w:p>
      <w:pPr>
        <w:autoSpaceDE w:val="0"/>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rPr>
        <w:t xml:space="preserve">    </w:t>
      </w:r>
    </w:p>
    <w:p>
      <w:pPr>
        <w:autoSpaceDE w:val="0"/>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rPr>
        <w:t>特此声明。</w:t>
      </w:r>
    </w:p>
    <w:p>
      <w:pPr>
        <w:autoSpaceDE w:val="0"/>
        <w:autoSpaceDN w:val="0"/>
        <w:adjustRightInd w:val="0"/>
        <w:snapToGrid w:val="0"/>
        <w:spacing w:line="360" w:lineRule="auto"/>
        <w:rPr>
          <w:rFonts w:hint="eastAsia" w:ascii="宋体" w:hAnsi="宋体" w:cs="宋体"/>
          <w:sz w:val="24"/>
          <w:szCs w:val="24"/>
        </w:rPr>
      </w:pPr>
    </w:p>
    <w:p>
      <w:pPr>
        <w:autoSpaceDE w:val="0"/>
        <w:autoSpaceDN w:val="0"/>
        <w:adjustRightInd w:val="0"/>
        <w:snapToGrid w:val="0"/>
        <w:spacing w:line="360" w:lineRule="auto"/>
        <w:ind w:firstLine="496" w:firstLineChars="200"/>
        <w:rPr>
          <w:rFonts w:hint="eastAsia" w:ascii="宋体" w:hAnsi="宋体" w:cs="宋体"/>
          <w:sz w:val="24"/>
          <w:szCs w:val="24"/>
        </w:rPr>
      </w:pPr>
    </w:p>
    <w:p>
      <w:pPr>
        <w:autoSpaceDE w:val="0"/>
        <w:autoSpaceDN w:val="0"/>
        <w:adjustRightInd w:val="0"/>
        <w:snapToGrid w:val="0"/>
        <w:spacing w:line="360" w:lineRule="auto"/>
        <w:ind w:firstLine="496" w:firstLineChars="200"/>
        <w:rPr>
          <w:rFonts w:hint="eastAsia" w:ascii="宋体" w:hAnsi="宋体" w:cs="宋体"/>
          <w:sz w:val="24"/>
          <w:szCs w:val="24"/>
        </w:rPr>
      </w:pPr>
    </w:p>
    <w:p>
      <w:pPr>
        <w:snapToGrid w:val="0"/>
        <w:spacing w:line="360" w:lineRule="auto"/>
        <w:rPr>
          <w:rFonts w:hint="eastAsia"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（供应商名称）         </w:t>
      </w:r>
    </w:p>
    <w:p>
      <w:pPr>
        <w:snapToGrid w:val="0"/>
        <w:spacing w:line="360" w:lineRule="auto"/>
        <w:rPr>
          <w:rFonts w:hint="eastAsia" w:ascii="宋体" w:hAnsi="宋体" w:cs="宋体"/>
          <w:sz w:val="24"/>
          <w:szCs w:val="24"/>
          <w:u w:val="single"/>
        </w:rPr>
      </w:pPr>
      <w:r>
        <w:rPr>
          <w:rFonts w:hint="eastAsia" w:ascii="宋体" w:hAnsi="宋体" w:cs="宋体"/>
          <w:sz w:val="24"/>
          <w:szCs w:val="24"/>
        </w:rPr>
        <w:t xml:space="preserve">法定代表人/授权代表（签字或盖章）： </w:t>
      </w:r>
      <w:r>
        <w:rPr>
          <w:rFonts w:hint="eastAsia" w:ascii="宋体" w:hAnsi="宋体" w:cs="宋体"/>
          <w:sz w:val="24"/>
          <w:szCs w:val="24"/>
          <w:u w:val="single"/>
        </w:rPr>
        <w:t xml:space="preserve">       </w:t>
      </w:r>
      <w:r>
        <w:rPr>
          <w:rFonts w:hint="eastAsia" w:ascii="宋体" w:hAnsi="宋体" w:cs="宋体"/>
          <w:sz w:val="24"/>
          <w:szCs w:val="24"/>
        </w:rPr>
        <w:t xml:space="preserve"> </w:t>
      </w:r>
    </w:p>
    <w:p>
      <w:pPr>
        <w:autoSpaceDE w:val="0"/>
        <w:autoSpaceDN w:val="0"/>
        <w:adjustRightInd w:val="0"/>
        <w:snapToGrid w:val="0"/>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pStyle w:val="20"/>
        <w:adjustRightInd w:val="0"/>
        <w:snapToGrid w:val="0"/>
        <w:spacing w:line="360" w:lineRule="auto"/>
        <w:jc w:val="center"/>
        <w:rPr>
          <w:rFonts w:hint="eastAsia" w:hAnsi="宋体" w:cs="宋体"/>
          <w:sz w:val="24"/>
          <w:szCs w:val="24"/>
          <w:u w:val="single"/>
        </w:rPr>
      </w:pPr>
    </w:p>
    <w:p>
      <w:pPr>
        <w:adjustRightInd w:val="0"/>
        <w:snapToGrid w:val="0"/>
        <w:spacing w:line="360" w:lineRule="auto"/>
        <w:jc w:val="left"/>
        <w:rPr>
          <w:rFonts w:hint="eastAsia" w:ascii="宋体" w:hAnsi="宋体" w:cs="宋体"/>
          <w:sz w:val="28"/>
          <w:szCs w:val="28"/>
          <w:lang w:val="zh-CN"/>
        </w:rPr>
      </w:pPr>
      <w:r>
        <w:rPr>
          <w:rFonts w:hint="eastAsia" w:ascii="宋体" w:hAnsi="宋体" w:cs="宋体"/>
          <w:sz w:val="28"/>
          <w:szCs w:val="28"/>
          <w:lang w:val="zh-CN"/>
        </w:rPr>
        <w:br w:type="page"/>
      </w:r>
      <w:bookmarkStart w:id="247" w:name="_Toc7150"/>
      <w:bookmarkStart w:id="248" w:name="_Toc35362678"/>
      <w:r>
        <w:rPr>
          <w:rFonts w:hint="eastAsia" w:ascii="宋体" w:hAnsi="宋体" w:cs="宋体"/>
          <w:b/>
          <w:sz w:val="24"/>
          <w:szCs w:val="24"/>
        </w:rPr>
        <w:t>附件5</w:t>
      </w:r>
    </w:p>
    <w:bookmarkEnd w:id="247"/>
    <w:bookmarkEnd w:id="248"/>
    <w:p>
      <w:pPr>
        <w:adjustRightInd w:val="0"/>
        <w:snapToGrid w:val="0"/>
        <w:spacing w:line="360" w:lineRule="auto"/>
        <w:jc w:val="center"/>
        <w:rPr>
          <w:rFonts w:hint="eastAsia" w:ascii="宋体" w:hAnsi="宋体" w:cs="宋体"/>
          <w:b/>
          <w:kern w:val="0"/>
          <w:sz w:val="24"/>
          <w:szCs w:val="24"/>
        </w:rPr>
      </w:pPr>
      <w:r>
        <w:rPr>
          <w:rFonts w:hint="eastAsia" w:ascii="宋体" w:hAnsi="宋体" w:cs="宋体"/>
          <w:b/>
          <w:kern w:val="0"/>
          <w:sz w:val="24"/>
          <w:szCs w:val="24"/>
        </w:rPr>
        <w:t>供应商企业关系关联承诺书</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我方承诺，不存在相关法律法规规定的禁止</w:t>
      </w:r>
      <w:r>
        <w:rPr>
          <w:rFonts w:hint="eastAsia" w:ascii="宋体" w:hAnsi="宋体" w:cs="宋体"/>
          <w:sz w:val="24"/>
          <w:szCs w:val="24"/>
          <w:lang w:val="en-US" w:eastAsia="zh-CN"/>
        </w:rPr>
        <w:t>投标</w:t>
      </w:r>
      <w:r>
        <w:rPr>
          <w:rFonts w:hint="eastAsia" w:ascii="宋体" w:hAnsi="宋体" w:cs="宋体"/>
          <w:sz w:val="24"/>
          <w:szCs w:val="24"/>
          <w:lang w:val="zh-CN"/>
        </w:rPr>
        <w:t>的情形。我单位的股权关系、与其他单位的管理关系和其他与本项目有关的利害关系等，作如下说明和承诺：</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1.我方在本项目</w:t>
      </w:r>
      <w:r>
        <w:rPr>
          <w:rFonts w:hint="eastAsia" w:ascii="宋体" w:hAnsi="宋体" w:cs="宋体"/>
          <w:sz w:val="24"/>
          <w:szCs w:val="24"/>
          <w:lang w:val="en-US" w:eastAsia="zh-CN"/>
        </w:rPr>
        <w:t>投标</w:t>
      </w:r>
      <w:r>
        <w:rPr>
          <w:rFonts w:hint="eastAsia" w:ascii="宋体" w:hAnsi="宋体" w:cs="宋体"/>
          <w:sz w:val="24"/>
          <w:szCs w:val="24"/>
          <w:lang w:val="zh-CN"/>
        </w:rPr>
        <w:t>中，不存在与其他供应商单位负责人为同一人或者存在直接控股、管理关系。</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1.1 股权关系说明</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1.1.1 我单位法定代表人（单位负责人）姓名：</w:t>
      </w:r>
      <w:r>
        <w:rPr>
          <w:rFonts w:hint="eastAsia" w:ascii="宋体" w:hAnsi="宋体" w:cs="宋体"/>
          <w:sz w:val="24"/>
          <w:szCs w:val="24"/>
          <w:u w:val="single"/>
          <w:lang w:val="zh-CN"/>
        </w:rPr>
        <w:t xml:space="preserve">               </w:t>
      </w:r>
      <w:r>
        <w:rPr>
          <w:rFonts w:hint="eastAsia" w:ascii="宋体" w:hAnsi="宋体" w:cs="宋体"/>
          <w:sz w:val="24"/>
          <w:szCs w:val="24"/>
          <w:lang w:val="zh-CN"/>
        </w:rPr>
        <w:t>。</w:t>
      </w:r>
    </w:p>
    <w:p>
      <w:pPr>
        <w:autoSpaceDE w:val="0"/>
        <w:autoSpaceDN w:val="0"/>
        <w:adjustRightInd w:val="0"/>
        <w:snapToGrid w:val="0"/>
        <w:spacing w:line="360" w:lineRule="auto"/>
        <w:ind w:firstLine="496" w:firstLineChars="200"/>
        <w:jc w:val="left"/>
        <w:rPr>
          <w:rFonts w:hint="eastAsia" w:ascii="宋体" w:hAnsi="宋体" w:cs="宋体"/>
          <w:sz w:val="24"/>
          <w:szCs w:val="24"/>
          <w:u w:val="single"/>
          <w:lang w:val="zh-CN"/>
        </w:rPr>
      </w:pPr>
      <w:r>
        <w:rPr>
          <w:rFonts w:hint="eastAsia" w:ascii="宋体" w:hAnsi="宋体" w:cs="宋体"/>
          <w:sz w:val="24"/>
          <w:szCs w:val="24"/>
          <w:lang w:val="zh-CN"/>
        </w:rPr>
        <w:t>1.1.2 我单位控股的单位有</w:t>
      </w:r>
      <w:r>
        <w:rPr>
          <w:rFonts w:hint="eastAsia" w:ascii="宋体" w:hAnsi="宋体" w:cs="宋体"/>
          <w:sz w:val="24"/>
          <w:szCs w:val="24"/>
          <w:u w:val="single"/>
          <w:lang w:val="zh-CN"/>
        </w:rPr>
        <w:t xml:space="preserve">                   </w:t>
      </w:r>
      <w:r>
        <w:rPr>
          <w:rFonts w:hint="eastAsia" w:ascii="宋体" w:hAnsi="宋体" w:cs="宋体"/>
          <w:sz w:val="24"/>
          <w:szCs w:val="24"/>
          <w:lang w:val="zh-CN"/>
        </w:rPr>
        <w:t>。</w:t>
      </w:r>
      <w:r>
        <w:rPr>
          <w:rFonts w:hint="eastAsia" w:ascii="宋体" w:hAnsi="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1.1.3 我单位被</w:t>
      </w:r>
      <w:r>
        <w:rPr>
          <w:rFonts w:hint="eastAsia" w:ascii="宋体" w:hAnsi="宋体" w:cs="宋体"/>
          <w:sz w:val="24"/>
          <w:szCs w:val="24"/>
          <w:u w:val="single"/>
          <w:lang w:val="zh-CN"/>
        </w:rPr>
        <w:t xml:space="preserve">      （单位或自然人）        </w:t>
      </w:r>
      <w:r>
        <w:rPr>
          <w:rFonts w:hint="eastAsia" w:ascii="宋体" w:hAnsi="宋体" w:cs="宋体"/>
          <w:sz w:val="24"/>
          <w:szCs w:val="24"/>
          <w:lang w:val="zh-CN"/>
        </w:rPr>
        <w:t>控股。</w:t>
      </w:r>
      <w:r>
        <w:rPr>
          <w:rFonts w:hint="eastAsia" w:ascii="宋体" w:hAnsi="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1.2.管理关系说明</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1.2.1 我单位管理的下属单位有</w:t>
      </w:r>
      <w:r>
        <w:rPr>
          <w:rFonts w:hint="eastAsia" w:ascii="宋体" w:hAnsi="宋体" w:cs="宋体"/>
          <w:sz w:val="24"/>
          <w:szCs w:val="24"/>
          <w:u w:val="single"/>
          <w:lang w:val="zh-CN"/>
        </w:rPr>
        <w:t xml:space="preserve">                 </w:t>
      </w:r>
      <w:r>
        <w:rPr>
          <w:rFonts w:hint="eastAsia" w:ascii="宋体" w:hAnsi="宋体" w:cs="宋体"/>
          <w:sz w:val="24"/>
          <w:szCs w:val="24"/>
          <w:lang w:val="zh-CN"/>
        </w:rPr>
        <w:t>。</w:t>
      </w:r>
      <w:r>
        <w:rPr>
          <w:rFonts w:hint="eastAsia" w:ascii="宋体" w:hAnsi="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1.2.2 我单位的上级管理单位有</w:t>
      </w:r>
      <w:r>
        <w:rPr>
          <w:rFonts w:hint="eastAsia" w:ascii="宋体" w:hAnsi="宋体" w:cs="宋体"/>
          <w:sz w:val="24"/>
          <w:szCs w:val="24"/>
          <w:u w:val="single"/>
          <w:lang w:val="zh-CN"/>
        </w:rPr>
        <w:t xml:space="preserve">                 </w:t>
      </w:r>
      <w:r>
        <w:rPr>
          <w:rFonts w:hint="eastAsia" w:ascii="宋体" w:hAnsi="宋体" w:cs="宋体"/>
          <w:sz w:val="24"/>
          <w:szCs w:val="24"/>
          <w:lang w:val="zh-CN"/>
        </w:rPr>
        <w:t>。</w:t>
      </w:r>
      <w:r>
        <w:rPr>
          <w:rFonts w:hint="eastAsia" w:ascii="宋体" w:hAnsi="宋体" w:cs="宋体"/>
          <w:sz w:val="24"/>
          <w:szCs w:val="24"/>
        </w:rPr>
        <w:t>(没有填“无”)</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2.我方与采购人不存在利害关系及其他可能影响招标公正性的情形。</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3.我</w:t>
      </w:r>
      <w:r>
        <w:rPr>
          <w:rFonts w:hint="eastAsia" w:ascii="宋体" w:hAnsi="宋体" w:cs="宋体"/>
          <w:sz w:val="24"/>
          <w:szCs w:val="24"/>
        </w:rPr>
        <w:t>单位</w:t>
      </w:r>
      <w:r>
        <w:rPr>
          <w:rFonts w:hint="eastAsia" w:ascii="宋体" w:hAnsi="宋体" w:cs="宋体"/>
          <w:sz w:val="24"/>
          <w:szCs w:val="24"/>
          <w:u w:val="single"/>
        </w:rPr>
        <w:t xml:space="preserve">         </w:t>
      </w:r>
      <w:r>
        <w:rPr>
          <w:rFonts w:hint="eastAsia" w:ascii="宋体" w:hAnsi="宋体" w:cs="宋体"/>
          <w:sz w:val="24"/>
          <w:szCs w:val="24"/>
        </w:rPr>
        <w:t>（是或否）</w:t>
      </w:r>
      <w:r>
        <w:rPr>
          <w:rFonts w:hint="eastAsia" w:ascii="宋体" w:hAnsi="宋体" w:cs="宋体"/>
          <w:sz w:val="24"/>
          <w:szCs w:val="24"/>
          <w:lang w:val="zh-CN"/>
        </w:rPr>
        <w:t>为</w:t>
      </w:r>
      <w:r>
        <w:rPr>
          <w:rFonts w:hint="eastAsia" w:ascii="宋体" w:hAnsi="宋体" w:cs="宋体"/>
          <w:sz w:val="24"/>
          <w:szCs w:val="24"/>
        </w:rPr>
        <w:t>本</w:t>
      </w:r>
      <w:r>
        <w:rPr>
          <w:rFonts w:hint="eastAsia" w:ascii="宋体" w:hAnsi="宋体" w:cs="宋体"/>
          <w:sz w:val="24"/>
          <w:szCs w:val="24"/>
          <w:lang w:val="zh-CN"/>
        </w:rPr>
        <w:t>采购项目提供整体设计、规范编制或者项目管理、监理、检测等服务</w:t>
      </w:r>
      <w:r>
        <w:rPr>
          <w:rFonts w:hint="eastAsia" w:ascii="宋体" w:hAnsi="宋体" w:cs="宋体"/>
          <w:sz w:val="24"/>
          <w:szCs w:val="24"/>
        </w:rPr>
        <w:t>的供应商</w:t>
      </w:r>
      <w:r>
        <w:rPr>
          <w:rFonts w:hint="eastAsia" w:ascii="宋体" w:hAnsi="宋体" w:cs="宋体"/>
          <w:sz w:val="24"/>
          <w:szCs w:val="24"/>
          <w:lang w:val="zh-CN"/>
        </w:rPr>
        <w:t>；</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4.其他与本项目有关的利害关系说明：</w:t>
      </w:r>
      <w:r>
        <w:rPr>
          <w:rFonts w:hint="eastAsia" w:ascii="宋体" w:hAnsi="宋体" w:cs="宋体"/>
          <w:sz w:val="24"/>
          <w:szCs w:val="24"/>
          <w:u w:val="single"/>
          <w:lang w:val="zh-CN"/>
        </w:rPr>
        <w:t xml:space="preserve">             </w:t>
      </w:r>
      <w:r>
        <w:rPr>
          <w:rFonts w:hint="eastAsia" w:ascii="宋体" w:hAnsi="宋体" w:cs="宋体"/>
          <w:sz w:val="24"/>
          <w:szCs w:val="24"/>
          <w:lang w:val="zh-CN"/>
        </w:rPr>
        <w:t>。</w:t>
      </w:r>
      <w:r>
        <w:rPr>
          <w:rFonts w:hint="eastAsia" w:ascii="宋体" w:hAnsi="宋体" w:cs="宋体"/>
          <w:sz w:val="24"/>
          <w:szCs w:val="24"/>
        </w:rPr>
        <w:t>(没有填“无”)</w:t>
      </w:r>
    </w:p>
    <w:p>
      <w:pPr>
        <w:autoSpaceDE w:val="0"/>
        <w:autoSpaceDN w:val="0"/>
        <w:adjustRightInd w:val="0"/>
        <w:snapToGrid w:val="0"/>
        <w:spacing w:line="360" w:lineRule="auto"/>
        <w:ind w:firstLine="3720" w:firstLineChars="1500"/>
        <w:jc w:val="left"/>
        <w:rPr>
          <w:rFonts w:hint="eastAsia" w:ascii="宋体" w:hAnsi="宋体" w:cs="宋体"/>
          <w:sz w:val="24"/>
          <w:szCs w:val="24"/>
          <w:lang w:val="zh-CN"/>
        </w:rPr>
      </w:pPr>
      <w:r>
        <w:rPr>
          <w:rFonts w:hint="eastAsia" w:ascii="宋体" w:hAnsi="宋体" w:cs="宋体"/>
          <w:sz w:val="24"/>
          <w:szCs w:val="24"/>
        </w:rPr>
        <w:t xml:space="preserve"> </w:t>
      </w:r>
    </w:p>
    <w:p>
      <w:pPr>
        <w:autoSpaceDE w:val="0"/>
        <w:autoSpaceDN w:val="0"/>
        <w:adjustRightInd w:val="0"/>
        <w:snapToGrid w:val="0"/>
        <w:spacing w:line="360" w:lineRule="auto"/>
        <w:ind w:firstLine="496" w:firstLineChars="200"/>
        <w:jc w:val="left"/>
        <w:rPr>
          <w:rFonts w:hint="eastAsia" w:ascii="宋体" w:hAnsi="宋体" w:cs="宋体"/>
          <w:sz w:val="24"/>
          <w:szCs w:val="24"/>
          <w:lang w:val="zh-CN"/>
        </w:rPr>
      </w:pPr>
      <w:r>
        <w:rPr>
          <w:rFonts w:hint="eastAsia" w:ascii="宋体" w:hAnsi="宋体" w:cs="宋体"/>
          <w:sz w:val="24"/>
          <w:szCs w:val="24"/>
          <w:lang w:val="zh-CN"/>
        </w:rPr>
        <w:t>我方承诺以上说明真实有效，无虚假内容或隐瞒。</w:t>
      </w:r>
    </w:p>
    <w:p>
      <w:pPr>
        <w:snapToGrid w:val="0"/>
        <w:spacing w:line="360" w:lineRule="auto"/>
        <w:ind w:firstLine="1984" w:firstLineChars="800"/>
        <w:rPr>
          <w:rFonts w:hint="eastAsia" w:ascii="宋体" w:hAnsi="宋体" w:cs="宋体"/>
          <w:sz w:val="24"/>
          <w:szCs w:val="24"/>
        </w:rPr>
      </w:pPr>
    </w:p>
    <w:p>
      <w:pPr>
        <w:snapToGrid w:val="0"/>
        <w:spacing w:line="360" w:lineRule="auto"/>
        <w:rPr>
          <w:rFonts w:hint="eastAsia"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（供应商名称）         </w:t>
      </w:r>
    </w:p>
    <w:p>
      <w:pPr>
        <w:snapToGrid w:val="0"/>
        <w:spacing w:line="360" w:lineRule="auto"/>
        <w:rPr>
          <w:rFonts w:hint="eastAsia" w:ascii="宋体" w:hAnsi="宋体" w:cs="宋体"/>
          <w:sz w:val="24"/>
          <w:szCs w:val="24"/>
          <w:u w:val="single"/>
        </w:rPr>
      </w:pPr>
      <w:r>
        <w:rPr>
          <w:rFonts w:hint="eastAsia" w:ascii="宋体" w:hAnsi="宋体" w:cs="宋体"/>
          <w:sz w:val="24"/>
          <w:szCs w:val="24"/>
        </w:rPr>
        <w:t xml:space="preserve">法定代表人/授权代表（签字或盖章）： </w:t>
      </w:r>
      <w:r>
        <w:rPr>
          <w:rFonts w:hint="eastAsia" w:ascii="宋体" w:hAnsi="宋体" w:cs="宋体"/>
          <w:sz w:val="24"/>
          <w:szCs w:val="24"/>
          <w:u w:val="single"/>
        </w:rPr>
        <w:t xml:space="preserve">       </w:t>
      </w:r>
      <w:r>
        <w:rPr>
          <w:rFonts w:hint="eastAsia" w:ascii="宋体" w:hAnsi="宋体" w:cs="宋体"/>
          <w:sz w:val="24"/>
          <w:szCs w:val="24"/>
        </w:rPr>
        <w:t xml:space="preserve"> </w:t>
      </w:r>
    </w:p>
    <w:p>
      <w:pPr>
        <w:snapToGrid w:val="0"/>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adjustRightInd w:val="0"/>
        <w:snapToGrid w:val="0"/>
        <w:spacing w:line="240" w:lineRule="auto"/>
        <w:jc w:val="left"/>
        <w:rPr>
          <w:rFonts w:hint="eastAsia" w:ascii="宋体" w:hAnsi="宋体" w:cs="宋体"/>
          <w:b/>
          <w:sz w:val="24"/>
          <w:szCs w:val="24"/>
        </w:rPr>
      </w:pPr>
      <w:r>
        <w:rPr>
          <w:rFonts w:hint="eastAsia" w:ascii="宋体" w:hAnsi="宋体" w:cs="宋体"/>
          <w:sz w:val="24"/>
          <w:szCs w:val="24"/>
          <w:u w:val="single"/>
        </w:rPr>
        <w:br w:type="page"/>
      </w:r>
      <w:r>
        <w:rPr>
          <w:rFonts w:hint="eastAsia" w:ascii="宋体" w:hAnsi="宋体" w:cs="宋体"/>
          <w:b/>
          <w:sz w:val="24"/>
          <w:szCs w:val="24"/>
        </w:rPr>
        <w:t>附件6</w:t>
      </w:r>
    </w:p>
    <w:p>
      <w:pPr>
        <w:adjustRightInd w:val="0"/>
        <w:snapToGrid w:val="0"/>
        <w:spacing w:line="360" w:lineRule="auto"/>
        <w:jc w:val="center"/>
        <w:rPr>
          <w:rFonts w:hint="eastAsia" w:ascii="宋体" w:hAnsi="宋体" w:cs="宋体"/>
          <w:b/>
          <w:kern w:val="0"/>
          <w:sz w:val="24"/>
          <w:szCs w:val="24"/>
        </w:rPr>
      </w:pPr>
    </w:p>
    <w:p>
      <w:pPr>
        <w:adjustRightInd w:val="0"/>
        <w:snapToGrid w:val="0"/>
        <w:spacing w:line="360" w:lineRule="auto"/>
        <w:jc w:val="center"/>
        <w:rPr>
          <w:rFonts w:hint="eastAsia" w:ascii="宋体" w:hAnsi="宋体" w:cs="宋体"/>
          <w:b/>
          <w:kern w:val="0"/>
          <w:sz w:val="24"/>
          <w:szCs w:val="24"/>
        </w:rPr>
      </w:pPr>
      <w:r>
        <w:rPr>
          <w:rFonts w:hint="eastAsia" w:ascii="宋体" w:hAnsi="宋体" w:cs="宋体"/>
          <w:b/>
          <w:kern w:val="0"/>
          <w:sz w:val="24"/>
          <w:szCs w:val="24"/>
        </w:rPr>
        <w:t>拒绝政府采购领域商业贿赂承诺书</w:t>
      </w:r>
    </w:p>
    <w:p>
      <w:pPr>
        <w:autoSpaceDE w:val="0"/>
        <w:autoSpaceDN w:val="0"/>
        <w:adjustRightInd w:val="0"/>
        <w:snapToGrid w:val="0"/>
        <w:spacing w:line="360" w:lineRule="auto"/>
        <w:ind w:firstLine="496" w:firstLineChars="200"/>
        <w:rPr>
          <w:rFonts w:hint="eastAsia" w:ascii="宋体" w:hAnsi="宋体" w:cs="宋体"/>
          <w:sz w:val="24"/>
          <w:szCs w:val="24"/>
          <w:lang w:val="zh-CN"/>
        </w:rPr>
      </w:pPr>
      <w:r>
        <w:rPr>
          <w:rFonts w:hint="eastAsia" w:ascii="宋体" w:hAnsi="宋体" w:cs="宋体"/>
          <w:sz w:val="24"/>
          <w:szCs w:val="24"/>
          <w:lang w:val="zh-CN"/>
        </w:rPr>
        <w:t>为响应党中央、国务院关于治理政府采购领域商业贿赂行为的号召，我公司在此庄严承诺：</w:t>
      </w:r>
    </w:p>
    <w:p>
      <w:pPr>
        <w:autoSpaceDE w:val="0"/>
        <w:autoSpaceDN w:val="0"/>
        <w:adjustRightInd w:val="0"/>
        <w:snapToGrid w:val="0"/>
        <w:spacing w:line="360" w:lineRule="auto"/>
        <w:ind w:firstLine="496" w:firstLineChars="200"/>
        <w:rPr>
          <w:rFonts w:hint="eastAsia" w:ascii="宋体" w:hAnsi="宋体" w:cs="宋体"/>
          <w:sz w:val="24"/>
          <w:szCs w:val="24"/>
          <w:lang w:val="zh-CN"/>
        </w:rPr>
      </w:pPr>
      <w:r>
        <w:rPr>
          <w:rFonts w:hint="eastAsia" w:ascii="宋体" w:hAnsi="宋体" w:cs="宋体"/>
          <w:sz w:val="24"/>
          <w:szCs w:val="24"/>
          <w:lang w:val="zh-CN"/>
        </w:rPr>
        <w:t xml:space="preserve">    一、在参与政府采购活动中遵纪守法、诚信经营、公平竞标。</w:t>
      </w:r>
    </w:p>
    <w:p>
      <w:pPr>
        <w:autoSpaceDE w:val="0"/>
        <w:autoSpaceDN w:val="0"/>
        <w:adjustRightInd w:val="0"/>
        <w:snapToGrid w:val="0"/>
        <w:spacing w:line="360" w:lineRule="auto"/>
        <w:ind w:firstLine="496" w:firstLineChars="200"/>
        <w:rPr>
          <w:rFonts w:hint="eastAsia" w:ascii="宋体" w:hAnsi="宋体" w:cs="宋体"/>
          <w:sz w:val="24"/>
          <w:szCs w:val="24"/>
          <w:lang w:val="zh-CN"/>
        </w:rPr>
      </w:pPr>
      <w:r>
        <w:rPr>
          <w:rFonts w:hint="eastAsia" w:ascii="宋体" w:hAnsi="宋体" w:cs="宋体"/>
          <w:sz w:val="24"/>
          <w:szCs w:val="24"/>
          <w:lang w:val="zh-CN"/>
        </w:rPr>
        <w:t xml:space="preserve">    二、不向政府采购人、采购代理机构和政府采购评审专家进行任何形式的商业贿赂以谋取交易机会。</w:t>
      </w:r>
    </w:p>
    <w:p>
      <w:pPr>
        <w:autoSpaceDE w:val="0"/>
        <w:autoSpaceDN w:val="0"/>
        <w:adjustRightInd w:val="0"/>
        <w:snapToGrid w:val="0"/>
        <w:spacing w:line="360" w:lineRule="auto"/>
        <w:ind w:firstLine="496" w:firstLineChars="200"/>
        <w:rPr>
          <w:rFonts w:hint="eastAsia" w:ascii="宋体" w:hAnsi="宋体" w:cs="宋体"/>
          <w:sz w:val="24"/>
          <w:szCs w:val="24"/>
          <w:lang w:val="zh-CN"/>
        </w:rPr>
      </w:pPr>
      <w:r>
        <w:rPr>
          <w:rFonts w:hint="eastAsia" w:ascii="宋体" w:hAnsi="宋体" w:cs="宋体"/>
          <w:sz w:val="24"/>
          <w:szCs w:val="24"/>
          <w:lang w:val="zh-CN"/>
        </w:rPr>
        <w:t xml:space="preserve">    三、不向政府采购代理机构和采购人提供虚假资格证明文件或采用虚假应标方式参与政府采购市场竞争并谋取中标、成交。</w:t>
      </w:r>
    </w:p>
    <w:p>
      <w:pPr>
        <w:autoSpaceDE w:val="0"/>
        <w:autoSpaceDN w:val="0"/>
        <w:adjustRightInd w:val="0"/>
        <w:snapToGrid w:val="0"/>
        <w:spacing w:line="360" w:lineRule="auto"/>
        <w:ind w:firstLine="496" w:firstLineChars="200"/>
        <w:rPr>
          <w:rFonts w:hint="eastAsia" w:ascii="宋体" w:hAnsi="宋体" w:cs="宋体"/>
          <w:sz w:val="24"/>
          <w:szCs w:val="24"/>
          <w:lang w:val="zh-CN"/>
        </w:rPr>
      </w:pPr>
      <w:r>
        <w:rPr>
          <w:rFonts w:hint="eastAsia" w:ascii="宋体" w:hAnsi="宋体" w:cs="宋体"/>
          <w:sz w:val="24"/>
          <w:szCs w:val="24"/>
          <w:lang w:val="zh-CN"/>
        </w:rPr>
        <w:t xml:space="preserve">    四、不采取“围标、陪标”等商业欺诈手段获得政府采购订单。</w:t>
      </w:r>
    </w:p>
    <w:p>
      <w:pPr>
        <w:autoSpaceDE w:val="0"/>
        <w:autoSpaceDN w:val="0"/>
        <w:adjustRightInd w:val="0"/>
        <w:snapToGrid w:val="0"/>
        <w:spacing w:line="360" w:lineRule="auto"/>
        <w:ind w:firstLine="496" w:firstLineChars="200"/>
        <w:rPr>
          <w:rFonts w:hint="eastAsia" w:ascii="宋体" w:hAnsi="宋体" w:cs="宋体"/>
          <w:sz w:val="24"/>
          <w:szCs w:val="24"/>
          <w:lang w:val="zh-CN"/>
        </w:rPr>
      </w:pPr>
      <w:r>
        <w:rPr>
          <w:rFonts w:hint="eastAsia" w:ascii="宋体" w:hAnsi="宋体" w:cs="宋体"/>
          <w:sz w:val="24"/>
          <w:szCs w:val="24"/>
          <w:lang w:val="zh-CN"/>
        </w:rPr>
        <w:t xml:space="preserve">    五、不采取不正当手段诋毁、排挤其他供应商。</w:t>
      </w:r>
    </w:p>
    <w:p>
      <w:pPr>
        <w:autoSpaceDE w:val="0"/>
        <w:autoSpaceDN w:val="0"/>
        <w:adjustRightInd w:val="0"/>
        <w:snapToGrid w:val="0"/>
        <w:spacing w:line="360" w:lineRule="auto"/>
        <w:ind w:firstLine="496" w:firstLineChars="200"/>
        <w:rPr>
          <w:rFonts w:hint="eastAsia" w:ascii="宋体" w:hAnsi="宋体" w:cs="宋体"/>
          <w:sz w:val="24"/>
          <w:szCs w:val="24"/>
          <w:lang w:val="zh-CN"/>
        </w:rPr>
      </w:pPr>
      <w:r>
        <w:rPr>
          <w:rFonts w:hint="eastAsia" w:ascii="宋体" w:hAnsi="宋体" w:cs="宋体"/>
          <w:sz w:val="24"/>
          <w:szCs w:val="24"/>
          <w:lang w:val="zh-CN"/>
        </w:rPr>
        <w:t xml:space="preserve">    六、不在提供货物和服务时“偷梁换柱、以次充好”损害采购人的合法权益。</w:t>
      </w:r>
    </w:p>
    <w:p>
      <w:pPr>
        <w:autoSpaceDE w:val="0"/>
        <w:autoSpaceDN w:val="0"/>
        <w:adjustRightInd w:val="0"/>
        <w:snapToGrid w:val="0"/>
        <w:spacing w:line="360" w:lineRule="auto"/>
        <w:ind w:firstLine="496" w:firstLineChars="200"/>
        <w:rPr>
          <w:rFonts w:hint="eastAsia" w:ascii="宋体" w:hAnsi="宋体" w:cs="宋体"/>
          <w:sz w:val="24"/>
          <w:szCs w:val="24"/>
          <w:lang w:val="zh-CN"/>
        </w:rPr>
      </w:pPr>
      <w:r>
        <w:rPr>
          <w:rFonts w:hint="eastAsia" w:ascii="宋体" w:hAnsi="宋体" w:cs="宋体"/>
          <w:sz w:val="24"/>
          <w:szCs w:val="24"/>
          <w:lang w:val="zh-CN"/>
        </w:rPr>
        <w:t xml:space="preserve">    七、不与采购人、采购代理机构、政府采购评审专家或其它供应商恶意串通，进行质疑和投诉，维护政府采购市场秩序。</w:t>
      </w:r>
    </w:p>
    <w:p>
      <w:pPr>
        <w:autoSpaceDE w:val="0"/>
        <w:autoSpaceDN w:val="0"/>
        <w:adjustRightInd w:val="0"/>
        <w:snapToGrid w:val="0"/>
        <w:spacing w:line="360" w:lineRule="auto"/>
        <w:ind w:firstLine="496" w:firstLineChars="200"/>
        <w:rPr>
          <w:rFonts w:hint="eastAsia" w:ascii="宋体" w:hAnsi="宋体" w:cs="宋体"/>
          <w:sz w:val="24"/>
          <w:szCs w:val="24"/>
          <w:lang w:val="zh-CN"/>
        </w:rPr>
      </w:pPr>
      <w:r>
        <w:rPr>
          <w:rFonts w:hint="eastAsia" w:ascii="宋体" w:hAnsi="宋体" w:cs="宋体"/>
          <w:sz w:val="24"/>
          <w:szCs w:val="24"/>
          <w:lang w:val="zh-CN"/>
        </w:rPr>
        <w:t xml:space="preserve">    八、尊重和接受政府采购监督管理部门的监督和政府采购代理机构招标采购要求，承担因违约行为给采购人造成的损失。</w:t>
      </w:r>
    </w:p>
    <w:p>
      <w:pPr>
        <w:autoSpaceDE w:val="0"/>
        <w:autoSpaceDN w:val="0"/>
        <w:adjustRightInd w:val="0"/>
        <w:snapToGrid w:val="0"/>
        <w:spacing w:line="360" w:lineRule="auto"/>
        <w:ind w:firstLine="496" w:firstLineChars="200"/>
        <w:rPr>
          <w:rFonts w:hint="eastAsia" w:ascii="宋体" w:hAnsi="宋体" w:cs="宋体"/>
          <w:sz w:val="24"/>
          <w:szCs w:val="24"/>
          <w:lang w:val="zh-CN"/>
        </w:rPr>
      </w:pPr>
      <w:r>
        <w:rPr>
          <w:rFonts w:hint="eastAsia" w:ascii="宋体" w:hAnsi="宋体" w:cs="宋体"/>
          <w:sz w:val="24"/>
          <w:szCs w:val="24"/>
          <w:lang w:val="zh-CN"/>
        </w:rPr>
        <w:t xml:space="preserve">    九、不发生其他有悖于政府采购公开、公平、公正和诚信原则的行为。</w:t>
      </w:r>
    </w:p>
    <w:p>
      <w:pPr>
        <w:autoSpaceDE w:val="0"/>
        <w:autoSpaceDN w:val="0"/>
        <w:adjustRightInd w:val="0"/>
        <w:snapToGrid w:val="0"/>
        <w:spacing w:line="360" w:lineRule="auto"/>
        <w:ind w:firstLine="496" w:firstLineChars="200"/>
        <w:rPr>
          <w:rFonts w:hint="eastAsia" w:ascii="宋体" w:hAnsi="宋体" w:cs="宋体"/>
          <w:sz w:val="24"/>
          <w:szCs w:val="24"/>
          <w:lang w:val="zh-CN"/>
        </w:rPr>
      </w:pPr>
    </w:p>
    <w:p>
      <w:pPr>
        <w:pStyle w:val="43"/>
        <w:ind w:firstLine="480"/>
        <w:rPr>
          <w:rFonts w:hint="eastAsia" w:ascii="宋体" w:hAnsi="宋体" w:cs="宋体"/>
          <w:sz w:val="24"/>
          <w:lang w:val="zh-CN"/>
        </w:rPr>
      </w:pPr>
    </w:p>
    <w:p>
      <w:pPr>
        <w:pStyle w:val="43"/>
        <w:ind w:firstLine="480"/>
        <w:rPr>
          <w:rFonts w:hint="eastAsia" w:ascii="宋体" w:hAnsi="宋体" w:cs="宋体"/>
          <w:sz w:val="24"/>
          <w:lang w:val="zh-CN"/>
        </w:rPr>
      </w:pPr>
    </w:p>
    <w:p>
      <w:pPr>
        <w:pStyle w:val="43"/>
        <w:ind w:firstLine="480"/>
        <w:rPr>
          <w:rFonts w:hint="eastAsia" w:ascii="宋体" w:hAnsi="宋体" w:cs="宋体"/>
          <w:sz w:val="24"/>
          <w:lang w:val="zh-CN"/>
        </w:rPr>
      </w:pPr>
    </w:p>
    <w:p>
      <w:pPr>
        <w:pStyle w:val="43"/>
        <w:ind w:firstLine="480"/>
        <w:rPr>
          <w:rFonts w:hint="eastAsia" w:ascii="宋体" w:hAnsi="宋体" w:cs="宋体"/>
          <w:sz w:val="24"/>
          <w:lang w:val="zh-CN"/>
        </w:rPr>
      </w:pPr>
    </w:p>
    <w:p>
      <w:pPr>
        <w:pStyle w:val="43"/>
        <w:ind w:firstLine="480"/>
        <w:rPr>
          <w:rFonts w:hint="eastAsia" w:ascii="宋体" w:hAnsi="宋体" w:cs="宋体"/>
          <w:sz w:val="24"/>
          <w:lang w:val="zh-CN"/>
        </w:rPr>
      </w:pPr>
    </w:p>
    <w:p>
      <w:pPr>
        <w:pStyle w:val="43"/>
        <w:ind w:firstLine="480"/>
        <w:rPr>
          <w:rFonts w:hint="eastAsia" w:ascii="宋体" w:hAnsi="宋体" w:cs="宋体"/>
          <w:sz w:val="24"/>
          <w:lang w:val="zh-CN"/>
        </w:rPr>
      </w:pPr>
    </w:p>
    <w:p>
      <w:pPr>
        <w:snapToGrid w:val="0"/>
        <w:spacing w:line="360" w:lineRule="auto"/>
        <w:rPr>
          <w:rFonts w:hint="eastAsia"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（供应商名称）         </w:t>
      </w:r>
    </w:p>
    <w:p>
      <w:pPr>
        <w:snapToGrid w:val="0"/>
        <w:spacing w:line="360" w:lineRule="auto"/>
        <w:rPr>
          <w:rFonts w:hint="eastAsia" w:ascii="宋体" w:hAnsi="宋体" w:cs="宋体"/>
          <w:sz w:val="24"/>
          <w:szCs w:val="24"/>
          <w:u w:val="single"/>
        </w:rPr>
      </w:pPr>
      <w:r>
        <w:rPr>
          <w:rFonts w:hint="eastAsia" w:ascii="宋体" w:hAnsi="宋体" w:cs="宋体"/>
          <w:sz w:val="24"/>
          <w:szCs w:val="24"/>
        </w:rPr>
        <w:t xml:space="preserve">法定代表人/授权代表（签字或盖章）： </w:t>
      </w:r>
      <w:r>
        <w:rPr>
          <w:rFonts w:hint="eastAsia" w:ascii="宋体" w:hAnsi="宋体" w:cs="宋体"/>
          <w:sz w:val="24"/>
          <w:szCs w:val="24"/>
          <w:u w:val="single"/>
        </w:rPr>
        <w:t xml:space="preserve">       </w:t>
      </w:r>
      <w:r>
        <w:rPr>
          <w:rFonts w:hint="eastAsia" w:ascii="宋体" w:hAnsi="宋体" w:cs="宋体"/>
          <w:sz w:val="24"/>
          <w:szCs w:val="24"/>
        </w:rPr>
        <w:t xml:space="preserve"> </w:t>
      </w:r>
    </w:p>
    <w:p>
      <w:pPr>
        <w:snapToGrid w:val="0"/>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snapToGrid w:val="0"/>
        <w:spacing w:line="360" w:lineRule="auto"/>
        <w:rPr>
          <w:rFonts w:hint="eastAsia" w:ascii="宋体" w:hAnsi="宋体" w:cs="宋体"/>
          <w:b/>
          <w:sz w:val="30"/>
          <w:szCs w:val="30"/>
        </w:rPr>
      </w:pPr>
    </w:p>
    <w:p>
      <w:pPr>
        <w:pStyle w:val="105"/>
        <w:spacing w:before="197" w:after="197"/>
        <w:jc w:val="left"/>
        <w:rPr>
          <w:rFonts w:hint="eastAsia" w:ascii="宋体" w:hAnsi="宋体" w:eastAsia="宋体" w:cs="宋体"/>
          <w:color w:val="auto"/>
          <w:sz w:val="24"/>
          <w:szCs w:val="24"/>
          <w:u w:val="none"/>
        </w:rPr>
      </w:pPr>
      <w:r>
        <w:rPr>
          <w:rFonts w:hint="eastAsia" w:ascii="宋体" w:hAnsi="宋体" w:cs="宋体"/>
          <w:b/>
          <w:bCs/>
          <w:szCs w:val="28"/>
        </w:rPr>
        <w:br w:type="page"/>
      </w:r>
    </w:p>
    <w:p>
      <w:pPr>
        <w:rPr>
          <w:rFonts w:hint="eastAsia" w:ascii="宋体" w:hAnsi="宋体" w:eastAsia="宋体" w:cs="宋体"/>
          <w:b/>
          <w:color w:val="auto"/>
          <w:sz w:val="24"/>
          <w:szCs w:val="24"/>
          <w:highlight w:val="none"/>
          <w:lang w:val="en-US" w:eastAsia="zh-CN"/>
        </w:rPr>
      </w:pPr>
      <w:r>
        <w:rPr>
          <w:rFonts w:hint="eastAsia" w:ascii="宋体" w:hAnsi="宋体" w:cs="宋体"/>
          <w:b/>
          <w:sz w:val="24"/>
          <w:szCs w:val="24"/>
          <w:lang w:val="en-US" w:eastAsia="zh-CN"/>
        </w:rPr>
        <w:t>附件7</w:t>
      </w:r>
    </w:p>
    <w:p>
      <w:pPr>
        <w:adjustRightInd w:val="0"/>
        <w:snapToGrid w:val="0"/>
        <w:spacing w:line="360" w:lineRule="auto"/>
        <w:jc w:val="center"/>
        <w:rPr>
          <w:rFonts w:hint="eastAsia" w:ascii="宋体" w:hAnsi="宋体" w:cs="宋体"/>
          <w:b/>
          <w:kern w:val="0"/>
          <w:sz w:val="24"/>
          <w:szCs w:val="24"/>
        </w:rPr>
      </w:pPr>
      <w:r>
        <w:rPr>
          <w:rFonts w:hint="eastAsia" w:ascii="宋体" w:hAnsi="宋体" w:cs="宋体"/>
          <w:b/>
          <w:kern w:val="0"/>
          <w:sz w:val="24"/>
          <w:szCs w:val="24"/>
          <w:lang w:val="en-US" w:eastAsia="zh-CN"/>
        </w:rPr>
        <w:t>中小企业声明函（货物）</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（单位名称）</w:t>
      </w:r>
      <w:r>
        <w:rPr>
          <w:rFonts w:hint="eastAsia" w:ascii="宋体" w:hAnsi="宋体" w:eastAsia="宋体" w:cs="宋体"/>
          <w:i w:val="0"/>
          <w:iCs w:val="0"/>
          <w:caps w:val="0"/>
          <w:color w:val="333333"/>
          <w:spacing w:val="0"/>
          <w:kern w:val="0"/>
          <w:sz w:val="24"/>
          <w:szCs w:val="24"/>
          <w:shd w:val="clear" w:color="auto" w:fill="FFFFFF"/>
          <w:lang w:val="en-US" w:eastAsia="zh-CN" w:bidi="ar"/>
        </w:rPr>
        <w:t>的</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（项目名称）</w:t>
      </w:r>
      <w:r>
        <w:rPr>
          <w:rFonts w:hint="eastAsia" w:ascii="宋体" w:hAnsi="宋体" w:eastAsia="宋体" w:cs="宋体"/>
          <w:i w:val="0"/>
          <w:iCs w:val="0"/>
          <w:caps w:val="0"/>
          <w:color w:val="333333"/>
          <w:spacing w:val="0"/>
          <w:kern w:val="0"/>
          <w:sz w:val="24"/>
          <w:szCs w:val="24"/>
          <w:shd w:val="clear" w:color="auto" w:fill="FFFFFF"/>
          <w:lang w:val="en-US" w:eastAsia="zh-CN" w:bidi="ar"/>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1.</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（标的名称）</w:t>
      </w:r>
      <w:r>
        <w:rPr>
          <w:rFonts w:hint="eastAsia" w:ascii="宋体" w:hAnsi="宋体" w:eastAsia="宋体" w:cs="宋体"/>
          <w:i w:val="0"/>
          <w:iCs w:val="0"/>
          <w:caps w:val="0"/>
          <w:color w:val="333333"/>
          <w:spacing w:val="0"/>
          <w:kern w:val="0"/>
          <w:sz w:val="24"/>
          <w:szCs w:val="24"/>
          <w:shd w:val="clear" w:color="auto"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（采购文件中明确的所属行业）</w:t>
      </w:r>
      <w:r>
        <w:rPr>
          <w:rFonts w:hint="eastAsia" w:ascii="宋体" w:hAnsi="宋体" w:eastAsia="宋体" w:cs="宋体"/>
          <w:i w:val="0"/>
          <w:iCs w:val="0"/>
          <w:caps w:val="0"/>
          <w:color w:val="333333"/>
          <w:spacing w:val="0"/>
          <w:kern w:val="0"/>
          <w:sz w:val="24"/>
          <w:szCs w:val="24"/>
          <w:shd w:val="clear" w:color="auto" w:fill="FFFFFF"/>
          <w:lang w:val="en-US" w:eastAsia="zh-CN" w:bidi="ar"/>
        </w:rPr>
        <w:t>行业；制造商为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（企业名称）</w:t>
      </w:r>
      <w:r>
        <w:rPr>
          <w:rFonts w:hint="eastAsia" w:ascii="宋体" w:hAnsi="宋体" w:eastAsia="宋体" w:cs="宋体"/>
          <w:i w:val="0"/>
          <w:iCs w:val="0"/>
          <w:caps w:val="0"/>
          <w:color w:val="333333"/>
          <w:spacing w:val="0"/>
          <w:kern w:val="0"/>
          <w:sz w:val="24"/>
          <w:szCs w:val="24"/>
          <w:shd w:val="clear" w:color="auto" w:fill="FFFFFF"/>
          <w:lang w:val="en-US" w:eastAsia="zh-CN" w:bidi="ar"/>
        </w:rPr>
        <w:t>，从业人员</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人，营业收入为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万元，资产总额为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w:t>
      </w:r>
      <w:r>
        <w:rPr>
          <w:rFonts w:hint="eastAsia" w:ascii="宋体" w:hAnsi="宋体" w:eastAsia="宋体" w:cs="宋体"/>
          <w:i w:val="0"/>
          <w:iCs w:val="0"/>
          <w:caps w:val="0"/>
          <w:color w:val="333333"/>
          <w:spacing w:val="0"/>
          <w:kern w:val="0"/>
          <w:sz w:val="24"/>
          <w:szCs w:val="24"/>
          <w:shd w:val="clear" w:color="auto" w:fill="FFFFFF"/>
          <w:vertAlign w:val="superscript"/>
          <w:lang w:val="en-US" w:eastAsia="zh-CN" w:bidi="ar"/>
        </w:rPr>
        <w:t>1</w:t>
      </w:r>
      <w:r>
        <w:rPr>
          <w:rFonts w:hint="eastAsia" w:ascii="宋体" w:hAnsi="宋体" w:eastAsia="宋体" w:cs="宋体"/>
          <w:i w:val="0"/>
          <w:iCs w:val="0"/>
          <w:caps w:val="0"/>
          <w:color w:val="333333"/>
          <w:spacing w:val="0"/>
          <w:kern w:val="0"/>
          <w:sz w:val="24"/>
          <w:szCs w:val="24"/>
          <w:shd w:val="clear" w:color="auto"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（中型企业、小型企业、微型企业）</w:t>
      </w: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2.</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（标的名称）</w:t>
      </w:r>
      <w:r>
        <w:rPr>
          <w:rFonts w:hint="eastAsia" w:ascii="宋体" w:hAnsi="宋体" w:eastAsia="宋体" w:cs="宋体"/>
          <w:i w:val="0"/>
          <w:iCs w:val="0"/>
          <w:caps w:val="0"/>
          <w:color w:val="333333"/>
          <w:spacing w:val="0"/>
          <w:kern w:val="0"/>
          <w:sz w:val="24"/>
          <w:szCs w:val="24"/>
          <w:shd w:val="clear" w:color="auto"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（采购文件中明确的所属行业）</w:t>
      </w:r>
      <w:r>
        <w:rPr>
          <w:rFonts w:hint="eastAsia" w:ascii="宋体" w:hAnsi="宋体" w:eastAsia="宋体" w:cs="宋体"/>
          <w:i w:val="0"/>
          <w:iCs w:val="0"/>
          <w:caps w:val="0"/>
          <w:color w:val="333333"/>
          <w:spacing w:val="0"/>
          <w:kern w:val="0"/>
          <w:sz w:val="24"/>
          <w:szCs w:val="24"/>
          <w:shd w:val="clear" w:color="auto" w:fill="FFFFFF"/>
          <w:lang w:val="en-US" w:eastAsia="zh-CN" w:bidi="ar"/>
        </w:rPr>
        <w:t>行业；制造商为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（企业名称）</w:t>
      </w:r>
      <w:r>
        <w:rPr>
          <w:rFonts w:hint="eastAsia" w:ascii="宋体" w:hAnsi="宋体" w:eastAsia="宋体" w:cs="宋体"/>
          <w:i w:val="0"/>
          <w:iCs w:val="0"/>
          <w:caps w:val="0"/>
          <w:color w:val="333333"/>
          <w:spacing w:val="0"/>
          <w:kern w:val="0"/>
          <w:sz w:val="24"/>
          <w:szCs w:val="24"/>
          <w:shd w:val="clear" w:color="auto" w:fill="FFFFFF"/>
          <w:lang w:val="en-US" w:eastAsia="zh-CN" w:bidi="ar"/>
        </w:rPr>
        <w:t>，从业人员</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人，营业收入为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万元，资产总额为</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333333"/>
          <w:spacing w:val="0"/>
          <w:kern w:val="0"/>
          <w:sz w:val="24"/>
          <w:szCs w:val="24"/>
          <w:shd w:val="clear" w:color="auto" w:fill="FFFFFF"/>
          <w:lang w:val="en-US" w:eastAsia="zh-CN" w:bidi="ar"/>
        </w:rPr>
        <w:t>万元</w:t>
      </w:r>
      <w:r>
        <w:rPr>
          <w:rFonts w:hint="eastAsia" w:ascii="宋体" w:hAnsi="宋体" w:eastAsia="宋体" w:cs="宋体"/>
          <w:i w:val="0"/>
          <w:iCs w:val="0"/>
          <w:caps w:val="0"/>
          <w:color w:val="333333"/>
          <w:spacing w:val="0"/>
          <w:kern w:val="0"/>
          <w:sz w:val="24"/>
          <w:szCs w:val="24"/>
          <w:shd w:val="clear" w:color="auto" w:fill="FFFFFF"/>
          <w:vertAlign w:val="superscript"/>
          <w:lang w:val="en-US" w:eastAsia="zh-CN" w:bidi="ar"/>
        </w:rPr>
        <w:t>1</w:t>
      </w:r>
      <w:r>
        <w:rPr>
          <w:rFonts w:hint="eastAsia" w:ascii="宋体" w:hAnsi="宋体" w:eastAsia="宋体" w:cs="宋体"/>
          <w:i w:val="0"/>
          <w:iCs w:val="0"/>
          <w:caps w:val="0"/>
          <w:color w:val="333333"/>
          <w:spacing w:val="0"/>
          <w:kern w:val="0"/>
          <w:sz w:val="24"/>
          <w:szCs w:val="24"/>
          <w:shd w:val="clear" w:color="auto" w:fill="FFFFFF"/>
          <w:lang w:val="en-US" w:eastAsia="zh-CN" w:bidi="ar"/>
        </w:rPr>
        <w:t>，属于</w:t>
      </w:r>
      <w:r>
        <w:rPr>
          <w:rFonts w:hint="eastAsia" w:ascii="宋体" w:hAnsi="宋体" w:eastAsia="宋体" w:cs="宋体"/>
          <w:i w:val="0"/>
          <w:iCs w:val="0"/>
          <w:caps w:val="0"/>
          <w:color w:val="333333"/>
          <w:spacing w:val="0"/>
          <w:kern w:val="0"/>
          <w:sz w:val="24"/>
          <w:szCs w:val="24"/>
          <w:u w:val="single"/>
          <w:shd w:val="clear" w:color="auto" w:fill="FFFFFF"/>
          <w:lang w:val="en-US" w:eastAsia="zh-CN" w:bidi="ar"/>
        </w:rPr>
        <w:t>     （中型企业、小型企业、微型企业）</w:t>
      </w: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本企业对上述声明内容的真实性负责。如有虚假，将依法承担相应责任。</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line="435" w:lineRule="atLeast"/>
        <w:ind w:left="0" w:right="0" w:firstLine="4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供应商（盖章）：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日 期：</w:t>
      </w: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rPr>
          <w:rFonts w:hint="eastAsia" w:ascii="宋体" w:hAnsi="宋体" w:eastAsia="宋体" w:cs="宋体"/>
          <w:b/>
          <w:color w:val="auto"/>
          <w:sz w:val="24"/>
          <w:szCs w:val="24"/>
          <w:highlight w:val="none"/>
          <w:lang w:val="en-US" w:eastAsia="zh-CN"/>
        </w:rPr>
      </w:pPr>
      <w:r>
        <w:rPr>
          <w:rFonts w:hint="eastAsia" w:ascii="宋体" w:hAnsi="宋体" w:cs="宋体"/>
          <w:b/>
          <w:sz w:val="24"/>
          <w:szCs w:val="24"/>
          <w:lang w:val="en-US" w:eastAsia="zh-CN"/>
        </w:rPr>
        <w:t>附件8</w:t>
      </w:r>
    </w:p>
    <w:p>
      <w:pPr>
        <w:pStyle w:val="20"/>
        <w:adjustRightInd w:val="0"/>
        <w:snapToGrid w:val="0"/>
        <w:spacing w:line="360" w:lineRule="auto"/>
        <w:jc w:val="center"/>
        <w:rPr>
          <w:rFonts w:hint="default" w:hAnsi="宋体" w:cs="宋体"/>
          <w:b/>
          <w:color w:val="auto"/>
          <w:kern w:val="2"/>
          <w:sz w:val="24"/>
          <w:szCs w:val="24"/>
          <w:lang w:val="en-US" w:eastAsia="zh-CN"/>
        </w:rPr>
      </w:pPr>
      <w:r>
        <w:rPr>
          <w:rFonts w:hint="default" w:hAnsi="宋体" w:cs="宋体"/>
          <w:b/>
          <w:color w:val="auto"/>
          <w:kern w:val="2"/>
          <w:sz w:val="24"/>
          <w:szCs w:val="24"/>
          <w:lang w:val="en-US" w:eastAsia="zh-CN"/>
        </w:rPr>
        <w:t>残疾人福利性单位声明函</w:t>
      </w:r>
    </w:p>
    <w:p>
      <w:pPr>
        <w:spacing w:line="360" w:lineRule="auto"/>
        <w:ind w:firstLine="496" w:firstLineChars="200"/>
        <w:rPr>
          <w:rFonts w:hint="default" w:ascii="宋体" w:hAnsi="宋体" w:cs="宋体"/>
          <w:bCs/>
          <w:color w:val="auto"/>
          <w:sz w:val="24"/>
          <w:szCs w:val="24"/>
          <w:lang w:val="en-US" w:eastAsia="zh-CN"/>
        </w:rPr>
      </w:pPr>
      <w:r>
        <w:rPr>
          <w:rFonts w:hint="default" w:ascii="宋体" w:hAnsi="宋体" w:cs="宋体"/>
          <w:bCs/>
          <w:color w:val="auto"/>
          <w:sz w:val="24"/>
          <w:szCs w:val="24"/>
          <w:lang w:val="en-US" w:eastAsia="zh-CN"/>
        </w:rPr>
        <w:t>本单位郑重声明，根据《关于促进残疾人就业政府采购政策的通知》（财库〔2017</w:t>
      </w:r>
    </w:p>
    <w:p>
      <w:pPr>
        <w:spacing w:line="360" w:lineRule="auto"/>
        <w:ind w:firstLine="496" w:firstLineChars="200"/>
        <w:rPr>
          <w:rFonts w:hint="default" w:ascii="宋体" w:hAnsi="宋体" w:cs="宋体"/>
          <w:bCs/>
          <w:color w:val="auto"/>
          <w:sz w:val="24"/>
          <w:szCs w:val="24"/>
          <w:lang w:val="en-US" w:eastAsia="zh-CN"/>
        </w:rPr>
      </w:pPr>
      <w:r>
        <w:rPr>
          <w:rFonts w:hint="default" w:ascii="宋体" w:hAnsi="宋体" w:cs="宋体"/>
          <w:bCs/>
          <w:color w:val="auto"/>
          <w:sz w:val="24"/>
          <w:szCs w:val="24"/>
          <w:lang w:val="en-US" w:eastAsia="zh-CN"/>
        </w:rPr>
        <w:t>〕141号）的规定，本单位为符合条件的残疾人福利性单位，且本单位参加</w:t>
      </w:r>
      <w:r>
        <w:rPr>
          <w:rFonts w:hint="eastAsia" w:ascii="宋体" w:hAnsi="宋体" w:cs="宋体"/>
          <w:bCs/>
          <w:color w:val="auto"/>
          <w:sz w:val="24"/>
          <w:szCs w:val="24"/>
        </w:rPr>
        <w:t>参加</w:t>
      </w:r>
      <w:r>
        <w:rPr>
          <w:rFonts w:hint="eastAsia" w:ascii="宋体" w:hAnsi="宋体" w:cs="宋体"/>
          <w:bCs/>
          <w:color w:val="auto"/>
          <w:sz w:val="24"/>
          <w:szCs w:val="24"/>
          <w:u w:val="single"/>
        </w:rPr>
        <w:t>（单位名称）</w:t>
      </w:r>
      <w:r>
        <w:rPr>
          <w:rFonts w:hint="eastAsia" w:ascii="宋体" w:hAnsi="宋体" w:cs="宋体"/>
          <w:bCs/>
          <w:color w:val="auto"/>
          <w:sz w:val="24"/>
          <w:szCs w:val="24"/>
        </w:rPr>
        <w:t>的</w:t>
      </w:r>
      <w:r>
        <w:rPr>
          <w:rFonts w:hint="eastAsia" w:ascii="宋体" w:hAnsi="宋体" w:cs="宋体"/>
          <w:bCs/>
          <w:color w:val="auto"/>
          <w:sz w:val="24"/>
          <w:szCs w:val="24"/>
          <w:u w:val="single"/>
        </w:rPr>
        <w:t>（项目名称）</w:t>
      </w:r>
      <w:r>
        <w:rPr>
          <w:rFonts w:hint="eastAsia" w:ascii="宋体" w:hAnsi="宋体" w:cs="宋体"/>
          <w:bCs/>
          <w:color w:val="auto"/>
          <w:sz w:val="24"/>
          <w:szCs w:val="24"/>
        </w:rPr>
        <w:t>采购活动</w:t>
      </w:r>
      <w:r>
        <w:rPr>
          <w:rFonts w:hint="default" w:ascii="宋体" w:hAnsi="宋体" w:cs="宋体"/>
          <w:bCs/>
          <w:color w:val="auto"/>
          <w:sz w:val="24"/>
          <w:szCs w:val="24"/>
          <w:lang w:val="en-US" w:eastAsia="zh-CN"/>
        </w:rPr>
        <w:t>提供本单位制造的货物（由本单位承担工程提供服务），或者提供其他残疾人福利性单位制造的货物（不包括使用非残疾人福利性单位注册商标的货物）。</w:t>
      </w:r>
    </w:p>
    <w:p>
      <w:pPr>
        <w:spacing w:line="360" w:lineRule="auto"/>
        <w:ind w:firstLine="496" w:firstLineChars="200"/>
        <w:rPr>
          <w:rFonts w:hint="default" w:ascii="宋体" w:hAnsi="宋体" w:cs="宋体"/>
          <w:bCs/>
          <w:color w:val="auto"/>
          <w:sz w:val="24"/>
          <w:szCs w:val="24"/>
          <w:lang w:val="en-US" w:eastAsia="zh-CN"/>
        </w:rPr>
      </w:pPr>
      <w:r>
        <w:rPr>
          <w:rFonts w:hint="default" w:ascii="宋体" w:hAnsi="宋体" w:cs="宋体"/>
          <w:bCs/>
          <w:color w:val="auto"/>
          <w:sz w:val="24"/>
          <w:szCs w:val="24"/>
          <w:lang w:val="en-US" w:eastAsia="zh-CN"/>
        </w:rPr>
        <w:t> </w:t>
      </w:r>
    </w:p>
    <w:p>
      <w:pPr>
        <w:spacing w:line="360" w:lineRule="auto"/>
        <w:ind w:firstLine="496" w:firstLineChars="200"/>
        <w:rPr>
          <w:rFonts w:hint="default" w:ascii="宋体" w:hAnsi="宋体" w:cs="宋体"/>
          <w:bCs/>
          <w:color w:val="auto"/>
          <w:sz w:val="24"/>
          <w:szCs w:val="24"/>
          <w:lang w:val="en-US" w:eastAsia="zh-CN"/>
        </w:rPr>
      </w:pPr>
      <w:r>
        <w:rPr>
          <w:rFonts w:hint="default" w:ascii="宋体" w:hAnsi="宋体" w:cs="宋体"/>
          <w:bCs/>
          <w:color w:val="auto"/>
          <w:sz w:val="24"/>
          <w:szCs w:val="24"/>
          <w:lang w:val="en-US" w:eastAsia="zh-CN"/>
        </w:rPr>
        <w:t>本单位对上述声明的真实性负责。如有虚假，将依法承担相应责任。</w:t>
      </w:r>
    </w:p>
    <w:p>
      <w:pPr>
        <w:spacing w:line="360" w:lineRule="auto"/>
        <w:ind w:firstLine="496" w:firstLineChars="200"/>
        <w:rPr>
          <w:rFonts w:hint="default" w:ascii="宋体" w:hAnsi="宋体" w:cs="宋体"/>
          <w:bCs/>
          <w:color w:val="auto"/>
          <w:sz w:val="24"/>
          <w:szCs w:val="24"/>
          <w:lang w:val="en-US" w:eastAsia="zh-CN"/>
        </w:rPr>
      </w:pPr>
    </w:p>
    <w:p>
      <w:pPr>
        <w:spacing w:line="360" w:lineRule="auto"/>
        <w:ind w:firstLine="496" w:firstLineChars="200"/>
        <w:rPr>
          <w:rFonts w:hint="default" w:ascii="宋体" w:hAnsi="宋体" w:cs="宋体"/>
          <w:bCs/>
          <w:color w:val="auto"/>
          <w:sz w:val="24"/>
          <w:szCs w:val="24"/>
          <w:lang w:val="en-US" w:eastAsia="zh-CN"/>
        </w:rPr>
      </w:pPr>
    </w:p>
    <w:p>
      <w:pPr>
        <w:spacing w:line="360" w:lineRule="auto"/>
        <w:ind w:firstLine="496" w:firstLineChars="200"/>
        <w:rPr>
          <w:rFonts w:hint="default" w:ascii="宋体" w:hAnsi="宋体" w:cs="宋体"/>
          <w:bCs/>
          <w:color w:val="auto"/>
          <w:sz w:val="24"/>
          <w:szCs w:val="24"/>
          <w:lang w:val="en-US" w:eastAsia="zh-CN"/>
        </w:rPr>
      </w:pPr>
      <w:r>
        <w:rPr>
          <w:rFonts w:hint="default" w:ascii="宋体" w:hAnsi="宋体" w:cs="宋体"/>
          <w:bCs/>
          <w:color w:val="auto"/>
          <w:sz w:val="24"/>
          <w:szCs w:val="24"/>
          <w:lang w:val="en-US" w:eastAsia="zh-CN"/>
        </w:rPr>
        <w:t> </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供应商（盖章）：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日 期：</w:t>
      </w: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rPr>
          <w:rFonts w:hint="eastAsia" w:ascii="宋体" w:hAnsi="宋体" w:eastAsia="宋体" w:cs="宋体"/>
          <w:b/>
          <w:color w:val="auto"/>
          <w:sz w:val="24"/>
          <w:szCs w:val="24"/>
          <w:highlight w:val="none"/>
          <w:lang w:val="en-US" w:eastAsia="zh-CN"/>
        </w:rPr>
      </w:pPr>
      <w:r>
        <w:rPr>
          <w:rFonts w:hint="eastAsia" w:ascii="宋体" w:hAnsi="宋体" w:cs="宋体"/>
          <w:b/>
          <w:sz w:val="24"/>
          <w:szCs w:val="24"/>
          <w:lang w:val="en-US" w:eastAsia="zh-CN"/>
        </w:rPr>
        <w:t>附件9</w:t>
      </w:r>
    </w:p>
    <w:p>
      <w:pPr>
        <w:spacing w:line="560" w:lineRule="exact"/>
        <w:jc w:val="center"/>
        <w:rPr>
          <w:rFonts w:hint="default" w:ascii="宋体" w:hAnsi="宋体" w:cs="宋体" w:eastAsiaTheme="minorEastAsia"/>
          <w:b/>
          <w:color w:val="auto"/>
          <w:kern w:val="2"/>
          <w:sz w:val="24"/>
          <w:szCs w:val="24"/>
          <w:lang w:val="en-US" w:eastAsia="zh-CN" w:bidi="ar-SA"/>
        </w:rPr>
      </w:pPr>
      <w:r>
        <w:rPr>
          <w:rFonts w:hint="default" w:ascii="宋体" w:hAnsi="宋体" w:cs="宋体" w:eastAsiaTheme="minorEastAsia"/>
          <w:b/>
          <w:color w:val="auto"/>
          <w:kern w:val="2"/>
          <w:sz w:val="24"/>
          <w:szCs w:val="24"/>
          <w:lang w:val="en-US" w:eastAsia="zh-CN" w:bidi="ar-SA"/>
        </w:rPr>
        <w:t>监狱企业证明函</w:t>
      </w:r>
    </w:p>
    <w:p>
      <w:pPr>
        <w:spacing w:line="360" w:lineRule="auto"/>
        <w:ind w:firstLine="496" w:firstLineChars="200"/>
        <w:rPr>
          <w:rFonts w:hint="default" w:ascii="宋体" w:hAnsi="宋体" w:cs="宋体"/>
          <w:bCs/>
          <w:color w:val="auto"/>
          <w:sz w:val="24"/>
          <w:szCs w:val="24"/>
          <w:lang w:val="en-US" w:eastAsia="zh-CN"/>
        </w:rPr>
      </w:pPr>
      <w:r>
        <w:rPr>
          <w:rFonts w:hint="default" w:ascii="宋体" w:hAnsi="宋体" w:cs="宋体"/>
          <w:bCs/>
          <w:color w:val="auto"/>
          <w:sz w:val="24"/>
          <w:szCs w:val="24"/>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96" w:firstLineChars="200"/>
        <w:rPr>
          <w:rFonts w:hint="default" w:ascii="宋体" w:hAnsi="宋体" w:cs="宋体"/>
          <w:bCs/>
          <w:color w:val="auto"/>
          <w:sz w:val="24"/>
          <w:szCs w:val="24"/>
          <w:lang w:val="en-US" w:eastAsia="zh-CN"/>
        </w:rPr>
      </w:pPr>
      <w:r>
        <w:rPr>
          <w:rFonts w:hint="default" w:ascii="宋体" w:hAnsi="宋体" w:cs="宋体"/>
          <w:bCs/>
          <w:color w:val="auto"/>
          <w:sz w:val="24"/>
          <w:szCs w:val="24"/>
          <w:lang w:val="en-US" w:eastAsia="zh-CN"/>
        </w:rPr>
        <w:t>监狱企业参加政府采购活动时，应当提供由省级以上监狱管理局、戒毒管理局（含新疆生产建设兵团）出具的属于监狱企业的证明文件。</w:t>
      </w:r>
    </w:p>
    <w:p>
      <w:pPr>
        <w:pStyle w:val="2"/>
        <w:rPr>
          <w:rFonts w:hint="default" w:ascii="宋体" w:hAnsi="宋体" w:cs="宋体"/>
          <w:bCs/>
          <w:color w:val="auto"/>
          <w:sz w:val="24"/>
          <w:szCs w:val="24"/>
          <w:lang w:val="en-US" w:eastAsia="zh-CN"/>
        </w:rPr>
      </w:pPr>
    </w:p>
    <w:p>
      <w:pPr>
        <w:pStyle w:val="4"/>
        <w:rPr>
          <w:rFonts w:hint="default" w:ascii="宋体" w:hAnsi="宋体" w:cs="宋体"/>
          <w:bCs/>
          <w:color w:val="auto"/>
          <w:sz w:val="24"/>
          <w:szCs w:val="24"/>
          <w:lang w:val="en-US" w:eastAsia="zh-CN"/>
        </w:rPr>
      </w:pPr>
    </w:p>
    <w:p>
      <w:pPr>
        <w:pStyle w:val="6"/>
        <w:rPr>
          <w:rFonts w:hint="default" w:ascii="宋体" w:hAnsi="宋体" w:cs="宋体"/>
          <w:bCs/>
          <w:color w:val="auto"/>
          <w:sz w:val="24"/>
          <w:szCs w:val="24"/>
          <w:lang w:val="en-US" w:eastAsia="zh-CN"/>
        </w:rPr>
      </w:pPr>
    </w:p>
    <w:p>
      <w:pPr>
        <w:pStyle w:val="4"/>
        <w:rPr>
          <w:rFonts w:hint="default" w:ascii="宋体" w:hAnsi="宋体" w:cs="宋体"/>
          <w:bCs/>
          <w:color w:val="auto"/>
          <w:sz w:val="24"/>
          <w:szCs w:val="24"/>
          <w:lang w:val="en-US" w:eastAsia="zh-CN"/>
        </w:rPr>
      </w:pPr>
    </w:p>
    <w:p>
      <w:pPr>
        <w:pStyle w:val="6"/>
        <w:rPr>
          <w:rFonts w:hint="default" w:ascii="宋体" w:hAnsi="宋体" w:cs="宋体"/>
          <w:bCs/>
          <w:color w:val="auto"/>
          <w:sz w:val="24"/>
          <w:szCs w:val="24"/>
          <w:lang w:val="en-US" w:eastAsia="zh-CN"/>
        </w:rPr>
      </w:pPr>
    </w:p>
    <w:p>
      <w:pPr>
        <w:pStyle w:val="4"/>
        <w:rPr>
          <w:rFonts w:hint="default" w:ascii="宋体" w:hAnsi="宋体" w:cs="宋体"/>
          <w:bCs/>
          <w:color w:val="auto"/>
          <w:sz w:val="24"/>
          <w:szCs w:val="24"/>
          <w:lang w:val="en-US" w:eastAsia="zh-CN"/>
        </w:rPr>
      </w:pP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default" w:ascii="Arial" w:hAnsi="Arial" w:cs="Arial"/>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color="auto" w:fill="FFFFFF"/>
          <w:lang w:val="en-US" w:eastAsia="zh-CN" w:bidi="ar"/>
        </w:rPr>
        <w:t>供应商（盖章）：</w:t>
      </w:r>
    </w:p>
    <w:p>
      <w:pPr>
        <w:keepNext w:val="0"/>
        <w:keepLines w:val="0"/>
        <w:widowControl/>
        <w:suppressLineNumbers w:val="0"/>
        <w:shd w:val="clear" w:color="auto" w:fill="FFFFFF"/>
        <w:spacing w:before="100" w:beforeAutospacing="1" w:after="100" w:afterAutospacing="1" w:line="435" w:lineRule="atLeast"/>
        <w:ind w:left="0" w:right="0" w:firstLine="5280"/>
        <w:jc w:val="left"/>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t>日 期：</w:t>
      </w:r>
    </w:p>
    <w:p>
      <w:pPr>
        <w:pStyle w:val="6"/>
        <w:rPr>
          <w:rFonts w:hint="eastAsia"/>
          <w:lang w:val="en-US" w:eastAsia="zh-CN"/>
        </w:rPr>
      </w:pPr>
    </w:p>
    <w:p>
      <w:pPr>
        <w:pStyle w:val="2"/>
        <w:ind w:left="0" w:leftChars="0" w:firstLine="0" w:firstLineChars="0"/>
        <w:rPr>
          <w:rFonts w:hint="eastAsia"/>
          <w:lang w:val="en-US" w:eastAsia="zh-CN"/>
        </w:rPr>
      </w:pPr>
    </w:p>
    <w:p>
      <w:pPr>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i w:val="0"/>
          <w:iCs w:val="0"/>
          <w:caps w:val="0"/>
          <w:color w:val="333333"/>
          <w:spacing w:val="0"/>
          <w:kern w:val="0"/>
          <w:sz w:val="24"/>
          <w:szCs w:val="24"/>
          <w:shd w:val="clear" w:color="auto" w:fill="FFFFFF"/>
          <w:lang w:val="en-US" w:eastAsia="zh-CN" w:bidi="ar"/>
        </w:rPr>
        <w:br w:type="page"/>
      </w:r>
    </w:p>
    <w:p>
      <w:pPr>
        <w:pStyle w:val="105"/>
        <w:spacing w:before="197" w:after="197"/>
        <w:ind w:firstLine="659"/>
        <w:jc w:val="center"/>
        <w:rPr>
          <w:rFonts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第四部分  供应商概况</w:t>
      </w:r>
      <w:bookmarkEnd w:id="244"/>
      <w:bookmarkEnd w:id="245"/>
    </w:p>
    <w:tbl>
      <w:tblPr>
        <w:tblStyle w:val="9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供应商全称</w:t>
            </w: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注册地址</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成立时间</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统一社会信用代码</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单位性质</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法定代表人</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（主要负责人）</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所属行业</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基本存款账户</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开户银行</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基本存款</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账户账号</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上年度</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营业收入*</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资产总额</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经营范围</w:t>
            </w: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资质证书名称</w:t>
            </w: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证书号</w:t>
            </w: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等级</w:t>
            </w: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2416"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2929" w:type="dxa"/>
            <w:gridSpan w:val="2"/>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restart"/>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从业人员总数</w:t>
            </w:r>
          </w:p>
        </w:tc>
        <w:tc>
          <w:tcPr>
            <w:tcW w:w="992" w:type="dxa"/>
            <w:vMerge w:val="restart"/>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管理人员</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专业技术</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人员数量</w:t>
            </w:r>
          </w:p>
        </w:tc>
        <w:tc>
          <w:tcPr>
            <w:tcW w:w="1465"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vMerge w:val="continue"/>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992" w:type="dxa"/>
            <w:vMerge w:val="continue"/>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24"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残疾人</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11"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1464"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少数民族</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数量</w:t>
            </w:r>
          </w:p>
        </w:tc>
        <w:tc>
          <w:tcPr>
            <w:tcW w:w="1465"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8" w:type="dxa"/>
            <w:gridSpan w:val="6"/>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关系</w:t>
            </w: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12" w:type="dxa"/>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说明</w:t>
            </w:r>
          </w:p>
        </w:tc>
        <w:tc>
          <w:tcPr>
            <w:tcW w:w="6756" w:type="dxa"/>
            <w:gridSpan w:val="5"/>
          </w:tcPr>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1.成立时间至提交投标文件截止时间不足一年的可不填写“上年度营业收入”。</w:t>
            </w:r>
          </w:p>
          <w:p>
            <w:pPr>
              <w:ind w:firstLine="0"/>
              <w:jc w:val="both"/>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2.表格空间不足时，请自行扩展。</w:t>
            </w:r>
          </w:p>
        </w:tc>
      </w:tr>
    </w:tbl>
    <w:p>
      <w:pPr>
        <w:rPr>
          <w:rFonts w:ascii="宋体" w:hAnsi="宋体" w:eastAsia="宋体" w:cs="宋体"/>
          <w:color w:val="000000" w:themeColor="text1"/>
          <w:sz w:val="32"/>
          <w:szCs w:val="32"/>
          <w:highlight w:val="none"/>
          <w14:textFill>
            <w14:solidFill>
              <w14:schemeClr w14:val="tx1"/>
            </w14:solidFill>
          </w14:textFill>
        </w:rPr>
      </w:pPr>
    </w:p>
    <w:p>
      <w:pP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br w:type="page"/>
      </w:r>
    </w:p>
    <w:p>
      <w:pPr>
        <w:pStyle w:val="8"/>
        <w:spacing w:beforeLines="100" w:afterLines="150" w:line="500" w:lineRule="exact"/>
        <w:ind w:firstLine="657"/>
        <w:jc w:val="center"/>
        <w:rPr>
          <w:rFonts w:ascii="宋体" w:hAnsi="宋体" w:eastAsia="宋体" w:cs="宋体"/>
          <w:color w:val="000000" w:themeColor="text1"/>
          <w:highlight w:val="none"/>
          <w14:textFill>
            <w14:solidFill>
              <w14:schemeClr w14:val="tx1"/>
            </w14:solidFill>
          </w14:textFill>
        </w:rPr>
      </w:pPr>
      <w:bookmarkStart w:id="249" w:name="_Toc6201"/>
      <w:bookmarkStart w:id="250" w:name="_Toc667"/>
      <w:r>
        <w:rPr>
          <w:rFonts w:hint="eastAsia" w:ascii="宋体" w:hAnsi="宋体" w:eastAsia="宋体" w:cs="宋体"/>
          <w:color w:val="000000" w:themeColor="text1"/>
          <w:highlight w:val="none"/>
          <w14:textFill>
            <w14:solidFill>
              <w14:schemeClr w14:val="tx1"/>
            </w14:solidFill>
          </w14:textFill>
        </w:rPr>
        <w:t xml:space="preserve">第五部分  </w:t>
      </w:r>
      <w:bookmarkEnd w:id="236"/>
      <w:bookmarkEnd w:id="237"/>
      <w:bookmarkEnd w:id="238"/>
      <w:bookmarkEnd w:id="239"/>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方案</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供应商可根据评审办法自行编写，格式不限。</w:t>
      </w:r>
      <w:bookmarkEnd w:id="249"/>
      <w:bookmarkEnd w:id="250"/>
    </w:p>
    <w:bookmarkEnd w:id="240"/>
    <w:bookmarkEnd w:id="241"/>
    <w:bookmarkEnd w:id="242"/>
    <w:bookmarkEnd w:id="243"/>
    <w:p>
      <w:pPr>
        <w:rPr>
          <w:rFonts w:hint="eastAsia" w:ascii="宋体" w:hAnsi="宋体" w:eastAsia="宋体" w:cs="宋体"/>
          <w:color w:val="000000" w:themeColor="text1"/>
          <w:highlight w:val="none"/>
          <w14:textFill>
            <w14:solidFill>
              <w14:schemeClr w14:val="tx1"/>
            </w14:solidFill>
          </w14:textFill>
        </w:rPr>
      </w:pPr>
      <w:bookmarkStart w:id="251" w:name="_Toc258"/>
      <w:bookmarkStart w:id="252" w:name="_Toc24830"/>
      <w:bookmarkStart w:id="253" w:name="_Toc7924"/>
      <w:bookmarkStart w:id="254" w:name="_Toc14799"/>
      <w:r>
        <w:rPr>
          <w:rFonts w:hint="eastAsia" w:ascii="宋体" w:hAnsi="宋体" w:eastAsia="宋体" w:cs="宋体"/>
          <w:color w:val="000000" w:themeColor="text1"/>
          <w:highlight w:val="none"/>
          <w14:textFill>
            <w14:solidFill>
              <w14:schemeClr w14:val="tx1"/>
            </w14:solidFill>
          </w14:textFill>
        </w:rPr>
        <w:br w:type="page"/>
      </w:r>
    </w:p>
    <w:p>
      <w:pPr>
        <w:pStyle w:val="8"/>
        <w:ind w:firstLine="657"/>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第六部分  </w:t>
      </w:r>
      <w:bookmarkEnd w:id="251"/>
      <w:bookmarkEnd w:id="252"/>
      <w:bookmarkEnd w:id="253"/>
      <w:bookmarkEnd w:id="254"/>
      <w:r>
        <w:rPr>
          <w:rFonts w:hint="eastAsia" w:ascii="宋体" w:hAnsi="宋体" w:eastAsia="宋体" w:cs="宋体"/>
          <w:color w:val="000000" w:themeColor="text1"/>
          <w:highlight w:val="none"/>
          <w14:textFill>
            <w14:solidFill>
              <w14:schemeClr w14:val="tx1"/>
            </w14:solidFill>
          </w14:textFill>
        </w:rPr>
        <w:t>商务和技术响应偏离表</w:t>
      </w:r>
    </w:p>
    <w:p>
      <w:pPr>
        <w:kinsoku w:val="0"/>
        <w:spacing w:line="480" w:lineRule="auto"/>
        <w:ind w:left="1269" w:hanging="1267" w:hangingChars="440"/>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表1、商务</w:t>
      </w:r>
      <w:r>
        <w:rPr>
          <w:rFonts w:hint="eastAsia" w:ascii="宋体" w:hAnsi="宋体" w:eastAsia="宋体" w:cs="宋体"/>
          <w:color w:val="000000" w:themeColor="text1"/>
          <w:sz w:val="28"/>
          <w:szCs w:val="28"/>
          <w:highlight w:val="none"/>
          <w:lang w:val="en-US" w:eastAsia="zh-CN"/>
          <w14:textFill>
            <w14:solidFill>
              <w14:schemeClr w14:val="tx1"/>
            </w14:solidFill>
          </w14:textFill>
        </w:rPr>
        <w:t>要求响应</w:t>
      </w:r>
      <w:r>
        <w:rPr>
          <w:rFonts w:hint="eastAsia" w:ascii="宋体" w:hAnsi="宋体" w:eastAsia="宋体" w:cs="宋体"/>
          <w:color w:val="000000" w:themeColor="text1"/>
          <w:sz w:val="28"/>
          <w:szCs w:val="28"/>
          <w:highlight w:val="none"/>
          <w14:textFill>
            <w14:solidFill>
              <w14:schemeClr w14:val="tx1"/>
            </w14:solidFill>
          </w14:textFill>
        </w:rPr>
        <w:t>偏差表</w:t>
      </w:r>
    </w:p>
    <w:tbl>
      <w:tblPr>
        <w:tblStyle w:val="34"/>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25"/>
        <w:gridCol w:w="1740"/>
        <w:gridCol w:w="275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56" w:type="dxa"/>
            <w:vAlign w:val="center"/>
          </w:tcPr>
          <w:p>
            <w:pPr>
              <w:pStyle w:val="20"/>
              <w:spacing w:line="480" w:lineRule="auto"/>
              <w:jc w:val="center"/>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序号</w:t>
            </w:r>
          </w:p>
        </w:tc>
        <w:tc>
          <w:tcPr>
            <w:tcW w:w="1425" w:type="dxa"/>
            <w:vAlign w:val="center"/>
          </w:tcPr>
          <w:p>
            <w:pPr>
              <w:pStyle w:val="20"/>
              <w:spacing w:line="480" w:lineRule="auto"/>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 xml:space="preserve"> 商务条款</w:t>
            </w:r>
          </w:p>
        </w:tc>
        <w:tc>
          <w:tcPr>
            <w:tcW w:w="1740" w:type="dxa"/>
            <w:vAlign w:val="center"/>
          </w:tcPr>
          <w:p>
            <w:pPr>
              <w:pStyle w:val="20"/>
              <w:spacing w:line="480" w:lineRule="auto"/>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商务要求内容</w:t>
            </w:r>
          </w:p>
        </w:tc>
        <w:tc>
          <w:tcPr>
            <w:tcW w:w="2755" w:type="dxa"/>
            <w:vAlign w:val="center"/>
          </w:tcPr>
          <w:p>
            <w:pPr>
              <w:pStyle w:val="20"/>
              <w:spacing w:line="480" w:lineRule="auto"/>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响应文件响应商务内容</w:t>
            </w:r>
          </w:p>
        </w:tc>
        <w:tc>
          <w:tcPr>
            <w:tcW w:w="1550" w:type="dxa"/>
            <w:vAlign w:val="center"/>
          </w:tcPr>
          <w:p>
            <w:pPr>
              <w:pStyle w:val="20"/>
              <w:spacing w:line="480" w:lineRule="auto"/>
              <w:jc w:val="center"/>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vAlign w:val="center"/>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6"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42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56" w:type="dxa"/>
          </w:tcPr>
          <w:p>
            <w:pPr>
              <w:pStyle w:val="20"/>
              <w:spacing w:line="240" w:lineRule="auto"/>
              <w:rPr>
                <w:rFonts w:hint="default" w:hAnsi="宋体" w:eastAsia="宋体" w:cs="宋体"/>
                <w:color w:val="000000" w:themeColor="text1"/>
                <w:sz w:val="24"/>
                <w:highlight w:val="none"/>
                <w:lang w:val="en-US" w:eastAsia="zh-CN"/>
                <w14:textFill>
                  <w14:solidFill>
                    <w14:schemeClr w14:val="tx1"/>
                  </w14:solidFill>
                </w14:textFill>
              </w:rPr>
            </w:pPr>
            <w:r>
              <w:rPr>
                <w:rFonts w:hint="eastAsia" w:hAnsi="宋体" w:eastAsia="宋体" w:cs="宋体"/>
                <w:color w:val="000000" w:themeColor="text1"/>
                <w:sz w:val="24"/>
                <w:highlight w:val="none"/>
                <w:lang w:val="en-US" w:eastAsia="zh-CN"/>
                <w14:textFill>
                  <w14:solidFill>
                    <w14:schemeClr w14:val="tx1"/>
                  </w14:solidFill>
                </w14:textFill>
              </w:rPr>
              <w:t>...</w:t>
            </w:r>
          </w:p>
        </w:tc>
        <w:tc>
          <w:tcPr>
            <w:tcW w:w="1425" w:type="dxa"/>
          </w:tcPr>
          <w:p>
            <w:pPr>
              <w:pStyle w:val="20"/>
              <w:spacing w:line="240" w:lineRule="auto"/>
              <w:rPr>
                <w:rFonts w:hint="eastAsia" w:hAnsi="宋体" w:eastAsia="宋体" w:cs="宋体"/>
                <w:color w:val="000000" w:themeColor="text1"/>
                <w:sz w:val="24"/>
                <w:highlight w:val="none"/>
                <w:lang w:eastAsia="zh-CN"/>
                <w14:textFill>
                  <w14:solidFill>
                    <w14:schemeClr w14:val="tx1"/>
                  </w14:solidFill>
                </w14:textFill>
              </w:rPr>
            </w:pPr>
          </w:p>
        </w:tc>
        <w:tc>
          <w:tcPr>
            <w:tcW w:w="174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2755"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c>
          <w:tcPr>
            <w:tcW w:w="1550" w:type="dxa"/>
          </w:tcPr>
          <w:p>
            <w:pPr>
              <w:pStyle w:val="20"/>
              <w:spacing w:line="480" w:lineRule="auto"/>
              <w:ind w:firstLine="496" w:firstLineChars="200"/>
              <w:rPr>
                <w:rFonts w:hAnsi="宋体" w:eastAsia="宋体" w:cs="宋体"/>
                <w:color w:val="000000" w:themeColor="text1"/>
                <w:sz w:val="24"/>
                <w:highlight w:val="none"/>
                <w14:textFill>
                  <w14:solidFill>
                    <w14:schemeClr w14:val="tx1"/>
                  </w14:solidFill>
                </w14:textFill>
              </w:rPr>
            </w:pPr>
          </w:p>
        </w:tc>
      </w:tr>
    </w:tbl>
    <w:p>
      <w:pPr>
        <w:snapToGrid w:val="0"/>
        <w:spacing w:line="360" w:lineRule="auto"/>
        <w:ind w:firstLine="496" w:firstLineChars="200"/>
        <w:rPr>
          <w:rFonts w:hint="eastAsia" w:ascii="宋体" w:hAnsi="宋体" w:cs="宋体"/>
          <w:sz w:val="24"/>
          <w:szCs w:val="24"/>
        </w:rPr>
      </w:pPr>
      <w:r>
        <w:rPr>
          <w:rFonts w:hint="eastAsia" w:ascii="宋体" w:hAnsi="宋体" w:cs="宋体"/>
          <w:sz w:val="24"/>
          <w:szCs w:val="24"/>
        </w:rPr>
        <w:t>说明：</w:t>
      </w:r>
    </w:p>
    <w:p>
      <w:pPr>
        <w:snapToGrid w:val="0"/>
        <w:spacing w:line="360" w:lineRule="auto"/>
        <w:ind w:firstLine="496" w:firstLineChars="200"/>
        <w:rPr>
          <w:rFonts w:hint="eastAsia" w:ascii="宋体" w:hAnsi="宋体" w:cs="宋体"/>
          <w:sz w:val="24"/>
          <w:szCs w:val="24"/>
        </w:rPr>
      </w:pPr>
      <w:r>
        <w:rPr>
          <w:rFonts w:hint="eastAsia" w:ascii="宋体" w:hAnsi="宋体" w:cs="宋体"/>
          <w:sz w:val="24"/>
          <w:szCs w:val="24"/>
        </w:rPr>
        <w:t>1.本表只填写</w:t>
      </w:r>
      <w:r>
        <w:rPr>
          <w:rFonts w:hint="eastAsia" w:ascii="宋体" w:hAnsi="宋体" w:cs="宋体"/>
          <w:sz w:val="24"/>
          <w:szCs w:val="24"/>
          <w:lang w:val="en-US" w:eastAsia="zh-CN"/>
        </w:rPr>
        <w:t>投标文件</w:t>
      </w:r>
      <w:r>
        <w:rPr>
          <w:rFonts w:hint="eastAsia" w:ascii="宋体" w:hAnsi="宋体" w:cs="宋体"/>
          <w:sz w:val="24"/>
          <w:szCs w:val="24"/>
        </w:rPr>
        <w:t>中与</w:t>
      </w:r>
      <w:r>
        <w:rPr>
          <w:rFonts w:hint="eastAsia" w:ascii="宋体" w:hAnsi="宋体" w:cs="宋体"/>
          <w:sz w:val="24"/>
          <w:szCs w:val="24"/>
          <w:lang w:val="en-US" w:eastAsia="zh-CN"/>
        </w:rPr>
        <w:t>招标</w:t>
      </w:r>
      <w:r>
        <w:rPr>
          <w:rFonts w:hint="eastAsia" w:ascii="宋体" w:hAnsi="宋体" w:cs="宋体"/>
          <w:sz w:val="24"/>
          <w:szCs w:val="24"/>
        </w:rPr>
        <w:t>文件</w:t>
      </w:r>
      <w:r>
        <w:rPr>
          <w:rFonts w:hint="eastAsia" w:ascii="宋体" w:hAnsi="宋体" w:cs="宋体"/>
          <w:sz w:val="24"/>
          <w:szCs w:val="24"/>
          <w:lang w:val="en-US" w:eastAsia="zh-CN"/>
        </w:rPr>
        <w:t>商务要求</w:t>
      </w:r>
      <w:r>
        <w:rPr>
          <w:rFonts w:hint="eastAsia" w:ascii="宋体" w:hAnsi="宋体" w:cs="宋体"/>
          <w:sz w:val="24"/>
          <w:szCs w:val="24"/>
        </w:rPr>
        <w:t>有偏离（包括正偏离和负偏离）的内容，完全一致的，不用在此表中列出，但必须提交空白表。</w:t>
      </w:r>
    </w:p>
    <w:p>
      <w:pPr>
        <w:pStyle w:val="6"/>
        <w:spacing w:line="360" w:lineRule="auto"/>
        <w:ind w:left="0" w:leftChars="0" w:firstLine="496" w:firstLineChars="200"/>
        <w:rPr>
          <w:rFonts w:hint="eastAsia" w:ascii="宋体" w:hAnsi="宋体" w:cs="宋体"/>
          <w:sz w:val="24"/>
          <w:szCs w:val="24"/>
        </w:rPr>
      </w:pPr>
      <w:r>
        <w:rPr>
          <w:rFonts w:hint="eastAsia" w:ascii="宋体" w:hAnsi="宋体" w:cs="宋体"/>
          <w:sz w:val="24"/>
          <w:szCs w:val="24"/>
        </w:rPr>
        <w:t>2.供应商必须据实填写，不得虚假响应，否则将取消其</w:t>
      </w:r>
      <w:r>
        <w:rPr>
          <w:rFonts w:hint="eastAsia" w:ascii="宋体" w:hAnsi="宋体" w:cs="宋体"/>
          <w:sz w:val="24"/>
          <w:szCs w:val="24"/>
          <w:lang w:val="en-US" w:eastAsia="zh-CN"/>
        </w:rPr>
        <w:t>投标或</w:t>
      </w:r>
      <w:r>
        <w:rPr>
          <w:rFonts w:hint="eastAsia" w:ascii="宋体" w:hAnsi="宋体" w:cs="宋体"/>
          <w:sz w:val="24"/>
          <w:szCs w:val="24"/>
        </w:rPr>
        <w:t>成交资格，并按有关规定进处罚。</w:t>
      </w:r>
    </w:p>
    <w:p>
      <w:pPr>
        <w:pStyle w:val="4"/>
        <w:ind w:left="0" w:leftChars="0" w:firstLine="496" w:firstLineChars="200"/>
        <w:rPr>
          <w:rFonts w:hint="default" w:eastAsiaTheme="minorEastAsia"/>
          <w:lang w:val="en-US" w:eastAsia="zh-CN"/>
        </w:rPr>
      </w:pPr>
      <w:r>
        <w:rPr>
          <w:rFonts w:hint="eastAsia" w:ascii="宋体" w:hAnsi="宋体" w:cs="宋体"/>
          <w:sz w:val="24"/>
          <w:szCs w:val="24"/>
          <w:lang w:val="en-US" w:eastAsia="zh-CN"/>
        </w:rPr>
        <w:t>3.本项目商务要求不允许负偏离。</w:t>
      </w:r>
    </w:p>
    <w:p>
      <w:pPr>
        <w:adjustRightInd w:val="0"/>
        <w:snapToGrid w:val="0"/>
        <w:spacing w:line="480" w:lineRule="auto"/>
        <w:rPr>
          <w:rFonts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sectPr>
          <w:footerReference r:id="rId11" w:type="default"/>
          <w:pgSz w:w="11906" w:h="16838"/>
          <w:pgMar w:top="1440" w:right="1083" w:bottom="1440" w:left="1083" w:header="850" w:footer="992" w:gutter="0"/>
          <w:pgNumType w:fmt="numberInDash"/>
          <w:cols w:space="0" w:num="1"/>
          <w:titlePg/>
          <w:docGrid w:type="linesAndChars" w:linePitch="395" w:charSpace="1724"/>
        </w:sect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表2、</w:t>
      </w:r>
      <w:r>
        <w:rPr>
          <w:rFonts w:hint="eastAsia" w:ascii="宋体" w:hAnsi="宋体" w:eastAsia="宋体" w:cs="宋体"/>
          <w:color w:val="000000" w:themeColor="text1"/>
          <w:sz w:val="28"/>
          <w:szCs w:val="28"/>
          <w:highlight w:val="none"/>
          <w:lang w:val="en-US" w:eastAsia="zh-CN"/>
          <w14:textFill>
            <w14:solidFill>
              <w14:schemeClr w14:val="tx1"/>
            </w14:solidFill>
          </w14:textFill>
        </w:rPr>
        <w:t>技术要求</w:t>
      </w:r>
      <w:r>
        <w:rPr>
          <w:rFonts w:hint="eastAsia" w:ascii="宋体" w:hAnsi="宋体" w:eastAsia="宋体" w:cs="宋体"/>
          <w:color w:val="000000" w:themeColor="text1"/>
          <w:sz w:val="28"/>
          <w:szCs w:val="28"/>
          <w:highlight w:val="none"/>
          <w14:textFill>
            <w14:solidFill>
              <w14:schemeClr w14:val="tx1"/>
            </w14:solidFill>
          </w14:textFill>
        </w:rPr>
        <w:t>响应偏差表</w:t>
      </w:r>
    </w:p>
    <w:tbl>
      <w:tblPr>
        <w:tblStyle w:val="34"/>
        <w:tblW w:w="87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5"/>
        <w:gridCol w:w="2084"/>
        <w:gridCol w:w="221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vAlign w:val="center"/>
          </w:tcPr>
          <w:p>
            <w:pPr>
              <w:pStyle w:val="20"/>
              <w:spacing w:line="480" w:lineRule="auto"/>
              <w:jc w:val="center"/>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序号</w:t>
            </w:r>
          </w:p>
        </w:tc>
        <w:tc>
          <w:tcPr>
            <w:tcW w:w="2135" w:type="dxa"/>
            <w:vAlign w:val="center"/>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产品名称</w:t>
            </w:r>
          </w:p>
        </w:tc>
        <w:tc>
          <w:tcPr>
            <w:tcW w:w="2084" w:type="dxa"/>
            <w:vAlign w:val="center"/>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文件要求</w:t>
            </w:r>
          </w:p>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技术指标</w:t>
            </w:r>
          </w:p>
        </w:tc>
        <w:tc>
          <w:tcPr>
            <w:tcW w:w="2216" w:type="dxa"/>
            <w:vAlign w:val="center"/>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投标产品</w:t>
            </w:r>
          </w:p>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技术指标</w:t>
            </w:r>
          </w:p>
        </w:tc>
        <w:tc>
          <w:tcPr>
            <w:tcW w:w="1470" w:type="dxa"/>
            <w:vAlign w:val="center"/>
          </w:tcPr>
          <w:p>
            <w:pPr>
              <w:pStyle w:val="20"/>
              <w:spacing w:line="480" w:lineRule="auto"/>
              <w:jc w:val="center"/>
              <w:rPr>
                <w:rFonts w:hAnsi="宋体" w:eastAsia="宋体" w:cs="宋体"/>
                <w:color w:val="000000" w:themeColor="text1"/>
                <w:sz w:val="24"/>
                <w:highlight w:val="none"/>
                <w14:textFill>
                  <w14:solidFill>
                    <w14:schemeClr w14:val="tx1"/>
                  </w14:solidFill>
                </w14:textFill>
              </w:rPr>
            </w:pPr>
            <w:r>
              <w:rPr>
                <w:rFonts w:hint="eastAsia" w:hAnsi="宋体" w:eastAsia="宋体" w:cs="宋体"/>
                <w:color w:val="000000" w:themeColor="text1"/>
                <w:sz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084" w:type="dxa"/>
            <w:vAlign w:val="center"/>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216" w:type="dxa"/>
            <w:vAlign w:val="center"/>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1470" w:type="dxa"/>
            <w:vAlign w:val="center"/>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135"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084"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2216"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c>
          <w:tcPr>
            <w:tcW w:w="1470" w:type="dxa"/>
          </w:tcPr>
          <w:p>
            <w:pPr>
              <w:pStyle w:val="20"/>
              <w:spacing w:line="480" w:lineRule="auto"/>
              <w:ind w:firstLine="480" w:firstLineChars="200"/>
              <w:rPr>
                <w:rFonts w:hAnsi="宋体" w:eastAsia="宋体" w:cs="宋体"/>
                <w:color w:val="000000" w:themeColor="text1"/>
                <w:sz w:val="24"/>
                <w:highlight w:val="none"/>
                <w14:textFill>
                  <w14:solidFill>
                    <w14:schemeClr w14:val="tx1"/>
                  </w14:solidFill>
                </w14:textFill>
              </w:rPr>
            </w:pPr>
          </w:p>
        </w:tc>
      </w:tr>
    </w:tbl>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说明：</w:t>
      </w:r>
    </w:p>
    <w:p>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1.本表只填写</w:t>
      </w:r>
      <w:r>
        <w:rPr>
          <w:rFonts w:hint="eastAsia" w:ascii="宋体" w:hAnsi="宋体" w:cs="宋体"/>
          <w:sz w:val="24"/>
          <w:szCs w:val="24"/>
          <w:lang w:val="en-US" w:eastAsia="zh-CN"/>
        </w:rPr>
        <w:t>投标文件</w:t>
      </w:r>
      <w:r>
        <w:rPr>
          <w:rFonts w:hint="eastAsia" w:ascii="宋体" w:hAnsi="宋体" w:cs="宋体"/>
          <w:sz w:val="24"/>
          <w:szCs w:val="24"/>
        </w:rPr>
        <w:t>中与</w:t>
      </w:r>
      <w:r>
        <w:rPr>
          <w:rFonts w:hint="eastAsia" w:ascii="宋体" w:hAnsi="宋体" w:cs="宋体"/>
          <w:sz w:val="24"/>
          <w:szCs w:val="24"/>
          <w:lang w:val="en-US" w:eastAsia="zh-CN"/>
        </w:rPr>
        <w:t>招标</w:t>
      </w:r>
      <w:r>
        <w:rPr>
          <w:rFonts w:hint="eastAsia" w:ascii="宋体" w:hAnsi="宋体" w:cs="宋体"/>
          <w:sz w:val="24"/>
          <w:szCs w:val="24"/>
        </w:rPr>
        <w:t>文件</w:t>
      </w:r>
      <w:r>
        <w:rPr>
          <w:rFonts w:hint="eastAsia" w:ascii="宋体" w:hAnsi="宋体" w:cs="宋体"/>
          <w:sz w:val="24"/>
          <w:szCs w:val="24"/>
          <w:lang w:val="en-US" w:eastAsia="zh-CN"/>
        </w:rPr>
        <w:t>技术要求</w:t>
      </w:r>
      <w:r>
        <w:rPr>
          <w:rFonts w:hint="eastAsia" w:ascii="宋体" w:hAnsi="宋体" w:cs="宋体"/>
          <w:sz w:val="24"/>
          <w:szCs w:val="24"/>
        </w:rPr>
        <w:t>有偏离（包括正偏离和负偏离）的内容，完全一致的，不用在此表中列出，但必须提交空白表。</w:t>
      </w:r>
    </w:p>
    <w:p>
      <w:pPr>
        <w:pStyle w:val="6"/>
        <w:spacing w:line="360" w:lineRule="auto"/>
        <w:ind w:left="0" w:leftChars="0"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cs="宋体"/>
          <w:sz w:val="24"/>
          <w:szCs w:val="24"/>
        </w:rPr>
        <w:t>2.供应商必须据实填写，不得虚假响应，否则将取消其</w:t>
      </w:r>
      <w:r>
        <w:rPr>
          <w:rFonts w:hint="eastAsia" w:ascii="宋体" w:hAnsi="宋体" w:cs="宋体"/>
          <w:sz w:val="24"/>
          <w:szCs w:val="24"/>
          <w:lang w:val="en-US" w:eastAsia="zh-CN"/>
        </w:rPr>
        <w:t>投标或</w:t>
      </w:r>
      <w:r>
        <w:rPr>
          <w:rFonts w:hint="eastAsia" w:ascii="宋体" w:hAnsi="宋体" w:cs="宋体"/>
          <w:sz w:val="24"/>
          <w:szCs w:val="24"/>
        </w:rPr>
        <w:t>成交资格，并按有关规定进处罚。</w:t>
      </w:r>
    </w:p>
    <w:p>
      <w:pPr>
        <w:pStyle w:val="4"/>
        <w:ind w:left="0" w:leftChars="0" w:firstLine="480" w:firstLineChars="200"/>
        <w:rPr>
          <w:rFonts w:hint="default" w:eastAsiaTheme="minorEastAsia"/>
          <w:lang w:val="en-US" w:eastAsia="zh-CN"/>
        </w:rPr>
      </w:pPr>
      <w:r>
        <w:rPr>
          <w:rFonts w:hint="eastAsia" w:ascii="宋体" w:hAnsi="宋体" w:cs="宋体"/>
          <w:sz w:val="24"/>
          <w:szCs w:val="24"/>
          <w:lang w:val="en-US" w:eastAsia="zh-CN"/>
        </w:rPr>
        <w:t>3.本项目技术要求不允许负偏离。</w:t>
      </w:r>
    </w:p>
    <w:p>
      <w:pPr>
        <w:adjustRightInd w:val="0"/>
        <w:snapToGrid w:val="0"/>
        <w:spacing w:line="480" w:lineRule="auto"/>
        <w:rPr>
          <w:rFonts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供应商（单位名称及公章）：</w:t>
      </w:r>
    </w:p>
    <w:p>
      <w:pPr>
        <w:adjustRightInd w:val="0"/>
        <w:snapToGrid w:val="0"/>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法定代表人或被授权人（签字或盖章）：</w:t>
      </w:r>
    </w:p>
    <w:p>
      <w:pPr>
        <w:spacing w:line="48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    期：</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w:t>
      </w:r>
    </w:p>
    <w:p>
      <w:pPr>
        <w:pStyle w:val="8"/>
        <w:ind w:left="0" w:leftChars="0" w:firstLine="0" w:firstLineChars="0"/>
        <w:jc w:val="center"/>
        <w:rPr>
          <w:rFonts w:ascii="宋体" w:hAnsi="宋体" w:eastAsia="宋体" w:cs="宋体"/>
          <w:color w:val="000000" w:themeColor="text1"/>
          <w:highlight w:val="none"/>
          <w14:textFill>
            <w14:solidFill>
              <w14:schemeClr w14:val="tx1"/>
            </w14:solidFill>
          </w14:textFill>
        </w:rPr>
      </w:pPr>
      <w:bookmarkStart w:id="255" w:name="_Toc9666"/>
      <w:bookmarkStart w:id="256" w:name="_Toc2773"/>
      <w:bookmarkStart w:id="257" w:name="_Toc29034"/>
      <w:bookmarkStart w:id="258" w:name="_Toc23432"/>
      <w:bookmarkStart w:id="259" w:name="_Toc14821"/>
      <w:bookmarkStart w:id="260" w:name="_Toc18894"/>
      <w:bookmarkStart w:id="261" w:name="_Toc22400"/>
      <w:r>
        <w:rPr>
          <w:rFonts w:hint="eastAsia" w:ascii="宋体" w:hAnsi="宋体" w:eastAsia="宋体" w:cs="宋体"/>
          <w:color w:val="000000" w:themeColor="text1"/>
          <w:highlight w:val="none"/>
          <w:lang w:val="en-US" w:eastAsia="zh-CN"/>
          <w14:textFill>
            <w14:solidFill>
              <w14:schemeClr w14:val="tx1"/>
            </w14:solidFill>
          </w14:textFill>
        </w:rPr>
        <w:t xml:space="preserve">第七部分    </w:t>
      </w:r>
      <w:r>
        <w:rPr>
          <w:rFonts w:hint="eastAsia" w:ascii="宋体" w:hAnsi="宋体" w:eastAsia="宋体" w:cs="宋体"/>
          <w:color w:val="000000" w:themeColor="text1"/>
          <w:highlight w:val="none"/>
          <w14:textFill>
            <w14:solidFill>
              <w14:schemeClr w14:val="tx1"/>
            </w14:solidFill>
          </w14:textFill>
        </w:rPr>
        <w:t>供应商认为有必要说明的其他问题</w:t>
      </w:r>
      <w:bookmarkEnd w:id="255"/>
      <w:bookmarkEnd w:id="256"/>
      <w:bookmarkEnd w:id="257"/>
      <w:bookmarkEnd w:id="258"/>
      <w:bookmarkEnd w:id="259"/>
      <w:bookmarkEnd w:id="260"/>
      <w:bookmarkEnd w:id="261"/>
    </w:p>
    <w:p>
      <w:pPr>
        <w:rPr>
          <w:rFonts w:ascii="宋体" w:hAnsi="宋体" w:eastAsia="宋体" w:cs="宋体"/>
          <w:color w:val="000000" w:themeColor="text1"/>
          <w:highlight w:val="none"/>
          <w14:textFill>
            <w14:solidFill>
              <w14:schemeClr w14:val="tx1"/>
            </w14:solidFill>
          </w14:textFill>
        </w:rPr>
      </w:pPr>
    </w:p>
    <w:p>
      <w:pP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供应商认为有必要提供的其他证明文件</w:t>
      </w:r>
    </w:p>
    <w:p>
      <w:pPr>
        <w:rPr>
          <w:rFonts w:ascii="宋体" w:hAnsi="宋体" w:eastAsia="宋体" w:cs="宋体"/>
          <w:color w:val="000000" w:themeColor="text1"/>
          <w:sz w:val="32"/>
          <w:szCs w:val="32"/>
          <w:highlight w:val="none"/>
          <w14:textFill>
            <w14:solidFill>
              <w14:schemeClr w14:val="tx1"/>
            </w14:solidFill>
          </w14:textFill>
        </w:rPr>
      </w:pPr>
    </w:p>
    <w:sectPr>
      <w:headerReference r:id="rId12" w:type="default"/>
      <w:footerReference r:id="rId14" w:type="default"/>
      <w:headerReference r:id="rId13" w:type="even"/>
      <w:pgSz w:w="11906" w:h="16838"/>
      <w:pgMar w:top="1440" w:right="1800" w:bottom="1440" w:left="1800" w:header="851" w:footer="992" w:gutter="0"/>
      <w:pgNumType w:fmt="numberInDash"/>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tabs>
        <w:tab w:val="left" w:pos="2837"/>
      </w:tabs>
      <w:jc w:val="left"/>
      <w:rPr>
        <w:rFonts w:ascii="黑体" w:eastAsia="黑体"/>
        <w:sz w:val="21"/>
        <w:szCs w:val="21"/>
      </w:rPr>
    </w:pPr>
    <w:r>
      <w:rPr>
        <w:rFonts w:hint="eastAsia" w:ascii="黑体" w:eastAsia="黑体"/>
        <w:sz w:val="21"/>
        <w:szCs w:val="21"/>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60D05"/>
    <w:multiLevelType w:val="singleLevel"/>
    <w:tmpl w:val="C8560D05"/>
    <w:lvl w:ilvl="0" w:tentative="0">
      <w:start w:val="2"/>
      <w:numFmt w:val="chineseCounting"/>
      <w:suff w:val="space"/>
      <w:lvlText w:val="第%1部分"/>
      <w:lvlJc w:val="left"/>
      <w:rPr>
        <w:rFonts w:hint="eastAsia"/>
      </w:rPr>
    </w:lvl>
  </w:abstractNum>
  <w:abstractNum w:abstractNumId="1">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10"/>
      <w:lvlText w:val="%1.%2.%3.%4"/>
      <w:lvlJc w:val="left"/>
      <w:pPr>
        <w:ind w:left="864" w:hanging="864"/>
      </w:pPr>
      <w:rPr>
        <w:rFonts w:hint="eastAsia"/>
      </w:rPr>
    </w:lvl>
    <w:lvl w:ilvl="4" w:tentative="0">
      <w:start w:val="1"/>
      <w:numFmt w:val="decimal"/>
      <w:pStyle w:val="11"/>
      <w:lvlText w:val="%1.%2.%3.%4.%5"/>
      <w:lvlJc w:val="left"/>
      <w:pPr>
        <w:ind w:left="1008" w:hanging="1008"/>
      </w:pPr>
      <w:rPr>
        <w:rFonts w:hint="eastAsia"/>
      </w:rPr>
    </w:lvl>
    <w:lvl w:ilvl="5" w:tentative="0">
      <w:start w:val="1"/>
      <w:numFmt w:val="decimal"/>
      <w:pStyle w:val="12"/>
      <w:lvlText w:val="%1.%2.%3.%4.%5.%6"/>
      <w:lvlJc w:val="left"/>
      <w:pPr>
        <w:ind w:left="1152" w:hanging="1152"/>
      </w:pPr>
      <w:rPr>
        <w:rFonts w:hint="eastAsia"/>
      </w:rPr>
    </w:lvl>
    <w:lvl w:ilvl="6" w:tentative="0">
      <w:start w:val="1"/>
      <w:numFmt w:val="decimal"/>
      <w:pStyle w:val="13"/>
      <w:lvlText w:val="%1.%2.%3.%4.%5.%6.%7"/>
      <w:lvlJc w:val="left"/>
      <w:pPr>
        <w:ind w:left="1296" w:hanging="1296"/>
      </w:pPr>
      <w:rPr>
        <w:rFonts w:hint="eastAsia"/>
      </w:rPr>
    </w:lvl>
    <w:lvl w:ilvl="7" w:tentative="0">
      <w:start w:val="1"/>
      <w:numFmt w:val="decimal"/>
      <w:pStyle w:val="14"/>
      <w:lvlText w:val="%1.%2.%3.%4.%5.%6.%7.%8"/>
      <w:lvlJc w:val="left"/>
      <w:pPr>
        <w:ind w:left="1440" w:hanging="1440"/>
      </w:pPr>
      <w:rPr>
        <w:rFonts w:hint="eastAsia"/>
      </w:rPr>
    </w:lvl>
    <w:lvl w:ilvl="8" w:tentative="0">
      <w:start w:val="1"/>
      <w:numFmt w:val="decimal"/>
      <w:pStyle w:val="15"/>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 w:name="KSO_WPS_MARK_KEY" w:val="f7b71139-b593-4aba-9b79-61ce5d98895f"/>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0142"/>
    <w:rsid w:val="00021AF9"/>
    <w:rsid w:val="00022936"/>
    <w:rsid w:val="00022A4E"/>
    <w:rsid w:val="00022F41"/>
    <w:rsid w:val="00023261"/>
    <w:rsid w:val="000234CF"/>
    <w:rsid w:val="000235C8"/>
    <w:rsid w:val="000251DF"/>
    <w:rsid w:val="00027E6B"/>
    <w:rsid w:val="0003251F"/>
    <w:rsid w:val="00032BB4"/>
    <w:rsid w:val="00033377"/>
    <w:rsid w:val="00033B5A"/>
    <w:rsid w:val="000353DD"/>
    <w:rsid w:val="00036943"/>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1D2"/>
    <w:rsid w:val="00062D84"/>
    <w:rsid w:val="00063EEF"/>
    <w:rsid w:val="00064071"/>
    <w:rsid w:val="00064386"/>
    <w:rsid w:val="000652A3"/>
    <w:rsid w:val="00067A39"/>
    <w:rsid w:val="00067D44"/>
    <w:rsid w:val="0007053B"/>
    <w:rsid w:val="00070AA6"/>
    <w:rsid w:val="000724B1"/>
    <w:rsid w:val="0007534F"/>
    <w:rsid w:val="00076978"/>
    <w:rsid w:val="000770B7"/>
    <w:rsid w:val="00077B80"/>
    <w:rsid w:val="000857F2"/>
    <w:rsid w:val="000870E9"/>
    <w:rsid w:val="00090002"/>
    <w:rsid w:val="000906B5"/>
    <w:rsid w:val="00090DB4"/>
    <w:rsid w:val="000911CC"/>
    <w:rsid w:val="00092417"/>
    <w:rsid w:val="00093AD5"/>
    <w:rsid w:val="000951C6"/>
    <w:rsid w:val="000952F2"/>
    <w:rsid w:val="0009576A"/>
    <w:rsid w:val="00095A8D"/>
    <w:rsid w:val="00096428"/>
    <w:rsid w:val="00096A85"/>
    <w:rsid w:val="00097CDB"/>
    <w:rsid w:val="000A01A3"/>
    <w:rsid w:val="000A0237"/>
    <w:rsid w:val="000A0EFD"/>
    <w:rsid w:val="000A250B"/>
    <w:rsid w:val="000A2583"/>
    <w:rsid w:val="000A2B11"/>
    <w:rsid w:val="000A7453"/>
    <w:rsid w:val="000A7A6A"/>
    <w:rsid w:val="000B5741"/>
    <w:rsid w:val="000B5ACF"/>
    <w:rsid w:val="000B6858"/>
    <w:rsid w:val="000C048C"/>
    <w:rsid w:val="000C06C4"/>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3F6"/>
    <w:rsid w:val="000F0C8A"/>
    <w:rsid w:val="000F1A9A"/>
    <w:rsid w:val="000F22F4"/>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2AE"/>
    <w:rsid w:val="00131904"/>
    <w:rsid w:val="0013342E"/>
    <w:rsid w:val="001338D9"/>
    <w:rsid w:val="00133ADB"/>
    <w:rsid w:val="00134EE2"/>
    <w:rsid w:val="001351E3"/>
    <w:rsid w:val="00135AA2"/>
    <w:rsid w:val="00136723"/>
    <w:rsid w:val="00136D4A"/>
    <w:rsid w:val="00137E7B"/>
    <w:rsid w:val="00142244"/>
    <w:rsid w:val="001454AD"/>
    <w:rsid w:val="001455F6"/>
    <w:rsid w:val="001456C7"/>
    <w:rsid w:val="001510FB"/>
    <w:rsid w:val="00152476"/>
    <w:rsid w:val="0015361E"/>
    <w:rsid w:val="00153DFD"/>
    <w:rsid w:val="00156ED5"/>
    <w:rsid w:val="0016097D"/>
    <w:rsid w:val="001630D0"/>
    <w:rsid w:val="0016323C"/>
    <w:rsid w:val="00164101"/>
    <w:rsid w:val="00164EE1"/>
    <w:rsid w:val="00164F62"/>
    <w:rsid w:val="00165AFC"/>
    <w:rsid w:val="001664B2"/>
    <w:rsid w:val="00166804"/>
    <w:rsid w:val="00166FD9"/>
    <w:rsid w:val="00166FF0"/>
    <w:rsid w:val="00167ECE"/>
    <w:rsid w:val="0017054A"/>
    <w:rsid w:val="00171465"/>
    <w:rsid w:val="00171A61"/>
    <w:rsid w:val="00173749"/>
    <w:rsid w:val="00173A35"/>
    <w:rsid w:val="0017410F"/>
    <w:rsid w:val="00174285"/>
    <w:rsid w:val="00175756"/>
    <w:rsid w:val="00176F0E"/>
    <w:rsid w:val="00180642"/>
    <w:rsid w:val="00180AFD"/>
    <w:rsid w:val="0018316D"/>
    <w:rsid w:val="00184DE0"/>
    <w:rsid w:val="00184F72"/>
    <w:rsid w:val="00186779"/>
    <w:rsid w:val="001872B3"/>
    <w:rsid w:val="00187846"/>
    <w:rsid w:val="00191693"/>
    <w:rsid w:val="00191834"/>
    <w:rsid w:val="00191A7E"/>
    <w:rsid w:val="00193B5F"/>
    <w:rsid w:val="001947E8"/>
    <w:rsid w:val="00194890"/>
    <w:rsid w:val="00196A1C"/>
    <w:rsid w:val="001A0C97"/>
    <w:rsid w:val="001A0FC6"/>
    <w:rsid w:val="001A2103"/>
    <w:rsid w:val="001A5309"/>
    <w:rsid w:val="001A5764"/>
    <w:rsid w:val="001A7D44"/>
    <w:rsid w:val="001B0699"/>
    <w:rsid w:val="001B087C"/>
    <w:rsid w:val="001B0C7B"/>
    <w:rsid w:val="001B2019"/>
    <w:rsid w:val="001B49FD"/>
    <w:rsid w:val="001B4E91"/>
    <w:rsid w:val="001B5302"/>
    <w:rsid w:val="001C0BA3"/>
    <w:rsid w:val="001C0BBD"/>
    <w:rsid w:val="001C25ED"/>
    <w:rsid w:val="001C3A72"/>
    <w:rsid w:val="001C5BE5"/>
    <w:rsid w:val="001C7AA8"/>
    <w:rsid w:val="001D1BCB"/>
    <w:rsid w:val="001D22C0"/>
    <w:rsid w:val="001D2CE5"/>
    <w:rsid w:val="001D37B2"/>
    <w:rsid w:val="001D4171"/>
    <w:rsid w:val="001D52F1"/>
    <w:rsid w:val="001D576E"/>
    <w:rsid w:val="001D70BC"/>
    <w:rsid w:val="001E0376"/>
    <w:rsid w:val="001E1DFE"/>
    <w:rsid w:val="001E2843"/>
    <w:rsid w:val="001E2BB9"/>
    <w:rsid w:val="001E6A70"/>
    <w:rsid w:val="001E7761"/>
    <w:rsid w:val="001E790E"/>
    <w:rsid w:val="001F2059"/>
    <w:rsid w:val="001F23C9"/>
    <w:rsid w:val="001F2E77"/>
    <w:rsid w:val="001F49A1"/>
    <w:rsid w:val="001F4ACC"/>
    <w:rsid w:val="001F7532"/>
    <w:rsid w:val="001F7B5A"/>
    <w:rsid w:val="00201795"/>
    <w:rsid w:val="0020498C"/>
    <w:rsid w:val="00205018"/>
    <w:rsid w:val="002051A7"/>
    <w:rsid w:val="00205744"/>
    <w:rsid w:val="00207790"/>
    <w:rsid w:val="00210CFC"/>
    <w:rsid w:val="00210FBE"/>
    <w:rsid w:val="0021178B"/>
    <w:rsid w:val="00212328"/>
    <w:rsid w:val="002125C8"/>
    <w:rsid w:val="00213205"/>
    <w:rsid w:val="002137AF"/>
    <w:rsid w:val="002174B0"/>
    <w:rsid w:val="00220787"/>
    <w:rsid w:val="002209DE"/>
    <w:rsid w:val="00221727"/>
    <w:rsid w:val="00223EFE"/>
    <w:rsid w:val="00224257"/>
    <w:rsid w:val="00224642"/>
    <w:rsid w:val="002305E2"/>
    <w:rsid w:val="0023070C"/>
    <w:rsid w:val="00230C6A"/>
    <w:rsid w:val="00233D53"/>
    <w:rsid w:val="002345B9"/>
    <w:rsid w:val="002378CD"/>
    <w:rsid w:val="00237A3F"/>
    <w:rsid w:val="00237C8C"/>
    <w:rsid w:val="0024210D"/>
    <w:rsid w:val="002434A7"/>
    <w:rsid w:val="0024394B"/>
    <w:rsid w:val="00244C29"/>
    <w:rsid w:val="00247B11"/>
    <w:rsid w:val="00250468"/>
    <w:rsid w:val="00250A0D"/>
    <w:rsid w:val="00250B6E"/>
    <w:rsid w:val="002519B6"/>
    <w:rsid w:val="00252050"/>
    <w:rsid w:val="00253B74"/>
    <w:rsid w:val="00254492"/>
    <w:rsid w:val="002547E0"/>
    <w:rsid w:val="00255A2C"/>
    <w:rsid w:val="00255ADA"/>
    <w:rsid w:val="00255DBC"/>
    <w:rsid w:val="00256AC1"/>
    <w:rsid w:val="0025777A"/>
    <w:rsid w:val="00257B25"/>
    <w:rsid w:val="00260306"/>
    <w:rsid w:val="0026130D"/>
    <w:rsid w:val="00261898"/>
    <w:rsid w:val="00264014"/>
    <w:rsid w:val="0026501F"/>
    <w:rsid w:val="00266611"/>
    <w:rsid w:val="00267AE5"/>
    <w:rsid w:val="00267C8A"/>
    <w:rsid w:val="00267F98"/>
    <w:rsid w:val="00270B94"/>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39F"/>
    <w:rsid w:val="00291777"/>
    <w:rsid w:val="002926E2"/>
    <w:rsid w:val="0029384E"/>
    <w:rsid w:val="00294428"/>
    <w:rsid w:val="002961E2"/>
    <w:rsid w:val="00296372"/>
    <w:rsid w:val="00297703"/>
    <w:rsid w:val="00297866"/>
    <w:rsid w:val="002A16FA"/>
    <w:rsid w:val="002A3B25"/>
    <w:rsid w:val="002A62BF"/>
    <w:rsid w:val="002A671F"/>
    <w:rsid w:val="002A6815"/>
    <w:rsid w:val="002A703D"/>
    <w:rsid w:val="002A7FF7"/>
    <w:rsid w:val="002B35C4"/>
    <w:rsid w:val="002B36C2"/>
    <w:rsid w:val="002B59BE"/>
    <w:rsid w:val="002B65AB"/>
    <w:rsid w:val="002B696D"/>
    <w:rsid w:val="002B69BA"/>
    <w:rsid w:val="002C00B8"/>
    <w:rsid w:val="002C05A3"/>
    <w:rsid w:val="002C4511"/>
    <w:rsid w:val="002D2B5F"/>
    <w:rsid w:val="002D327B"/>
    <w:rsid w:val="002D3EA9"/>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4646"/>
    <w:rsid w:val="002F7D7D"/>
    <w:rsid w:val="002F7E10"/>
    <w:rsid w:val="00300067"/>
    <w:rsid w:val="00300513"/>
    <w:rsid w:val="00300B27"/>
    <w:rsid w:val="0030123B"/>
    <w:rsid w:val="00301E0D"/>
    <w:rsid w:val="00301FAE"/>
    <w:rsid w:val="003024CF"/>
    <w:rsid w:val="00303EC5"/>
    <w:rsid w:val="00306470"/>
    <w:rsid w:val="00310E94"/>
    <w:rsid w:val="00311862"/>
    <w:rsid w:val="00316D60"/>
    <w:rsid w:val="003172BB"/>
    <w:rsid w:val="00321DAC"/>
    <w:rsid w:val="00322208"/>
    <w:rsid w:val="003245F8"/>
    <w:rsid w:val="00325D47"/>
    <w:rsid w:val="00325EF1"/>
    <w:rsid w:val="00326169"/>
    <w:rsid w:val="003274DA"/>
    <w:rsid w:val="00327A6B"/>
    <w:rsid w:val="00330EA4"/>
    <w:rsid w:val="00332A7C"/>
    <w:rsid w:val="00335C58"/>
    <w:rsid w:val="00335E41"/>
    <w:rsid w:val="00337CFC"/>
    <w:rsid w:val="0034052E"/>
    <w:rsid w:val="003406B1"/>
    <w:rsid w:val="00343305"/>
    <w:rsid w:val="003443D3"/>
    <w:rsid w:val="003450CD"/>
    <w:rsid w:val="00345F35"/>
    <w:rsid w:val="00346A88"/>
    <w:rsid w:val="003509CA"/>
    <w:rsid w:val="00351734"/>
    <w:rsid w:val="00354FCF"/>
    <w:rsid w:val="003551E0"/>
    <w:rsid w:val="0035572B"/>
    <w:rsid w:val="00357885"/>
    <w:rsid w:val="00357EC3"/>
    <w:rsid w:val="00360830"/>
    <w:rsid w:val="00364896"/>
    <w:rsid w:val="00366A2C"/>
    <w:rsid w:val="003704E3"/>
    <w:rsid w:val="00371456"/>
    <w:rsid w:val="003721C2"/>
    <w:rsid w:val="0037380E"/>
    <w:rsid w:val="00373AE9"/>
    <w:rsid w:val="00374506"/>
    <w:rsid w:val="0037495D"/>
    <w:rsid w:val="003752C8"/>
    <w:rsid w:val="0037531B"/>
    <w:rsid w:val="00375819"/>
    <w:rsid w:val="00375C89"/>
    <w:rsid w:val="00376DAF"/>
    <w:rsid w:val="00377482"/>
    <w:rsid w:val="003774B2"/>
    <w:rsid w:val="003833FB"/>
    <w:rsid w:val="00383F8F"/>
    <w:rsid w:val="003872CB"/>
    <w:rsid w:val="00387AFC"/>
    <w:rsid w:val="00390290"/>
    <w:rsid w:val="0039216D"/>
    <w:rsid w:val="00392EBD"/>
    <w:rsid w:val="00393459"/>
    <w:rsid w:val="003943D1"/>
    <w:rsid w:val="0039449C"/>
    <w:rsid w:val="00395695"/>
    <w:rsid w:val="00396106"/>
    <w:rsid w:val="003A0002"/>
    <w:rsid w:val="003A0295"/>
    <w:rsid w:val="003A0D83"/>
    <w:rsid w:val="003A192D"/>
    <w:rsid w:val="003A224D"/>
    <w:rsid w:val="003A2A14"/>
    <w:rsid w:val="003B086A"/>
    <w:rsid w:val="003B0D75"/>
    <w:rsid w:val="003B2AF6"/>
    <w:rsid w:val="003B3207"/>
    <w:rsid w:val="003B417D"/>
    <w:rsid w:val="003C3325"/>
    <w:rsid w:val="003C61F3"/>
    <w:rsid w:val="003C630F"/>
    <w:rsid w:val="003C6AB2"/>
    <w:rsid w:val="003C7C29"/>
    <w:rsid w:val="003D2606"/>
    <w:rsid w:val="003D39C7"/>
    <w:rsid w:val="003D3A50"/>
    <w:rsid w:val="003D41E8"/>
    <w:rsid w:val="003D45F5"/>
    <w:rsid w:val="003D6B60"/>
    <w:rsid w:val="003D7026"/>
    <w:rsid w:val="003E010E"/>
    <w:rsid w:val="003E1D81"/>
    <w:rsid w:val="003E2F34"/>
    <w:rsid w:val="003E5CDB"/>
    <w:rsid w:val="003E7874"/>
    <w:rsid w:val="003F3882"/>
    <w:rsid w:val="003F5983"/>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B6E"/>
    <w:rsid w:val="00414D38"/>
    <w:rsid w:val="004155E3"/>
    <w:rsid w:val="00415649"/>
    <w:rsid w:val="004156E2"/>
    <w:rsid w:val="00415AB5"/>
    <w:rsid w:val="00415C11"/>
    <w:rsid w:val="00416478"/>
    <w:rsid w:val="00420875"/>
    <w:rsid w:val="004218EC"/>
    <w:rsid w:val="0042388D"/>
    <w:rsid w:val="00425038"/>
    <w:rsid w:val="0042688F"/>
    <w:rsid w:val="00427ABD"/>
    <w:rsid w:val="004317AB"/>
    <w:rsid w:val="00431DBF"/>
    <w:rsid w:val="00433512"/>
    <w:rsid w:val="0043432D"/>
    <w:rsid w:val="004351B4"/>
    <w:rsid w:val="00441423"/>
    <w:rsid w:val="00441D7B"/>
    <w:rsid w:val="00442F77"/>
    <w:rsid w:val="00444250"/>
    <w:rsid w:val="00444298"/>
    <w:rsid w:val="00444461"/>
    <w:rsid w:val="004456C5"/>
    <w:rsid w:val="00454666"/>
    <w:rsid w:val="004547F6"/>
    <w:rsid w:val="00454E16"/>
    <w:rsid w:val="0045726B"/>
    <w:rsid w:val="004574A4"/>
    <w:rsid w:val="00461F1D"/>
    <w:rsid w:val="0046230B"/>
    <w:rsid w:val="00463236"/>
    <w:rsid w:val="004657D3"/>
    <w:rsid w:val="0046690A"/>
    <w:rsid w:val="00467681"/>
    <w:rsid w:val="0046782F"/>
    <w:rsid w:val="00471E1E"/>
    <w:rsid w:val="0047278F"/>
    <w:rsid w:val="00473CE1"/>
    <w:rsid w:val="0047590B"/>
    <w:rsid w:val="00475D90"/>
    <w:rsid w:val="00482240"/>
    <w:rsid w:val="004846F1"/>
    <w:rsid w:val="004860D2"/>
    <w:rsid w:val="00490F98"/>
    <w:rsid w:val="00491349"/>
    <w:rsid w:val="00493684"/>
    <w:rsid w:val="00493E48"/>
    <w:rsid w:val="00496134"/>
    <w:rsid w:val="00496ACE"/>
    <w:rsid w:val="00497530"/>
    <w:rsid w:val="004A00FD"/>
    <w:rsid w:val="004A0A5F"/>
    <w:rsid w:val="004A570C"/>
    <w:rsid w:val="004A5CFF"/>
    <w:rsid w:val="004A61D7"/>
    <w:rsid w:val="004A6B5A"/>
    <w:rsid w:val="004B1026"/>
    <w:rsid w:val="004B13F6"/>
    <w:rsid w:val="004B5992"/>
    <w:rsid w:val="004B7CE1"/>
    <w:rsid w:val="004C093C"/>
    <w:rsid w:val="004C0B7A"/>
    <w:rsid w:val="004C0CA0"/>
    <w:rsid w:val="004C5B48"/>
    <w:rsid w:val="004C6493"/>
    <w:rsid w:val="004C7371"/>
    <w:rsid w:val="004D095C"/>
    <w:rsid w:val="004D2147"/>
    <w:rsid w:val="004D2D8E"/>
    <w:rsid w:val="004D2F54"/>
    <w:rsid w:val="004D4879"/>
    <w:rsid w:val="004D5A18"/>
    <w:rsid w:val="004D7112"/>
    <w:rsid w:val="004D7C23"/>
    <w:rsid w:val="004D7F2C"/>
    <w:rsid w:val="004E07B6"/>
    <w:rsid w:val="004E0B6D"/>
    <w:rsid w:val="004E16B0"/>
    <w:rsid w:val="004E63AF"/>
    <w:rsid w:val="004F01A5"/>
    <w:rsid w:val="004F04DD"/>
    <w:rsid w:val="004F2CC5"/>
    <w:rsid w:val="004F3159"/>
    <w:rsid w:val="004F411F"/>
    <w:rsid w:val="004F60D3"/>
    <w:rsid w:val="004F7234"/>
    <w:rsid w:val="004F7D8F"/>
    <w:rsid w:val="0050182A"/>
    <w:rsid w:val="00501CED"/>
    <w:rsid w:val="0050264E"/>
    <w:rsid w:val="00502DB5"/>
    <w:rsid w:val="00503C53"/>
    <w:rsid w:val="0050431E"/>
    <w:rsid w:val="005053C1"/>
    <w:rsid w:val="00506ECC"/>
    <w:rsid w:val="005078BB"/>
    <w:rsid w:val="00507E67"/>
    <w:rsid w:val="00510D3F"/>
    <w:rsid w:val="00511E18"/>
    <w:rsid w:val="00512B77"/>
    <w:rsid w:val="00512D71"/>
    <w:rsid w:val="00515ADE"/>
    <w:rsid w:val="00515E63"/>
    <w:rsid w:val="005176F4"/>
    <w:rsid w:val="005203BA"/>
    <w:rsid w:val="00521985"/>
    <w:rsid w:val="005220F8"/>
    <w:rsid w:val="00522932"/>
    <w:rsid w:val="0052539A"/>
    <w:rsid w:val="00525760"/>
    <w:rsid w:val="005309DD"/>
    <w:rsid w:val="005323B4"/>
    <w:rsid w:val="005330CB"/>
    <w:rsid w:val="0053320F"/>
    <w:rsid w:val="0053372D"/>
    <w:rsid w:val="00533735"/>
    <w:rsid w:val="005340C0"/>
    <w:rsid w:val="00534E48"/>
    <w:rsid w:val="0053507D"/>
    <w:rsid w:val="00535F18"/>
    <w:rsid w:val="00537136"/>
    <w:rsid w:val="005406CD"/>
    <w:rsid w:val="00544037"/>
    <w:rsid w:val="00544FDF"/>
    <w:rsid w:val="00545318"/>
    <w:rsid w:val="0054537C"/>
    <w:rsid w:val="00547AD0"/>
    <w:rsid w:val="005509F0"/>
    <w:rsid w:val="00551012"/>
    <w:rsid w:val="00553778"/>
    <w:rsid w:val="00553AC5"/>
    <w:rsid w:val="00554646"/>
    <w:rsid w:val="00554791"/>
    <w:rsid w:val="00555365"/>
    <w:rsid w:val="005555A0"/>
    <w:rsid w:val="005576F7"/>
    <w:rsid w:val="0056050F"/>
    <w:rsid w:val="00560BBE"/>
    <w:rsid w:val="005612F2"/>
    <w:rsid w:val="0056216F"/>
    <w:rsid w:val="005627E9"/>
    <w:rsid w:val="005642D3"/>
    <w:rsid w:val="005648C7"/>
    <w:rsid w:val="00567226"/>
    <w:rsid w:val="005676F6"/>
    <w:rsid w:val="00572506"/>
    <w:rsid w:val="0057253B"/>
    <w:rsid w:val="00573AC9"/>
    <w:rsid w:val="00574F7A"/>
    <w:rsid w:val="00575980"/>
    <w:rsid w:val="00576008"/>
    <w:rsid w:val="005801CF"/>
    <w:rsid w:val="00581DBA"/>
    <w:rsid w:val="00581F60"/>
    <w:rsid w:val="005829C2"/>
    <w:rsid w:val="00582A46"/>
    <w:rsid w:val="0058322B"/>
    <w:rsid w:val="00583A5C"/>
    <w:rsid w:val="0058471F"/>
    <w:rsid w:val="0058487A"/>
    <w:rsid w:val="00584D70"/>
    <w:rsid w:val="00585E3F"/>
    <w:rsid w:val="00591671"/>
    <w:rsid w:val="00592CFD"/>
    <w:rsid w:val="00593C8A"/>
    <w:rsid w:val="00594467"/>
    <w:rsid w:val="00594F66"/>
    <w:rsid w:val="005960B9"/>
    <w:rsid w:val="005A178E"/>
    <w:rsid w:val="005A1806"/>
    <w:rsid w:val="005A20E0"/>
    <w:rsid w:val="005A32F2"/>
    <w:rsid w:val="005A3DFC"/>
    <w:rsid w:val="005A43AB"/>
    <w:rsid w:val="005A4B53"/>
    <w:rsid w:val="005A5A7B"/>
    <w:rsid w:val="005A5B0F"/>
    <w:rsid w:val="005A69F8"/>
    <w:rsid w:val="005A6B45"/>
    <w:rsid w:val="005A7B9D"/>
    <w:rsid w:val="005B0579"/>
    <w:rsid w:val="005B18CA"/>
    <w:rsid w:val="005B1C32"/>
    <w:rsid w:val="005B2863"/>
    <w:rsid w:val="005B314D"/>
    <w:rsid w:val="005B353B"/>
    <w:rsid w:val="005B3828"/>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4F58"/>
    <w:rsid w:val="005E548A"/>
    <w:rsid w:val="005E5BCC"/>
    <w:rsid w:val="005E5CCE"/>
    <w:rsid w:val="005E6CCC"/>
    <w:rsid w:val="005F0DC1"/>
    <w:rsid w:val="005F1247"/>
    <w:rsid w:val="005F19BB"/>
    <w:rsid w:val="005F3B5B"/>
    <w:rsid w:val="005F6909"/>
    <w:rsid w:val="005F6C88"/>
    <w:rsid w:val="0060005D"/>
    <w:rsid w:val="00601DA4"/>
    <w:rsid w:val="006022C0"/>
    <w:rsid w:val="00602864"/>
    <w:rsid w:val="00602E42"/>
    <w:rsid w:val="00603657"/>
    <w:rsid w:val="006036E8"/>
    <w:rsid w:val="00603BB4"/>
    <w:rsid w:val="00603F22"/>
    <w:rsid w:val="0060447C"/>
    <w:rsid w:val="0060479B"/>
    <w:rsid w:val="00605B7A"/>
    <w:rsid w:val="00606A55"/>
    <w:rsid w:val="00611AC2"/>
    <w:rsid w:val="00611FFE"/>
    <w:rsid w:val="00612B54"/>
    <w:rsid w:val="00612CF1"/>
    <w:rsid w:val="00613324"/>
    <w:rsid w:val="00613BB6"/>
    <w:rsid w:val="006173B1"/>
    <w:rsid w:val="0061777B"/>
    <w:rsid w:val="00624066"/>
    <w:rsid w:val="0062454A"/>
    <w:rsid w:val="00624620"/>
    <w:rsid w:val="00624946"/>
    <w:rsid w:val="00625173"/>
    <w:rsid w:val="00627233"/>
    <w:rsid w:val="00627607"/>
    <w:rsid w:val="00627993"/>
    <w:rsid w:val="00630CCB"/>
    <w:rsid w:val="00631E71"/>
    <w:rsid w:val="0063350A"/>
    <w:rsid w:val="00633645"/>
    <w:rsid w:val="006340A0"/>
    <w:rsid w:val="0063581A"/>
    <w:rsid w:val="00635858"/>
    <w:rsid w:val="006360BD"/>
    <w:rsid w:val="00636BF4"/>
    <w:rsid w:val="0063749E"/>
    <w:rsid w:val="00637FE9"/>
    <w:rsid w:val="0064084E"/>
    <w:rsid w:val="00642CB1"/>
    <w:rsid w:val="00642E60"/>
    <w:rsid w:val="006431A9"/>
    <w:rsid w:val="00645187"/>
    <w:rsid w:val="006460E3"/>
    <w:rsid w:val="006466DF"/>
    <w:rsid w:val="00646A42"/>
    <w:rsid w:val="006518D0"/>
    <w:rsid w:val="00652393"/>
    <w:rsid w:val="00653D7C"/>
    <w:rsid w:val="00656003"/>
    <w:rsid w:val="00657150"/>
    <w:rsid w:val="006571DD"/>
    <w:rsid w:val="0065774D"/>
    <w:rsid w:val="0065792C"/>
    <w:rsid w:val="00662E32"/>
    <w:rsid w:val="0066668A"/>
    <w:rsid w:val="0066717A"/>
    <w:rsid w:val="00667CAB"/>
    <w:rsid w:val="006725F6"/>
    <w:rsid w:val="00675065"/>
    <w:rsid w:val="00675563"/>
    <w:rsid w:val="00675DAD"/>
    <w:rsid w:val="006814B5"/>
    <w:rsid w:val="00682389"/>
    <w:rsid w:val="00685346"/>
    <w:rsid w:val="00685390"/>
    <w:rsid w:val="00685B24"/>
    <w:rsid w:val="006870E8"/>
    <w:rsid w:val="00690BC5"/>
    <w:rsid w:val="00690C8E"/>
    <w:rsid w:val="00691341"/>
    <w:rsid w:val="006933DD"/>
    <w:rsid w:val="0069431C"/>
    <w:rsid w:val="0069471D"/>
    <w:rsid w:val="00695670"/>
    <w:rsid w:val="00695E20"/>
    <w:rsid w:val="00696569"/>
    <w:rsid w:val="006A2D90"/>
    <w:rsid w:val="006A3BA0"/>
    <w:rsid w:val="006A43F0"/>
    <w:rsid w:val="006A4EC6"/>
    <w:rsid w:val="006A6B87"/>
    <w:rsid w:val="006A6DF3"/>
    <w:rsid w:val="006A7769"/>
    <w:rsid w:val="006B0A7F"/>
    <w:rsid w:val="006B1E4B"/>
    <w:rsid w:val="006B20D5"/>
    <w:rsid w:val="006B34F6"/>
    <w:rsid w:val="006B4952"/>
    <w:rsid w:val="006B5EA1"/>
    <w:rsid w:val="006B62C2"/>
    <w:rsid w:val="006B6316"/>
    <w:rsid w:val="006B6C2F"/>
    <w:rsid w:val="006B7A21"/>
    <w:rsid w:val="006B7F10"/>
    <w:rsid w:val="006C042B"/>
    <w:rsid w:val="006C0920"/>
    <w:rsid w:val="006C2543"/>
    <w:rsid w:val="006C2938"/>
    <w:rsid w:val="006C2A45"/>
    <w:rsid w:val="006C4042"/>
    <w:rsid w:val="006C6C85"/>
    <w:rsid w:val="006C6F0B"/>
    <w:rsid w:val="006C700A"/>
    <w:rsid w:val="006C7C59"/>
    <w:rsid w:val="006D0312"/>
    <w:rsid w:val="006D044E"/>
    <w:rsid w:val="006D06D5"/>
    <w:rsid w:val="006D214E"/>
    <w:rsid w:val="006D2DEA"/>
    <w:rsid w:val="006D2E9C"/>
    <w:rsid w:val="006D30BC"/>
    <w:rsid w:val="006E1A0E"/>
    <w:rsid w:val="006E49A8"/>
    <w:rsid w:val="006E6E8B"/>
    <w:rsid w:val="006E7C76"/>
    <w:rsid w:val="006F04CD"/>
    <w:rsid w:val="006F07C9"/>
    <w:rsid w:val="006F0A6B"/>
    <w:rsid w:val="006F0EC9"/>
    <w:rsid w:val="006F0F75"/>
    <w:rsid w:val="006F3496"/>
    <w:rsid w:val="006F4633"/>
    <w:rsid w:val="006F5AC8"/>
    <w:rsid w:val="006F5F50"/>
    <w:rsid w:val="006F612A"/>
    <w:rsid w:val="006F721C"/>
    <w:rsid w:val="006F7A75"/>
    <w:rsid w:val="00703F7A"/>
    <w:rsid w:val="00704218"/>
    <w:rsid w:val="00706102"/>
    <w:rsid w:val="00711356"/>
    <w:rsid w:val="00713D33"/>
    <w:rsid w:val="00716375"/>
    <w:rsid w:val="00717B21"/>
    <w:rsid w:val="00720DE4"/>
    <w:rsid w:val="00721BAC"/>
    <w:rsid w:val="007224EA"/>
    <w:rsid w:val="007240F9"/>
    <w:rsid w:val="00724763"/>
    <w:rsid w:val="007276DE"/>
    <w:rsid w:val="007300AE"/>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44905"/>
    <w:rsid w:val="007552A7"/>
    <w:rsid w:val="00756543"/>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5A3"/>
    <w:rsid w:val="007A2D00"/>
    <w:rsid w:val="007A3433"/>
    <w:rsid w:val="007A5B38"/>
    <w:rsid w:val="007A7AC5"/>
    <w:rsid w:val="007B1707"/>
    <w:rsid w:val="007B1F48"/>
    <w:rsid w:val="007B4190"/>
    <w:rsid w:val="007B5A22"/>
    <w:rsid w:val="007B5BB0"/>
    <w:rsid w:val="007B7795"/>
    <w:rsid w:val="007B7DED"/>
    <w:rsid w:val="007C0E3E"/>
    <w:rsid w:val="007C1E2E"/>
    <w:rsid w:val="007C32E6"/>
    <w:rsid w:val="007C3891"/>
    <w:rsid w:val="007C551E"/>
    <w:rsid w:val="007C6103"/>
    <w:rsid w:val="007C7079"/>
    <w:rsid w:val="007C745E"/>
    <w:rsid w:val="007C7AE8"/>
    <w:rsid w:val="007C7E4A"/>
    <w:rsid w:val="007D20D8"/>
    <w:rsid w:val="007D249E"/>
    <w:rsid w:val="007D2EE8"/>
    <w:rsid w:val="007D4745"/>
    <w:rsid w:val="007D4BD1"/>
    <w:rsid w:val="007D5763"/>
    <w:rsid w:val="007D596E"/>
    <w:rsid w:val="007D6288"/>
    <w:rsid w:val="007D7193"/>
    <w:rsid w:val="007D7958"/>
    <w:rsid w:val="007D7D00"/>
    <w:rsid w:val="007E051D"/>
    <w:rsid w:val="007E1576"/>
    <w:rsid w:val="007E2BD2"/>
    <w:rsid w:val="007E390A"/>
    <w:rsid w:val="007E5F41"/>
    <w:rsid w:val="007E6CF2"/>
    <w:rsid w:val="007F0B94"/>
    <w:rsid w:val="007F0BE0"/>
    <w:rsid w:val="007F0FBD"/>
    <w:rsid w:val="007F1EB4"/>
    <w:rsid w:val="007F5493"/>
    <w:rsid w:val="007F5B53"/>
    <w:rsid w:val="007F60D5"/>
    <w:rsid w:val="007F6DC7"/>
    <w:rsid w:val="0080075E"/>
    <w:rsid w:val="00802948"/>
    <w:rsid w:val="00802AAC"/>
    <w:rsid w:val="00805E66"/>
    <w:rsid w:val="00806FED"/>
    <w:rsid w:val="00811115"/>
    <w:rsid w:val="008122DE"/>
    <w:rsid w:val="008134C7"/>
    <w:rsid w:val="0081362D"/>
    <w:rsid w:val="008139EB"/>
    <w:rsid w:val="00813CCF"/>
    <w:rsid w:val="00813D5F"/>
    <w:rsid w:val="008150A6"/>
    <w:rsid w:val="008151E2"/>
    <w:rsid w:val="00816091"/>
    <w:rsid w:val="00816112"/>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43D"/>
    <w:rsid w:val="00842D6E"/>
    <w:rsid w:val="00843A87"/>
    <w:rsid w:val="00843C41"/>
    <w:rsid w:val="0084500E"/>
    <w:rsid w:val="00845138"/>
    <w:rsid w:val="008455FB"/>
    <w:rsid w:val="0084584F"/>
    <w:rsid w:val="00847DB4"/>
    <w:rsid w:val="00850BC8"/>
    <w:rsid w:val="00850E33"/>
    <w:rsid w:val="0085172A"/>
    <w:rsid w:val="00853D88"/>
    <w:rsid w:val="00856715"/>
    <w:rsid w:val="00856DC0"/>
    <w:rsid w:val="008607CA"/>
    <w:rsid w:val="00861183"/>
    <w:rsid w:val="0086186E"/>
    <w:rsid w:val="00861CE7"/>
    <w:rsid w:val="00862E46"/>
    <w:rsid w:val="00864D01"/>
    <w:rsid w:val="00865BFC"/>
    <w:rsid w:val="00870585"/>
    <w:rsid w:val="0087394A"/>
    <w:rsid w:val="00873EAC"/>
    <w:rsid w:val="00874D32"/>
    <w:rsid w:val="00880D1C"/>
    <w:rsid w:val="00880EB6"/>
    <w:rsid w:val="00881B84"/>
    <w:rsid w:val="00885CC3"/>
    <w:rsid w:val="0088632D"/>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1607"/>
    <w:rsid w:val="008C64FB"/>
    <w:rsid w:val="008C6F63"/>
    <w:rsid w:val="008C771B"/>
    <w:rsid w:val="008C77A4"/>
    <w:rsid w:val="008D0DB7"/>
    <w:rsid w:val="008D2DAF"/>
    <w:rsid w:val="008D4EEC"/>
    <w:rsid w:val="008D5BFC"/>
    <w:rsid w:val="008E1C91"/>
    <w:rsid w:val="008E1E14"/>
    <w:rsid w:val="008E2EFF"/>
    <w:rsid w:val="008E3B9E"/>
    <w:rsid w:val="008E4674"/>
    <w:rsid w:val="008E4E0F"/>
    <w:rsid w:val="008E5935"/>
    <w:rsid w:val="008E738E"/>
    <w:rsid w:val="008F0A84"/>
    <w:rsid w:val="008F0CC3"/>
    <w:rsid w:val="008F3E84"/>
    <w:rsid w:val="008F44C7"/>
    <w:rsid w:val="008F5035"/>
    <w:rsid w:val="008F5056"/>
    <w:rsid w:val="00900C2F"/>
    <w:rsid w:val="00900DA8"/>
    <w:rsid w:val="0090408F"/>
    <w:rsid w:val="00906F8A"/>
    <w:rsid w:val="009079D8"/>
    <w:rsid w:val="009104E4"/>
    <w:rsid w:val="00910A37"/>
    <w:rsid w:val="00914B34"/>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49FD"/>
    <w:rsid w:val="009353AA"/>
    <w:rsid w:val="00935401"/>
    <w:rsid w:val="009358D0"/>
    <w:rsid w:val="00935965"/>
    <w:rsid w:val="0094003A"/>
    <w:rsid w:val="0094004A"/>
    <w:rsid w:val="00943FB0"/>
    <w:rsid w:val="0094638E"/>
    <w:rsid w:val="00946A82"/>
    <w:rsid w:val="00951071"/>
    <w:rsid w:val="0095333C"/>
    <w:rsid w:val="009544D9"/>
    <w:rsid w:val="00955186"/>
    <w:rsid w:val="00955282"/>
    <w:rsid w:val="00956990"/>
    <w:rsid w:val="00956EE8"/>
    <w:rsid w:val="009570F6"/>
    <w:rsid w:val="00957995"/>
    <w:rsid w:val="009648AF"/>
    <w:rsid w:val="00965C09"/>
    <w:rsid w:val="00966B6A"/>
    <w:rsid w:val="0097057C"/>
    <w:rsid w:val="009715C5"/>
    <w:rsid w:val="00971AF2"/>
    <w:rsid w:val="009723B8"/>
    <w:rsid w:val="00973ED9"/>
    <w:rsid w:val="009817A0"/>
    <w:rsid w:val="0098281C"/>
    <w:rsid w:val="009833A0"/>
    <w:rsid w:val="0098388D"/>
    <w:rsid w:val="0098423D"/>
    <w:rsid w:val="009850E9"/>
    <w:rsid w:val="00985DFA"/>
    <w:rsid w:val="00986315"/>
    <w:rsid w:val="00986617"/>
    <w:rsid w:val="009911E3"/>
    <w:rsid w:val="00994B4C"/>
    <w:rsid w:val="00994E42"/>
    <w:rsid w:val="00995178"/>
    <w:rsid w:val="009960E6"/>
    <w:rsid w:val="009A1C33"/>
    <w:rsid w:val="009A1D27"/>
    <w:rsid w:val="009A2439"/>
    <w:rsid w:val="009A2BFF"/>
    <w:rsid w:val="009A6D30"/>
    <w:rsid w:val="009B07A4"/>
    <w:rsid w:val="009B206F"/>
    <w:rsid w:val="009B28BB"/>
    <w:rsid w:val="009B3528"/>
    <w:rsid w:val="009B5F6F"/>
    <w:rsid w:val="009B60E1"/>
    <w:rsid w:val="009B7A7F"/>
    <w:rsid w:val="009B7A90"/>
    <w:rsid w:val="009B7BA4"/>
    <w:rsid w:val="009C1007"/>
    <w:rsid w:val="009C1F6E"/>
    <w:rsid w:val="009C2026"/>
    <w:rsid w:val="009C2514"/>
    <w:rsid w:val="009C3C03"/>
    <w:rsid w:val="009C3C6C"/>
    <w:rsid w:val="009C3EBA"/>
    <w:rsid w:val="009C4C61"/>
    <w:rsid w:val="009C5377"/>
    <w:rsid w:val="009C58A2"/>
    <w:rsid w:val="009C6276"/>
    <w:rsid w:val="009C7BA0"/>
    <w:rsid w:val="009D01C5"/>
    <w:rsid w:val="009D1B51"/>
    <w:rsid w:val="009D426B"/>
    <w:rsid w:val="009D43A5"/>
    <w:rsid w:val="009D52BF"/>
    <w:rsid w:val="009D5880"/>
    <w:rsid w:val="009D6255"/>
    <w:rsid w:val="009D6DD3"/>
    <w:rsid w:val="009E3F57"/>
    <w:rsid w:val="009E4F8A"/>
    <w:rsid w:val="009E6471"/>
    <w:rsid w:val="009E6771"/>
    <w:rsid w:val="009E67E4"/>
    <w:rsid w:val="009E754B"/>
    <w:rsid w:val="009F0511"/>
    <w:rsid w:val="009F092A"/>
    <w:rsid w:val="009F0F18"/>
    <w:rsid w:val="009F1DBD"/>
    <w:rsid w:val="009F22FE"/>
    <w:rsid w:val="009F750B"/>
    <w:rsid w:val="009F7FB5"/>
    <w:rsid w:val="00A00435"/>
    <w:rsid w:val="00A01FCD"/>
    <w:rsid w:val="00A025E8"/>
    <w:rsid w:val="00A03071"/>
    <w:rsid w:val="00A044F0"/>
    <w:rsid w:val="00A04ACA"/>
    <w:rsid w:val="00A0582B"/>
    <w:rsid w:val="00A05B11"/>
    <w:rsid w:val="00A06B7F"/>
    <w:rsid w:val="00A06FBD"/>
    <w:rsid w:val="00A074E9"/>
    <w:rsid w:val="00A07D9C"/>
    <w:rsid w:val="00A07DFC"/>
    <w:rsid w:val="00A108B8"/>
    <w:rsid w:val="00A109CC"/>
    <w:rsid w:val="00A11D7A"/>
    <w:rsid w:val="00A12741"/>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47CBE"/>
    <w:rsid w:val="00A5014E"/>
    <w:rsid w:val="00A54A38"/>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0DC7"/>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2848"/>
    <w:rsid w:val="00A96F13"/>
    <w:rsid w:val="00AA1080"/>
    <w:rsid w:val="00AA16D3"/>
    <w:rsid w:val="00AA18CA"/>
    <w:rsid w:val="00AA1D98"/>
    <w:rsid w:val="00AA3063"/>
    <w:rsid w:val="00AA3BFA"/>
    <w:rsid w:val="00AA4BCE"/>
    <w:rsid w:val="00AA5A0A"/>
    <w:rsid w:val="00AA5E84"/>
    <w:rsid w:val="00AA725C"/>
    <w:rsid w:val="00AA7BB1"/>
    <w:rsid w:val="00AB2C50"/>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2092"/>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062FA"/>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35DB4"/>
    <w:rsid w:val="00B40207"/>
    <w:rsid w:val="00B43464"/>
    <w:rsid w:val="00B45223"/>
    <w:rsid w:val="00B45C7D"/>
    <w:rsid w:val="00B461F3"/>
    <w:rsid w:val="00B46548"/>
    <w:rsid w:val="00B46BB4"/>
    <w:rsid w:val="00B47EFD"/>
    <w:rsid w:val="00B50604"/>
    <w:rsid w:val="00B50C36"/>
    <w:rsid w:val="00B51C5E"/>
    <w:rsid w:val="00B52083"/>
    <w:rsid w:val="00B52525"/>
    <w:rsid w:val="00B52A88"/>
    <w:rsid w:val="00B52B44"/>
    <w:rsid w:val="00B52D72"/>
    <w:rsid w:val="00B53BE4"/>
    <w:rsid w:val="00B53D05"/>
    <w:rsid w:val="00B54AE9"/>
    <w:rsid w:val="00B56BAC"/>
    <w:rsid w:val="00B56E5B"/>
    <w:rsid w:val="00B571F4"/>
    <w:rsid w:val="00B61F86"/>
    <w:rsid w:val="00B63550"/>
    <w:rsid w:val="00B64780"/>
    <w:rsid w:val="00B6494B"/>
    <w:rsid w:val="00B64BD5"/>
    <w:rsid w:val="00B64D7D"/>
    <w:rsid w:val="00B658BB"/>
    <w:rsid w:val="00B65E8E"/>
    <w:rsid w:val="00B6622F"/>
    <w:rsid w:val="00B67926"/>
    <w:rsid w:val="00B679FA"/>
    <w:rsid w:val="00B72B4C"/>
    <w:rsid w:val="00B75DE1"/>
    <w:rsid w:val="00B76EAC"/>
    <w:rsid w:val="00B810DE"/>
    <w:rsid w:val="00B81ECA"/>
    <w:rsid w:val="00B838D7"/>
    <w:rsid w:val="00B83DCC"/>
    <w:rsid w:val="00B84F8C"/>
    <w:rsid w:val="00B864A8"/>
    <w:rsid w:val="00B86A3E"/>
    <w:rsid w:val="00B903B2"/>
    <w:rsid w:val="00B9113C"/>
    <w:rsid w:val="00B91DE8"/>
    <w:rsid w:val="00B93C58"/>
    <w:rsid w:val="00B93ECE"/>
    <w:rsid w:val="00B96111"/>
    <w:rsid w:val="00B9753A"/>
    <w:rsid w:val="00B975ED"/>
    <w:rsid w:val="00B979E2"/>
    <w:rsid w:val="00B97A30"/>
    <w:rsid w:val="00B97D1F"/>
    <w:rsid w:val="00B97E9D"/>
    <w:rsid w:val="00BA25DB"/>
    <w:rsid w:val="00BA2CAB"/>
    <w:rsid w:val="00BA38E0"/>
    <w:rsid w:val="00BA4649"/>
    <w:rsid w:val="00BA51C2"/>
    <w:rsid w:val="00BA619F"/>
    <w:rsid w:val="00BA6A48"/>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04B3"/>
    <w:rsid w:val="00BC11D7"/>
    <w:rsid w:val="00BC1B9C"/>
    <w:rsid w:val="00BC283F"/>
    <w:rsid w:val="00BC2C14"/>
    <w:rsid w:val="00BC31EE"/>
    <w:rsid w:val="00BC3C19"/>
    <w:rsid w:val="00BC4B27"/>
    <w:rsid w:val="00BC5C23"/>
    <w:rsid w:val="00BD12E2"/>
    <w:rsid w:val="00BD15BE"/>
    <w:rsid w:val="00BD2E19"/>
    <w:rsid w:val="00BD3BF3"/>
    <w:rsid w:val="00BD5316"/>
    <w:rsid w:val="00BD6613"/>
    <w:rsid w:val="00BE41BE"/>
    <w:rsid w:val="00BE4EBB"/>
    <w:rsid w:val="00BE6F8C"/>
    <w:rsid w:val="00BE735F"/>
    <w:rsid w:val="00BF069C"/>
    <w:rsid w:val="00BF0B0F"/>
    <w:rsid w:val="00BF150A"/>
    <w:rsid w:val="00BF30A5"/>
    <w:rsid w:val="00BF3210"/>
    <w:rsid w:val="00BF3B09"/>
    <w:rsid w:val="00BF4A06"/>
    <w:rsid w:val="00C00340"/>
    <w:rsid w:val="00C0301D"/>
    <w:rsid w:val="00C03270"/>
    <w:rsid w:val="00C03937"/>
    <w:rsid w:val="00C048FB"/>
    <w:rsid w:val="00C04CFA"/>
    <w:rsid w:val="00C0602D"/>
    <w:rsid w:val="00C06FAF"/>
    <w:rsid w:val="00C07326"/>
    <w:rsid w:val="00C074A8"/>
    <w:rsid w:val="00C076EF"/>
    <w:rsid w:val="00C12DA4"/>
    <w:rsid w:val="00C133A8"/>
    <w:rsid w:val="00C15E59"/>
    <w:rsid w:val="00C15E84"/>
    <w:rsid w:val="00C16C84"/>
    <w:rsid w:val="00C20730"/>
    <w:rsid w:val="00C21DB4"/>
    <w:rsid w:val="00C224CD"/>
    <w:rsid w:val="00C25539"/>
    <w:rsid w:val="00C25C2B"/>
    <w:rsid w:val="00C2744F"/>
    <w:rsid w:val="00C33D5F"/>
    <w:rsid w:val="00C34648"/>
    <w:rsid w:val="00C34D95"/>
    <w:rsid w:val="00C357EB"/>
    <w:rsid w:val="00C37015"/>
    <w:rsid w:val="00C40072"/>
    <w:rsid w:val="00C408BD"/>
    <w:rsid w:val="00C411F3"/>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119"/>
    <w:rsid w:val="00C8634C"/>
    <w:rsid w:val="00C86F92"/>
    <w:rsid w:val="00C90072"/>
    <w:rsid w:val="00C92637"/>
    <w:rsid w:val="00C93550"/>
    <w:rsid w:val="00C9533B"/>
    <w:rsid w:val="00C95976"/>
    <w:rsid w:val="00CA14A2"/>
    <w:rsid w:val="00CA408B"/>
    <w:rsid w:val="00CA47DA"/>
    <w:rsid w:val="00CA5299"/>
    <w:rsid w:val="00CA597B"/>
    <w:rsid w:val="00CB0748"/>
    <w:rsid w:val="00CB18BD"/>
    <w:rsid w:val="00CB1B09"/>
    <w:rsid w:val="00CB232C"/>
    <w:rsid w:val="00CB2D79"/>
    <w:rsid w:val="00CB2E90"/>
    <w:rsid w:val="00CB31D0"/>
    <w:rsid w:val="00CB4405"/>
    <w:rsid w:val="00CB4EF4"/>
    <w:rsid w:val="00CB5BD0"/>
    <w:rsid w:val="00CB63F6"/>
    <w:rsid w:val="00CB7EC8"/>
    <w:rsid w:val="00CC03DE"/>
    <w:rsid w:val="00CC042F"/>
    <w:rsid w:val="00CC11D6"/>
    <w:rsid w:val="00CC237A"/>
    <w:rsid w:val="00CC2A69"/>
    <w:rsid w:val="00CD2668"/>
    <w:rsid w:val="00CD2B6F"/>
    <w:rsid w:val="00CD2E23"/>
    <w:rsid w:val="00CD2FAC"/>
    <w:rsid w:val="00CD2FBB"/>
    <w:rsid w:val="00CD3879"/>
    <w:rsid w:val="00CD3AC4"/>
    <w:rsid w:val="00CD402E"/>
    <w:rsid w:val="00CD495B"/>
    <w:rsid w:val="00CD5161"/>
    <w:rsid w:val="00CD5C64"/>
    <w:rsid w:val="00CD69A5"/>
    <w:rsid w:val="00CD7C0B"/>
    <w:rsid w:val="00CD7C6C"/>
    <w:rsid w:val="00CE0AA8"/>
    <w:rsid w:val="00CE1F20"/>
    <w:rsid w:val="00CE3BDB"/>
    <w:rsid w:val="00CE4206"/>
    <w:rsid w:val="00CE4305"/>
    <w:rsid w:val="00CE44AB"/>
    <w:rsid w:val="00CE4BC6"/>
    <w:rsid w:val="00CE52BF"/>
    <w:rsid w:val="00CE5EA4"/>
    <w:rsid w:val="00CE70DB"/>
    <w:rsid w:val="00CF001E"/>
    <w:rsid w:val="00CF363A"/>
    <w:rsid w:val="00CF5090"/>
    <w:rsid w:val="00CF50D5"/>
    <w:rsid w:val="00CF5B0B"/>
    <w:rsid w:val="00CF5C9B"/>
    <w:rsid w:val="00CF6662"/>
    <w:rsid w:val="00D01058"/>
    <w:rsid w:val="00D01136"/>
    <w:rsid w:val="00D01FF3"/>
    <w:rsid w:val="00D03474"/>
    <w:rsid w:val="00D03476"/>
    <w:rsid w:val="00D03C0F"/>
    <w:rsid w:val="00D050E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9A"/>
    <w:rsid w:val="00D264F9"/>
    <w:rsid w:val="00D3129E"/>
    <w:rsid w:val="00D31768"/>
    <w:rsid w:val="00D320CC"/>
    <w:rsid w:val="00D33471"/>
    <w:rsid w:val="00D344EF"/>
    <w:rsid w:val="00D35D77"/>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3D3F"/>
    <w:rsid w:val="00D65B3B"/>
    <w:rsid w:val="00D65C26"/>
    <w:rsid w:val="00D6655A"/>
    <w:rsid w:val="00D73BEF"/>
    <w:rsid w:val="00D75DD7"/>
    <w:rsid w:val="00D8461E"/>
    <w:rsid w:val="00D848AF"/>
    <w:rsid w:val="00D84D41"/>
    <w:rsid w:val="00D85867"/>
    <w:rsid w:val="00D86986"/>
    <w:rsid w:val="00D86AE7"/>
    <w:rsid w:val="00D90438"/>
    <w:rsid w:val="00D90F7C"/>
    <w:rsid w:val="00D91BBB"/>
    <w:rsid w:val="00D93BBB"/>
    <w:rsid w:val="00D9483F"/>
    <w:rsid w:val="00D957E5"/>
    <w:rsid w:val="00D9612C"/>
    <w:rsid w:val="00D96B41"/>
    <w:rsid w:val="00DA02CE"/>
    <w:rsid w:val="00DA0DFD"/>
    <w:rsid w:val="00DA26D1"/>
    <w:rsid w:val="00DA3715"/>
    <w:rsid w:val="00DA3EA5"/>
    <w:rsid w:val="00DA7EC9"/>
    <w:rsid w:val="00DB18FC"/>
    <w:rsid w:val="00DB2769"/>
    <w:rsid w:val="00DB4762"/>
    <w:rsid w:val="00DB630A"/>
    <w:rsid w:val="00DB6473"/>
    <w:rsid w:val="00DC3ED2"/>
    <w:rsid w:val="00DC4AE1"/>
    <w:rsid w:val="00DC6B38"/>
    <w:rsid w:val="00DC767D"/>
    <w:rsid w:val="00DC7A15"/>
    <w:rsid w:val="00DD0CDD"/>
    <w:rsid w:val="00DD26EA"/>
    <w:rsid w:val="00DD3270"/>
    <w:rsid w:val="00DD35BB"/>
    <w:rsid w:val="00DD5EDD"/>
    <w:rsid w:val="00DD6B34"/>
    <w:rsid w:val="00DD7198"/>
    <w:rsid w:val="00DE3B48"/>
    <w:rsid w:val="00DF08A3"/>
    <w:rsid w:val="00DF0FF1"/>
    <w:rsid w:val="00DF1557"/>
    <w:rsid w:val="00DF3006"/>
    <w:rsid w:val="00DF49C5"/>
    <w:rsid w:val="00DF6B72"/>
    <w:rsid w:val="00DF7223"/>
    <w:rsid w:val="00DF7278"/>
    <w:rsid w:val="00DF749E"/>
    <w:rsid w:val="00DF7988"/>
    <w:rsid w:val="00E0112E"/>
    <w:rsid w:val="00E02056"/>
    <w:rsid w:val="00E023D6"/>
    <w:rsid w:val="00E037D5"/>
    <w:rsid w:val="00E07564"/>
    <w:rsid w:val="00E07EB9"/>
    <w:rsid w:val="00E10A87"/>
    <w:rsid w:val="00E114BC"/>
    <w:rsid w:val="00E11D50"/>
    <w:rsid w:val="00E13609"/>
    <w:rsid w:val="00E14B3C"/>
    <w:rsid w:val="00E16067"/>
    <w:rsid w:val="00E20E0B"/>
    <w:rsid w:val="00E212E3"/>
    <w:rsid w:val="00E22505"/>
    <w:rsid w:val="00E226B6"/>
    <w:rsid w:val="00E227F4"/>
    <w:rsid w:val="00E23903"/>
    <w:rsid w:val="00E2465F"/>
    <w:rsid w:val="00E2575E"/>
    <w:rsid w:val="00E25E0D"/>
    <w:rsid w:val="00E2687F"/>
    <w:rsid w:val="00E270B1"/>
    <w:rsid w:val="00E27DAA"/>
    <w:rsid w:val="00E27FDC"/>
    <w:rsid w:val="00E303C9"/>
    <w:rsid w:val="00E30E7D"/>
    <w:rsid w:val="00E31BA9"/>
    <w:rsid w:val="00E332F8"/>
    <w:rsid w:val="00E33659"/>
    <w:rsid w:val="00E400DE"/>
    <w:rsid w:val="00E4021E"/>
    <w:rsid w:val="00E40872"/>
    <w:rsid w:val="00E41594"/>
    <w:rsid w:val="00E4296F"/>
    <w:rsid w:val="00E43324"/>
    <w:rsid w:val="00E46A08"/>
    <w:rsid w:val="00E47BE1"/>
    <w:rsid w:val="00E518FB"/>
    <w:rsid w:val="00E5386F"/>
    <w:rsid w:val="00E56AE4"/>
    <w:rsid w:val="00E56C94"/>
    <w:rsid w:val="00E56FE8"/>
    <w:rsid w:val="00E57945"/>
    <w:rsid w:val="00E57C5E"/>
    <w:rsid w:val="00E6057C"/>
    <w:rsid w:val="00E607A7"/>
    <w:rsid w:val="00E60C5E"/>
    <w:rsid w:val="00E63BD1"/>
    <w:rsid w:val="00E6467D"/>
    <w:rsid w:val="00E64F0D"/>
    <w:rsid w:val="00E66BCF"/>
    <w:rsid w:val="00E70C32"/>
    <w:rsid w:val="00E71342"/>
    <w:rsid w:val="00E728E4"/>
    <w:rsid w:val="00E77471"/>
    <w:rsid w:val="00E777FC"/>
    <w:rsid w:val="00E83DB2"/>
    <w:rsid w:val="00E840FB"/>
    <w:rsid w:val="00E8555A"/>
    <w:rsid w:val="00E85DAF"/>
    <w:rsid w:val="00E86211"/>
    <w:rsid w:val="00E86A39"/>
    <w:rsid w:val="00E8703F"/>
    <w:rsid w:val="00E87864"/>
    <w:rsid w:val="00E9170D"/>
    <w:rsid w:val="00E9198A"/>
    <w:rsid w:val="00E92C29"/>
    <w:rsid w:val="00E931C1"/>
    <w:rsid w:val="00E93D73"/>
    <w:rsid w:val="00E94BE1"/>
    <w:rsid w:val="00E94BFD"/>
    <w:rsid w:val="00E94E0E"/>
    <w:rsid w:val="00E952C1"/>
    <w:rsid w:val="00E97186"/>
    <w:rsid w:val="00E97F6C"/>
    <w:rsid w:val="00EA04D2"/>
    <w:rsid w:val="00EA2655"/>
    <w:rsid w:val="00EA2FC1"/>
    <w:rsid w:val="00EA6401"/>
    <w:rsid w:val="00EA68DB"/>
    <w:rsid w:val="00EB04DB"/>
    <w:rsid w:val="00EB0764"/>
    <w:rsid w:val="00EB1322"/>
    <w:rsid w:val="00EB1A62"/>
    <w:rsid w:val="00EB4FC8"/>
    <w:rsid w:val="00EB6E57"/>
    <w:rsid w:val="00EB7A4C"/>
    <w:rsid w:val="00EC0DD8"/>
    <w:rsid w:val="00EC221A"/>
    <w:rsid w:val="00EC2A66"/>
    <w:rsid w:val="00EC3672"/>
    <w:rsid w:val="00EC44FF"/>
    <w:rsid w:val="00ED0960"/>
    <w:rsid w:val="00ED3782"/>
    <w:rsid w:val="00ED56C1"/>
    <w:rsid w:val="00ED6D82"/>
    <w:rsid w:val="00ED7D80"/>
    <w:rsid w:val="00EE1F49"/>
    <w:rsid w:val="00EE1F87"/>
    <w:rsid w:val="00EE36FA"/>
    <w:rsid w:val="00EE3720"/>
    <w:rsid w:val="00EE3F92"/>
    <w:rsid w:val="00EE4A01"/>
    <w:rsid w:val="00EE5B89"/>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518"/>
    <w:rsid w:val="00F13BB5"/>
    <w:rsid w:val="00F14992"/>
    <w:rsid w:val="00F16A50"/>
    <w:rsid w:val="00F21D20"/>
    <w:rsid w:val="00F22674"/>
    <w:rsid w:val="00F22B78"/>
    <w:rsid w:val="00F244F9"/>
    <w:rsid w:val="00F25220"/>
    <w:rsid w:val="00F25309"/>
    <w:rsid w:val="00F25320"/>
    <w:rsid w:val="00F26FA6"/>
    <w:rsid w:val="00F306D7"/>
    <w:rsid w:val="00F308B7"/>
    <w:rsid w:val="00F3137F"/>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556D"/>
    <w:rsid w:val="00F564CD"/>
    <w:rsid w:val="00F61702"/>
    <w:rsid w:val="00F62789"/>
    <w:rsid w:val="00F62E71"/>
    <w:rsid w:val="00F6306C"/>
    <w:rsid w:val="00F630C8"/>
    <w:rsid w:val="00F64C12"/>
    <w:rsid w:val="00F6552D"/>
    <w:rsid w:val="00F65CB7"/>
    <w:rsid w:val="00F667F5"/>
    <w:rsid w:val="00F67278"/>
    <w:rsid w:val="00F70470"/>
    <w:rsid w:val="00F710E9"/>
    <w:rsid w:val="00F733F0"/>
    <w:rsid w:val="00F742CA"/>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5C09"/>
    <w:rsid w:val="00FA7224"/>
    <w:rsid w:val="00FB01BB"/>
    <w:rsid w:val="00FB1072"/>
    <w:rsid w:val="00FB1215"/>
    <w:rsid w:val="00FB3D8E"/>
    <w:rsid w:val="00FB4CB0"/>
    <w:rsid w:val="00FB608E"/>
    <w:rsid w:val="00FB6392"/>
    <w:rsid w:val="00FC39BA"/>
    <w:rsid w:val="00FC3DAC"/>
    <w:rsid w:val="00FC62FB"/>
    <w:rsid w:val="00FD1428"/>
    <w:rsid w:val="00FD20C5"/>
    <w:rsid w:val="00FD221D"/>
    <w:rsid w:val="00FD2761"/>
    <w:rsid w:val="00FD309E"/>
    <w:rsid w:val="00FD37B5"/>
    <w:rsid w:val="00FD4568"/>
    <w:rsid w:val="00FD5B5E"/>
    <w:rsid w:val="00FD613E"/>
    <w:rsid w:val="00FD6F4D"/>
    <w:rsid w:val="00FE0559"/>
    <w:rsid w:val="00FE05A0"/>
    <w:rsid w:val="00FE1589"/>
    <w:rsid w:val="00FE3884"/>
    <w:rsid w:val="00FE3A5A"/>
    <w:rsid w:val="00FE3FCF"/>
    <w:rsid w:val="00FF2E19"/>
    <w:rsid w:val="00FF313E"/>
    <w:rsid w:val="00FF71BD"/>
    <w:rsid w:val="00FF756F"/>
    <w:rsid w:val="01174F9A"/>
    <w:rsid w:val="01216D33"/>
    <w:rsid w:val="013B2B96"/>
    <w:rsid w:val="01B11FA1"/>
    <w:rsid w:val="01CB2F5B"/>
    <w:rsid w:val="020E0B72"/>
    <w:rsid w:val="020E2058"/>
    <w:rsid w:val="02E80535"/>
    <w:rsid w:val="033C42B2"/>
    <w:rsid w:val="03667C72"/>
    <w:rsid w:val="03912F41"/>
    <w:rsid w:val="03A82039"/>
    <w:rsid w:val="043B4C5B"/>
    <w:rsid w:val="043E40D7"/>
    <w:rsid w:val="044955CA"/>
    <w:rsid w:val="04ED41A7"/>
    <w:rsid w:val="05571F68"/>
    <w:rsid w:val="06084349"/>
    <w:rsid w:val="062E4A77"/>
    <w:rsid w:val="06DA4BFF"/>
    <w:rsid w:val="07525215"/>
    <w:rsid w:val="076B40FA"/>
    <w:rsid w:val="07A33243"/>
    <w:rsid w:val="07CC1627"/>
    <w:rsid w:val="0831084F"/>
    <w:rsid w:val="08365E65"/>
    <w:rsid w:val="08393C99"/>
    <w:rsid w:val="0854278F"/>
    <w:rsid w:val="085507FC"/>
    <w:rsid w:val="0898267C"/>
    <w:rsid w:val="08BD0CAF"/>
    <w:rsid w:val="08EE5AB0"/>
    <w:rsid w:val="090D12BC"/>
    <w:rsid w:val="09404DB1"/>
    <w:rsid w:val="097C4C0A"/>
    <w:rsid w:val="09945539"/>
    <w:rsid w:val="09BA7BCA"/>
    <w:rsid w:val="09E10052"/>
    <w:rsid w:val="09FB1114"/>
    <w:rsid w:val="0A2D14EA"/>
    <w:rsid w:val="0A3C2B9C"/>
    <w:rsid w:val="0A5E16A3"/>
    <w:rsid w:val="0A781719"/>
    <w:rsid w:val="0A89457B"/>
    <w:rsid w:val="0AB539B9"/>
    <w:rsid w:val="0AC474D2"/>
    <w:rsid w:val="0AD35BED"/>
    <w:rsid w:val="0B1A381C"/>
    <w:rsid w:val="0B5847B0"/>
    <w:rsid w:val="0B7C0033"/>
    <w:rsid w:val="0C061FF2"/>
    <w:rsid w:val="0C0D15D3"/>
    <w:rsid w:val="0C0F70F9"/>
    <w:rsid w:val="0C4C20FB"/>
    <w:rsid w:val="0CAE322A"/>
    <w:rsid w:val="0CDB522D"/>
    <w:rsid w:val="0D1644B7"/>
    <w:rsid w:val="0D166265"/>
    <w:rsid w:val="0D613984"/>
    <w:rsid w:val="0D6A2B09"/>
    <w:rsid w:val="0DB00467"/>
    <w:rsid w:val="0E2055ED"/>
    <w:rsid w:val="0E407A3D"/>
    <w:rsid w:val="0E576B35"/>
    <w:rsid w:val="0E680D42"/>
    <w:rsid w:val="0E935B43"/>
    <w:rsid w:val="0E96765D"/>
    <w:rsid w:val="0F185481"/>
    <w:rsid w:val="0F4C2B8C"/>
    <w:rsid w:val="0F543075"/>
    <w:rsid w:val="0F601A19"/>
    <w:rsid w:val="0F6633A9"/>
    <w:rsid w:val="0FCC79C0"/>
    <w:rsid w:val="1057106E"/>
    <w:rsid w:val="10972147"/>
    <w:rsid w:val="10D12BCF"/>
    <w:rsid w:val="10F20D97"/>
    <w:rsid w:val="11217760"/>
    <w:rsid w:val="11CB5870"/>
    <w:rsid w:val="11D64215"/>
    <w:rsid w:val="120E39AF"/>
    <w:rsid w:val="12661A3D"/>
    <w:rsid w:val="131F7E9C"/>
    <w:rsid w:val="13225964"/>
    <w:rsid w:val="133574DA"/>
    <w:rsid w:val="13622C7A"/>
    <w:rsid w:val="136F66CF"/>
    <w:rsid w:val="13734411"/>
    <w:rsid w:val="1380268A"/>
    <w:rsid w:val="13A97E33"/>
    <w:rsid w:val="13C46A1B"/>
    <w:rsid w:val="13D604FC"/>
    <w:rsid w:val="14290F74"/>
    <w:rsid w:val="148D32B1"/>
    <w:rsid w:val="14AA0638"/>
    <w:rsid w:val="15264D8E"/>
    <w:rsid w:val="155E4C4D"/>
    <w:rsid w:val="15B900D5"/>
    <w:rsid w:val="15CE3B81"/>
    <w:rsid w:val="16007AB2"/>
    <w:rsid w:val="16247C45"/>
    <w:rsid w:val="164B6F7F"/>
    <w:rsid w:val="166B13D0"/>
    <w:rsid w:val="1683496B"/>
    <w:rsid w:val="16A662AE"/>
    <w:rsid w:val="16A950C6"/>
    <w:rsid w:val="16F108E9"/>
    <w:rsid w:val="1706734A"/>
    <w:rsid w:val="17080368"/>
    <w:rsid w:val="17245C34"/>
    <w:rsid w:val="17D226D6"/>
    <w:rsid w:val="18384FC6"/>
    <w:rsid w:val="18BA4890"/>
    <w:rsid w:val="18BC23B6"/>
    <w:rsid w:val="190B50EC"/>
    <w:rsid w:val="191F1353"/>
    <w:rsid w:val="19202945"/>
    <w:rsid w:val="19467ED2"/>
    <w:rsid w:val="19534E25"/>
    <w:rsid w:val="19974512"/>
    <w:rsid w:val="1A18361C"/>
    <w:rsid w:val="1A584361"/>
    <w:rsid w:val="1A937147"/>
    <w:rsid w:val="1AD4799A"/>
    <w:rsid w:val="1AF760BA"/>
    <w:rsid w:val="1B1A7868"/>
    <w:rsid w:val="1B321584"/>
    <w:rsid w:val="1B4C6F1B"/>
    <w:rsid w:val="1B667C0D"/>
    <w:rsid w:val="1BF27E9D"/>
    <w:rsid w:val="1BF41E67"/>
    <w:rsid w:val="1BF63E31"/>
    <w:rsid w:val="1C5172BA"/>
    <w:rsid w:val="1C6963B1"/>
    <w:rsid w:val="1C856F63"/>
    <w:rsid w:val="1D4B3D09"/>
    <w:rsid w:val="1D4D7A81"/>
    <w:rsid w:val="1D5831A2"/>
    <w:rsid w:val="1D862F93"/>
    <w:rsid w:val="1DAA6C81"/>
    <w:rsid w:val="1E1C0ECD"/>
    <w:rsid w:val="1E2658B5"/>
    <w:rsid w:val="1E2702D2"/>
    <w:rsid w:val="1E560BB7"/>
    <w:rsid w:val="1E6C3F37"/>
    <w:rsid w:val="1E7159F1"/>
    <w:rsid w:val="1E7C687F"/>
    <w:rsid w:val="1EBF675C"/>
    <w:rsid w:val="1ECB3353"/>
    <w:rsid w:val="1EE61F3B"/>
    <w:rsid w:val="1EFC175F"/>
    <w:rsid w:val="1F016D75"/>
    <w:rsid w:val="1F321241"/>
    <w:rsid w:val="1F460C2C"/>
    <w:rsid w:val="1F4E7AE0"/>
    <w:rsid w:val="1F8E612F"/>
    <w:rsid w:val="1FAB7E7B"/>
    <w:rsid w:val="200F54C2"/>
    <w:rsid w:val="201C373B"/>
    <w:rsid w:val="201D0482"/>
    <w:rsid w:val="20294D97"/>
    <w:rsid w:val="20407CB6"/>
    <w:rsid w:val="20531A94"/>
    <w:rsid w:val="20F36B91"/>
    <w:rsid w:val="2144119B"/>
    <w:rsid w:val="21997739"/>
    <w:rsid w:val="21E32762"/>
    <w:rsid w:val="221768AF"/>
    <w:rsid w:val="222B4109"/>
    <w:rsid w:val="22342FBD"/>
    <w:rsid w:val="22471C51"/>
    <w:rsid w:val="227E248B"/>
    <w:rsid w:val="232A449B"/>
    <w:rsid w:val="23627FFE"/>
    <w:rsid w:val="23872716"/>
    <w:rsid w:val="23BD5235"/>
    <w:rsid w:val="23F073B8"/>
    <w:rsid w:val="244A4D1A"/>
    <w:rsid w:val="244D65B8"/>
    <w:rsid w:val="25180974"/>
    <w:rsid w:val="25493224"/>
    <w:rsid w:val="255045B2"/>
    <w:rsid w:val="256A4F48"/>
    <w:rsid w:val="25836BE3"/>
    <w:rsid w:val="258A4AD9"/>
    <w:rsid w:val="25987D07"/>
    <w:rsid w:val="25A0096A"/>
    <w:rsid w:val="25B14925"/>
    <w:rsid w:val="25E62821"/>
    <w:rsid w:val="26176E7E"/>
    <w:rsid w:val="26C441AF"/>
    <w:rsid w:val="26FB22FC"/>
    <w:rsid w:val="271E423C"/>
    <w:rsid w:val="274F0899"/>
    <w:rsid w:val="278C389C"/>
    <w:rsid w:val="279B5A04"/>
    <w:rsid w:val="27B74703"/>
    <w:rsid w:val="27CC5A46"/>
    <w:rsid w:val="27E27A70"/>
    <w:rsid w:val="27EE3C0E"/>
    <w:rsid w:val="28612632"/>
    <w:rsid w:val="286A1913"/>
    <w:rsid w:val="286D547B"/>
    <w:rsid w:val="28792F45"/>
    <w:rsid w:val="28F306BC"/>
    <w:rsid w:val="2927387C"/>
    <w:rsid w:val="29A053DC"/>
    <w:rsid w:val="29A3542F"/>
    <w:rsid w:val="29EE439A"/>
    <w:rsid w:val="2A21651D"/>
    <w:rsid w:val="2A311A54"/>
    <w:rsid w:val="2AA50EFC"/>
    <w:rsid w:val="2ABA24CE"/>
    <w:rsid w:val="2AE01F34"/>
    <w:rsid w:val="2AF94DA4"/>
    <w:rsid w:val="2B886128"/>
    <w:rsid w:val="2BBE1B73"/>
    <w:rsid w:val="2BCA4992"/>
    <w:rsid w:val="2BCF3D57"/>
    <w:rsid w:val="2BCF4DA0"/>
    <w:rsid w:val="2C302A48"/>
    <w:rsid w:val="2C365B84"/>
    <w:rsid w:val="2C772424"/>
    <w:rsid w:val="2C7768C8"/>
    <w:rsid w:val="2C815051"/>
    <w:rsid w:val="2CB35427"/>
    <w:rsid w:val="2CDA6E57"/>
    <w:rsid w:val="2CE13D42"/>
    <w:rsid w:val="2DBF048A"/>
    <w:rsid w:val="2DED016F"/>
    <w:rsid w:val="2E0917A2"/>
    <w:rsid w:val="2E141EF5"/>
    <w:rsid w:val="2E2A1A35"/>
    <w:rsid w:val="2E425517"/>
    <w:rsid w:val="2E5B1DE5"/>
    <w:rsid w:val="2E6B4140"/>
    <w:rsid w:val="2E7A444E"/>
    <w:rsid w:val="2E861045"/>
    <w:rsid w:val="2EA9088F"/>
    <w:rsid w:val="2EB060C2"/>
    <w:rsid w:val="2EDE49DD"/>
    <w:rsid w:val="2EFA558F"/>
    <w:rsid w:val="2EFF4493"/>
    <w:rsid w:val="2F2D14C0"/>
    <w:rsid w:val="2F34284F"/>
    <w:rsid w:val="2F776BDF"/>
    <w:rsid w:val="2FB424A2"/>
    <w:rsid w:val="30240B15"/>
    <w:rsid w:val="30997731"/>
    <w:rsid w:val="30B74016"/>
    <w:rsid w:val="30CA3D76"/>
    <w:rsid w:val="30D2231F"/>
    <w:rsid w:val="30E6401D"/>
    <w:rsid w:val="30F027A5"/>
    <w:rsid w:val="31FE7144"/>
    <w:rsid w:val="32132BEF"/>
    <w:rsid w:val="3234271C"/>
    <w:rsid w:val="325D7CF9"/>
    <w:rsid w:val="329D070B"/>
    <w:rsid w:val="33072028"/>
    <w:rsid w:val="334B63B9"/>
    <w:rsid w:val="335F00B6"/>
    <w:rsid w:val="336D632F"/>
    <w:rsid w:val="339715FE"/>
    <w:rsid w:val="339E6DFE"/>
    <w:rsid w:val="33A4663C"/>
    <w:rsid w:val="33B57CD6"/>
    <w:rsid w:val="33B72246"/>
    <w:rsid w:val="33E43E98"/>
    <w:rsid w:val="33EB36F8"/>
    <w:rsid w:val="33F055F4"/>
    <w:rsid w:val="34037990"/>
    <w:rsid w:val="34386694"/>
    <w:rsid w:val="344572AC"/>
    <w:rsid w:val="34B955A4"/>
    <w:rsid w:val="34D83C7C"/>
    <w:rsid w:val="350E3B42"/>
    <w:rsid w:val="35101668"/>
    <w:rsid w:val="351D48F1"/>
    <w:rsid w:val="3522139B"/>
    <w:rsid w:val="352E1AEE"/>
    <w:rsid w:val="353D7F83"/>
    <w:rsid w:val="35492DCC"/>
    <w:rsid w:val="35AD335B"/>
    <w:rsid w:val="35B04BF9"/>
    <w:rsid w:val="35D24411"/>
    <w:rsid w:val="362F5B1E"/>
    <w:rsid w:val="36453593"/>
    <w:rsid w:val="365442FF"/>
    <w:rsid w:val="368F480F"/>
    <w:rsid w:val="36963DEF"/>
    <w:rsid w:val="369A73C0"/>
    <w:rsid w:val="36A75FFC"/>
    <w:rsid w:val="36E85C72"/>
    <w:rsid w:val="36FB1EA4"/>
    <w:rsid w:val="371A7888"/>
    <w:rsid w:val="37386C54"/>
    <w:rsid w:val="37591671"/>
    <w:rsid w:val="37753A04"/>
    <w:rsid w:val="37B3642E"/>
    <w:rsid w:val="37E33064"/>
    <w:rsid w:val="386677F1"/>
    <w:rsid w:val="38A5656B"/>
    <w:rsid w:val="38A84DDA"/>
    <w:rsid w:val="38BE2EEF"/>
    <w:rsid w:val="38E36364"/>
    <w:rsid w:val="397C5003"/>
    <w:rsid w:val="3991089E"/>
    <w:rsid w:val="39B73932"/>
    <w:rsid w:val="39D569DC"/>
    <w:rsid w:val="39D6662C"/>
    <w:rsid w:val="3A134D35"/>
    <w:rsid w:val="3A3F654C"/>
    <w:rsid w:val="3A410516"/>
    <w:rsid w:val="3A4D113E"/>
    <w:rsid w:val="3A8661CC"/>
    <w:rsid w:val="3A914FF9"/>
    <w:rsid w:val="3AC0143A"/>
    <w:rsid w:val="3ACF2D06"/>
    <w:rsid w:val="3AEF199D"/>
    <w:rsid w:val="3AEF1D20"/>
    <w:rsid w:val="3B1F05D3"/>
    <w:rsid w:val="3B245E6D"/>
    <w:rsid w:val="3B447BD4"/>
    <w:rsid w:val="3B5155AB"/>
    <w:rsid w:val="3B8F315C"/>
    <w:rsid w:val="3BBF7944"/>
    <w:rsid w:val="3BD408E0"/>
    <w:rsid w:val="3BDE67C1"/>
    <w:rsid w:val="3C0351DE"/>
    <w:rsid w:val="3C3C0F95"/>
    <w:rsid w:val="3C424BB7"/>
    <w:rsid w:val="3C522566"/>
    <w:rsid w:val="3C634F70"/>
    <w:rsid w:val="3C8927AA"/>
    <w:rsid w:val="3CD64F45"/>
    <w:rsid w:val="3CDD2778"/>
    <w:rsid w:val="3DC96858"/>
    <w:rsid w:val="3DD87C17"/>
    <w:rsid w:val="3E5325C6"/>
    <w:rsid w:val="3E6B3DB3"/>
    <w:rsid w:val="3ECF4342"/>
    <w:rsid w:val="3ED32EAF"/>
    <w:rsid w:val="3EE576C2"/>
    <w:rsid w:val="3F033FEC"/>
    <w:rsid w:val="3F1854AC"/>
    <w:rsid w:val="3F281CA4"/>
    <w:rsid w:val="3F8A0269"/>
    <w:rsid w:val="3FB15BEC"/>
    <w:rsid w:val="404D4884"/>
    <w:rsid w:val="40640737"/>
    <w:rsid w:val="40721429"/>
    <w:rsid w:val="40801F2A"/>
    <w:rsid w:val="40887158"/>
    <w:rsid w:val="41032081"/>
    <w:rsid w:val="41151DB4"/>
    <w:rsid w:val="412C3505"/>
    <w:rsid w:val="41410DFB"/>
    <w:rsid w:val="41714ABE"/>
    <w:rsid w:val="41760AA5"/>
    <w:rsid w:val="4182569C"/>
    <w:rsid w:val="41894C7C"/>
    <w:rsid w:val="419B72BE"/>
    <w:rsid w:val="420B3CA1"/>
    <w:rsid w:val="421914AF"/>
    <w:rsid w:val="42611755"/>
    <w:rsid w:val="4285411E"/>
    <w:rsid w:val="42977A3C"/>
    <w:rsid w:val="42C121F4"/>
    <w:rsid w:val="42DF6B1E"/>
    <w:rsid w:val="433274B6"/>
    <w:rsid w:val="43572B58"/>
    <w:rsid w:val="436C6603"/>
    <w:rsid w:val="436C772C"/>
    <w:rsid w:val="43B92B1D"/>
    <w:rsid w:val="43D1290A"/>
    <w:rsid w:val="43DD536C"/>
    <w:rsid w:val="43E837B0"/>
    <w:rsid w:val="44421112"/>
    <w:rsid w:val="44D75CFE"/>
    <w:rsid w:val="45521829"/>
    <w:rsid w:val="45876085"/>
    <w:rsid w:val="45D65FB6"/>
    <w:rsid w:val="45DC10F2"/>
    <w:rsid w:val="45F043FE"/>
    <w:rsid w:val="460348D1"/>
    <w:rsid w:val="464716F8"/>
    <w:rsid w:val="465C2905"/>
    <w:rsid w:val="4665558C"/>
    <w:rsid w:val="469F45FA"/>
    <w:rsid w:val="46CE4EDF"/>
    <w:rsid w:val="474B4782"/>
    <w:rsid w:val="47F46BC7"/>
    <w:rsid w:val="48384D06"/>
    <w:rsid w:val="485E04E5"/>
    <w:rsid w:val="48A71E8C"/>
    <w:rsid w:val="494D658F"/>
    <w:rsid w:val="49667651"/>
    <w:rsid w:val="49C12AD9"/>
    <w:rsid w:val="49C777B9"/>
    <w:rsid w:val="4A45195C"/>
    <w:rsid w:val="4A4A6F73"/>
    <w:rsid w:val="4A673681"/>
    <w:rsid w:val="4A7D10F6"/>
    <w:rsid w:val="4A8204BA"/>
    <w:rsid w:val="4AB10DA0"/>
    <w:rsid w:val="4AE271AB"/>
    <w:rsid w:val="4B0613F2"/>
    <w:rsid w:val="4B074E64"/>
    <w:rsid w:val="4B217CD3"/>
    <w:rsid w:val="4B221C9D"/>
    <w:rsid w:val="4B3C126D"/>
    <w:rsid w:val="4B46598C"/>
    <w:rsid w:val="4B490FD8"/>
    <w:rsid w:val="4B5C6F5D"/>
    <w:rsid w:val="4BCA036B"/>
    <w:rsid w:val="4BCB5E91"/>
    <w:rsid w:val="4BCD3E94"/>
    <w:rsid w:val="4BDB2578"/>
    <w:rsid w:val="4C2F4672"/>
    <w:rsid w:val="4CA7392D"/>
    <w:rsid w:val="4D106251"/>
    <w:rsid w:val="4D8B3B2A"/>
    <w:rsid w:val="4DAE7818"/>
    <w:rsid w:val="4DEA13C6"/>
    <w:rsid w:val="4E0135BD"/>
    <w:rsid w:val="4EFF657E"/>
    <w:rsid w:val="4F215E37"/>
    <w:rsid w:val="4F4A3571"/>
    <w:rsid w:val="4F9273F2"/>
    <w:rsid w:val="4FB530E0"/>
    <w:rsid w:val="4FD80B7D"/>
    <w:rsid w:val="4FE7163E"/>
    <w:rsid w:val="5060129E"/>
    <w:rsid w:val="506B19F1"/>
    <w:rsid w:val="509B12BB"/>
    <w:rsid w:val="50A05B3E"/>
    <w:rsid w:val="50B500CA"/>
    <w:rsid w:val="50CA4969"/>
    <w:rsid w:val="50E023DF"/>
    <w:rsid w:val="50E27F05"/>
    <w:rsid w:val="50EF43D0"/>
    <w:rsid w:val="51600E2A"/>
    <w:rsid w:val="516C3C72"/>
    <w:rsid w:val="51892AD2"/>
    <w:rsid w:val="51931224"/>
    <w:rsid w:val="52067C23"/>
    <w:rsid w:val="521F0CE5"/>
    <w:rsid w:val="52447DD0"/>
    <w:rsid w:val="52976ACD"/>
    <w:rsid w:val="52ED493F"/>
    <w:rsid w:val="52FB52AE"/>
    <w:rsid w:val="538928BA"/>
    <w:rsid w:val="53C9715A"/>
    <w:rsid w:val="53D02297"/>
    <w:rsid w:val="54D65388"/>
    <w:rsid w:val="55006BAB"/>
    <w:rsid w:val="5539030F"/>
    <w:rsid w:val="55A41C2D"/>
    <w:rsid w:val="55A5225D"/>
    <w:rsid w:val="55AF412E"/>
    <w:rsid w:val="569021B1"/>
    <w:rsid w:val="56D26326"/>
    <w:rsid w:val="56D54068"/>
    <w:rsid w:val="56DA016C"/>
    <w:rsid w:val="57034731"/>
    <w:rsid w:val="570F52BB"/>
    <w:rsid w:val="5748483A"/>
    <w:rsid w:val="5789732C"/>
    <w:rsid w:val="57A23F4A"/>
    <w:rsid w:val="57EF1159"/>
    <w:rsid w:val="57FA3D86"/>
    <w:rsid w:val="58382B00"/>
    <w:rsid w:val="585B64A7"/>
    <w:rsid w:val="58731115"/>
    <w:rsid w:val="58A23664"/>
    <w:rsid w:val="58A75E77"/>
    <w:rsid w:val="58AD4526"/>
    <w:rsid w:val="58BF0B2C"/>
    <w:rsid w:val="58F5279F"/>
    <w:rsid w:val="59084281"/>
    <w:rsid w:val="59282B75"/>
    <w:rsid w:val="595219A0"/>
    <w:rsid w:val="59585B86"/>
    <w:rsid w:val="596F4300"/>
    <w:rsid w:val="598549C6"/>
    <w:rsid w:val="5A2275C4"/>
    <w:rsid w:val="5A8042EB"/>
    <w:rsid w:val="5AA93841"/>
    <w:rsid w:val="5AC62645"/>
    <w:rsid w:val="5AD7215D"/>
    <w:rsid w:val="5B4672E2"/>
    <w:rsid w:val="5B490B80"/>
    <w:rsid w:val="5B5C4D58"/>
    <w:rsid w:val="5BE30FD5"/>
    <w:rsid w:val="5BFD51BD"/>
    <w:rsid w:val="5C2C38A3"/>
    <w:rsid w:val="5C4E2E0B"/>
    <w:rsid w:val="5CA2679A"/>
    <w:rsid w:val="5CAD26FB"/>
    <w:rsid w:val="5D3B51AE"/>
    <w:rsid w:val="5D3C2062"/>
    <w:rsid w:val="5D5C103F"/>
    <w:rsid w:val="5D641CA2"/>
    <w:rsid w:val="5D8365CC"/>
    <w:rsid w:val="5DB9023F"/>
    <w:rsid w:val="5DF70D68"/>
    <w:rsid w:val="5E0A34F5"/>
    <w:rsid w:val="5E0D496B"/>
    <w:rsid w:val="5E2A6A47"/>
    <w:rsid w:val="5E500914"/>
    <w:rsid w:val="5E5B21D1"/>
    <w:rsid w:val="5EC944B2"/>
    <w:rsid w:val="5F3D27AA"/>
    <w:rsid w:val="5F441D8B"/>
    <w:rsid w:val="5F6917F1"/>
    <w:rsid w:val="5F7563E8"/>
    <w:rsid w:val="5FE61094"/>
    <w:rsid w:val="60400434"/>
    <w:rsid w:val="604007A4"/>
    <w:rsid w:val="604F4E8B"/>
    <w:rsid w:val="606D5311"/>
    <w:rsid w:val="60787F3E"/>
    <w:rsid w:val="60981866"/>
    <w:rsid w:val="60D72BFF"/>
    <w:rsid w:val="611A2DA3"/>
    <w:rsid w:val="611C2337"/>
    <w:rsid w:val="61630BEE"/>
    <w:rsid w:val="619F774C"/>
    <w:rsid w:val="61A134C4"/>
    <w:rsid w:val="61B01959"/>
    <w:rsid w:val="61F21F72"/>
    <w:rsid w:val="621A0796"/>
    <w:rsid w:val="621A6DD3"/>
    <w:rsid w:val="6292105F"/>
    <w:rsid w:val="63261923"/>
    <w:rsid w:val="6370314E"/>
    <w:rsid w:val="63780255"/>
    <w:rsid w:val="637846F9"/>
    <w:rsid w:val="63C1676C"/>
    <w:rsid w:val="63D57455"/>
    <w:rsid w:val="644B7717"/>
    <w:rsid w:val="6497295D"/>
    <w:rsid w:val="649C61C5"/>
    <w:rsid w:val="64AA2690"/>
    <w:rsid w:val="64BB489D"/>
    <w:rsid w:val="64DB4F3F"/>
    <w:rsid w:val="64DC3AA6"/>
    <w:rsid w:val="653351C2"/>
    <w:rsid w:val="6546685C"/>
    <w:rsid w:val="65496236"/>
    <w:rsid w:val="65901886"/>
    <w:rsid w:val="65D67B2F"/>
    <w:rsid w:val="66202EDF"/>
    <w:rsid w:val="66B772E6"/>
    <w:rsid w:val="66C57C55"/>
    <w:rsid w:val="66CA526B"/>
    <w:rsid w:val="680B5B3B"/>
    <w:rsid w:val="682E5386"/>
    <w:rsid w:val="68324E76"/>
    <w:rsid w:val="6841155D"/>
    <w:rsid w:val="68466B73"/>
    <w:rsid w:val="68955405"/>
    <w:rsid w:val="689C6793"/>
    <w:rsid w:val="693115D2"/>
    <w:rsid w:val="6942558D"/>
    <w:rsid w:val="69BD2E65"/>
    <w:rsid w:val="69C86735"/>
    <w:rsid w:val="69CC12FA"/>
    <w:rsid w:val="6A582B8E"/>
    <w:rsid w:val="6A7654C6"/>
    <w:rsid w:val="6A9D590B"/>
    <w:rsid w:val="6AA70556"/>
    <w:rsid w:val="6AC256AA"/>
    <w:rsid w:val="6ACF7ADC"/>
    <w:rsid w:val="6AE0505D"/>
    <w:rsid w:val="6AF0753A"/>
    <w:rsid w:val="6B1940CB"/>
    <w:rsid w:val="6B3C75C9"/>
    <w:rsid w:val="6B752912"/>
    <w:rsid w:val="6BB169FA"/>
    <w:rsid w:val="6BDB5825"/>
    <w:rsid w:val="6C07661A"/>
    <w:rsid w:val="6C4E46B2"/>
    <w:rsid w:val="6C6B7C6F"/>
    <w:rsid w:val="6C6D0B73"/>
    <w:rsid w:val="6C735A5D"/>
    <w:rsid w:val="6C920694"/>
    <w:rsid w:val="6CB93DB8"/>
    <w:rsid w:val="6D350F65"/>
    <w:rsid w:val="6DA00F9C"/>
    <w:rsid w:val="6DB56CBE"/>
    <w:rsid w:val="6DC01176"/>
    <w:rsid w:val="6E3B669F"/>
    <w:rsid w:val="6E5518BE"/>
    <w:rsid w:val="6E810905"/>
    <w:rsid w:val="6EA36ACE"/>
    <w:rsid w:val="6EAC0D50"/>
    <w:rsid w:val="6ED613DA"/>
    <w:rsid w:val="6EF2710D"/>
    <w:rsid w:val="6F26325B"/>
    <w:rsid w:val="6F270684"/>
    <w:rsid w:val="6F3032F7"/>
    <w:rsid w:val="6F3C39EE"/>
    <w:rsid w:val="6F4162E7"/>
    <w:rsid w:val="6F4436E1"/>
    <w:rsid w:val="6F4B0F13"/>
    <w:rsid w:val="6F75656A"/>
    <w:rsid w:val="6F8F0E00"/>
    <w:rsid w:val="70125898"/>
    <w:rsid w:val="70205EC3"/>
    <w:rsid w:val="70383246"/>
    <w:rsid w:val="70CE5958"/>
    <w:rsid w:val="70DC0075"/>
    <w:rsid w:val="70E909E4"/>
    <w:rsid w:val="71285068"/>
    <w:rsid w:val="71341C5F"/>
    <w:rsid w:val="716562BC"/>
    <w:rsid w:val="718B3F6C"/>
    <w:rsid w:val="71BF425E"/>
    <w:rsid w:val="720C2BDC"/>
    <w:rsid w:val="72345C8F"/>
    <w:rsid w:val="725D4F25"/>
    <w:rsid w:val="727414F1"/>
    <w:rsid w:val="729F75AC"/>
    <w:rsid w:val="72B1108D"/>
    <w:rsid w:val="72C205A1"/>
    <w:rsid w:val="73320420"/>
    <w:rsid w:val="734168B5"/>
    <w:rsid w:val="73796D39"/>
    <w:rsid w:val="73C53042"/>
    <w:rsid w:val="73C6500C"/>
    <w:rsid w:val="73C90572"/>
    <w:rsid w:val="73EB6821"/>
    <w:rsid w:val="73FD1686"/>
    <w:rsid w:val="745E6FF3"/>
    <w:rsid w:val="74994CCD"/>
    <w:rsid w:val="74B530B7"/>
    <w:rsid w:val="75853FE0"/>
    <w:rsid w:val="75BE41ED"/>
    <w:rsid w:val="766528BB"/>
    <w:rsid w:val="767B0330"/>
    <w:rsid w:val="76C21ABB"/>
    <w:rsid w:val="76CF58C2"/>
    <w:rsid w:val="77130569"/>
    <w:rsid w:val="77613082"/>
    <w:rsid w:val="77A92C7B"/>
    <w:rsid w:val="781A1483"/>
    <w:rsid w:val="78210A63"/>
    <w:rsid w:val="7851759A"/>
    <w:rsid w:val="78DD0E2E"/>
    <w:rsid w:val="794B18B1"/>
    <w:rsid w:val="79960FDD"/>
    <w:rsid w:val="79A90D10"/>
    <w:rsid w:val="79CD2C51"/>
    <w:rsid w:val="79D42231"/>
    <w:rsid w:val="79F75F20"/>
    <w:rsid w:val="7A293BFF"/>
    <w:rsid w:val="7A2A01BC"/>
    <w:rsid w:val="7A835A05"/>
    <w:rsid w:val="7A886B78"/>
    <w:rsid w:val="7ACA4480"/>
    <w:rsid w:val="7B2F4366"/>
    <w:rsid w:val="7B560A24"/>
    <w:rsid w:val="7BB67714"/>
    <w:rsid w:val="7C042B76"/>
    <w:rsid w:val="7C2A325D"/>
    <w:rsid w:val="7C6C2355"/>
    <w:rsid w:val="7CAE58D3"/>
    <w:rsid w:val="7CBC0D5A"/>
    <w:rsid w:val="7D052701"/>
    <w:rsid w:val="7D407BDD"/>
    <w:rsid w:val="7DC4436B"/>
    <w:rsid w:val="7DCE6F97"/>
    <w:rsid w:val="7DD13B93"/>
    <w:rsid w:val="7DEE53A4"/>
    <w:rsid w:val="7E046E5D"/>
    <w:rsid w:val="7E0E1A8A"/>
    <w:rsid w:val="7E5A6505"/>
    <w:rsid w:val="7F062761"/>
    <w:rsid w:val="7F2F56EB"/>
    <w:rsid w:val="7F96354A"/>
    <w:rsid w:val="7F9D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7">
    <w:name w:val="heading 1"/>
    <w:basedOn w:val="1"/>
    <w:next w:val="1"/>
    <w:link w:val="69"/>
    <w:qFormat/>
    <w:uiPriority w:val="9"/>
    <w:pPr>
      <w:spacing w:line="360" w:lineRule="auto"/>
      <w:jc w:val="center"/>
      <w:outlineLvl w:val="0"/>
    </w:pPr>
    <w:rPr>
      <w:rFonts w:ascii="方正小标宋_GBK" w:hAnsi="仿宋" w:eastAsia="方正小标宋_GBK"/>
      <w:sz w:val="44"/>
      <w:szCs w:val="44"/>
    </w:rPr>
  </w:style>
  <w:style w:type="paragraph" w:styleId="8">
    <w:name w:val="heading 2"/>
    <w:basedOn w:val="1"/>
    <w:next w:val="1"/>
    <w:link w:val="70"/>
    <w:unhideWhenUsed/>
    <w:qFormat/>
    <w:uiPriority w:val="9"/>
    <w:pPr>
      <w:spacing w:line="560" w:lineRule="exact"/>
      <w:ind w:firstLine="640" w:firstLineChars="200"/>
      <w:jc w:val="both"/>
      <w:outlineLvl w:val="1"/>
    </w:pPr>
    <w:rPr>
      <w:rFonts w:ascii="楷体" w:hAnsi="楷体" w:eastAsia="黑体"/>
      <w:sz w:val="32"/>
      <w:szCs w:val="32"/>
    </w:rPr>
  </w:style>
  <w:style w:type="paragraph" w:styleId="9">
    <w:name w:val="heading 3"/>
    <w:basedOn w:val="1"/>
    <w:next w:val="1"/>
    <w:link w:val="71"/>
    <w:unhideWhenUsed/>
    <w:qFormat/>
    <w:uiPriority w:val="9"/>
    <w:pPr>
      <w:spacing w:line="560" w:lineRule="exact"/>
      <w:jc w:val="center"/>
      <w:outlineLvl w:val="2"/>
    </w:pPr>
    <w:rPr>
      <w:rFonts w:ascii="方正小标宋_GBK" w:hAnsi="仿宋" w:eastAsia="方正小标宋_GBK"/>
      <w:sz w:val="36"/>
      <w:szCs w:val="36"/>
    </w:rPr>
  </w:style>
  <w:style w:type="paragraph" w:styleId="10">
    <w:name w:val="heading 4"/>
    <w:basedOn w:val="1"/>
    <w:next w:val="1"/>
    <w:link w:val="72"/>
    <w:semiHidden/>
    <w:unhideWhenUsed/>
    <w:qFormat/>
    <w:uiPriority w:val="9"/>
    <w:pPr>
      <w:keepNext/>
      <w:numPr>
        <w:ilvl w:val="3"/>
        <w:numId w:val="1"/>
      </w:numPr>
      <w:spacing w:before="240" w:after="60"/>
      <w:outlineLvl w:val="3"/>
    </w:pPr>
    <w:rPr>
      <w:rFonts w:cstheme="majorBidi"/>
      <w:b/>
      <w:bCs/>
      <w:sz w:val="28"/>
      <w:szCs w:val="28"/>
    </w:rPr>
  </w:style>
  <w:style w:type="paragraph" w:styleId="11">
    <w:name w:val="heading 5"/>
    <w:basedOn w:val="1"/>
    <w:next w:val="1"/>
    <w:link w:val="73"/>
    <w:semiHidden/>
    <w:unhideWhenUsed/>
    <w:qFormat/>
    <w:uiPriority w:val="9"/>
    <w:pPr>
      <w:numPr>
        <w:ilvl w:val="4"/>
        <w:numId w:val="1"/>
      </w:numPr>
      <w:spacing w:before="240" w:after="60"/>
      <w:outlineLvl w:val="4"/>
    </w:pPr>
    <w:rPr>
      <w:b/>
      <w:bCs/>
      <w:i/>
      <w:iCs/>
      <w:sz w:val="26"/>
      <w:szCs w:val="26"/>
    </w:rPr>
  </w:style>
  <w:style w:type="paragraph" w:styleId="12">
    <w:name w:val="heading 6"/>
    <w:basedOn w:val="1"/>
    <w:next w:val="1"/>
    <w:link w:val="74"/>
    <w:semiHidden/>
    <w:unhideWhenUsed/>
    <w:qFormat/>
    <w:uiPriority w:val="9"/>
    <w:pPr>
      <w:numPr>
        <w:ilvl w:val="5"/>
        <w:numId w:val="1"/>
      </w:numPr>
      <w:spacing w:before="240" w:after="60"/>
      <w:outlineLvl w:val="5"/>
    </w:pPr>
    <w:rPr>
      <w:rFonts w:cstheme="majorBidi"/>
      <w:b/>
      <w:bCs/>
      <w:sz w:val="22"/>
      <w:szCs w:val="22"/>
    </w:rPr>
  </w:style>
  <w:style w:type="paragraph" w:styleId="13">
    <w:name w:val="heading 7"/>
    <w:basedOn w:val="1"/>
    <w:next w:val="1"/>
    <w:link w:val="75"/>
    <w:semiHidden/>
    <w:unhideWhenUsed/>
    <w:qFormat/>
    <w:uiPriority w:val="9"/>
    <w:pPr>
      <w:numPr>
        <w:ilvl w:val="6"/>
        <w:numId w:val="1"/>
      </w:numPr>
      <w:spacing w:before="240" w:after="60"/>
      <w:outlineLvl w:val="6"/>
    </w:pPr>
  </w:style>
  <w:style w:type="paragraph" w:styleId="14">
    <w:name w:val="heading 8"/>
    <w:basedOn w:val="1"/>
    <w:next w:val="1"/>
    <w:link w:val="76"/>
    <w:semiHidden/>
    <w:unhideWhenUsed/>
    <w:qFormat/>
    <w:uiPriority w:val="9"/>
    <w:pPr>
      <w:numPr>
        <w:ilvl w:val="7"/>
        <w:numId w:val="1"/>
      </w:numPr>
      <w:spacing w:before="240" w:after="60"/>
      <w:outlineLvl w:val="7"/>
    </w:pPr>
    <w:rPr>
      <w:rFonts w:cstheme="majorBidi"/>
      <w:i/>
      <w:iCs/>
    </w:rPr>
  </w:style>
  <w:style w:type="paragraph" w:styleId="15">
    <w:name w:val="heading 9"/>
    <w:basedOn w:val="1"/>
    <w:next w:val="1"/>
    <w:link w:val="77"/>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00" w:lineRule="auto"/>
      <w:ind w:firstLine="602"/>
    </w:pPr>
  </w:style>
  <w:style w:type="paragraph" w:styleId="3">
    <w:name w:val="Body Text"/>
    <w:basedOn w:val="1"/>
    <w:next w:val="1"/>
    <w:qFormat/>
    <w:uiPriority w:val="99"/>
    <w:rPr>
      <w:sz w:val="20"/>
    </w:rPr>
  </w:style>
  <w:style w:type="paragraph" w:styleId="4">
    <w:name w:val="Body Text First Indent 2"/>
    <w:basedOn w:val="5"/>
    <w:next w:val="6"/>
    <w:qFormat/>
    <w:uiPriority w:val="0"/>
    <w:pPr>
      <w:ind w:firstLine="420"/>
    </w:pPr>
  </w:style>
  <w:style w:type="paragraph" w:styleId="5">
    <w:name w:val="Body Text Indent"/>
    <w:basedOn w:val="1"/>
    <w:next w:val="1"/>
    <w:qFormat/>
    <w:uiPriority w:val="99"/>
    <w:pPr>
      <w:spacing w:after="120"/>
      <w:ind w:left="420" w:leftChars="200"/>
    </w:pPr>
    <w:rPr>
      <w:sz w:val="20"/>
    </w:rPr>
  </w:style>
  <w:style w:type="paragraph" w:styleId="6">
    <w:name w:val="Normal Indent"/>
    <w:basedOn w:val="1"/>
    <w:next w:val="4"/>
    <w:qFormat/>
    <w:uiPriority w:val="99"/>
    <w:pPr>
      <w:ind w:firstLine="420"/>
    </w:pPr>
  </w:style>
  <w:style w:type="paragraph" w:styleId="16">
    <w:name w:val="caption"/>
    <w:basedOn w:val="1"/>
    <w:next w:val="1"/>
    <w:semiHidden/>
    <w:unhideWhenUsed/>
    <w:qFormat/>
    <w:uiPriority w:val="35"/>
    <w:rPr>
      <w:rFonts w:eastAsia="黑体" w:asciiTheme="majorHAnsi" w:hAnsiTheme="majorHAnsi" w:cstheme="majorBidi"/>
      <w:sz w:val="20"/>
      <w:szCs w:val="20"/>
    </w:rPr>
  </w:style>
  <w:style w:type="paragraph" w:styleId="17">
    <w:name w:val="Document Map"/>
    <w:basedOn w:val="1"/>
    <w:link w:val="101"/>
    <w:semiHidden/>
    <w:unhideWhenUsed/>
    <w:qFormat/>
    <w:uiPriority w:val="99"/>
    <w:pPr>
      <w:spacing w:line="400" w:lineRule="exact"/>
      <w:jc w:val="both"/>
    </w:pPr>
    <w:rPr>
      <w:rFonts w:ascii="宋体" w:hAnsi="Calibri Light" w:eastAsia="宋体" w:cs="Calibri Light"/>
      <w:kern w:val="2"/>
      <w:sz w:val="18"/>
      <w:szCs w:val="18"/>
    </w:rPr>
  </w:style>
  <w:style w:type="paragraph" w:styleId="18">
    <w:name w:val="annotation text"/>
    <w:basedOn w:val="1"/>
    <w:link w:val="93"/>
    <w:unhideWhenUsed/>
    <w:qFormat/>
    <w:uiPriority w:val="99"/>
    <w:pPr>
      <w:spacing w:line="400" w:lineRule="exact"/>
    </w:pPr>
    <w:rPr>
      <w:rFonts w:ascii="Calibri Light" w:hAnsi="Calibri Light" w:eastAsia="华文仿宋" w:cs="Calibri Light"/>
      <w:kern w:val="2"/>
      <w:sz w:val="28"/>
      <w:szCs w:val="28"/>
    </w:rPr>
  </w:style>
  <w:style w:type="paragraph" w:styleId="19">
    <w:name w:val="toc 3"/>
    <w:basedOn w:val="1"/>
    <w:next w:val="1"/>
    <w:semiHidden/>
    <w:unhideWhenUsed/>
    <w:qFormat/>
    <w:uiPriority w:val="39"/>
    <w:pPr>
      <w:ind w:left="840" w:leftChars="400"/>
    </w:pPr>
  </w:style>
  <w:style w:type="paragraph" w:styleId="20">
    <w:name w:val="Plain Text"/>
    <w:basedOn w:val="1"/>
    <w:next w:val="1"/>
    <w:qFormat/>
    <w:uiPriority w:val="99"/>
    <w:pPr>
      <w:spacing w:line="324" w:lineRule="auto"/>
    </w:pPr>
    <w:rPr>
      <w:rFonts w:ascii="宋体" w:hAnsi="Courier New"/>
      <w:sz w:val="20"/>
    </w:rPr>
  </w:style>
  <w:style w:type="paragraph" w:styleId="21">
    <w:name w:val="Date"/>
    <w:basedOn w:val="1"/>
    <w:next w:val="1"/>
    <w:link w:val="66"/>
    <w:semiHidden/>
    <w:unhideWhenUsed/>
    <w:qFormat/>
    <w:uiPriority w:val="99"/>
    <w:pPr>
      <w:ind w:left="100" w:leftChars="2500"/>
    </w:pPr>
  </w:style>
  <w:style w:type="paragraph" w:styleId="22">
    <w:name w:val="Body Text Indent 2"/>
    <w:basedOn w:val="1"/>
    <w:unhideWhenUsed/>
    <w:qFormat/>
    <w:uiPriority w:val="0"/>
    <w:pPr>
      <w:spacing w:after="120" w:line="480" w:lineRule="auto"/>
      <w:ind w:left="420" w:leftChars="200"/>
    </w:pPr>
  </w:style>
  <w:style w:type="paragraph" w:styleId="23">
    <w:name w:val="Balloon Text"/>
    <w:basedOn w:val="1"/>
    <w:link w:val="92"/>
    <w:semiHidden/>
    <w:unhideWhenUsed/>
    <w:qFormat/>
    <w:uiPriority w:val="99"/>
    <w:rPr>
      <w:sz w:val="18"/>
      <w:szCs w:val="18"/>
    </w:rPr>
  </w:style>
  <w:style w:type="paragraph" w:styleId="24">
    <w:name w:val="footer"/>
    <w:basedOn w:val="1"/>
    <w:link w:val="68"/>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67"/>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27"/>
    <w:next w:val="1"/>
    <w:unhideWhenUsed/>
    <w:qFormat/>
    <w:uiPriority w:val="39"/>
    <w:pPr>
      <w:spacing w:beforeLines="100" w:afterLines="100"/>
    </w:pPr>
    <w:rPr>
      <w:rFonts w:ascii="Calibri" w:hAnsi="Calibri" w:eastAsia="宋体"/>
      <w:kern w:val="32"/>
      <w:sz w:val="32"/>
    </w:rPr>
  </w:style>
  <w:style w:type="paragraph" w:styleId="27">
    <w:name w:val="index 1"/>
    <w:basedOn w:val="1"/>
    <w:next w:val="1"/>
    <w:qFormat/>
    <w:uiPriority w:val="0"/>
  </w:style>
  <w:style w:type="paragraph" w:styleId="28">
    <w:name w:val="Subtitle"/>
    <w:basedOn w:val="1"/>
    <w:next w:val="1"/>
    <w:link w:val="79"/>
    <w:qFormat/>
    <w:uiPriority w:val="11"/>
    <w:pPr>
      <w:keepNext/>
      <w:spacing w:beforeLines="50" w:afterLines="50"/>
      <w:jc w:val="center"/>
      <w:outlineLvl w:val="1"/>
    </w:pPr>
    <w:rPr>
      <w:rFonts w:ascii="Calibri" w:hAnsi="Calibri" w:eastAsia="黑体" w:cstheme="majorBidi"/>
      <w:sz w:val="32"/>
    </w:rPr>
  </w:style>
  <w:style w:type="paragraph" w:styleId="29">
    <w:name w:val="toc 2"/>
    <w:basedOn w:val="1"/>
    <w:next w:val="1"/>
    <w:semiHidden/>
    <w:unhideWhenUsed/>
    <w:qFormat/>
    <w:uiPriority w:val="39"/>
    <w:pPr>
      <w:ind w:left="420" w:leftChars="200"/>
    </w:pPr>
  </w:style>
  <w:style w:type="paragraph" w:styleId="30">
    <w:name w:val="toc 9"/>
    <w:basedOn w:val="1"/>
    <w:next w:val="1"/>
    <w:unhideWhenUsed/>
    <w:qFormat/>
    <w:uiPriority w:val="39"/>
    <w:pPr>
      <w:ind w:left="3360" w:leftChars="1600"/>
    </w:pPr>
  </w:style>
  <w:style w:type="paragraph" w:styleId="31">
    <w:name w:val="Normal (Web)"/>
    <w:basedOn w:val="1"/>
    <w:qFormat/>
    <w:uiPriority w:val="99"/>
    <w:pPr>
      <w:spacing w:before="100" w:beforeAutospacing="1" w:after="100" w:afterAutospacing="1"/>
    </w:pPr>
    <w:rPr>
      <w:rFonts w:ascii="宋体" w:hAnsi="宋体" w:cs="宋体"/>
    </w:rPr>
  </w:style>
  <w:style w:type="paragraph" w:styleId="32">
    <w:name w:val="Title"/>
    <w:basedOn w:val="1"/>
    <w:next w:val="1"/>
    <w:link w:val="78"/>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3">
    <w:name w:val="annotation subject"/>
    <w:basedOn w:val="18"/>
    <w:next w:val="18"/>
    <w:link w:val="100"/>
    <w:semiHidden/>
    <w:unhideWhenUsed/>
    <w:qFormat/>
    <w:uiPriority w:val="99"/>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22"/>
    <w:rPr>
      <w:b/>
      <w:bCs/>
    </w:rPr>
  </w:style>
  <w:style w:type="character" w:styleId="38">
    <w:name w:val="page number"/>
    <w:basedOn w:val="36"/>
    <w:qFormat/>
    <w:uiPriority w:val="0"/>
    <w:rPr>
      <w:rFonts w:ascii="Times New Roman" w:hAnsi="Times New Roman" w:eastAsia="宋体" w:cs="Times New Roman"/>
    </w:rPr>
  </w:style>
  <w:style w:type="character" w:styleId="39">
    <w:name w:val="FollowedHyperlink"/>
    <w:basedOn w:val="36"/>
    <w:semiHidden/>
    <w:unhideWhenUsed/>
    <w:qFormat/>
    <w:uiPriority w:val="99"/>
    <w:rPr>
      <w:color w:val="954F72" w:themeColor="followedHyperlink"/>
      <w:u w:val="single"/>
      <w14:textFill>
        <w14:solidFill>
          <w14:schemeClr w14:val="folHlink"/>
        </w14:solidFill>
      </w14:textFill>
    </w:rPr>
  </w:style>
  <w:style w:type="character" w:styleId="40">
    <w:name w:val="Emphasis"/>
    <w:basedOn w:val="36"/>
    <w:qFormat/>
    <w:uiPriority w:val="20"/>
    <w:rPr>
      <w:rFonts w:asciiTheme="minorHAnsi" w:hAnsiTheme="minorHAnsi"/>
      <w:b/>
      <w:i/>
      <w:iCs/>
    </w:rPr>
  </w:style>
  <w:style w:type="character" w:styleId="41">
    <w:name w:val="Hyperlink"/>
    <w:basedOn w:val="36"/>
    <w:unhideWhenUsed/>
    <w:qFormat/>
    <w:uiPriority w:val="99"/>
    <w:rPr>
      <w:color w:val="0563C1" w:themeColor="hyperlink"/>
      <w:u w:val="single"/>
      <w14:textFill>
        <w14:solidFill>
          <w14:schemeClr w14:val="hlink"/>
        </w14:solidFill>
      </w14:textFill>
    </w:rPr>
  </w:style>
  <w:style w:type="character" w:styleId="42">
    <w:name w:val="annotation reference"/>
    <w:basedOn w:val="36"/>
    <w:semiHidden/>
    <w:unhideWhenUsed/>
    <w:qFormat/>
    <w:uiPriority w:val="99"/>
    <w:rPr>
      <w:sz w:val="21"/>
      <w:szCs w:val="21"/>
    </w:rPr>
  </w:style>
  <w:style w:type="paragraph" w:customStyle="1" w:styleId="43">
    <w:name w:val="列出段落1"/>
    <w:basedOn w:val="1"/>
    <w:qFormat/>
    <w:uiPriority w:val="99"/>
    <w:pPr>
      <w:ind w:firstLine="420" w:firstLineChars="200"/>
    </w:pPr>
    <w:rPr>
      <w:szCs w:val="24"/>
    </w:rPr>
  </w:style>
  <w:style w:type="paragraph" w:customStyle="1" w:styleId="44">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45">
    <w:name w:val="Normal Indent1"/>
    <w:basedOn w:val="1"/>
    <w:qFormat/>
    <w:uiPriority w:val="99"/>
    <w:pPr>
      <w:ind w:firstLine="880" w:firstLineChars="200"/>
    </w:pPr>
  </w:style>
  <w:style w:type="paragraph" w:customStyle="1" w:styleId="46">
    <w:name w:val="※封面大标题"/>
    <w:basedOn w:val="1"/>
    <w:next w:val="1"/>
    <w:qFormat/>
    <w:uiPriority w:val="0"/>
    <w:pPr>
      <w:jc w:val="center"/>
    </w:pPr>
    <w:rPr>
      <w:rFonts w:ascii="华文中宋" w:hAnsi="华文中宋" w:eastAsia="华文中宋"/>
      <w:sz w:val="96"/>
      <w:szCs w:val="96"/>
    </w:rPr>
  </w:style>
  <w:style w:type="paragraph" w:customStyle="1" w:styleId="47">
    <w:name w:val="※封面题颌"/>
    <w:basedOn w:val="1"/>
    <w:next w:val="1"/>
    <w:qFormat/>
    <w:uiPriority w:val="0"/>
    <w:pPr>
      <w:jc w:val="center"/>
    </w:pPr>
    <w:rPr>
      <w:rFonts w:ascii="Calibri Light" w:hAnsi="Calibri Light" w:eastAsia="华文仿宋"/>
      <w:sz w:val="36"/>
      <w:szCs w:val="36"/>
    </w:rPr>
  </w:style>
  <w:style w:type="paragraph" w:customStyle="1" w:styleId="48">
    <w:name w:val="※封面题眉"/>
    <w:basedOn w:val="1"/>
    <w:next w:val="46"/>
    <w:qFormat/>
    <w:uiPriority w:val="0"/>
    <w:pPr>
      <w:jc w:val="center"/>
    </w:pPr>
    <w:rPr>
      <w:rFonts w:ascii="华文仿宋" w:hAnsi="华文仿宋" w:eastAsia="华文仿宋"/>
      <w:sz w:val="52"/>
      <w:szCs w:val="28"/>
    </w:rPr>
  </w:style>
  <w:style w:type="paragraph" w:customStyle="1" w:styleId="49">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0">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1">
    <w:name w:val="※目录（主）"/>
    <w:basedOn w:val="1"/>
    <w:qFormat/>
    <w:uiPriority w:val="0"/>
    <w:pPr>
      <w:tabs>
        <w:tab w:val="right" w:leader="hyphen" w:pos="8400"/>
      </w:tabs>
      <w:spacing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2">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3">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4">
    <w:name w:val="※小标题 一"/>
    <w:basedOn w:val="53"/>
    <w:next w:val="53"/>
    <w:qFormat/>
    <w:uiPriority w:val="0"/>
    <w:pPr>
      <w:spacing w:before="120" w:line="240" w:lineRule="auto"/>
      <w:outlineLvl w:val="2"/>
    </w:pPr>
    <w:rPr>
      <w:b/>
      <w:color w:val="203864" w:themeColor="accent5" w:themeShade="80"/>
      <w:sz w:val="32"/>
    </w:rPr>
  </w:style>
  <w:style w:type="paragraph" w:customStyle="1" w:styleId="55">
    <w:name w:val="※小标题（1）"/>
    <w:basedOn w:val="1"/>
    <w:next w:val="53"/>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6">
    <w:name w:val="※小标题（一）"/>
    <w:basedOn w:val="1"/>
    <w:next w:val="53"/>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7">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8">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9">
    <w:name w:val="※页眉"/>
    <w:basedOn w:val="53"/>
    <w:qFormat/>
    <w:uiPriority w:val="0"/>
    <w:pPr>
      <w:pBdr>
        <w:bottom w:val="single" w:color="auto" w:sz="4" w:space="1"/>
      </w:pBdr>
      <w:spacing w:line="240" w:lineRule="atLeast"/>
      <w:jc w:val="right"/>
    </w:pPr>
    <w:rPr>
      <w:rFonts w:ascii="宋体" w:hAnsi="宋体" w:eastAsia="宋体"/>
      <w:sz w:val="18"/>
    </w:rPr>
  </w:style>
  <w:style w:type="paragraph" w:customStyle="1" w:styleId="60">
    <w:name w:val="※章节标题（第X章）"/>
    <w:basedOn w:val="1"/>
    <w:qFormat/>
    <w:uiPriority w:val="0"/>
    <w:pPr>
      <w:jc w:val="center"/>
      <w:outlineLvl w:val="0"/>
    </w:pPr>
    <w:rPr>
      <w:rFonts w:ascii="Calibri Light" w:hAnsi="Calibri Light" w:eastAsia="黑体"/>
      <w:sz w:val="36"/>
      <w:szCs w:val="28"/>
    </w:rPr>
  </w:style>
  <w:style w:type="paragraph" w:customStyle="1" w:styleId="61">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2">
    <w:name w:val="※章节标题（第Z部分分项）"/>
    <w:basedOn w:val="61"/>
    <w:qFormat/>
    <w:uiPriority w:val="0"/>
    <w:pPr>
      <w:outlineLvl w:val="2"/>
    </w:pPr>
  </w:style>
  <w:style w:type="paragraph" w:customStyle="1" w:styleId="63">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4">
    <w:name w:val="※正文（缩进2）"/>
    <w:basedOn w:val="53"/>
    <w:qFormat/>
    <w:uiPriority w:val="0"/>
    <w:pPr>
      <w:ind w:firstLine="200" w:firstLineChars="200"/>
    </w:pPr>
  </w:style>
  <w:style w:type="paragraph" w:customStyle="1" w:styleId="65">
    <w:name w:val="※正文（缩进4）"/>
    <w:basedOn w:val="53"/>
    <w:qFormat/>
    <w:uiPriority w:val="0"/>
    <w:pPr>
      <w:ind w:firstLine="400" w:firstLineChars="400"/>
    </w:pPr>
  </w:style>
  <w:style w:type="character" w:customStyle="1" w:styleId="66">
    <w:name w:val="日期 Char"/>
    <w:basedOn w:val="36"/>
    <w:link w:val="21"/>
    <w:semiHidden/>
    <w:qFormat/>
    <w:uiPriority w:val="99"/>
    <w:rPr>
      <w:rFonts w:ascii="华文仿宋" w:hAnsi="华文仿宋" w:eastAsia="华文仿宋"/>
      <w:sz w:val="28"/>
      <w:szCs w:val="28"/>
    </w:rPr>
  </w:style>
  <w:style w:type="character" w:customStyle="1" w:styleId="67">
    <w:name w:val="页眉 Char"/>
    <w:basedOn w:val="36"/>
    <w:link w:val="25"/>
    <w:qFormat/>
    <w:uiPriority w:val="0"/>
    <w:rPr>
      <w:rFonts w:ascii="华文仿宋" w:hAnsi="华文仿宋" w:eastAsia="华文仿宋"/>
      <w:sz w:val="18"/>
      <w:szCs w:val="18"/>
    </w:rPr>
  </w:style>
  <w:style w:type="character" w:customStyle="1" w:styleId="68">
    <w:name w:val="页脚 Char"/>
    <w:basedOn w:val="36"/>
    <w:link w:val="24"/>
    <w:qFormat/>
    <w:uiPriority w:val="99"/>
    <w:rPr>
      <w:rFonts w:ascii="华文仿宋" w:hAnsi="华文仿宋" w:eastAsia="华文仿宋"/>
      <w:sz w:val="18"/>
      <w:szCs w:val="18"/>
    </w:rPr>
  </w:style>
  <w:style w:type="character" w:customStyle="1" w:styleId="69">
    <w:name w:val="标题 1 Char"/>
    <w:basedOn w:val="36"/>
    <w:link w:val="7"/>
    <w:qFormat/>
    <w:uiPriority w:val="9"/>
    <w:rPr>
      <w:rFonts w:ascii="方正小标宋_GBK" w:hAnsi="仿宋" w:eastAsia="方正小标宋_GBK"/>
      <w:sz w:val="44"/>
      <w:szCs w:val="44"/>
    </w:rPr>
  </w:style>
  <w:style w:type="character" w:customStyle="1" w:styleId="70">
    <w:name w:val="标题 2 Char"/>
    <w:basedOn w:val="36"/>
    <w:link w:val="8"/>
    <w:qFormat/>
    <w:uiPriority w:val="9"/>
    <w:rPr>
      <w:rFonts w:ascii="楷体" w:hAnsi="楷体" w:eastAsia="黑体"/>
      <w:sz w:val="32"/>
      <w:szCs w:val="32"/>
    </w:rPr>
  </w:style>
  <w:style w:type="character" w:customStyle="1" w:styleId="71">
    <w:name w:val="标题 3 Char"/>
    <w:basedOn w:val="36"/>
    <w:link w:val="9"/>
    <w:qFormat/>
    <w:uiPriority w:val="9"/>
    <w:rPr>
      <w:rFonts w:ascii="方正小标宋_GBK" w:hAnsi="仿宋" w:eastAsia="方正小标宋_GBK"/>
      <w:sz w:val="36"/>
      <w:szCs w:val="36"/>
    </w:rPr>
  </w:style>
  <w:style w:type="character" w:customStyle="1" w:styleId="72">
    <w:name w:val="标题 4 Char"/>
    <w:basedOn w:val="36"/>
    <w:link w:val="10"/>
    <w:semiHidden/>
    <w:qFormat/>
    <w:uiPriority w:val="9"/>
    <w:rPr>
      <w:rFonts w:cstheme="majorBidi"/>
      <w:b/>
      <w:bCs/>
      <w:sz w:val="28"/>
      <w:szCs w:val="28"/>
    </w:rPr>
  </w:style>
  <w:style w:type="character" w:customStyle="1" w:styleId="73">
    <w:name w:val="标题 5 Char"/>
    <w:basedOn w:val="36"/>
    <w:link w:val="11"/>
    <w:semiHidden/>
    <w:qFormat/>
    <w:uiPriority w:val="9"/>
    <w:rPr>
      <w:b/>
      <w:bCs/>
      <w:i/>
      <w:iCs/>
      <w:sz w:val="26"/>
      <w:szCs w:val="26"/>
    </w:rPr>
  </w:style>
  <w:style w:type="character" w:customStyle="1" w:styleId="74">
    <w:name w:val="标题 6 Char"/>
    <w:basedOn w:val="36"/>
    <w:link w:val="12"/>
    <w:semiHidden/>
    <w:qFormat/>
    <w:uiPriority w:val="9"/>
    <w:rPr>
      <w:rFonts w:cstheme="majorBidi"/>
      <w:b/>
      <w:bCs/>
    </w:rPr>
  </w:style>
  <w:style w:type="character" w:customStyle="1" w:styleId="75">
    <w:name w:val="标题 7 Char"/>
    <w:basedOn w:val="36"/>
    <w:link w:val="13"/>
    <w:semiHidden/>
    <w:qFormat/>
    <w:uiPriority w:val="9"/>
    <w:rPr>
      <w:sz w:val="24"/>
      <w:szCs w:val="24"/>
    </w:rPr>
  </w:style>
  <w:style w:type="character" w:customStyle="1" w:styleId="76">
    <w:name w:val="标题 8 Char"/>
    <w:basedOn w:val="36"/>
    <w:link w:val="14"/>
    <w:semiHidden/>
    <w:qFormat/>
    <w:uiPriority w:val="9"/>
    <w:rPr>
      <w:rFonts w:cstheme="majorBidi"/>
      <w:i/>
      <w:iCs/>
      <w:sz w:val="24"/>
      <w:szCs w:val="24"/>
    </w:rPr>
  </w:style>
  <w:style w:type="character" w:customStyle="1" w:styleId="77">
    <w:name w:val="标题 9 Char"/>
    <w:basedOn w:val="36"/>
    <w:link w:val="15"/>
    <w:semiHidden/>
    <w:qFormat/>
    <w:uiPriority w:val="9"/>
    <w:rPr>
      <w:rFonts w:asciiTheme="majorHAnsi" w:hAnsiTheme="majorHAnsi" w:eastAsiaTheme="majorEastAsia" w:cstheme="majorBidi"/>
    </w:rPr>
  </w:style>
  <w:style w:type="character" w:customStyle="1" w:styleId="78">
    <w:name w:val="标题 Char"/>
    <w:basedOn w:val="36"/>
    <w:link w:val="32"/>
    <w:qFormat/>
    <w:uiPriority w:val="10"/>
    <w:rPr>
      <w:rFonts w:asciiTheme="majorHAnsi" w:hAnsiTheme="majorHAnsi" w:eastAsiaTheme="majorEastAsia" w:cstheme="majorBidi"/>
      <w:b/>
      <w:bCs/>
      <w:kern w:val="28"/>
      <w:sz w:val="32"/>
      <w:szCs w:val="32"/>
    </w:rPr>
  </w:style>
  <w:style w:type="character" w:customStyle="1" w:styleId="79">
    <w:name w:val="副标题 Char"/>
    <w:basedOn w:val="36"/>
    <w:link w:val="28"/>
    <w:qFormat/>
    <w:uiPriority w:val="11"/>
    <w:rPr>
      <w:rFonts w:ascii="Calibri" w:hAnsi="Calibri" w:eastAsia="黑体" w:cstheme="majorBidi"/>
      <w:sz w:val="32"/>
      <w:szCs w:val="24"/>
    </w:rPr>
  </w:style>
  <w:style w:type="paragraph" w:styleId="80">
    <w:name w:val="No Spacing"/>
    <w:basedOn w:val="1"/>
    <w:qFormat/>
    <w:uiPriority w:val="1"/>
    <w:rPr>
      <w:szCs w:val="32"/>
    </w:rPr>
  </w:style>
  <w:style w:type="paragraph" w:styleId="81">
    <w:name w:val="List Paragraph"/>
    <w:basedOn w:val="1"/>
    <w:qFormat/>
    <w:uiPriority w:val="0"/>
    <w:pPr>
      <w:ind w:left="720"/>
      <w:contextualSpacing/>
    </w:pPr>
  </w:style>
  <w:style w:type="paragraph" w:styleId="82">
    <w:name w:val="Quote"/>
    <w:basedOn w:val="1"/>
    <w:next w:val="1"/>
    <w:link w:val="83"/>
    <w:qFormat/>
    <w:uiPriority w:val="29"/>
    <w:rPr>
      <w:i/>
    </w:rPr>
  </w:style>
  <w:style w:type="character" w:customStyle="1" w:styleId="83">
    <w:name w:val="引用 Char"/>
    <w:basedOn w:val="36"/>
    <w:link w:val="82"/>
    <w:qFormat/>
    <w:uiPriority w:val="29"/>
    <w:rPr>
      <w:i/>
      <w:sz w:val="24"/>
      <w:szCs w:val="24"/>
    </w:rPr>
  </w:style>
  <w:style w:type="paragraph" w:styleId="84">
    <w:name w:val="Intense Quote"/>
    <w:basedOn w:val="1"/>
    <w:next w:val="1"/>
    <w:link w:val="85"/>
    <w:qFormat/>
    <w:uiPriority w:val="30"/>
    <w:pPr>
      <w:ind w:left="720" w:right="720"/>
    </w:pPr>
    <w:rPr>
      <w:b/>
      <w:i/>
      <w:szCs w:val="22"/>
    </w:rPr>
  </w:style>
  <w:style w:type="character" w:customStyle="1" w:styleId="85">
    <w:name w:val="明显引用 Char"/>
    <w:basedOn w:val="36"/>
    <w:link w:val="84"/>
    <w:qFormat/>
    <w:uiPriority w:val="30"/>
    <w:rPr>
      <w:b/>
      <w:i/>
      <w:sz w:val="24"/>
    </w:rPr>
  </w:style>
  <w:style w:type="character" w:customStyle="1" w:styleId="86">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87">
    <w:name w:val="明显强调1"/>
    <w:basedOn w:val="36"/>
    <w:qFormat/>
    <w:uiPriority w:val="21"/>
    <w:rPr>
      <w:b/>
      <w:i/>
      <w:sz w:val="24"/>
      <w:szCs w:val="24"/>
      <w:u w:val="single"/>
    </w:rPr>
  </w:style>
  <w:style w:type="character" w:customStyle="1" w:styleId="88">
    <w:name w:val="不明显参考1"/>
    <w:basedOn w:val="36"/>
    <w:qFormat/>
    <w:uiPriority w:val="31"/>
    <w:rPr>
      <w:sz w:val="24"/>
      <w:szCs w:val="24"/>
      <w:u w:val="single"/>
    </w:rPr>
  </w:style>
  <w:style w:type="character" w:customStyle="1" w:styleId="89">
    <w:name w:val="明显参考1"/>
    <w:basedOn w:val="36"/>
    <w:qFormat/>
    <w:uiPriority w:val="32"/>
    <w:rPr>
      <w:b/>
      <w:sz w:val="24"/>
      <w:u w:val="single"/>
    </w:rPr>
  </w:style>
  <w:style w:type="character" w:customStyle="1" w:styleId="90">
    <w:name w:val="书籍标题1"/>
    <w:basedOn w:val="36"/>
    <w:qFormat/>
    <w:uiPriority w:val="33"/>
    <w:rPr>
      <w:rFonts w:asciiTheme="majorHAnsi" w:hAnsiTheme="majorHAnsi" w:eastAsiaTheme="majorEastAsia"/>
      <w:b/>
      <w:i/>
      <w:sz w:val="24"/>
      <w:szCs w:val="24"/>
    </w:rPr>
  </w:style>
  <w:style w:type="paragraph" w:customStyle="1" w:styleId="91">
    <w:name w:val="TOC 标题1"/>
    <w:basedOn w:val="7"/>
    <w:next w:val="1"/>
    <w:semiHidden/>
    <w:unhideWhenUsed/>
    <w:qFormat/>
    <w:uiPriority w:val="39"/>
    <w:pPr>
      <w:outlineLvl w:val="9"/>
    </w:pPr>
  </w:style>
  <w:style w:type="character" w:customStyle="1" w:styleId="92">
    <w:name w:val="批注框文本 Char"/>
    <w:basedOn w:val="36"/>
    <w:link w:val="23"/>
    <w:semiHidden/>
    <w:qFormat/>
    <w:uiPriority w:val="99"/>
    <w:rPr>
      <w:sz w:val="18"/>
      <w:szCs w:val="18"/>
    </w:rPr>
  </w:style>
  <w:style w:type="character" w:customStyle="1" w:styleId="93">
    <w:name w:val="批注文字 Char"/>
    <w:basedOn w:val="36"/>
    <w:link w:val="18"/>
    <w:qFormat/>
    <w:uiPriority w:val="99"/>
    <w:rPr>
      <w:rFonts w:ascii="Calibri Light" w:hAnsi="Calibri Light" w:eastAsia="华文仿宋" w:cs="Calibri Light"/>
      <w:kern w:val="2"/>
      <w:sz w:val="28"/>
      <w:szCs w:val="28"/>
    </w:rPr>
  </w:style>
  <w:style w:type="paragraph" w:customStyle="1" w:styleId="94">
    <w:name w:val="@正文"/>
    <w:basedOn w:val="53"/>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5">
    <w:name w:val="@一级小标题"/>
    <w:basedOn w:val="1"/>
    <w:next w:val="94"/>
    <w:qFormat/>
    <w:uiPriority w:val="0"/>
    <w:pPr>
      <w:keepNext/>
      <w:spacing w:before="120" w:after="60"/>
      <w:outlineLvl w:val="2"/>
    </w:pPr>
    <w:rPr>
      <w:rFonts w:ascii="Calibri" w:hAnsi="Calibri" w:eastAsia="黑体"/>
      <w:kern w:val="28"/>
      <w:sz w:val="28"/>
    </w:rPr>
  </w:style>
  <w:style w:type="paragraph" w:customStyle="1" w:styleId="96">
    <w:name w:val="@标题"/>
    <w:basedOn w:val="1"/>
    <w:next w:val="94"/>
    <w:qFormat/>
    <w:uiPriority w:val="0"/>
    <w:pPr>
      <w:keepNext/>
      <w:spacing w:beforeLines="50" w:afterLines="50"/>
      <w:jc w:val="center"/>
      <w:outlineLvl w:val="1"/>
    </w:pPr>
    <w:rPr>
      <w:rFonts w:ascii="Calibri" w:hAnsi="Calibri" w:eastAsia="黑体"/>
      <w:kern w:val="32"/>
      <w:sz w:val="32"/>
    </w:rPr>
  </w:style>
  <w:style w:type="table" w:customStyle="1" w:styleId="97">
    <w:name w:val="网格型1"/>
    <w:basedOn w:val="3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页眉 Char1"/>
    <w:basedOn w:val="36"/>
    <w:semiHidden/>
    <w:qFormat/>
    <w:uiPriority w:val="99"/>
    <w:rPr>
      <w:rFonts w:cs="Calibri Light"/>
      <w:sz w:val="18"/>
      <w:szCs w:val="18"/>
    </w:rPr>
  </w:style>
  <w:style w:type="character" w:customStyle="1" w:styleId="99">
    <w:name w:val="页脚 Char1"/>
    <w:basedOn w:val="36"/>
    <w:semiHidden/>
    <w:qFormat/>
    <w:uiPriority w:val="99"/>
    <w:rPr>
      <w:rFonts w:cs="Calibri Light"/>
      <w:sz w:val="18"/>
      <w:szCs w:val="18"/>
    </w:rPr>
  </w:style>
  <w:style w:type="character" w:customStyle="1" w:styleId="100">
    <w:name w:val="批注主题 Char"/>
    <w:basedOn w:val="93"/>
    <w:link w:val="33"/>
    <w:semiHidden/>
    <w:qFormat/>
    <w:uiPriority w:val="99"/>
    <w:rPr>
      <w:rFonts w:ascii="Calibri Light" w:hAnsi="Calibri Light" w:eastAsia="华文仿宋" w:cs="Calibri Light"/>
      <w:b/>
      <w:bCs/>
      <w:kern w:val="2"/>
      <w:sz w:val="28"/>
      <w:szCs w:val="28"/>
    </w:rPr>
  </w:style>
  <w:style w:type="character" w:customStyle="1" w:styleId="101">
    <w:name w:val="文档结构图 Char"/>
    <w:basedOn w:val="36"/>
    <w:link w:val="17"/>
    <w:semiHidden/>
    <w:qFormat/>
    <w:uiPriority w:val="99"/>
    <w:rPr>
      <w:rFonts w:ascii="宋体" w:hAnsi="Calibri Light" w:eastAsia="宋体" w:cs="Calibri Light"/>
      <w:kern w:val="2"/>
      <w:sz w:val="18"/>
      <w:szCs w:val="18"/>
    </w:rPr>
  </w:style>
  <w:style w:type="character" w:styleId="102">
    <w:name w:val="Placeholder Text"/>
    <w:basedOn w:val="36"/>
    <w:semiHidden/>
    <w:qFormat/>
    <w:uiPriority w:val="99"/>
    <w:rPr>
      <w:color w:val="808080"/>
    </w:rPr>
  </w:style>
  <w:style w:type="character" w:customStyle="1" w:styleId="103">
    <w:name w:val="未处理的提及1"/>
    <w:basedOn w:val="36"/>
    <w:semiHidden/>
    <w:unhideWhenUsed/>
    <w:qFormat/>
    <w:uiPriority w:val="99"/>
    <w:rPr>
      <w:color w:val="605E5C"/>
      <w:shd w:val="clear" w:color="auto" w:fill="E1DFDD"/>
    </w:rPr>
  </w:style>
  <w:style w:type="paragraph" w:customStyle="1" w:styleId="104">
    <w:name w:val="样式1"/>
    <w:basedOn w:val="9"/>
    <w:link w:val="106"/>
    <w:qFormat/>
    <w:uiPriority w:val="0"/>
    <w:pPr>
      <w:jc w:val="left"/>
    </w:pPr>
    <w:rPr>
      <w:rFonts w:eastAsia="楷体"/>
      <w:sz w:val="32"/>
    </w:rPr>
  </w:style>
  <w:style w:type="paragraph" w:customStyle="1" w:styleId="105">
    <w:name w:val="样式2"/>
    <w:basedOn w:val="96"/>
    <w:link w:val="108"/>
    <w:qFormat/>
    <w:uiPriority w:val="0"/>
    <w:pPr>
      <w:spacing w:line="560" w:lineRule="exact"/>
      <w:ind w:firstLine="643" w:firstLineChars="200"/>
      <w:jc w:val="both"/>
    </w:pPr>
    <w:rPr>
      <w:rFonts w:ascii="仿宋_GB2312" w:hAnsi="仿宋" w:eastAsia="仿宋_GB2312"/>
      <w:b/>
      <w:bCs/>
      <w:szCs w:val="32"/>
    </w:rPr>
  </w:style>
  <w:style w:type="character" w:customStyle="1" w:styleId="106">
    <w:name w:val="样式1 字符"/>
    <w:basedOn w:val="70"/>
    <w:link w:val="104"/>
    <w:qFormat/>
    <w:uiPriority w:val="0"/>
    <w:rPr>
      <w:rFonts w:ascii="方正小标宋_GBK" w:hAnsi="仿宋" w:eastAsia="楷体"/>
      <w:sz w:val="32"/>
      <w:szCs w:val="36"/>
    </w:rPr>
  </w:style>
  <w:style w:type="paragraph" w:customStyle="1" w:styleId="107">
    <w:name w:val="样式3"/>
    <w:basedOn w:val="1"/>
    <w:link w:val="109"/>
    <w:qFormat/>
    <w:uiPriority w:val="0"/>
    <w:pPr>
      <w:spacing w:line="560" w:lineRule="exact"/>
      <w:jc w:val="center"/>
    </w:pPr>
    <w:rPr>
      <w:rFonts w:ascii="方正小标宋_GBK" w:hAnsi="仿宋" w:eastAsia="方正小标宋_GBK"/>
      <w:sz w:val="36"/>
      <w:szCs w:val="36"/>
    </w:rPr>
  </w:style>
  <w:style w:type="character" w:customStyle="1" w:styleId="108">
    <w:name w:val="样式2 字符"/>
    <w:basedOn w:val="36"/>
    <w:link w:val="105"/>
    <w:qFormat/>
    <w:uiPriority w:val="0"/>
    <w:rPr>
      <w:rFonts w:ascii="仿宋_GB2312" w:hAnsi="仿宋" w:eastAsia="仿宋_GB2312"/>
      <w:b/>
      <w:bCs/>
      <w:kern w:val="32"/>
      <w:sz w:val="32"/>
      <w:szCs w:val="32"/>
    </w:rPr>
  </w:style>
  <w:style w:type="character" w:customStyle="1" w:styleId="109">
    <w:name w:val="样式3 字符"/>
    <w:basedOn w:val="36"/>
    <w:link w:val="107"/>
    <w:qFormat/>
    <w:uiPriority w:val="0"/>
    <w:rPr>
      <w:rFonts w:ascii="方正小标宋_GBK" w:hAnsi="仿宋" w:eastAsia="方正小标宋_GBK"/>
      <w:sz w:val="36"/>
      <w:szCs w:val="36"/>
    </w:rPr>
  </w:style>
  <w:style w:type="paragraph" w:customStyle="1" w:styleId="110">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Table Paragraph"/>
    <w:basedOn w:val="1"/>
    <w:qFormat/>
    <w:uiPriority w:val="1"/>
  </w:style>
  <w:style w:type="paragraph" w:customStyle="1" w:styleId="112">
    <w:name w:val="纯文本1"/>
    <w:basedOn w:val="1"/>
    <w:qFormat/>
    <w:uiPriority w:val="0"/>
    <w:rPr>
      <w:rFonts w:ascii="宋体" w:hAnsi="Courier New" w:eastAsia="宋体"/>
      <w:szCs w:val="22"/>
    </w:rPr>
  </w:style>
  <w:style w:type="paragraph" w:customStyle="1" w:styleId="11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14">
    <w:name w:val="WPSOffice手动目录 1"/>
    <w:qFormat/>
    <w:uiPriority w:val="0"/>
    <w:rPr>
      <w:rFonts w:ascii="Times New Roman" w:hAnsi="Times New Roman" w:eastAsia="宋体" w:cs="Times New Roman"/>
      <w:lang w:val="en-US" w:eastAsia="zh-CN" w:bidi="ar-SA"/>
    </w:rPr>
  </w:style>
  <w:style w:type="paragraph" w:customStyle="1" w:styleId="11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7">
    <w:name w:val="列出段落4"/>
    <w:basedOn w:val="1"/>
    <w:qFormat/>
    <w:uiPriority w:val="34"/>
    <w:pPr>
      <w:ind w:firstLine="420" w:firstLineChars="200"/>
    </w:pPr>
    <w:rPr>
      <w:rFonts w:cstheme="minorBidi"/>
      <w:szCs w:val="22"/>
    </w:rPr>
  </w:style>
  <w:style w:type="paragraph" w:customStyle="1" w:styleId="118">
    <w:name w:val="A正文"/>
    <w:basedOn w:val="1"/>
    <w:qFormat/>
    <w:uiPriority w:val="0"/>
    <w:pPr>
      <w:snapToGrid w:val="0"/>
      <w:spacing w:line="360" w:lineRule="auto"/>
      <w:ind w:firstLine="200" w:firstLineChars="200"/>
    </w:pPr>
    <w:rPr>
      <w:rFonts w:ascii="Times New Roman" w:hAnsi="Times New Roman"/>
      <w:lang w:eastAsia="en-US" w:bidi="en-US"/>
    </w:rPr>
  </w:style>
  <w:style w:type="paragraph" w:customStyle="1" w:styleId="119">
    <w:name w:val="缩进"/>
    <w:basedOn w:val="1"/>
    <w:qFormat/>
    <w:uiPriority w:val="0"/>
    <w:pPr>
      <w:spacing w:line="360" w:lineRule="auto"/>
      <w:ind w:firstLine="480" w:firstLineChars="200"/>
      <w:jc w:val="left"/>
    </w:pPr>
    <w:rPr>
      <w:rFonts w:ascii="Calibri" w:hAnsi="Calibri"/>
      <w:sz w:val="24"/>
      <w:szCs w:val="21"/>
    </w:rPr>
  </w:style>
  <w:style w:type="character" w:customStyle="1" w:styleId="120">
    <w:name w:val="font71"/>
    <w:basedOn w:val="36"/>
    <w:qFormat/>
    <w:uiPriority w:val="0"/>
    <w:rPr>
      <w:rFonts w:hint="default" w:ascii="Calibri" w:hAnsi="Calibri" w:cs="Calibri"/>
      <w:color w:val="000000"/>
      <w:sz w:val="24"/>
      <w:szCs w:val="24"/>
      <w:u w:val="none"/>
    </w:rPr>
  </w:style>
  <w:style w:type="character" w:customStyle="1" w:styleId="121">
    <w:name w:val="font81"/>
    <w:basedOn w:val="36"/>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43379-8C71-4711-8277-069EA2C105F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80</Pages>
  <Words>34012</Words>
  <Characters>37137</Characters>
  <Lines>568</Lines>
  <Paragraphs>160</Paragraphs>
  <TotalTime>1</TotalTime>
  <ScaleCrop>false</ScaleCrop>
  <LinksUpToDate>false</LinksUpToDate>
  <CharactersWithSpaces>38629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2022-07-21T02:03:00Z</dcterms:created>
  <dc:creator>lenovo</dc:creator>
  <cp:lastModifiedBy>Administrator</cp:lastModifiedBy>
  <cp:lastPrinted>2022-06-02T03:00:00Z</cp:lastPrinted>
  <dcterms:modified xsi:type="dcterms:W3CDTF">2023-03-09T02:51:49Z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83CBB1EA4D9047D69E7637B396E6B504</vt:lpwstr>
  </property>
</Properties>
</file>