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10" w:after="210"/>
        <w:rPr>
          <w:rFonts w:hint="eastAsia" w:ascii="宋体" w:hAnsi="宋体" w:eastAsia="宋体" w:cs="宋体"/>
        </w:rPr>
      </w:pPr>
      <w:bookmarkStart w:id="0" w:name="_GoBack"/>
      <w:bookmarkEnd w:id="0"/>
      <w:r>
        <w:rPr>
          <w:rFonts w:hint="eastAsia" w:ascii="宋体" w:hAnsi="宋体" w:eastAsia="宋体" w:cs="宋体"/>
        </w:rPr>
        <w:t>　招标内容及要求</w:t>
      </w:r>
    </w:p>
    <w:p>
      <w:pPr>
        <w:pStyle w:val="4"/>
        <w:pageBreakBefore w:val="0"/>
        <w:kinsoku/>
        <w:overflowPunct/>
        <w:topLinePunct w:val="0"/>
        <w:autoSpaceDE/>
        <w:autoSpaceDN/>
        <w:bidi w:val="0"/>
        <w:adjustRightInd/>
        <w:snapToGrid/>
        <w:spacing w:line="460" w:lineRule="exact"/>
        <w:textAlignment w:val="auto"/>
        <w:rPr>
          <w:rFonts w:hint="eastAsia" w:ascii="宋体" w:hAnsi="宋体" w:eastAsia="宋体" w:cs="宋体"/>
          <w:b/>
          <w:bCs w:val="0"/>
        </w:rPr>
      </w:pPr>
      <w:r>
        <w:rPr>
          <w:rFonts w:hint="eastAsia" w:ascii="宋体" w:hAnsi="宋体" w:eastAsia="宋体" w:cs="宋体"/>
          <w:b/>
          <w:bCs w:val="0"/>
        </w:rPr>
        <w:t>一、采购内容：柴油规格及数量见下表：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657"/>
        <w:gridCol w:w="279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58"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657"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795"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规格</w:t>
            </w:r>
            <w:r>
              <w:rPr>
                <w:rFonts w:hint="eastAsia" w:ascii="宋体" w:hAnsi="宋体" w:eastAsia="宋体" w:cs="宋体"/>
                <w:color w:val="auto"/>
                <w:sz w:val="24"/>
                <w:szCs w:val="24"/>
              </w:rPr>
              <w:t>/牌号</w:t>
            </w:r>
          </w:p>
        </w:tc>
        <w:tc>
          <w:tcPr>
            <w:tcW w:w="2857"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r>
              <w:rPr>
                <w:rFonts w:hint="eastAsia" w:ascii="宋体" w:hAnsi="宋体" w:eastAsia="宋体" w:cs="宋体"/>
                <w:color w:val="auto"/>
                <w:sz w:val="24"/>
                <w:szCs w:val="24"/>
                <w:lang w:eastAsia="zh-CN"/>
              </w:rPr>
              <w:t>吨</w:t>
            </w:r>
            <w:r>
              <w:rPr>
                <w:rFonts w:hint="eastAsia" w:ascii="宋体" w:hAnsi="宋体" w:eastAsia="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58"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7"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柴油</w:t>
            </w:r>
          </w:p>
        </w:tc>
        <w:tc>
          <w:tcPr>
            <w:tcW w:w="2795" w:type="dxa"/>
            <w:noWrap w:val="0"/>
            <w:vAlign w:val="center"/>
          </w:tcPr>
          <w:p>
            <w:pPr>
              <w:pageBreakBefore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0号</w:t>
            </w:r>
            <w:r>
              <w:rPr>
                <w:rFonts w:hint="eastAsia" w:ascii="宋体" w:hAnsi="宋体" w:eastAsia="宋体" w:cs="宋体"/>
                <w:color w:val="auto"/>
                <w:sz w:val="24"/>
                <w:szCs w:val="24"/>
                <w:highlight w:val="none"/>
                <w:lang w:eastAsia="zh-CN"/>
              </w:rPr>
              <w:t>国标柴油及</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0号</w:t>
            </w:r>
            <w:r>
              <w:rPr>
                <w:rFonts w:hint="eastAsia" w:ascii="宋体" w:hAnsi="宋体" w:eastAsia="宋体" w:cs="宋体"/>
                <w:color w:val="auto"/>
                <w:sz w:val="24"/>
                <w:szCs w:val="24"/>
                <w:highlight w:val="none"/>
                <w:lang w:eastAsia="zh-CN"/>
              </w:rPr>
              <w:t>国标柴油</w:t>
            </w:r>
          </w:p>
        </w:tc>
        <w:tc>
          <w:tcPr>
            <w:tcW w:w="2857"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共计约</w:t>
            </w:r>
            <w:r>
              <w:rPr>
                <w:rFonts w:hint="eastAsia" w:ascii="宋体" w:hAnsi="宋体" w:eastAsia="宋体" w:cs="宋体"/>
                <w:color w:val="auto"/>
                <w:sz w:val="24"/>
                <w:szCs w:val="24"/>
                <w:highlight w:val="none"/>
                <w:lang w:val="en-US" w:eastAsia="zh-CN"/>
              </w:rPr>
              <w:t>500</w:t>
            </w:r>
          </w:p>
        </w:tc>
      </w:tr>
    </w:tbl>
    <w:p>
      <w:pPr>
        <w:pStyle w:val="4"/>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b/>
          <w:bCs w:val="0"/>
          <w:highlight w:val="none"/>
          <w:lang w:val="en-US" w:eastAsia="zh-CN"/>
        </w:rPr>
      </w:pPr>
      <w:r>
        <w:rPr>
          <w:rFonts w:hint="eastAsia" w:ascii="宋体" w:hAnsi="宋体" w:eastAsia="宋体" w:cs="宋体"/>
          <w:b/>
          <w:bCs w:val="0"/>
          <w:highlight w:val="none"/>
          <w:lang w:val="en-US" w:eastAsia="zh-CN"/>
        </w:rPr>
        <w:t>二、技术要求</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r>
        <w:rPr>
          <w:rFonts w:hint="eastAsia" w:ascii="宋体" w:hAnsi="宋体" w:eastAsia="宋体" w:cs="宋体"/>
          <w:sz w:val="24"/>
          <w:szCs w:val="24"/>
        </w:rPr>
        <w:t>（一）</w:t>
      </w:r>
      <w:r>
        <w:rPr>
          <w:rFonts w:hint="eastAsia" w:ascii="宋体" w:hAnsi="宋体" w:eastAsia="宋体" w:cs="宋体"/>
          <w:bCs/>
          <w:snapToGrid w:val="0"/>
          <w:sz w:val="24"/>
          <w:szCs w:val="24"/>
        </w:rPr>
        <w:t>不论何种情况，24小时内公务用车进入加油站加油，均能受到良好的加油服务。</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r>
        <w:rPr>
          <w:rFonts w:hint="eastAsia" w:ascii="宋体" w:hAnsi="宋体" w:eastAsia="宋体" w:cs="宋体"/>
          <w:sz w:val="24"/>
          <w:szCs w:val="24"/>
        </w:rPr>
        <w:t>（二）</w:t>
      </w:r>
      <w:r>
        <w:rPr>
          <w:rFonts w:hint="eastAsia" w:ascii="宋体" w:hAnsi="宋体" w:eastAsia="宋体" w:cs="宋体"/>
          <w:bCs/>
          <w:snapToGrid w:val="0"/>
          <w:sz w:val="24"/>
          <w:szCs w:val="24"/>
        </w:rPr>
        <w:t>保证上述车辆加油时场地畅通，做到加油及时。</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r>
        <w:rPr>
          <w:rFonts w:hint="eastAsia" w:ascii="宋体" w:hAnsi="宋体" w:eastAsia="宋体" w:cs="宋体"/>
          <w:bCs/>
          <w:snapToGrid w:val="0"/>
          <w:sz w:val="24"/>
          <w:szCs w:val="24"/>
        </w:rPr>
        <w:t>（三）所有加油操作人员能文明用语，礼貌对待车辆驾驶员。</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r>
        <w:rPr>
          <w:rFonts w:hint="eastAsia" w:ascii="宋体" w:hAnsi="宋体" w:eastAsia="宋体" w:cs="宋体"/>
          <w:bCs/>
          <w:snapToGrid w:val="0"/>
          <w:sz w:val="24"/>
          <w:szCs w:val="24"/>
        </w:rPr>
        <w:t>（四）认真做好对加油员的监督，保证一车一卡加油，不允许用容器加油，杜绝人情油的现象发生。</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r>
        <w:rPr>
          <w:rFonts w:hint="eastAsia" w:ascii="宋体" w:hAnsi="宋体" w:eastAsia="宋体" w:cs="宋体"/>
          <w:sz w:val="24"/>
          <w:szCs w:val="24"/>
        </w:rPr>
        <w:t>（五）</w:t>
      </w:r>
      <w:r>
        <w:rPr>
          <w:rFonts w:hint="eastAsia" w:ascii="宋体" w:hAnsi="宋体" w:eastAsia="宋体" w:cs="宋体"/>
          <w:bCs/>
          <w:snapToGrid w:val="0"/>
          <w:sz w:val="24"/>
          <w:szCs w:val="24"/>
        </w:rPr>
        <w:t>不因用户车辆的多少而采取不同的态度。</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r>
        <w:rPr>
          <w:rFonts w:hint="eastAsia" w:ascii="宋体" w:hAnsi="宋体" w:eastAsia="宋体" w:cs="宋体"/>
          <w:bCs/>
          <w:snapToGrid w:val="0"/>
          <w:sz w:val="24"/>
          <w:szCs w:val="24"/>
        </w:rPr>
        <w:t>（六）如发生成品油供不应求的情况时，优先提供加油服务，确保环卫生产作业。</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（七）中标人提供的油品数量必须保证每天都能满足采购人的需求，特别是油品紧缺时也要力争保证采购人每天的正常需要（在同等条件下优先)。</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（八）中标人不得在未经双方协商一致的情况下将中标业务转让给他人或者单位。</w:t>
      </w:r>
    </w:p>
    <w:p>
      <w:pPr>
        <w:pStyle w:val="4"/>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油品质量及要求</w:t>
      </w:r>
    </w:p>
    <w:p>
      <w:pPr>
        <w:pStyle w:val="9"/>
        <w:keepLines w:val="0"/>
        <w:pageBreakBefore w:val="0"/>
        <w:numPr>
          <w:ilvl w:val="0"/>
          <w:numId w:val="2"/>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中标人提供的油品必须符合国家标准化管理委员会公布的GB  19147-2016《车用</w:t>
      </w:r>
      <w:r>
        <w:rPr>
          <w:rFonts w:hint="eastAsia" w:ascii="宋体" w:hAnsi="宋体" w:cs="宋体"/>
          <w:sz w:val="24"/>
          <w:szCs w:val="24"/>
          <w:lang w:val="en-US" w:eastAsia="zh-CN"/>
        </w:rPr>
        <w:t>柴油</w:t>
      </w:r>
      <w:r>
        <w:rPr>
          <w:rFonts w:hint="eastAsia" w:ascii="宋体" w:hAnsi="宋体" w:eastAsia="宋体" w:cs="宋体"/>
          <w:sz w:val="24"/>
          <w:szCs w:val="24"/>
        </w:rPr>
        <w:t>》的要求，必须符合国家行业生产及经营标准，各项技术指标必须完全符合国家有关质量检测、环保标准及产品出厂标准。</w:t>
      </w:r>
    </w:p>
    <w:p>
      <w:pPr>
        <w:pStyle w:val="9"/>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imes New Roman"/>
          <w:b/>
          <w:bCs/>
          <w:highlight w:val="none"/>
          <w:lang w:val="en-US" w:eastAsia="zh-CN"/>
        </w:rPr>
      </w:pPr>
      <w:r>
        <w:rPr>
          <w:rFonts w:hint="eastAsia" w:ascii="宋体" w:hAnsi="宋体" w:eastAsia="宋体" w:cs="宋体"/>
          <w:sz w:val="24"/>
          <w:szCs w:val="24"/>
        </w:rPr>
        <w:t>（二）采购人有权对中标人所供应油品不定期不限次抽检。若经检测、鉴定，如因油品存在质量问题（以国家或者地方政府指定检测部门抽检油站油品检验结果为基准），采购人车辆使用该批次货物导致车辆损坏、故障的，中标人应承担全部维修费用和因此引起的损失。</w:t>
      </w:r>
    </w:p>
    <w:p>
      <w:pPr>
        <w:pStyle w:val="4"/>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Arial" w:hAnsi="Arial" w:eastAsia="宋体" w:cs="Times New Roman"/>
          <w:b/>
          <w:bCs/>
          <w:highlight w:val="none"/>
          <w:lang w:val="en-US" w:eastAsia="zh-CN"/>
        </w:rPr>
      </w:pPr>
      <w:r>
        <w:rPr>
          <w:rFonts w:hint="eastAsia" w:ascii="Arial" w:hAnsi="Arial" w:eastAsia="宋体" w:cs="Times New Roman"/>
          <w:b/>
          <w:bCs/>
          <w:highlight w:val="none"/>
          <w:lang w:val="en-US" w:eastAsia="zh-CN"/>
        </w:rPr>
        <w:t>三、</w:t>
      </w:r>
      <w:r>
        <w:rPr>
          <w:rFonts w:hint="eastAsia" w:ascii="宋体" w:hAnsi="宋体" w:eastAsia="宋体" w:cs="宋体"/>
          <w:b/>
          <w:bCs w:val="0"/>
          <w:lang w:val="en-US" w:eastAsia="zh-CN"/>
        </w:rPr>
        <w:t>商务要求</w:t>
      </w:r>
    </w:p>
    <w:p>
      <w:pPr>
        <w:pStyle w:val="9"/>
        <w:keepLines w:val="0"/>
        <w:pageBreakBefore w:val="0"/>
        <w:kinsoku/>
        <w:wordWrap/>
        <w:overflowPunct/>
        <w:topLinePunct w:val="0"/>
        <w:autoSpaceDE/>
        <w:autoSpaceDN/>
        <w:bidi w:val="0"/>
        <w:adjustRightInd/>
        <w:snapToGrid/>
        <w:spacing w:line="520" w:lineRule="exact"/>
        <w:ind w:firstLine="482" w:firstLineChars="200"/>
        <w:textAlignment w:val="auto"/>
        <w:outlineLvl w:val="0"/>
        <w:rPr>
          <w:rFonts w:hint="default" w:ascii="宋体" w:hAnsi="宋体" w:eastAsia="宋体"/>
          <w:b/>
          <w:bCs/>
          <w:sz w:val="24"/>
          <w:szCs w:val="24"/>
          <w:lang w:val="en-US" w:eastAsia="zh-CN"/>
        </w:rPr>
      </w:pPr>
      <w:r>
        <w:rPr>
          <w:rFonts w:hint="eastAsia" w:ascii="宋体" w:hAnsi="宋体"/>
          <w:b/>
          <w:bCs/>
          <w:sz w:val="24"/>
          <w:szCs w:val="24"/>
          <w:lang w:val="en-US" w:eastAsia="zh-CN"/>
        </w:rPr>
        <w:t>1、计价方式</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sz w:val="24"/>
          <w:szCs w:val="24"/>
        </w:rPr>
      </w:pPr>
      <w:r>
        <w:rPr>
          <w:rFonts w:hint="eastAsia" w:ascii="宋体" w:hAnsi="宋体"/>
          <w:sz w:val="24"/>
          <w:szCs w:val="24"/>
        </w:rPr>
        <w:t>（一）服务期内中标加油站按“</w:t>
      </w:r>
      <w:r>
        <w:rPr>
          <w:rFonts w:hint="eastAsia" w:ascii="宋体" w:hAnsi="宋体"/>
          <w:b/>
          <w:sz w:val="24"/>
          <w:szCs w:val="24"/>
        </w:rPr>
        <w:t>当天</w:t>
      </w:r>
      <w:r>
        <w:rPr>
          <w:rFonts w:hint="eastAsia" w:ascii="宋体" w:hAnsi="宋体"/>
          <w:b/>
          <w:bCs/>
          <w:snapToGrid w:val="0"/>
          <w:sz w:val="24"/>
          <w:szCs w:val="24"/>
        </w:rPr>
        <w:t>国家发改委公布的零售挂牌价</w:t>
      </w:r>
      <w:r>
        <w:rPr>
          <w:rFonts w:hint="eastAsia" w:ascii="宋体" w:hAnsi="宋体"/>
          <w:sz w:val="24"/>
          <w:szCs w:val="24"/>
        </w:rPr>
        <w:t>×</w:t>
      </w:r>
      <w:r>
        <w:rPr>
          <w:rFonts w:hint="eastAsia" w:ascii="宋体" w:hAnsi="宋体"/>
          <w:sz w:val="24"/>
          <w:szCs w:val="24"/>
          <w:lang w:val="en-US" w:eastAsia="zh-CN"/>
        </w:rPr>
        <w:t>（1-中标优惠率）</w:t>
      </w:r>
      <w:r>
        <w:rPr>
          <w:rFonts w:hint="eastAsia" w:ascii="宋体" w:hAnsi="宋体"/>
          <w:sz w:val="24"/>
          <w:szCs w:val="24"/>
          <w:lang w:eastAsia="zh-CN"/>
        </w:rPr>
        <w:t>和</w:t>
      </w:r>
      <w:r>
        <w:rPr>
          <w:rFonts w:hint="eastAsia" w:ascii="宋体" w:hAnsi="宋体"/>
          <w:sz w:val="24"/>
          <w:szCs w:val="24"/>
        </w:rPr>
        <w:t>采购人进行结算，不得再另外收费。</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sz w:val="24"/>
          <w:szCs w:val="24"/>
        </w:rPr>
      </w:pPr>
      <w:r>
        <w:rPr>
          <w:rFonts w:hint="eastAsia" w:ascii="宋体" w:hAnsi="宋体"/>
          <w:sz w:val="24"/>
          <w:szCs w:val="24"/>
        </w:rPr>
        <w:t>（二）中标人在进行调整油价之前，应将调整油价通知提供给采购人，调整后价格按政府批文日期执行。</w:t>
      </w:r>
    </w:p>
    <w:p>
      <w:pPr>
        <w:pStyle w:val="9"/>
        <w:keepLines w:val="0"/>
        <w:pageBreakBefore w:val="0"/>
        <w:kinsoku/>
        <w:wordWrap/>
        <w:overflowPunct/>
        <w:topLinePunct w:val="0"/>
        <w:autoSpaceDE/>
        <w:autoSpaceDN/>
        <w:bidi w:val="0"/>
        <w:adjustRightInd/>
        <w:snapToGrid/>
        <w:spacing w:line="520" w:lineRule="exact"/>
        <w:ind w:firstLine="482" w:firstLineChars="200"/>
        <w:textAlignment w:val="auto"/>
        <w:outlineLvl w:val="0"/>
        <w:rPr>
          <w:rFonts w:hint="eastAsia" w:ascii="宋体" w:hAnsi="宋体"/>
          <w:b/>
          <w:bCs/>
          <w:sz w:val="24"/>
          <w:szCs w:val="24"/>
          <w:lang w:val="en-US" w:eastAsia="zh-CN"/>
        </w:rPr>
      </w:pPr>
      <w:r>
        <w:rPr>
          <w:rFonts w:hint="eastAsia" w:ascii="宋体" w:hAnsi="宋体"/>
          <w:b/>
          <w:bCs/>
          <w:sz w:val="24"/>
          <w:szCs w:val="24"/>
          <w:lang w:val="en-US" w:eastAsia="zh-CN"/>
        </w:rPr>
        <w:t>2、结算方式</w:t>
      </w:r>
    </w:p>
    <w:p>
      <w:pPr>
        <w:pStyle w:val="10"/>
        <w:keepLines w:val="0"/>
        <w:pageBreakBefore w:val="0"/>
        <w:kinsoku/>
        <w:wordWrap/>
        <w:overflowPunct/>
        <w:topLinePunct w:val="0"/>
        <w:autoSpaceDE/>
        <w:autoSpaceDN/>
        <w:bidi w:val="0"/>
        <w:adjustRightInd/>
        <w:snapToGrid/>
        <w:spacing w:line="520" w:lineRule="exact"/>
        <w:ind w:firstLine="480"/>
        <w:textAlignment w:val="auto"/>
        <w:rPr>
          <w:rFonts w:ascii="宋体" w:hAnsi="宋体" w:cs="宋体"/>
          <w:sz w:val="24"/>
          <w:szCs w:val="24"/>
        </w:rPr>
      </w:pPr>
      <w:r>
        <w:rPr>
          <w:rFonts w:hint="eastAsia" w:ascii="宋体" w:hAnsi="宋体"/>
          <w:sz w:val="24"/>
          <w:szCs w:val="24"/>
        </w:rPr>
        <w:t>（</w:t>
      </w:r>
      <w:r>
        <w:rPr>
          <w:rFonts w:hint="eastAsia" w:ascii="宋体" w:hAnsi="宋体" w:cs="宋体"/>
          <w:sz w:val="24"/>
          <w:szCs w:val="24"/>
        </w:rPr>
        <w:t>一）采购人每月根据用油量</w:t>
      </w:r>
      <w:r>
        <w:rPr>
          <w:rFonts w:hint="eastAsia" w:ascii="宋体" w:hAnsi="宋体" w:cs="宋体"/>
          <w:sz w:val="24"/>
          <w:szCs w:val="24"/>
          <w:lang w:eastAsia="zh-CN"/>
        </w:rPr>
        <w:t>以转账形式</w:t>
      </w:r>
      <w:r>
        <w:rPr>
          <w:rFonts w:hint="eastAsia" w:ascii="宋体" w:hAnsi="宋体" w:cs="宋体"/>
          <w:sz w:val="24"/>
          <w:szCs w:val="24"/>
        </w:rPr>
        <w:t>预付油款给中标人。中标人每月10日前开具预付油款的发票、上月的实际使用油料情况明细表，并将合同复印件、中标通知书一起提供采购人，采购人收到资料后办理支付手续，实际到账日期以区财政支付日期为准。</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szCs w:val="24"/>
        </w:rPr>
      </w:pPr>
      <w:r>
        <w:rPr>
          <w:rFonts w:hint="eastAsia" w:ascii="宋体" w:hAnsi="宋体"/>
          <w:sz w:val="24"/>
          <w:szCs w:val="24"/>
        </w:rPr>
        <w:t>（二）中标人按照采购人提供的车辆资料及要求办理中标人的加油IC卡，使用IC卡为采购人车辆加油。IC卡按采购人资料要求设置限油品，凭密码加油，并配合采购人做好车辆加油监督管理。</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szCs w:val="24"/>
        </w:rPr>
      </w:pPr>
      <w:r>
        <w:rPr>
          <w:rFonts w:hint="eastAsia" w:ascii="宋体" w:hAnsi="宋体"/>
          <w:sz w:val="24"/>
          <w:szCs w:val="24"/>
        </w:rPr>
        <w:t>（三）中标人负责提供实际使用油料情况明细表（即：每台车辆的加油明细及汇总金额）供采购人和中标人双方确认，待双方核对一致并盖章确认。</w:t>
      </w:r>
    </w:p>
    <w:p>
      <w:pPr>
        <w:pStyle w:val="9"/>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szCs w:val="24"/>
        </w:rPr>
      </w:pPr>
      <w:r>
        <w:rPr>
          <w:rFonts w:hint="eastAsia" w:ascii="宋体" w:hAnsi="宋体"/>
          <w:sz w:val="24"/>
          <w:szCs w:val="24"/>
        </w:rPr>
        <w:t>（四）中标人根据采购人预付油款情况开具普通发票，如采购人需要变更税票类型，提前以书面形式（盖单位公章）通知中标人。经确认后的书面通知作为合同补充附件。优惠部分的金额在双方结算确认后，由中标人直接将该金额按采购人要求充入油卡继续用于加油，但中标人不再计算该部分加油优惠和开取该部分款项的发票。</w:t>
      </w:r>
    </w:p>
    <w:p>
      <w:pPr>
        <w:pStyle w:val="9"/>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sz w:val="24"/>
          <w:szCs w:val="24"/>
          <w:lang w:val="en-US" w:eastAsia="zh-CN"/>
        </w:rPr>
      </w:pPr>
      <w:r>
        <w:rPr>
          <w:rFonts w:hint="eastAsia" w:ascii="宋体" w:hAnsi="宋体"/>
          <w:b/>
          <w:bCs/>
          <w:sz w:val="24"/>
          <w:szCs w:val="24"/>
          <w:lang w:val="en-US" w:eastAsia="zh-CN"/>
        </w:rPr>
        <w:t>3、交货期：</w:t>
      </w:r>
      <w:r>
        <w:rPr>
          <w:rFonts w:hint="eastAsia" w:ascii="宋体" w:hAnsi="宋体"/>
          <w:sz w:val="24"/>
          <w:szCs w:val="24"/>
          <w:lang w:val="en-US" w:eastAsia="zh-CN"/>
        </w:rPr>
        <w:t>一年</w:t>
      </w:r>
    </w:p>
    <w:p>
      <w:pPr>
        <w:pStyle w:val="9"/>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宋体" w:hAnsi="宋体"/>
          <w:sz w:val="24"/>
          <w:szCs w:val="24"/>
          <w:lang w:val="en-US" w:eastAsia="zh-CN"/>
        </w:rPr>
      </w:pPr>
      <w:r>
        <w:rPr>
          <w:rFonts w:hint="eastAsia" w:ascii="宋体" w:hAnsi="宋体"/>
          <w:b/>
          <w:bCs/>
          <w:sz w:val="24"/>
          <w:szCs w:val="24"/>
          <w:lang w:val="en-US" w:eastAsia="zh-CN"/>
        </w:rPr>
        <w:t>4、交货地点：</w:t>
      </w:r>
      <w:r>
        <w:rPr>
          <w:rFonts w:hint="eastAsia" w:ascii="宋体" w:hAnsi="宋体"/>
          <w:sz w:val="24"/>
          <w:szCs w:val="24"/>
          <w:lang w:val="en-US" w:eastAsia="zh-CN"/>
        </w:rPr>
        <w:t>西安市未央区环境卫生管理所指定地点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6B930"/>
    <w:multiLevelType w:val="singleLevel"/>
    <w:tmpl w:val="97C6B930"/>
    <w:lvl w:ilvl="0" w:tentative="0">
      <w:start w:val="1"/>
      <w:numFmt w:val="chineseCounting"/>
      <w:suff w:val="nothing"/>
      <w:lvlText w:val="（%1）"/>
      <w:lvlJc w:val="left"/>
      <w:rPr>
        <w:rFonts w:hint="eastAsia"/>
      </w:rPr>
    </w:lvl>
  </w:abstractNum>
  <w:abstractNum w:abstractNumId="1">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DMzNjQyNmE0ZDYyZWQ3YmQ0OTIyODdmODZlOTYifQ=="/>
  </w:docVars>
  <w:rsids>
    <w:rsidRoot w:val="5A9250C4"/>
    <w:rsid w:val="5A92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5"/>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5">
    <w:name w:val="Normal Indent"/>
    <w:basedOn w:val="1"/>
    <w:next w:val="6"/>
    <w:qFormat/>
    <w:uiPriority w:val="0"/>
    <w:pPr>
      <w:spacing w:line="300" w:lineRule="auto"/>
      <w:ind w:firstLine="420" w:firstLineChars="200"/>
    </w:pPr>
    <w:rPr>
      <w:rFonts w:ascii="Times New Roman"/>
      <w:kern w:val="2"/>
      <w:sz w:val="21"/>
      <w:szCs w:val="24"/>
    </w:rPr>
  </w:style>
  <w:style w:type="paragraph" w:styleId="6">
    <w:name w:val="toc 4"/>
    <w:basedOn w:val="1"/>
    <w:next w:val="1"/>
    <w:unhideWhenUsed/>
    <w:qFormat/>
    <w:uiPriority w:val="39"/>
    <w:pPr>
      <w:ind w:left="1260" w:leftChars="600"/>
    </w:pPr>
  </w:style>
  <w:style w:type="paragraph" w:customStyle="1" w:styleId="9">
    <w:name w:val="正文_0"/>
    <w:qFormat/>
    <w:uiPriority w:val="0"/>
    <w:pPr>
      <w:widowControl w:val="0"/>
      <w:jc w:val="both"/>
    </w:pPr>
    <w:rPr>
      <w:rFonts w:ascii="Times New Roman" w:hAnsi="Times New Roman" w:eastAsia="宋体" w:cs="宋体"/>
      <w:kern w:val="2"/>
      <w:sz w:val="21"/>
      <w:szCs w:val="21"/>
      <w:lang w:val="en-US" w:eastAsia="zh-CN" w:bidi="ar-SA"/>
    </w:rPr>
  </w:style>
  <w:style w:type="paragraph" w:customStyle="1" w:styleId="10">
    <w:name w:val="正文_0_0_0"/>
    <w:qFormat/>
    <w:locked/>
    <w:uiPriority w:val="0"/>
    <w:pPr>
      <w:widowControl w:val="0"/>
      <w:ind w:firstLine="200" w:firstLineChars="20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1132</Words>
  <Characters>1152</Characters>
  <Lines>0</Lines>
  <Paragraphs>0</Paragraphs>
  <TotalTime>0</TotalTime>
  <ScaleCrop>false</ScaleCrop>
  <LinksUpToDate>false</LinksUpToDate>
  <CharactersWithSpaces>1155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2023-04-18T02:38:00Z</dcterms:created>
  <dc:creator>简</dc:creator>
  <cp:lastModifiedBy>简</cp:lastModifiedBy>
  <dcterms:modified xsi:type="dcterms:W3CDTF">2023-04-18T02:40:56Z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822FDC996793410DAC5EAD2BD41C317D_11</vt:lpwstr>
  </property>
</Properties>
</file>