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 住保大厦项目文物发掘项目</w:t>
      </w:r>
    </w:p>
    <w:p>
      <w:pPr>
        <w:widowControl/>
        <w:jc w:val="center"/>
      </w:pPr>
      <w:r>
        <w:rPr>
          <w:rFonts w:hint="eastAsia" w:ascii="仿宋" w:hAnsi="仿宋" w:eastAsia="仿宋"/>
          <w:b/>
          <w:sz w:val="32"/>
          <w:szCs w:val="32"/>
          <w:lang w:val="en-US" w:eastAsia="zh-CN"/>
        </w:rPr>
        <w:t>政府采购需求书范本（服务类）</w:t>
      </w: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jc w:val="center"/>
              <w:rPr>
                <w:rFonts w:ascii="宋体" w:hAnsi="宋体"/>
                <w:b/>
                <w:color w:val="auto"/>
                <w:sz w:val="24"/>
              </w:rPr>
            </w:pPr>
            <w:r>
              <w:rPr>
                <w:rFonts w:hint="eastAsia" w:ascii="宋体" w:hAnsi="宋体"/>
                <w:b/>
                <w:color w:val="auto"/>
                <w:sz w:val="28"/>
                <w:szCs w:val="28"/>
                <w:lang w:val="zh-CN"/>
              </w:rPr>
              <w:t>序号</w:t>
            </w:r>
          </w:p>
        </w:tc>
        <w:tc>
          <w:tcPr>
            <w:tcW w:w="1556" w:type="dxa"/>
            <w:vAlign w:val="center"/>
          </w:tcPr>
          <w:p>
            <w:pPr>
              <w:pStyle w:val="31"/>
              <w:ind w:left="38"/>
              <w:jc w:val="center"/>
              <w:rPr>
                <w:b/>
                <w:color w:val="auto"/>
                <w:kern w:val="2"/>
                <w:lang w:val="zh-CN"/>
              </w:rPr>
            </w:pPr>
            <w:r>
              <w:rPr>
                <w:rFonts w:hint="eastAsia"/>
                <w:b/>
                <w:color w:val="auto"/>
                <w:kern w:val="2"/>
                <w:sz w:val="28"/>
                <w:szCs w:val="28"/>
                <w:lang w:val="zh-CN"/>
              </w:rPr>
              <w:t>关键事项</w:t>
            </w:r>
          </w:p>
        </w:tc>
        <w:tc>
          <w:tcPr>
            <w:tcW w:w="7067" w:type="dxa"/>
            <w:vAlign w:val="center"/>
          </w:tcPr>
          <w:p>
            <w:pPr>
              <w:pStyle w:val="31"/>
              <w:jc w:val="center"/>
              <w:rPr>
                <w:b/>
                <w:color w:val="auto"/>
                <w:kern w:val="2"/>
                <w:lang w:val="zh-CN"/>
              </w:rPr>
            </w:pPr>
            <w:r>
              <w:rPr>
                <w:rFonts w:hint="eastAsia"/>
                <w:b/>
                <w:color w:val="auto"/>
                <w:kern w:val="2"/>
                <w:sz w:val="28"/>
                <w:szCs w:val="28"/>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8"/>
                <w:szCs w:val="28"/>
                <w:lang w:val="zh-CN"/>
              </w:rPr>
            </w:pPr>
            <w:r>
              <w:rPr>
                <w:rFonts w:ascii="宋体" w:hAnsi="宋体"/>
                <w:color w:val="auto"/>
                <w:sz w:val="28"/>
                <w:szCs w:val="28"/>
                <w:lang w:val="zh-CN"/>
              </w:rPr>
              <w:t>1</w:t>
            </w:r>
          </w:p>
        </w:tc>
        <w:tc>
          <w:tcPr>
            <w:tcW w:w="1556" w:type="dxa"/>
            <w:vAlign w:val="center"/>
          </w:tcPr>
          <w:p>
            <w:pPr>
              <w:pStyle w:val="31"/>
              <w:ind w:left="38"/>
              <w:jc w:val="center"/>
              <w:rPr>
                <w:color w:val="auto"/>
                <w:kern w:val="2"/>
                <w:lang w:val="zh-CN"/>
              </w:rPr>
            </w:pPr>
            <w:r>
              <w:rPr>
                <w:rFonts w:hint="eastAsia"/>
                <w:color w:val="auto"/>
                <w:kern w:val="2"/>
                <w:lang w:val="zh-CN"/>
              </w:rPr>
              <w:t>采购预算</w:t>
            </w:r>
          </w:p>
        </w:tc>
        <w:tc>
          <w:tcPr>
            <w:tcW w:w="7067" w:type="dxa"/>
            <w:vAlign w:val="center"/>
          </w:tcPr>
          <w:p>
            <w:pPr>
              <w:pStyle w:val="31"/>
              <w:jc w:val="both"/>
              <w:rPr>
                <w:b/>
                <w:color w:val="auto"/>
                <w:kern w:val="2"/>
                <w:lang w:val="zh-CN"/>
              </w:rPr>
            </w:pPr>
            <w:r>
              <w:rPr>
                <w:rFonts w:hint="eastAsia"/>
                <w:b/>
                <w:color w:val="auto"/>
                <w:kern w:val="2"/>
                <w:lang w:val="zh-CN"/>
              </w:rPr>
              <w:t>人民币</w:t>
            </w:r>
            <w:r>
              <w:rPr>
                <w:b/>
                <w:color w:val="auto"/>
                <w:kern w:val="2"/>
                <w:u w:val="single"/>
                <w:lang w:val="zh-CN"/>
              </w:rPr>
              <w:t>_</w:t>
            </w:r>
            <w:r>
              <w:rPr>
                <w:rFonts w:hint="eastAsia"/>
                <w:b/>
                <w:color w:val="auto"/>
                <w:kern w:val="2"/>
                <w:u w:val="single"/>
                <w:lang w:val="en-US" w:eastAsia="zh-CN"/>
              </w:rPr>
              <w:t>5435453.52</w:t>
            </w:r>
            <w:r>
              <w:rPr>
                <w:b/>
                <w:color w:val="auto"/>
                <w:kern w:val="2"/>
                <w:u w:val="single"/>
                <w:lang w:val="zh-CN"/>
              </w:rPr>
              <w:t>_</w:t>
            </w:r>
            <w:r>
              <w:rPr>
                <w:rFonts w:hint="eastAsia"/>
                <w:b/>
                <w:color w:val="auto"/>
                <w:kern w:val="2"/>
                <w:lang w:val="zh-CN"/>
              </w:rPr>
              <w:t>元</w:t>
            </w:r>
          </w:p>
          <w:p>
            <w:pPr>
              <w:pStyle w:val="31"/>
              <w:jc w:val="both"/>
              <w:rPr>
                <w:b/>
                <w:color w:val="auto"/>
                <w:kern w:val="2"/>
                <w:lang w:val="zh-CN"/>
              </w:rPr>
            </w:pPr>
            <w:r>
              <w:rPr>
                <w:rFonts w:hint="eastAsia"/>
                <w:color w:val="auto"/>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8"/>
                <w:szCs w:val="28"/>
                <w:lang w:val="zh-CN"/>
              </w:rPr>
            </w:pPr>
            <w:r>
              <w:rPr>
                <w:rFonts w:ascii="宋体" w:hAnsi="宋体"/>
                <w:color w:val="auto"/>
                <w:sz w:val="28"/>
                <w:szCs w:val="28"/>
                <w:lang w:val="zh-CN"/>
              </w:rPr>
              <w:t>2</w:t>
            </w:r>
          </w:p>
        </w:tc>
        <w:tc>
          <w:tcPr>
            <w:tcW w:w="1556" w:type="dxa"/>
            <w:vAlign w:val="center"/>
          </w:tcPr>
          <w:p>
            <w:pPr>
              <w:pStyle w:val="31"/>
              <w:ind w:left="38"/>
              <w:jc w:val="center"/>
              <w:rPr>
                <w:color w:val="auto"/>
                <w:kern w:val="2"/>
                <w:lang w:val="zh-CN"/>
              </w:rPr>
            </w:pPr>
            <w:r>
              <w:rPr>
                <w:rFonts w:hint="eastAsia"/>
                <w:color w:val="auto"/>
                <w:kern w:val="2"/>
                <w:lang w:val="zh-CN"/>
              </w:rPr>
              <w:t>最高限价</w:t>
            </w:r>
          </w:p>
        </w:tc>
        <w:tc>
          <w:tcPr>
            <w:tcW w:w="7067" w:type="dxa"/>
            <w:vAlign w:val="center"/>
          </w:tcPr>
          <w:p>
            <w:pPr>
              <w:pStyle w:val="31"/>
              <w:jc w:val="both"/>
              <w:rPr>
                <w:rFonts w:hint="eastAsia"/>
                <w:b/>
                <w:color w:val="auto"/>
                <w:kern w:val="2"/>
                <w:lang w:val="zh-CN"/>
              </w:rPr>
            </w:pPr>
            <w:r>
              <w:rPr>
                <w:rFonts w:hint="eastAsia"/>
                <w:b/>
                <w:color w:val="auto"/>
                <w:kern w:val="2"/>
                <w:lang w:val="zh-CN"/>
              </w:rPr>
              <w:t>人民币</w:t>
            </w:r>
            <w:r>
              <w:rPr>
                <w:rFonts w:hint="eastAsia"/>
                <w:b/>
                <w:color w:val="auto"/>
                <w:kern w:val="2"/>
                <w:u w:val="single"/>
                <w:lang w:val="zh-CN"/>
              </w:rPr>
              <w:t>5435453.52</w:t>
            </w:r>
            <w:r>
              <w:rPr>
                <w:rFonts w:hint="eastAsia"/>
                <w:b/>
                <w:color w:val="auto"/>
                <w:kern w:val="2"/>
                <w:lang w:val="zh-CN"/>
              </w:rPr>
              <w:t>元</w:t>
            </w:r>
          </w:p>
          <w:p>
            <w:pPr>
              <w:pStyle w:val="31"/>
              <w:jc w:val="both"/>
              <w:rPr>
                <w:rFonts w:hint="eastAsia"/>
                <w:b/>
                <w:color w:val="auto"/>
                <w:kern w:val="2"/>
                <w:lang w:val="zh-CN"/>
              </w:rPr>
            </w:pPr>
            <w:r>
              <w:rPr>
                <w:rFonts w:hint="eastAsia"/>
                <w:b/>
                <w:color w:val="auto"/>
                <w:kern w:val="2"/>
                <w:lang w:val="zh-CN"/>
              </w:rPr>
              <w:t>一标包：5435453.52元</w:t>
            </w:r>
          </w:p>
          <w:p>
            <w:pPr>
              <w:pStyle w:val="31"/>
              <w:ind w:left="38"/>
              <w:jc w:val="both"/>
              <w:rPr>
                <w:b/>
                <w:color w:val="auto"/>
                <w:kern w:val="2"/>
                <w:lang w:val="zh-CN"/>
              </w:rPr>
            </w:pPr>
            <w:r>
              <w:rPr>
                <w:rFonts w:hint="eastAsia"/>
                <w:color w:val="auto"/>
                <w:kern w:val="2"/>
                <w:sz w:val="21"/>
                <w:szCs w:val="21"/>
                <w:lang w:val="zh-CN"/>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color w:val="auto"/>
                <w:sz w:val="28"/>
                <w:szCs w:val="28"/>
                <w:lang w:val="zh-CN"/>
              </w:rPr>
            </w:pPr>
            <w:r>
              <w:rPr>
                <w:rFonts w:ascii="宋体" w:hAnsi="宋体"/>
                <w:color w:val="auto"/>
                <w:sz w:val="28"/>
                <w:szCs w:val="28"/>
                <w:lang w:val="zh-CN"/>
              </w:rPr>
              <w:t>3</w:t>
            </w:r>
          </w:p>
        </w:tc>
        <w:tc>
          <w:tcPr>
            <w:tcW w:w="1556" w:type="dxa"/>
            <w:vMerge w:val="restart"/>
            <w:vAlign w:val="center"/>
          </w:tcPr>
          <w:p>
            <w:pPr>
              <w:pStyle w:val="31"/>
              <w:ind w:left="38"/>
              <w:jc w:val="center"/>
              <w:rPr>
                <w:rFonts w:hint="eastAsia"/>
                <w:color w:val="auto"/>
                <w:kern w:val="2"/>
                <w:lang w:val="zh-CN"/>
              </w:rPr>
            </w:pPr>
            <w:r>
              <w:rPr>
                <w:rFonts w:hint="eastAsia"/>
                <w:color w:val="auto"/>
                <w:kern w:val="2"/>
                <w:lang w:val="zh-CN"/>
              </w:rPr>
              <w:t>项目性质</w:t>
            </w:r>
          </w:p>
        </w:tc>
        <w:tc>
          <w:tcPr>
            <w:tcW w:w="7067" w:type="dxa"/>
            <w:vAlign w:val="center"/>
          </w:tcPr>
          <w:p>
            <w:pPr>
              <w:pStyle w:val="31"/>
              <w:jc w:val="both"/>
              <w:rPr>
                <w:b/>
                <w:color w:val="auto"/>
                <w:kern w:val="2"/>
                <w:lang w:val="zh-CN"/>
              </w:rPr>
            </w:pPr>
            <w:r>
              <w:rPr>
                <w:rFonts w:hint="eastAsia"/>
                <w:b/>
                <w:color w:val="auto"/>
                <w:kern w:val="2"/>
                <w:lang w:val="zh-CN"/>
              </w:rPr>
              <w:t>○专门面向中小企业采购</w:t>
            </w:r>
          </w:p>
          <w:p>
            <w:pPr>
              <w:pStyle w:val="31"/>
              <w:ind w:left="38"/>
              <w:jc w:val="both"/>
              <w:rPr>
                <w:rFonts w:hint="eastAsia"/>
                <w:b/>
                <w:color w:val="auto"/>
                <w:kern w:val="2"/>
                <w:lang w:val="zh-CN"/>
              </w:rPr>
            </w:pPr>
            <w:r>
              <w:rPr>
                <w:rFonts w:hint="eastAsia"/>
                <w:color w:val="auto"/>
                <w:kern w:val="2"/>
                <w:sz w:val="21"/>
                <w:szCs w:val="21"/>
                <w:lang w:val="zh-CN"/>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b/>
                <w:color w:val="auto"/>
                <w:sz w:val="28"/>
                <w:szCs w:val="28"/>
                <w:lang w:val="zh-CN"/>
              </w:rPr>
            </w:pPr>
          </w:p>
        </w:tc>
        <w:tc>
          <w:tcPr>
            <w:tcW w:w="1556" w:type="dxa"/>
            <w:vMerge w:val="continue"/>
            <w:vAlign w:val="center"/>
          </w:tcPr>
          <w:p>
            <w:pPr>
              <w:pStyle w:val="31"/>
              <w:ind w:left="96"/>
              <w:jc w:val="center"/>
              <w:rPr>
                <w:color w:val="auto"/>
                <w:kern w:val="2"/>
                <w:lang w:val="zh-CN"/>
              </w:rPr>
            </w:pPr>
          </w:p>
        </w:tc>
        <w:tc>
          <w:tcPr>
            <w:tcW w:w="7067" w:type="dxa"/>
            <w:vAlign w:val="center"/>
          </w:tcPr>
          <w:p>
            <w:pPr>
              <w:rPr>
                <w:rFonts w:ascii="宋体" w:hAnsi="宋体" w:cs="宋体"/>
                <w:b/>
                <w:color w:val="auto"/>
                <w:sz w:val="24"/>
                <w:szCs w:val="24"/>
                <w:lang w:val="zh-CN"/>
              </w:rPr>
            </w:pPr>
            <w:r>
              <w:rPr>
                <w:rFonts w:hint="eastAsia" w:ascii="宋体" w:hAnsi="宋体" w:cs="宋体"/>
                <w:b/>
                <w:color w:val="auto"/>
                <w:sz w:val="24"/>
                <w:szCs w:val="24"/>
                <w:lang w:val="en-US" w:eastAsia="zh-CN"/>
              </w:rPr>
              <w:t>√</w:t>
            </w:r>
            <w:r>
              <w:rPr>
                <w:rFonts w:hint="eastAsia" w:ascii="宋体" w:hAnsi="宋体" w:cs="宋体"/>
                <w:b/>
                <w:color w:val="auto"/>
                <w:sz w:val="24"/>
                <w:szCs w:val="24"/>
                <w:lang w:val="zh-CN"/>
              </w:rPr>
              <w:t>非专门面向中小企业采购</w:t>
            </w:r>
          </w:p>
          <w:p>
            <w:pPr>
              <w:ind w:right="94" w:rightChars="45"/>
              <w:rPr>
                <w:rFonts w:ascii="宋体" w:hAnsi="宋体"/>
                <w:b/>
                <w:color w:val="auto"/>
                <w:szCs w:val="21"/>
              </w:rPr>
            </w:pPr>
            <w:r>
              <w:rPr>
                <w:rFonts w:hint="eastAsia" w:ascii="宋体" w:hAnsi="宋体" w:cs="宋体"/>
                <w:color w:val="auto"/>
                <w:kern w:val="0"/>
                <w:szCs w:val="21"/>
                <w:lang w:val="zh-CN"/>
              </w:rPr>
              <w:t>对符合《政府采购促进中小企业发展管理办法》（财库〔2020〕46号）规定的小微企业（监狱企业视同小型、微型企业）的报价</w:t>
            </w:r>
            <w:r>
              <w:rPr>
                <w:rFonts w:hint="eastAsia" w:ascii="宋体" w:hAnsi="宋体" w:cs="宋体"/>
                <w:b/>
                <w:color w:val="auto"/>
                <w:kern w:val="0"/>
                <w:szCs w:val="21"/>
                <w:lang w:val="zh-CN"/>
              </w:rPr>
              <w:t>给予__</w:t>
            </w:r>
            <w:r>
              <w:rPr>
                <w:rFonts w:hint="eastAsia" w:ascii="宋体" w:hAnsi="宋体" w:cs="宋体"/>
                <w:b/>
                <w:color w:val="auto"/>
                <w:kern w:val="0"/>
                <w:szCs w:val="21"/>
                <w:lang w:val="en-US" w:eastAsia="zh-CN"/>
              </w:rPr>
              <w:t>/</w:t>
            </w:r>
            <w:r>
              <w:rPr>
                <w:rFonts w:hint="eastAsia" w:ascii="宋体" w:hAnsi="宋体" w:cs="宋体"/>
                <w:b/>
                <w:color w:val="auto"/>
                <w:kern w:val="0"/>
                <w:szCs w:val="21"/>
                <w:lang w:val="zh-CN"/>
              </w:rPr>
              <w:t>_%（</w:t>
            </w:r>
            <w:r>
              <w:rPr>
                <w:rFonts w:hint="eastAsia" w:ascii="宋体" w:hAnsi="宋体" w:cs="宋体"/>
                <w:b/>
                <w:color w:val="auto"/>
                <w:kern w:val="0"/>
                <w:szCs w:val="21"/>
                <w:lang w:val="en-US" w:eastAsia="zh-CN"/>
              </w:rPr>
              <w:t>10</w:t>
            </w:r>
            <w:r>
              <w:rPr>
                <w:rFonts w:hint="eastAsia" w:ascii="宋体" w:hAnsi="宋体" w:cs="宋体"/>
                <w:b/>
                <w:color w:val="auto"/>
                <w:kern w:val="0"/>
                <w:szCs w:val="21"/>
                <w:lang w:val="zh-CN"/>
              </w:rPr>
              <w:t>%-</w:t>
            </w:r>
            <w:r>
              <w:rPr>
                <w:rFonts w:hint="eastAsia" w:ascii="宋体" w:hAnsi="宋体" w:cs="宋体"/>
                <w:b/>
                <w:color w:val="auto"/>
                <w:kern w:val="0"/>
                <w:szCs w:val="21"/>
                <w:lang w:val="en-US" w:eastAsia="zh-CN"/>
              </w:rPr>
              <w:t>2</w:t>
            </w:r>
            <w:r>
              <w:rPr>
                <w:rFonts w:ascii="宋体" w:hAnsi="宋体" w:cs="宋体"/>
                <w:b/>
                <w:color w:val="auto"/>
                <w:kern w:val="0"/>
                <w:szCs w:val="21"/>
                <w:lang w:val="zh-CN"/>
              </w:rPr>
              <w:t>0%</w:t>
            </w:r>
            <w:r>
              <w:rPr>
                <w:rFonts w:hint="eastAsia" w:ascii="宋体" w:hAnsi="宋体" w:cs="宋体"/>
                <w:b/>
                <w:color w:val="auto"/>
                <w:kern w:val="0"/>
                <w:szCs w:val="21"/>
                <w:lang w:val="zh-CN"/>
              </w:rPr>
              <w:t>）的扣除</w:t>
            </w:r>
            <w:r>
              <w:rPr>
                <w:rFonts w:hint="eastAsia" w:ascii="宋体" w:hAnsi="宋体" w:cs="宋体"/>
                <w:color w:val="auto"/>
                <w:kern w:val="0"/>
                <w:szCs w:val="21"/>
                <w:lang w:val="zh-CN"/>
              </w:rPr>
              <w:t>，用扣除后的价格参加评审。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4</w:t>
            </w:r>
          </w:p>
        </w:tc>
        <w:tc>
          <w:tcPr>
            <w:tcW w:w="1556" w:type="dxa"/>
            <w:vAlign w:val="center"/>
          </w:tcPr>
          <w:p>
            <w:pPr>
              <w:pStyle w:val="31"/>
              <w:ind w:left="96"/>
              <w:jc w:val="center"/>
              <w:rPr>
                <w:color w:val="auto"/>
                <w:kern w:val="2"/>
                <w:lang w:val="zh-CN"/>
              </w:rPr>
            </w:pPr>
            <w:r>
              <w:rPr>
                <w:color w:val="auto"/>
                <w:kern w:val="2"/>
                <w:lang w:val="zh-CN"/>
              </w:rPr>
              <w:t>对供应商的</w:t>
            </w:r>
            <w:r>
              <w:rPr>
                <w:color w:val="auto"/>
                <w:kern w:val="2"/>
                <w:lang w:val="zh-CN"/>
              </w:rPr>
              <w:br w:type="textWrapping"/>
            </w:r>
            <w:r>
              <w:rPr>
                <w:color w:val="auto"/>
                <w:kern w:val="2"/>
                <w:lang w:val="zh-CN"/>
              </w:rPr>
              <w:t>资格要求</w:t>
            </w:r>
          </w:p>
        </w:tc>
        <w:tc>
          <w:tcPr>
            <w:tcW w:w="7067" w:type="dxa"/>
            <w:vAlign w:val="center"/>
          </w:tcPr>
          <w:p>
            <w:pPr>
              <w:pStyle w:val="31"/>
              <w:jc w:val="both"/>
              <w:rPr>
                <w:rFonts w:hint="eastAsia"/>
                <w:b/>
                <w:color w:val="auto"/>
                <w:kern w:val="2"/>
                <w:u w:val="single"/>
                <w:lang w:val="en-US" w:eastAsia="zh-CN"/>
              </w:rPr>
            </w:pPr>
            <w:r>
              <w:rPr>
                <w:rFonts w:hint="eastAsia"/>
                <w:b/>
                <w:color w:val="auto"/>
                <w:kern w:val="2"/>
                <w:lang w:val="zh-CN"/>
              </w:rPr>
              <w:t>1、</w:t>
            </w:r>
            <w:r>
              <w:rPr>
                <w:rFonts w:hint="eastAsia"/>
                <w:b/>
                <w:color w:val="auto"/>
                <w:kern w:val="2"/>
                <w:lang w:val="en-US" w:eastAsia="zh-CN"/>
              </w:rPr>
              <w:t>一标包：</w:t>
            </w:r>
            <w:r>
              <w:rPr>
                <w:rFonts w:hint="eastAsia"/>
                <w:b/>
                <w:color w:val="auto"/>
                <w:kern w:val="2"/>
                <w:u w:val="single"/>
                <w:lang w:val="en-US" w:eastAsia="zh-CN"/>
              </w:rPr>
              <w:t>投标人具有中华人民共和国考古发掘资质证书；</w:t>
            </w:r>
          </w:p>
          <w:p>
            <w:pPr>
              <w:pStyle w:val="31"/>
              <w:jc w:val="both"/>
              <w:rPr>
                <w:rFonts w:hint="eastAsia"/>
                <w:b/>
                <w:color w:val="auto"/>
                <w:kern w:val="2"/>
                <w:u w:val="single"/>
                <w:lang w:val="en-US" w:eastAsia="zh-CN"/>
              </w:rPr>
            </w:pPr>
            <w:r>
              <w:rPr>
                <w:rFonts w:hint="eastAsia"/>
                <w:b/>
                <w:color w:val="auto"/>
                <w:kern w:val="2"/>
                <w:u w:val="single"/>
                <w:lang w:val="en-US" w:eastAsia="zh-CN"/>
              </w:rPr>
              <w:t>投标人拟派项目负责人具有国家文物局颁发的《考古发掘项目负责人资质证书》</w:t>
            </w:r>
          </w:p>
          <w:p>
            <w:pPr>
              <w:pStyle w:val="31"/>
              <w:jc w:val="both"/>
              <w:rPr>
                <w:color w:val="auto"/>
                <w:kern w:val="2"/>
                <w:lang w:val="zh-CN"/>
              </w:rPr>
            </w:pPr>
            <w:r>
              <w:rPr>
                <w:rFonts w:hint="eastAsia"/>
                <w:color w:val="auto"/>
                <w:kern w:val="2"/>
                <w:sz w:val="21"/>
                <w:szCs w:val="21"/>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color w:val="auto"/>
                <w:sz w:val="24"/>
              </w:rPr>
            </w:pPr>
            <w:r>
              <w:rPr>
                <w:rFonts w:ascii="宋体" w:hAnsi="宋体"/>
                <w:color w:val="auto"/>
                <w:sz w:val="24"/>
              </w:rPr>
              <w:t>5</w:t>
            </w:r>
          </w:p>
        </w:tc>
        <w:tc>
          <w:tcPr>
            <w:tcW w:w="1556" w:type="dxa"/>
            <w:vMerge w:val="restart"/>
            <w:vAlign w:val="center"/>
          </w:tcPr>
          <w:p>
            <w:pPr>
              <w:pStyle w:val="31"/>
              <w:ind w:left="96"/>
              <w:jc w:val="center"/>
              <w:rPr>
                <w:rFonts w:hint="eastAsia"/>
                <w:color w:val="auto"/>
                <w:kern w:val="2"/>
                <w:lang w:val="zh-CN"/>
              </w:rPr>
            </w:pPr>
            <w:r>
              <w:rPr>
                <w:color w:val="auto"/>
                <w:kern w:val="2"/>
                <w:lang w:val="zh-CN"/>
              </w:rPr>
              <w:t>是否</w:t>
            </w:r>
            <w:r>
              <w:rPr>
                <w:rFonts w:hint="eastAsia"/>
                <w:color w:val="auto"/>
                <w:kern w:val="2"/>
                <w:lang w:val="zh-CN"/>
              </w:rPr>
              <w:t>接受</w:t>
            </w:r>
            <w:r>
              <w:rPr>
                <w:color w:val="auto"/>
                <w:kern w:val="2"/>
                <w:lang w:val="zh-CN"/>
              </w:rPr>
              <w:br w:type="textWrapping"/>
            </w:r>
            <w:r>
              <w:rPr>
                <w:color w:val="auto"/>
                <w:kern w:val="2"/>
                <w:lang w:val="zh-CN"/>
              </w:rPr>
              <w:t>联合体投标</w:t>
            </w:r>
          </w:p>
        </w:tc>
        <w:tc>
          <w:tcPr>
            <w:tcW w:w="7067" w:type="dxa"/>
            <w:vAlign w:val="center"/>
          </w:tcPr>
          <w:p>
            <w:pPr>
              <w:pStyle w:val="31"/>
              <w:jc w:val="both"/>
              <w:rPr>
                <w:b/>
                <w:color w:val="auto"/>
                <w:kern w:val="2"/>
                <w:lang w:val="zh-CN"/>
              </w:rPr>
            </w:pPr>
            <w:r>
              <w:rPr>
                <w:rFonts w:hint="eastAsia"/>
                <w:b/>
                <w:color w:val="auto"/>
                <w:kern w:val="2"/>
                <w:lang w:val="zh-CN"/>
              </w:rPr>
              <w:t>○接受</w:t>
            </w:r>
          </w:p>
          <w:p>
            <w:pPr>
              <w:pStyle w:val="31"/>
              <w:jc w:val="both"/>
              <w:rPr>
                <w:rFonts w:hint="eastAsia"/>
                <w:b/>
                <w:color w:val="auto"/>
                <w:kern w:val="2"/>
                <w:lang w:val="zh-CN"/>
              </w:rPr>
            </w:pPr>
            <w:r>
              <w:rPr>
                <w:rFonts w:hint="eastAsia"/>
                <w:color w:val="auto"/>
                <w:kern w:val="2"/>
                <w:sz w:val="21"/>
                <w:szCs w:val="21"/>
                <w:lang w:val="zh-CN"/>
              </w:rPr>
              <w:t>对于联合体协议或者分包意向协议约定小微企业的合同份额占到合同总金额30%以上的，对联合体或者大中型企业的报价</w:t>
            </w:r>
            <w:r>
              <w:rPr>
                <w:rFonts w:hint="eastAsia"/>
                <w:b/>
                <w:color w:val="auto"/>
                <w:kern w:val="2"/>
                <w:sz w:val="21"/>
                <w:szCs w:val="21"/>
                <w:lang w:val="zh-CN"/>
              </w:rPr>
              <w:t>给予___%（</w:t>
            </w:r>
            <w:r>
              <w:rPr>
                <w:rFonts w:hint="eastAsia"/>
                <w:b/>
                <w:color w:val="auto"/>
                <w:kern w:val="2"/>
                <w:sz w:val="21"/>
                <w:szCs w:val="21"/>
                <w:lang w:val="en-US" w:eastAsia="zh-CN"/>
              </w:rPr>
              <w:t>4</w:t>
            </w:r>
            <w:r>
              <w:rPr>
                <w:rFonts w:hint="eastAsia"/>
                <w:b/>
                <w:color w:val="auto"/>
                <w:kern w:val="2"/>
                <w:sz w:val="21"/>
                <w:szCs w:val="21"/>
                <w:lang w:val="zh-CN"/>
              </w:rPr>
              <w:t>%-</w:t>
            </w:r>
            <w:r>
              <w:rPr>
                <w:rFonts w:hint="eastAsia"/>
                <w:b/>
                <w:color w:val="auto"/>
                <w:kern w:val="2"/>
                <w:sz w:val="21"/>
                <w:szCs w:val="21"/>
                <w:lang w:val="en-US" w:eastAsia="zh-CN"/>
              </w:rPr>
              <w:t>6</w:t>
            </w:r>
            <w:r>
              <w:rPr>
                <w:b/>
                <w:color w:val="auto"/>
                <w:kern w:val="2"/>
                <w:sz w:val="21"/>
                <w:szCs w:val="21"/>
                <w:lang w:val="zh-CN"/>
              </w:rPr>
              <w:t>%</w:t>
            </w:r>
            <w:r>
              <w:rPr>
                <w:rFonts w:hint="eastAsia"/>
                <w:b/>
                <w:color w:val="auto"/>
                <w:kern w:val="2"/>
                <w:sz w:val="21"/>
                <w:szCs w:val="21"/>
                <w:lang w:val="zh-CN"/>
              </w:rPr>
              <w:t>）的扣除</w:t>
            </w:r>
            <w:r>
              <w:rPr>
                <w:rFonts w:hint="eastAsia"/>
                <w:color w:val="auto"/>
                <w:kern w:val="2"/>
                <w:sz w:val="21"/>
                <w:szCs w:val="21"/>
                <w:lang w:val="zh-CN"/>
              </w:rPr>
              <w:t>，用扣除后的报价参加评审。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color w:val="auto"/>
                <w:sz w:val="24"/>
              </w:rPr>
            </w:pPr>
          </w:p>
        </w:tc>
        <w:tc>
          <w:tcPr>
            <w:tcW w:w="1556" w:type="dxa"/>
            <w:vMerge w:val="continue"/>
            <w:vAlign w:val="center"/>
          </w:tcPr>
          <w:p>
            <w:pPr>
              <w:pStyle w:val="31"/>
              <w:ind w:left="96"/>
              <w:jc w:val="center"/>
              <w:rPr>
                <w:color w:val="auto"/>
                <w:kern w:val="2"/>
                <w:lang w:val="zh-CN"/>
              </w:rPr>
            </w:pPr>
          </w:p>
        </w:tc>
        <w:tc>
          <w:tcPr>
            <w:tcW w:w="7067" w:type="dxa"/>
            <w:vAlign w:val="center"/>
          </w:tcPr>
          <w:p>
            <w:pPr>
              <w:pStyle w:val="31"/>
              <w:jc w:val="both"/>
              <w:rPr>
                <w:rFonts w:hint="eastAsia"/>
                <w:b/>
                <w:color w:val="auto"/>
                <w:kern w:val="2"/>
                <w:lang w:val="zh-CN"/>
              </w:rPr>
            </w:pPr>
            <w:r>
              <w:rPr>
                <w:rFonts w:hint="eastAsia" w:ascii="宋体" w:hAnsi="宋体" w:cs="宋体"/>
                <w:b/>
                <w:color w:val="auto"/>
                <w:sz w:val="24"/>
                <w:szCs w:val="24"/>
                <w:lang w:val="en-US" w:eastAsia="zh-CN"/>
              </w:rPr>
              <w:t>√</w:t>
            </w:r>
            <w:r>
              <w:rPr>
                <w:rFonts w:hint="eastAsia"/>
                <w:b/>
                <w:color w:val="auto"/>
                <w:kern w:val="2"/>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color w:val="auto"/>
                <w:sz w:val="24"/>
              </w:rPr>
            </w:pPr>
            <w:r>
              <w:rPr>
                <w:rFonts w:ascii="宋体" w:hAnsi="宋体"/>
                <w:color w:val="auto"/>
                <w:sz w:val="24"/>
              </w:rPr>
              <w:t>6</w:t>
            </w:r>
          </w:p>
        </w:tc>
        <w:tc>
          <w:tcPr>
            <w:tcW w:w="1556" w:type="dxa"/>
            <w:vMerge w:val="restart"/>
            <w:vAlign w:val="center"/>
          </w:tcPr>
          <w:p>
            <w:pPr>
              <w:pStyle w:val="31"/>
              <w:ind w:left="96"/>
              <w:jc w:val="center"/>
              <w:rPr>
                <w:color w:val="auto"/>
                <w:kern w:val="2"/>
                <w:lang w:val="zh-CN"/>
              </w:rPr>
            </w:pPr>
            <w:r>
              <w:rPr>
                <w:color w:val="auto"/>
                <w:kern w:val="2"/>
                <w:lang w:val="zh-CN"/>
              </w:rPr>
              <w:t>履约保证金</w:t>
            </w:r>
          </w:p>
        </w:tc>
        <w:tc>
          <w:tcPr>
            <w:tcW w:w="7067" w:type="dxa"/>
            <w:vAlign w:val="center"/>
          </w:tcPr>
          <w:p>
            <w:pPr>
              <w:ind w:right="94" w:rightChars="45"/>
              <w:rPr>
                <w:rFonts w:ascii="宋体" w:hAnsi="宋体"/>
                <w:b/>
                <w:color w:val="auto"/>
                <w:sz w:val="24"/>
              </w:rPr>
            </w:pPr>
            <w:r>
              <w:rPr>
                <w:rFonts w:ascii="宋体" w:hAnsi="宋体"/>
                <w:b/>
                <w:color w:val="auto"/>
                <w:sz w:val="24"/>
              </w:rPr>
              <w:t>占政府采购合同金额的</w:t>
            </w:r>
            <w:r>
              <w:rPr>
                <w:rFonts w:hint="eastAsia" w:ascii="宋体" w:hAnsi="宋体"/>
                <w:b/>
                <w:color w:val="auto"/>
                <w:sz w:val="24"/>
              </w:rPr>
              <w:t>_</w:t>
            </w:r>
            <w:r>
              <w:rPr>
                <w:rFonts w:hint="eastAsia" w:ascii="宋体" w:hAnsi="宋体"/>
                <w:b/>
                <w:color w:val="auto"/>
                <w:sz w:val="24"/>
                <w:u w:val="single"/>
              </w:rPr>
              <w:t>_</w:t>
            </w:r>
            <w:r>
              <w:rPr>
                <w:rFonts w:hint="eastAsia" w:ascii="宋体" w:hAnsi="宋体"/>
                <w:b/>
                <w:color w:val="auto"/>
                <w:sz w:val="24"/>
                <w:u w:val="single"/>
                <w:lang w:val="en-US" w:eastAsia="zh-CN"/>
              </w:rPr>
              <w:t>/</w:t>
            </w:r>
            <w:r>
              <w:rPr>
                <w:rFonts w:hint="eastAsia" w:ascii="宋体" w:hAnsi="宋体"/>
                <w:b/>
                <w:color w:val="auto"/>
                <w:sz w:val="24"/>
                <w:u w:val="single"/>
              </w:rPr>
              <w:t>_</w:t>
            </w:r>
            <w:r>
              <w:rPr>
                <w:rFonts w:hint="eastAsia" w:ascii="宋体" w:hAnsi="宋体"/>
                <w:b/>
                <w:color w:val="auto"/>
                <w:sz w:val="24"/>
              </w:rPr>
              <w:t>%</w:t>
            </w:r>
          </w:p>
          <w:p>
            <w:pPr>
              <w:ind w:right="94" w:rightChars="45"/>
              <w:rPr>
                <w:rFonts w:hint="eastAsia" w:ascii="宋体" w:hAnsi="宋体"/>
                <w:color w:val="auto"/>
                <w:szCs w:val="21"/>
              </w:rPr>
            </w:pPr>
            <w:r>
              <w:rPr>
                <w:rFonts w:hint="eastAsia" w:ascii="宋体" w:hAnsi="宋体"/>
                <w:color w:val="auto"/>
                <w:szCs w:val="21"/>
              </w:rPr>
              <w:t>履约保证金的数额不得超过政府采购合同金额的10%；对于单价合同，其数额不得超过采购预算的10%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color w:val="auto"/>
                <w:sz w:val="24"/>
              </w:rPr>
            </w:pPr>
          </w:p>
        </w:tc>
        <w:tc>
          <w:tcPr>
            <w:tcW w:w="1556" w:type="dxa"/>
            <w:vMerge w:val="continue"/>
            <w:vAlign w:val="center"/>
          </w:tcPr>
          <w:p>
            <w:pPr>
              <w:pStyle w:val="31"/>
              <w:ind w:left="96"/>
              <w:jc w:val="center"/>
              <w:rPr>
                <w:color w:val="auto"/>
                <w:kern w:val="2"/>
                <w:lang w:val="zh-CN"/>
              </w:rPr>
            </w:pPr>
          </w:p>
        </w:tc>
        <w:tc>
          <w:tcPr>
            <w:tcW w:w="7067" w:type="dxa"/>
            <w:vAlign w:val="center"/>
          </w:tcPr>
          <w:p>
            <w:pPr>
              <w:ind w:right="94" w:rightChars="45"/>
              <w:rPr>
                <w:rFonts w:ascii="宋体" w:hAnsi="宋体"/>
                <w:b/>
                <w:color w:val="auto"/>
                <w:sz w:val="24"/>
              </w:rPr>
            </w:pPr>
            <w:r>
              <w:rPr>
                <w:rFonts w:ascii="宋体" w:hAnsi="宋体"/>
                <w:b/>
                <w:color w:val="auto"/>
                <w:sz w:val="24"/>
              </w:rPr>
              <w:t>○由采购单位自行收退</w:t>
            </w:r>
          </w:p>
          <w:p>
            <w:pPr>
              <w:ind w:right="94" w:rightChars="45"/>
              <w:rPr>
                <w:rFonts w:hint="eastAsia" w:ascii="宋体" w:hAnsi="宋体"/>
                <w:b/>
                <w:color w:val="auto"/>
                <w:sz w:val="24"/>
              </w:rPr>
            </w:pPr>
            <w:r>
              <w:rPr>
                <w:rFonts w:ascii="宋体" w:hAnsi="宋体"/>
                <w:b/>
                <w:color w:val="auto"/>
                <w:sz w:val="24"/>
              </w:rPr>
              <w:t>○由代理机构负责收退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7</w:t>
            </w:r>
          </w:p>
        </w:tc>
        <w:tc>
          <w:tcPr>
            <w:tcW w:w="1556" w:type="dxa"/>
            <w:vAlign w:val="center"/>
          </w:tcPr>
          <w:p>
            <w:pPr>
              <w:pStyle w:val="31"/>
              <w:ind w:left="96"/>
              <w:jc w:val="center"/>
              <w:rPr>
                <w:color w:val="auto"/>
                <w:kern w:val="2"/>
                <w:lang w:val="zh-CN"/>
              </w:rPr>
            </w:pPr>
            <w:r>
              <w:rPr>
                <w:color w:val="auto"/>
                <w:kern w:val="2"/>
                <w:lang w:val="zh-CN"/>
              </w:rPr>
              <w:t>集中答疑</w:t>
            </w:r>
          </w:p>
        </w:tc>
        <w:tc>
          <w:tcPr>
            <w:tcW w:w="7067" w:type="dxa"/>
            <w:vAlign w:val="center"/>
          </w:tcPr>
          <w:p>
            <w:pPr>
              <w:ind w:right="94" w:rightChars="45"/>
              <w:rPr>
                <w:rFonts w:hint="eastAsia" w:ascii="宋体" w:hAnsi="宋体"/>
                <w:b/>
                <w:color w:val="auto"/>
                <w:sz w:val="24"/>
              </w:rPr>
            </w:pPr>
            <w:r>
              <w:rPr>
                <w:rFonts w:ascii="宋体" w:hAnsi="宋体"/>
                <w:b/>
                <w:color w:val="auto"/>
                <w:sz w:val="24"/>
              </w:rPr>
              <w:t>○组织，答疑地点为：</w:t>
            </w:r>
            <w:r>
              <w:rPr>
                <w:rFonts w:hint="eastAsia" w:ascii="宋体" w:hAnsi="宋体"/>
                <w:b/>
                <w:color w:val="auto"/>
                <w:sz w:val="24"/>
              </w:rPr>
              <w:t>_______________________</w:t>
            </w:r>
          </w:p>
          <w:p>
            <w:pPr>
              <w:ind w:right="94" w:rightChars="45"/>
              <w:rPr>
                <w:rFonts w:ascii="宋体" w:hAnsi="宋体"/>
                <w:b/>
                <w:color w:val="auto"/>
                <w:sz w:val="24"/>
              </w:rPr>
            </w:pPr>
            <w:r>
              <w:rPr>
                <w:rFonts w:hint="eastAsia" w:ascii="宋体" w:hAnsi="宋体" w:cs="宋体"/>
                <w:b/>
                <w:color w:val="auto"/>
                <w:sz w:val="24"/>
                <w:szCs w:val="24"/>
                <w:lang w:val="en-US" w:eastAsia="zh-CN"/>
              </w:rPr>
              <w:t>√</w:t>
            </w:r>
            <w:r>
              <w:rPr>
                <w:rFonts w:ascii="宋体" w:hAnsi="宋体"/>
                <w:b/>
                <w:color w:val="auto"/>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8</w:t>
            </w:r>
          </w:p>
        </w:tc>
        <w:tc>
          <w:tcPr>
            <w:tcW w:w="1556" w:type="dxa"/>
            <w:vAlign w:val="center"/>
          </w:tcPr>
          <w:p>
            <w:pPr>
              <w:pStyle w:val="31"/>
              <w:ind w:left="96"/>
              <w:jc w:val="center"/>
              <w:rPr>
                <w:color w:val="auto"/>
                <w:kern w:val="2"/>
                <w:lang w:val="zh-CN"/>
              </w:rPr>
            </w:pPr>
            <w:r>
              <w:rPr>
                <w:color w:val="auto"/>
                <w:kern w:val="2"/>
                <w:lang w:val="zh-CN"/>
              </w:rPr>
              <w:t>价格分比重</w:t>
            </w:r>
          </w:p>
        </w:tc>
        <w:tc>
          <w:tcPr>
            <w:tcW w:w="7067" w:type="dxa"/>
            <w:vAlign w:val="center"/>
          </w:tcPr>
          <w:p>
            <w:pPr>
              <w:widowControl/>
              <w:rPr>
                <w:rFonts w:hint="eastAsia" w:ascii="宋体" w:hAnsi="宋体" w:cs="宋体"/>
                <w:b/>
                <w:color w:val="auto"/>
                <w:kern w:val="0"/>
                <w:sz w:val="24"/>
                <w:szCs w:val="24"/>
                <w:lang w:val="zh-CN"/>
              </w:rPr>
            </w:pPr>
            <w:r>
              <w:rPr>
                <w:rFonts w:hint="eastAsia" w:ascii="宋体" w:hAnsi="宋体" w:cs="宋体"/>
                <w:b/>
                <w:color w:val="auto"/>
                <w:kern w:val="0"/>
                <w:sz w:val="24"/>
                <w:szCs w:val="24"/>
                <w:lang w:val="en-US" w:eastAsia="zh-CN"/>
              </w:rPr>
              <w:t>一标包：</w:t>
            </w:r>
            <w:r>
              <w:rPr>
                <w:rFonts w:ascii="宋体" w:hAnsi="宋体" w:cs="宋体"/>
                <w:b/>
                <w:color w:val="auto"/>
                <w:kern w:val="0"/>
                <w:sz w:val="24"/>
                <w:szCs w:val="24"/>
                <w:lang w:val="zh-CN"/>
              </w:rPr>
              <w:t>占总分值的</w:t>
            </w:r>
            <w:r>
              <w:rPr>
                <w:rFonts w:hint="eastAsia" w:ascii="宋体" w:hAnsi="宋体" w:cs="宋体"/>
                <w:b/>
                <w:color w:val="auto"/>
                <w:kern w:val="0"/>
                <w:sz w:val="24"/>
                <w:szCs w:val="24"/>
                <w:u w:val="single"/>
                <w:lang w:val="en-US" w:eastAsia="zh-CN"/>
              </w:rPr>
              <w:t>10</w:t>
            </w:r>
            <w:r>
              <w:rPr>
                <w:rFonts w:hint="eastAsia" w:ascii="宋体" w:hAnsi="宋体" w:cs="宋体"/>
                <w:b/>
                <w:color w:val="auto"/>
                <w:kern w:val="0"/>
                <w:sz w:val="24"/>
                <w:szCs w:val="24"/>
                <w:lang w:val="zh-CN"/>
              </w:rPr>
              <w:t>%</w:t>
            </w:r>
          </w:p>
          <w:p>
            <w:pPr>
              <w:widowControl/>
              <w:rPr>
                <w:rFonts w:ascii="宋体" w:hAnsi="宋体" w:cs="宋体"/>
                <w:color w:val="auto"/>
                <w:kern w:val="0"/>
                <w:szCs w:val="21"/>
                <w:lang w:val="zh-CN"/>
              </w:rPr>
            </w:pPr>
            <w:r>
              <w:rPr>
                <w:rFonts w:hint="eastAsia" w:ascii="宋体" w:hAnsi="宋体" w:cs="宋体"/>
                <w:color w:val="auto"/>
                <w:kern w:val="0"/>
                <w:szCs w:val="21"/>
                <w:lang w:val="zh-CN"/>
              </w:rPr>
              <w:t>[招标]根据《政府采购货物和服务招标投标管理办法》（财政部87号令）的规定，综合</w:t>
            </w:r>
            <w:r>
              <w:rPr>
                <w:rFonts w:ascii="宋体" w:hAnsi="宋体" w:cs="宋体"/>
                <w:color w:val="auto"/>
                <w:kern w:val="0"/>
                <w:szCs w:val="21"/>
                <w:lang w:val="zh-CN"/>
              </w:rPr>
              <w:t>评分法服务</w:t>
            </w:r>
            <w:r>
              <w:rPr>
                <w:rFonts w:hint="eastAsia" w:ascii="宋体" w:hAnsi="宋体" w:cs="宋体"/>
                <w:color w:val="auto"/>
                <w:kern w:val="0"/>
                <w:szCs w:val="21"/>
                <w:lang w:val="zh-CN"/>
              </w:rPr>
              <w:t>项目的价格分值占总分值的比重不得低于</w:t>
            </w:r>
            <w:r>
              <w:rPr>
                <w:rFonts w:ascii="宋体" w:hAnsi="宋体" w:cs="宋体"/>
                <w:color w:val="auto"/>
                <w:kern w:val="0"/>
                <w:szCs w:val="21"/>
                <w:lang w:val="zh-CN"/>
              </w:rPr>
              <w:t>1</w:t>
            </w:r>
            <w:r>
              <w:rPr>
                <w:rFonts w:hint="eastAsia" w:ascii="宋体" w:hAnsi="宋体" w:cs="宋体"/>
                <w:color w:val="auto"/>
                <w:kern w:val="0"/>
                <w:szCs w:val="21"/>
                <w:lang w:val="zh-CN"/>
              </w:rPr>
              <w:t>0%。执行国家统一定价标准和采用固定价格采购的项目，其价格不列为评审因素。</w:t>
            </w:r>
          </w:p>
          <w:p>
            <w:pPr>
              <w:widowControl/>
              <w:rPr>
                <w:rFonts w:hint="eastAsia" w:ascii="宋体" w:hAnsi="宋体" w:cs="宋体"/>
                <w:color w:val="auto"/>
                <w:kern w:val="0"/>
                <w:szCs w:val="21"/>
                <w:lang w:val="zh-CN"/>
              </w:rPr>
            </w:pPr>
            <w:r>
              <w:rPr>
                <w:rFonts w:ascii="宋体" w:hAnsi="宋体" w:cs="宋体"/>
                <w:color w:val="auto"/>
                <w:kern w:val="0"/>
                <w:szCs w:val="21"/>
                <w:lang w:val="zh-CN"/>
              </w:rPr>
              <w:t>[磋商</w:t>
            </w:r>
            <w:r>
              <w:rPr>
                <w:rFonts w:hint="eastAsia" w:ascii="宋体" w:hAnsi="宋体" w:cs="宋体"/>
                <w:color w:val="auto"/>
                <w:kern w:val="0"/>
                <w:szCs w:val="21"/>
                <w:lang w:val="zh-CN"/>
              </w:rPr>
              <w:t>]根据《政府采购竞争性磋商采购方式管理暂行办法》（财库〔2014〕214号）的规定，服务项目的价格分值占总分值的比重(即权值)为</w:t>
            </w:r>
            <w:r>
              <w:rPr>
                <w:rFonts w:ascii="宋体" w:hAnsi="宋体" w:cs="宋体"/>
                <w:color w:val="auto"/>
                <w:kern w:val="0"/>
                <w:szCs w:val="21"/>
                <w:lang w:val="zh-CN"/>
              </w:rPr>
              <w:t>1</w:t>
            </w:r>
            <w:r>
              <w:rPr>
                <w:rFonts w:hint="eastAsia" w:ascii="宋体" w:hAnsi="宋体" w:cs="宋体"/>
                <w:color w:val="auto"/>
                <w:kern w:val="0"/>
                <w:szCs w:val="21"/>
                <w:lang w:val="zh-CN"/>
              </w:rPr>
              <w:t>0%-</w:t>
            </w:r>
            <w:r>
              <w:rPr>
                <w:rFonts w:ascii="宋体" w:hAnsi="宋体" w:cs="宋体"/>
                <w:color w:val="auto"/>
                <w:kern w:val="0"/>
                <w:szCs w:val="21"/>
                <w:lang w:val="zh-CN"/>
              </w:rPr>
              <w:t>3</w:t>
            </w:r>
            <w:r>
              <w:rPr>
                <w:rFonts w:hint="eastAsia" w:ascii="宋体" w:hAnsi="宋体" w:cs="宋体"/>
                <w:color w:val="auto"/>
                <w:kern w:val="0"/>
                <w:szCs w:val="21"/>
                <w:lang w:val="zh-CN"/>
              </w:rPr>
              <w:t>0%。</w:t>
            </w:r>
          </w:p>
          <w:p>
            <w:pPr>
              <w:widowControl/>
              <w:rPr>
                <w:rFonts w:hint="eastAsia" w:ascii="宋体" w:hAnsi="宋体" w:cs="宋体"/>
                <w:color w:val="auto"/>
                <w:kern w:val="0"/>
                <w:szCs w:val="21"/>
                <w:lang w:val="zh-CN"/>
              </w:rPr>
            </w:pPr>
            <w:r>
              <w:rPr>
                <w:rFonts w:hint="eastAsia" w:ascii="宋体" w:hAnsi="宋体" w:cs="宋体"/>
                <w:color w:val="auto"/>
                <w:kern w:val="0"/>
                <w:szCs w:val="21"/>
                <w:lang w:val="zh-CN"/>
              </w:rPr>
              <w:t>[其他采购方式]无须设置。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9</w:t>
            </w:r>
          </w:p>
        </w:tc>
        <w:tc>
          <w:tcPr>
            <w:tcW w:w="1556" w:type="dxa"/>
            <w:vAlign w:val="center"/>
          </w:tcPr>
          <w:p>
            <w:pPr>
              <w:pStyle w:val="31"/>
              <w:ind w:left="96"/>
              <w:jc w:val="center"/>
              <w:rPr>
                <w:color w:val="auto"/>
                <w:kern w:val="2"/>
                <w:lang w:val="zh-CN"/>
              </w:rPr>
            </w:pPr>
            <w:r>
              <w:rPr>
                <w:color w:val="auto"/>
                <w:kern w:val="2"/>
                <w:lang w:val="zh-CN"/>
              </w:rPr>
              <w:t>合同类型</w:t>
            </w:r>
          </w:p>
        </w:tc>
        <w:tc>
          <w:tcPr>
            <w:tcW w:w="7067" w:type="dxa"/>
            <w:vAlign w:val="center"/>
          </w:tcPr>
          <w:p>
            <w:pPr>
              <w:rPr>
                <w:rFonts w:ascii="宋体" w:hAnsi="宋体"/>
                <w:b/>
                <w:color w:val="auto"/>
                <w:sz w:val="24"/>
                <w:lang w:val="zh-CN"/>
              </w:rPr>
            </w:pPr>
            <w:r>
              <w:rPr>
                <w:rFonts w:hint="eastAsia" w:ascii="宋体" w:hAnsi="宋体" w:cs="宋体"/>
                <w:b/>
                <w:color w:val="auto"/>
                <w:sz w:val="24"/>
                <w:szCs w:val="24"/>
                <w:lang w:val="en-US" w:eastAsia="zh-CN"/>
              </w:rPr>
              <w:t>√</w:t>
            </w:r>
            <w:r>
              <w:rPr>
                <w:rFonts w:ascii="宋体" w:hAnsi="宋体"/>
                <w:b/>
                <w:color w:val="auto"/>
                <w:sz w:val="24"/>
                <w:lang w:val="zh-CN"/>
              </w:rPr>
              <w:t>固定总价</w:t>
            </w:r>
          </w:p>
          <w:p>
            <w:pPr>
              <w:rPr>
                <w:rFonts w:ascii="宋体" w:hAnsi="宋体"/>
                <w:b/>
                <w:color w:val="auto"/>
                <w:sz w:val="24"/>
                <w:lang w:val="zh-CN"/>
              </w:rPr>
            </w:pPr>
            <w:r>
              <w:rPr>
                <w:rFonts w:ascii="宋体" w:hAnsi="宋体"/>
                <w:b/>
                <w:color w:val="auto"/>
                <w:sz w:val="24"/>
                <w:lang w:val="zh-CN"/>
              </w:rPr>
              <w:t>○固定单价（适用于采购数量不定的情形）</w:t>
            </w:r>
          </w:p>
          <w:p>
            <w:pPr>
              <w:rPr>
                <w:rFonts w:hint="eastAsia" w:ascii="宋体" w:hAnsi="宋体"/>
                <w:color w:val="auto"/>
                <w:sz w:val="24"/>
                <w:lang w:val="zh-CN"/>
              </w:rPr>
            </w:pPr>
            <w:r>
              <w:rPr>
                <w:rFonts w:ascii="宋体" w:hAnsi="宋体"/>
                <w:b/>
                <w:color w:val="auto"/>
                <w:sz w:val="24"/>
                <w:lang w:val="zh-CN"/>
              </w:rPr>
              <w:t>○其他</w:t>
            </w:r>
            <w:r>
              <w:rPr>
                <w:rFonts w:hint="eastAsia" w:ascii="宋体" w:hAnsi="宋体"/>
                <w:b/>
                <w:color w:val="auto"/>
                <w:sz w:val="24"/>
                <w:lang w:val="zh-CN"/>
              </w:rPr>
              <w:t>：_____________________________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10</w:t>
            </w:r>
          </w:p>
        </w:tc>
        <w:tc>
          <w:tcPr>
            <w:tcW w:w="1556" w:type="dxa"/>
            <w:vAlign w:val="center"/>
          </w:tcPr>
          <w:p>
            <w:pPr>
              <w:tabs>
                <w:tab w:val="left" w:pos="7665"/>
              </w:tabs>
              <w:snapToGrid w:val="0"/>
              <w:jc w:val="center"/>
              <w:rPr>
                <w:rFonts w:ascii="宋体" w:hAnsi="宋体"/>
                <w:color w:val="auto"/>
                <w:sz w:val="24"/>
              </w:rPr>
            </w:pPr>
            <w:r>
              <w:rPr>
                <w:rFonts w:ascii="宋体" w:hAnsi="宋体"/>
                <w:color w:val="auto"/>
                <w:sz w:val="24"/>
              </w:rPr>
              <w:t>争议解决途径</w:t>
            </w:r>
          </w:p>
        </w:tc>
        <w:tc>
          <w:tcPr>
            <w:tcW w:w="7067" w:type="dxa"/>
            <w:vAlign w:val="center"/>
          </w:tcPr>
          <w:p>
            <w:pPr>
              <w:tabs>
                <w:tab w:val="left" w:pos="7665"/>
              </w:tabs>
              <w:snapToGrid w:val="0"/>
              <w:rPr>
                <w:rFonts w:ascii="宋体" w:hAnsi="宋体"/>
                <w:b/>
                <w:color w:val="auto"/>
                <w:sz w:val="24"/>
              </w:rPr>
            </w:pPr>
            <w:r>
              <w:rPr>
                <w:rFonts w:ascii="宋体" w:hAnsi="宋体"/>
                <w:b/>
                <w:color w:val="auto"/>
                <w:sz w:val="24"/>
              </w:rPr>
              <w:t>○向有管辖权的人民法院提起诉讼</w:t>
            </w:r>
          </w:p>
          <w:p>
            <w:pPr>
              <w:tabs>
                <w:tab w:val="left" w:pos="7665"/>
              </w:tabs>
              <w:snapToGrid w:val="0"/>
              <w:rPr>
                <w:rFonts w:ascii="宋体" w:hAnsi="宋体"/>
                <w:b/>
                <w:color w:val="auto"/>
                <w:sz w:val="24"/>
              </w:rPr>
            </w:pPr>
            <w:r>
              <w:rPr>
                <w:rFonts w:hint="eastAsia" w:ascii="宋体" w:hAnsi="宋体" w:cs="宋体"/>
                <w:b/>
                <w:color w:val="auto"/>
                <w:sz w:val="24"/>
                <w:szCs w:val="24"/>
                <w:lang w:val="en-US" w:eastAsia="zh-CN"/>
              </w:rPr>
              <w:t>√</w:t>
            </w:r>
            <w:r>
              <w:rPr>
                <w:rFonts w:ascii="宋体" w:hAnsi="宋体"/>
                <w:b/>
                <w:color w:val="auto"/>
                <w:sz w:val="24"/>
              </w:rPr>
              <w:t>向西安仲裁委员会提请仲裁</w:t>
            </w:r>
          </w:p>
          <w:p>
            <w:pPr>
              <w:tabs>
                <w:tab w:val="left" w:pos="7665"/>
              </w:tabs>
              <w:snapToGrid w:val="0"/>
              <w:rPr>
                <w:rFonts w:hint="eastAsia" w:ascii="宋体" w:hAnsi="宋体"/>
                <w:color w:val="auto"/>
                <w:sz w:val="24"/>
              </w:rPr>
            </w:pPr>
            <w:r>
              <w:rPr>
                <w:rFonts w:ascii="宋体" w:hAnsi="宋体"/>
                <w:b/>
                <w:color w:val="auto"/>
                <w:sz w:val="24"/>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color w:val="auto"/>
                <w:sz w:val="24"/>
              </w:rPr>
            </w:pPr>
            <w:r>
              <w:rPr>
                <w:rFonts w:ascii="宋体" w:hAnsi="宋体"/>
                <w:color w:val="auto"/>
                <w:sz w:val="24"/>
              </w:rPr>
              <w:t>11</w:t>
            </w:r>
          </w:p>
        </w:tc>
        <w:tc>
          <w:tcPr>
            <w:tcW w:w="1556" w:type="dxa"/>
            <w:vAlign w:val="center"/>
          </w:tcPr>
          <w:p>
            <w:pPr>
              <w:snapToGrid w:val="0"/>
              <w:jc w:val="center"/>
              <w:rPr>
                <w:rFonts w:hint="eastAsia" w:ascii="宋体" w:hAnsi="宋体"/>
                <w:color w:val="auto"/>
                <w:sz w:val="24"/>
              </w:rPr>
            </w:pPr>
            <w:r>
              <w:rPr>
                <w:rFonts w:hint="eastAsia" w:ascii="宋体" w:hAnsi="宋体"/>
                <w:color w:val="auto"/>
                <w:sz w:val="24"/>
              </w:rPr>
              <w:t>联系方式</w:t>
            </w:r>
          </w:p>
        </w:tc>
        <w:tc>
          <w:tcPr>
            <w:tcW w:w="7067" w:type="dxa"/>
            <w:vAlign w:val="center"/>
          </w:tcPr>
          <w:p>
            <w:pPr>
              <w:tabs>
                <w:tab w:val="left" w:pos="7665"/>
              </w:tabs>
              <w:snapToGrid w:val="0"/>
              <w:rPr>
                <w:rFonts w:hint="eastAsia" w:ascii="宋体" w:hAnsi="宋体"/>
                <w:b/>
                <w:bCs/>
                <w:color w:val="auto"/>
                <w:sz w:val="24"/>
              </w:rPr>
            </w:pPr>
            <w:r>
              <w:rPr>
                <w:rFonts w:hint="eastAsia" w:ascii="宋体" w:hAnsi="宋体"/>
                <w:b/>
                <w:bCs/>
                <w:color w:val="auto"/>
                <w:sz w:val="24"/>
              </w:rPr>
              <w:t>项目对接人：</w:t>
            </w:r>
            <w:r>
              <w:rPr>
                <w:rFonts w:hint="eastAsia" w:ascii="宋体" w:hAnsi="宋体"/>
                <w:b/>
                <w:bCs/>
                <w:color w:val="auto"/>
                <w:sz w:val="24"/>
                <w:lang w:val="en-US" w:eastAsia="zh-CN"/>
              </w:rPr>
              <w:t>巩海筱</w:t>
            </w:r>
          </w:p>
          <w:p>
            <w:pPr>
              <w:tabs>
                <w:tab w:val="left" w:pos="7665"/>
              </w:tabs>
              <w:snapToGrid w:val="0"/>
              <w:rPr>
                <w:rFonts w:hint="eastAsia" w:ascii="宋体" w:hAnsi="宋体"/>
                <w:b/>
                <w:bCs/>
                <w:color w:val="auto"/>
                <w:sz w:val="24"/>
              </w:rPr>
            </w:pPr>
            <w:r>
              <w:rPr>
                <w:rFonts w:ascii="宋体" w:hAnsi="宋体"/>
                <w:b/>
                <w:bCs/>
                <w:color w:val="auto"/>
                <w:sz w:val="24"/>
              </w:rPr>
              <w:t>联系电话：</w:t>
            </w:r>
            <w:r>
              <w:rPr>
                <w:rFonts w:hint="eastAsia" w:ascii="宋体" w:hAnsi="宋体"/>
                <w:b/>
                <w:bCs/>
                <w:color w:val="auto"/>
                <w:sz w:val="24"/>
              </w:rPr>
              <w:t>_______________</w:t>
            </w:r>
          </w:p>
          <w:p>
            <w:pPr>
              <w:tabs>
                <w:tab w:val="left" w:pos="7665"/>
              </w:tabs>
              <w:snapToGrid w:val="0"/>
              <w:rPr>
                <w:rFonts w:hint="eastAsia" w:ascii="宋体" w:hAnsi="宋体"/>
                <w:color w:val="auto"/>
                <w:sz w:val="24"/>
              </w:rPr>
            </w:pPr>
            <w:r>
              <w:rPr>
                <w:rFonts w:ascii="宋体" w:hAnsi="宋体"/>
                <w:b/>
                <w:bCs/>
                <w:color w:val="auto"/>
                <w:sz w:val="24"/>
              </w:rPr>
              <w:t>电子邮箱：</w:t>
            </w:r>
            <w:r>
              <w:rPr>
                <w:rFonts w:hint="eastAsia" w:ascii="宋体" w:hAnsi="宋体"/>
                <w:b/>
                <w:bCs/>
                <w:color w:val="auto"/>
                <w:sz w:val="24"/>
              </w:rPr>
              <w:t>_______________</w:t>
            </w:r>
          </w:p>
        </w:tc>
      </w:tr>
    </w:tbl>
    <w:p>
      <w:pPr>
        <w:widowControl/>
        <w:jc w:val="center"/>
        <w:rPr>
          <w:rFonts w:ascii="仿宋" w:hAnsi="仿宋" w:eastAsia="仿宋"/>
          <w:b/>
          <w:sz w:val="32"/>
          <w:szCs w:val="32"/>
        </w:rPr>
      </w:pPr>
    </w:p>
    <w:p>
      <w:pPr>
        <w:rPr>
          <w:rFonts w:hint="eastAsia" w:ascii="仿宋" w:hAnsi="仿宋" w:eastAsia="仿宋"/>
          <w:b/>
          <w:sz w:val="32"/>
          <w:szCs w:val="32"/>
          <w:lang w:val="en-US" w:eastAsia="zh-CN"/>
        </w:rPr>
      </w:pPr>
      <w:r>
        <w:rPr>
          <w:rFonts w:hint="eastAsia" w:ascii="仿宋" w:hAnsi="仿宋" w:eastAsia="仿宋"/>
          <w:b/>
          <w:sz w:val="32"/>
          <w:szCs w:val="32"/>
          <w:lang w:val="en-US" w:eastAsia="zh-CN"/>
        </w:rPr>
        <w:br w:type="page"/>
      </w:r>
    </w:p>
    <w:p>
      <w:pPr>
        <w:widowControl/>
        <w:jc w:val="left"/>
        <w:rPr>
          <w:rFonts w:hint="default" w:ascii="仿宋" w:hAnsi="仿宋" w:eastAsia="仿宋"/>
          <w:b/>
          <w:sz w:val="32"/>
          <w:szCs w:val="32"/>
          <w:lang w:val="en-US" w:eastAsia="zh-CN"/>
        </w:rPr>
      </w:pPr>
      <w:r>
        <w:rPr>
          <w:rFonts w:hint="eastAsia" w:ascii="仿宋" w:hAnsi="仿宋" w:eastAsia="仿宋"/>
          <w:b/>
          <w:sz w:val="32"/>
          <w:szCs w:val="32"/>
          <w:lang w:val="en-US" w:eastAsia="zh-CN"/>
        </w:rPr>
        <w:t>合同包1：文物发掘</w:t>
      </w:r>
    </w:p>
    <w:p>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pPr>
        <w:pBdr>
          <w:bottom w:val="single" w:color="auto" w:sz="4" w:space="1"/>
        </w:pBdr>
        <w:spacing w:before="312" w:beforeLines="100"/>
        <w:ind w:left="420" w:hanging="420"/>
        <w:rPr>
          <w:rFonts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住保大厦项目文物发掘项目，本项目文物发掘对象为WY10-12-54-3、WY10-12-54-4宗地文物勘探项目土方工程，本工程中土方开挖深度6米，包含土方开挖及土方回填工作，形成发掘成果书面文件，并获得文物部门批复等相关工作。为确保地下文化遗产安全，推动工程建设顺利进行，根据相关法律、法规之规定，需要对本项目区域勘探发现的古代遗存的考古发掘过程提供技术服务。</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二、服务内容</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本项目文物发掘对象为WY10-12-54-3、WY10-12-54-4宗地文物勘探项目土方工程，本工程中土方开挖深度6米，包含土方开挖及土方回填工作，形成发掘成果书面文件，并获得文物部门批复等相关工作。</w:t>
      </w:r>
    </w:p>
    <w:p>
      <w:pPr>
        <w:ind w:firstLine="480" w:firstLineChars="200"/>
        <w:rPr>
          <w:rFonts w:hint="eastAsia" w:ascii="楷体" w:hAnsi="楷体" w:eastAsia="楷体"/>
          <w:color w:val="FF0000"/>
          <w:sz w:val="24"/>
          <w:szCs w:val="28"/>
          <w:lang w:eastAsia="zh-CN"/>
        </w:rPr>
      </w:pPr>
      <w:r>
        <w:rPr>
          <w:rFonts w:hint="eastAsia" w:ascii="楷体" w:hAnsi="楷体" w:eastAsia="楷体"/>
          <w:color w:val="FF0000"/>
          <w:sz w:val="24"/>
          <w:szCs w:val="28"/>
          <w:lang w:eastAsia="zh-CN"/>
        </w:rPr>
        <w:object>
          <v:shape id="_x0000_i1025" o:spt="75" type="#_x0000_t75" style="height:66pt;width:72.75pt;" o:ole="t" filled="f" o:preferrelative="t" stroked="f" coordsize="21600,21600">
            <v:path/>
            <v:fill on="f" focussize="0,0"/>
            <v:stroke on="f"/>
            <v:imagedata r:id="rId6" o:title=""/>
            <o:lock v:ext="edit" aspectratio="t"/>
            <w10:wrap type="none"/>
            <w10:anchorlock/>
          </v:shape>
          <o:OLEObject Type="Embed" ProgID="Excel.Sheet.8" ShapeID="_x0000_i1025" DrawAspect="Icon" ObjectID="_1468075725" r:id="rId5">
            <o:LockedField>false</o:LockedField>
          </o:OLEObject>
        </w:objec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三、技术要求</w:t>
      </w:r>
    </w:p>
    <w:p>
      <w:pPr>
        <w:ind w:firstLine="560" w:firstLineChars="200"/>
        <w:rPr>
          <w:rFonts w:hint="eastAsia" w:ascii="仿宋" w:hAnsi="仿宋" w:eastAsia="仿宋"/>
          <w:sz w:val="28"/>
          <w:szCs w:val="28"/>
        </w:rPr>
      </w:pPr>
      <w:r>
        <w:rPr>
          <w:rFonts w:hint="eastAsia" w:ascii="仿宋" w:hAnsi="仿宋" w:eastAsia="仿宋"/>
          <w:sz w:val="28"/>
          <w:szCs w:val="28"/>
        </w:rPr>
        <w:t>（1）发掘须达到但不限于下列现行主要的中华人民共和国以及省、市或行业的沉降观测技术标准或规范的要求：</w:t>
      </w:r>
    </w:p>
    <w:p>
      <w:pPr>
        <w:ind w:firstLine="560" w:firstLineChars="200"/>
        <w:rPr>
          <w:rFonts w:hint="eastAsia" w:ascii="仿宋" w:hAnsi="仿宋" w:eastAsia="仿宋"/>
          <w:sz w:val="28"/>
          <w:szCs w:val="28"/>
        </w:rPr>
      </w:pPr>
      <w:r>
        <w:rPr>
          <w:rFonts w:hint="eastAsia" w:ascii="仿宋" w:hAnsi="仿宋" w:eastAsia="仿宋"/>
          <w:sz w:val="28"/>
          <w:szCs w:val="28"/>
        </w:rPr>
        <w:t xml:space="preserve">《中华人民共和国文物保护法》 </w:t>
      </w:r>
    </w:p>
    <w:p>
      <w:pPr>
        <w:ind w:firstLine="560" w:firstLineChars="200"/>
        <w:rPr>
          <w:rFonts w:hint="eastAsia" w:ascii="仿宋" w:hAnsi="仿宋" w:eastAsia="仿宋"/>
          <w:sz w:val="28"/>
          <w:szCs w:val="28"/>
        </w:rPr>
      </w:pPr>
      <w:r>
        <w:rPr>
          <w:rFonts w:hint="eastAsia" w:ascii="仿宋" w:hAnsi="仿宋" w:eastAsia="仿宋"/>
          <w:sz w:val="28"/>
          <w:szCs w:val="28"/>
        </w:rPr>
        <w:t>《中华人民共和国文物保护法实施条例》</w:t>
      </w:r>
    </w:p>
    <w:p>
      <w:pPr>
        <w:ind w:firstLine="560" w:firstLineChars="200"/>
        <w:rPr>
          <w:rFonts w:hint="eastAsia" w:ascii="仿宋" w:hAnsi="仿宋" w:eastAsia="仿宋"/>
          <w:sz w:val="28"/>
          <w:szCs w:val="28"/>
        </w:rPr>
      </w:pPr>
      <w:r>
        <w:rPr>
          <w:rFonts w:hint="eastAsia" w:ascii="仿宋" w:hAnsi="仿宋" w:eastAsia="仿宋"/>
          <w:sz w:val="28"/>
          <w:szCs w:val="28"/>
        </w:rPr>
        <w:t>《陕西省文物保护条例》</w:t>
      </w:r>
    </w:p>
    <w:p>
      <w:pPr>
        <w:ind w:firstLine="560" w:firstLineChars="200"/>
        <w:rPr>
          <w:rFonts w:hint="eastAsia" w:ascii="仿宋" w:hAnsi="仿宋" w:eastAsia="仿宋"/>
          <w:sz w:val="28"/>
          <w:szCs w:val="28"/>
        </w:rPr>
      </w:pPr>
      <w:r>
        <w:rPr>
          <w:rFonts w:hint="eastAsia" w:ascii="仿宋" w:hAnsi="仿宋" w:eastAsia="仿宋"/>
          <w:sz w:val="28"/>
          <w:szCs w:val="28"/>
        </w:rPr>
        <w:t>《田野考古工作规程》</w:t>
      </w:r>
    </w:p>
    <w:p>
      <w:pPr>
        <w:ind w:firstLine="560" w:firstLineChars="200"/>
        <w:rPr>
          <w:rFonts w:hint="eastAsia" w:ascii="仿宋" w:hAnsi="仿宋" w:eastAsia="仿宋"/>
          <w:sz w:val="28"/>
          <w:szCs w:val="28"/>
        </w:rPr>
      </w:pPr>
      <w:r>
        <w:rPr>
          <w:rFonts w:hint="eastAsia" w:ascii="仿宋" w:hAnsi="仿宋" w:eastAsia="仿宋"/>
          <w:sz w:val="28"/>
          <w:szCs w:val="28"/>
        </w:rPr>
        <w:t>其他相关资料等。</w:t>
      </w:r>
    </w:p>
    <w:p>
      <w:pPr>
        <w:ind w:firstLine="560" w:firstLineChars="200"/>
        <w:rPr>
          <w:rFonts w:hint="eastAsia" w:ascii="仿宋" w:hAnsi="仿宋" w:eastAsia="仿宋"/>
          <w:sz w:val="28"/>
          <w:szCs w:val="28"/>
        </w:rPr>
      </w:pPr>
      <w:r>
        <w:rPr>
          <w:rFonts w:hint="eastAsia" w:ascii="仿宋" w:hAnsi="仿宋" w:eastAsia="仿宋"/>
          <w:sz w:val="28"/>
          <w:szCs w:val="28"/>
        </w:rPr>
        <w:t>（2）投标人负责办理本项目考古发掘报告（证照）的有关申报（报批）手续，负责考古发掘报告的编制并协助办理相关文件的批复手续。</w:t>
      </w:r>
    </w:p>
    <w:p>
      <w:pPr>
        <w:ind w:firstLine="560" w:firstLineChars="200"/>
        <w:rPr>
          <w:rFonts w:hint="eastAsia" w:ascii="仿宋" w:hAnsi="仿宋" w:eastAsia="仿宋"/>
          <w:sz w:val="28"/>
          <w:szCs w:val="28"/>
        </w:rPr>
      </w:pPr>
      <w:r>
        <w:rPr>
          <w:rFonts w:hint="eastAsia" w:ascii="仿宋" w:hAnsi="仿宋" w:eastAsia="仿宋"/>
          <w:sz w:val="28"/>
          <w:szCs w:val="28"/>
        </w:rPr>
        <w:t>（3）发掘过程中，投标人应采取合理措施，确保地下文物的安全。</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四、服务要求</w:t>
      </w:r>
    </w:p>
    <w:p>
      <w:pPr>
        <w:ind w:firstLine="560" w:firstLineChars="200"/>
        <w:rPr>
          <w:rFonts w:hint="eastAsia" w:ascii="仿宋" w:hAnsi="仿宋" w:eastAsia="仿宋"/>
          <w:sz w:val="28"/>
          <w:szCs w:val="28"/>
        </w:rPr>
      </w:pPr>
      <w:r>
        <w:rPr>
          <w:rFonts w:hint="eastAsia" w:ascii="仿宋" w:hAnsi="仿宋" w:eastAsia="仿宋"/>
          <w:sz w:val="28"/>
          <w:szCs w:val="28"/>
        </w:rPr>
        <w:t>1.进度要求</w:t>
      </w:r>
    </w:p>
    <w:p>
      <w:pPr>
        <w:ind w:firstLine="560" w:firstLineChars="200"/>
        <w:rPr>
          <w:rFonts w:hint="eastAsia" w:ascii="仿宋" w:hAnsi="仿宋" w:eastAsia="仿宋"/>
          <w:sz w:val="28"/>
          <w:szCs w:val="28"/>
        </w:rPr>
      </w:pPr>
      <w:r>
        <w:rPr>
          <w:rFonts w:hint="eastAsia" w:ascii="仿宋" w:hAnsi="仿宋" w:eastAsia="仿宋"/>
          <w:sz w:val="28"/>
          <w:szCs w:val="28"/>
        </w:rPr>
        <w:t>投标人接</w:t>
      </w:r>
      <w:r>
        <w:rPr>
          <w:rFonts w:hint="eastAsia" w:ascii="仿宋" w:hAnsi="仿宋" w:eastAsia="仿宋"/>
          <w:sz w:val="28"/>
          <w:szCs w:val="28"/>
          <w:lang w:val="en-US" w:eastAsia="zh-CN"/>
        </w:rPr>
        <w:t>采购</w:t>
      </w:r>
      <w:r>
        <w:rPr>
          <w:rFonts w:hint="eastAsia" w:ascii="仿宋" w:hAnsi="仿宋" w:eastAsia="仿宋"/>
          <w:sz w:val="28"/>
          <w:szCs w:val="28"/>
        </w:rPr>
        <w:t>人通知后三日内进场发掘，在</w:t>
      </w:r>
      <w:r>
        <w:rPr>
          <w:rFonts w:hint="eastAsia" w:ascii="仿宋" w:hAnsi="仿宋" w:eastAsia="仿宋"/>
          <w:sz w:val="28"/>
          <w:szCs w:val="28"/>
          <w:lang w:val="en-US" w:eastAsia="zh-CN"/>
        </w:rPr>
        <w:t>六个月</w:t>
      </w:r>
      <w:r>
        <w:rPr>
          <w:rFonts w:hint="eastAsia" w:ascii="仿宋" w:hAnsi="仿宋" w:eastAsia="仿宋"/>
          <w:sz w:val="28"/>
          <w:szCs w:val="28"/>
        </w:rPr>
        <w:t>内完成现场考古发掘工作。</w:t>
      </w:r>
    </w:p>
    <w:p>
      <w:pPr>
        <w:ind w:firstLine="560" w:firstLineChars="200"/>
        <w:rPr>
          <w:rFonts w:hint="eastAsia" w:ascii="仿宋" w:hAnsi="仿宋" w:eastAsia="仿宋"/>
          <w:sz w:val="28"/>
          <w:szCs w:val="28"/>
        </w:rPr>
      </w:pPr>
      <w:r>
        <w:rPr>
          <w:rFonts w:hint="eastAsia" w:ascii="仿宋" w:hAnsi="仿宋" w:eastAsia="仿宋"/>
          <w:sz w:val="28"/>
          <w:szCs w:val="28"/>
        </w:rPr>
        <w:t>2.安全要求</w:t>
      </w:r>
    </w:p>
    <w:p>
      <w:pPr>
        <w:ind w:firstLine="560" w:firstLineChars="200"/>
        <w:rPr>
          <w:rFonts w:hint="eastAsia" w:ascii="仿宋" w:hAnsi="仿宋" w:eastAsia="仿宋"/>
          <w:sz w:val="28"/>
          <w:szCs w:val="28"/>
        </w:rPr>
      </w:pPr>
      <w:r>
        <w:rPr>
          <w:rFonts w:hint="eastAsia" w:ascii="仿宋" w:hAnsi="仿宋" w:eastAsia="仿宋"/>
          <w:sz w:val="28"/>
          <w:szCs w:val="28"/>
        </w:rPr>
        <w:t xml:space="preserve">（1）考古发掘队伍必须按照《田野考古工作规程》的要求，配备考古发掘项目负责人（领队）、考古专业技术人员、文物保护专业技术人员、测绘摄影人员、安全员、资料员（库管员）以及足够的发掘、文物保护修复等的技师、技工；还应配备考古发掘、测绘、摄影、文物保护修复、资料整理、文物及标本管理等必需的工具、仪器设备及设施。确保考古发掘、现场文物保护、出土文物提取、文物修复、绘图、摄影、资料整理以及文物、标本的安全保管等工作顺利完成，并提交合格的考古发掘工作报告。 </w:t>
      </w:r>
    </w:p>
    <w:p>
      <w:pPr>
        <w:ind w:firstLine="560" w:firstLineChars="200"/>
        <w:rPr>
          <w:rFonts w:hint="eastAsia" w:ascii="仿宋" w:hAnsi="仿宋" w:eastAsia="仿宋"/>
          <w:sz w:val="28"/>
          <w:szCs w:val="28"/>
        </w:rPr>
      </w:pPr>
      <w:r>
        <w:rPr>
          <w:rFonts w:hint="eastAsia" w:ascii="仿宋" w:hAnsi="仿宋" w:eastAsia="仿宋"/>
          <w:sz w:val="28"/>
          <w:szCs w:val="28"/>
        </w:rPr>
        <w:t>（2）应坚持“安全第一、预防为主”的原则，在开工前应根据实际情况制定安全保卫工作方案及应急预案。负责组织对所有参与工作的人员进行安全警示教育，提高安全意识，防止和避免因工作失误和安全措施不到位诱发的安全责任事故。</w:t>
      </w:r>
    </w:p>
    <w:p>
      <w:pPr>
        <w:ind w:firstLine="560" w:firstLineChars="200"/>
        <w:rPr>
          <w:rFonts w:hint="eastAsia" w:ascii="仿宋" w:hAnsi="仿宋" w:eastAsia="仿宋"/>
          <w:sz w:val="28"/>
          <w:szCs w:val="28"/>
        </w:rPr>
      </w:pPr>
      <w:r>
        <w:rPr>
          <w:rFonts w:hint="eastAsia" w:ascii="仿宋" w:hAnsi="仿宋" w:eastAsia="仿宋"/>
          <w:sz w:val="28"/>
          <w:szCs w:val="28"/>
        </w:rPr>
        <w:t>（3）投标人在考古发掘工作中对发现的古遗址、古墓葬等地下文物古迹负有看管保护的责任，并对相关信息负有保密的责任。</w:t>
      </w:r>
      <w:bookmarkStart w:id="0" w:name="_GoBack"/>
      <w:bookmarkEnd w:id="0"/>
    </w:p>
    <w:p>
      <w:pPr>
        <w:ind w:firstLine="560" w:firstLineChars="200"/>
        <w:rPr>
          <w:rFonts w:hint="eastAsia" w:ascii="仿宋" w:hAnsi="仿宋" w:eastAsia="仿宋"/>
          <w:sz w:val="28"/>
          <w:szCs w:val="28"/>
        </w:rPr>
      </w:pPr>
      <w:r>
        <w:rPr>
          <w:rFonts w:hint="eastAsia" w:ascii="仿宋" w:hAnsi="仿宋" w:eastAsia="仿宋"/>
          <w:sz w:val="28"/>
          <w:szCs w:val="28"/>
        </w:rPr>
        <w:t>（4）投标人考古驻地的所有工作人员、财物、设备、设施以及暂存文物标本的文物库房等的安全保卫工作由投标人全权负责。驻地暂存文物和标本的临时文物库房，必须符合有关存放文物的安全要求。</w:t>
      </w:r>
    </w:p>
    <w:p>
      <w:pPr>
        <w:ind w:firstLine="560" w:firstLineChars="200"/>
        <w:rPr>
          <w:rFonts w:hint="eastAsia" w:ascii="仿宋" w:hAnsi="仿宋" w:eastAsia="仿宋"/>
          <w:sz w:val="28"/>
          <w:szCs w:val="28"/>
        </w:rPr>
      </w:pPr>
      <w:r>
        <w:rPr>
          <w:rFonts w:hint="eastAsia" w:ascii="仿宋" w:hAnsi="仿宋" w:eastAsia="仿宋"/>
          <w:sz w:val="28"/>
          <w:szCs w:val="28"/>
        </w:rPr>
        <w:t>3.现场踏勘要求</w:t>
      </w:r>
    </w:p>
    <w:p>
      <w:pPr>
        <w:ind w:firstLine="560" w:firstLineChars="200"/>
        <w:rPr>
          <w:rFonts w:hint="eastAsia" w:ascii="仿宋" w:hAnsi="仿宋" w:eastAsia="仿宋"/>
          <w:sz w:val="28"/>
          <w:szCs w:val="28"/>
        </w:rPr>
      </w:pPr>
      <w:r>
        <w:rPr>
          <w:rFonts w:hint="eastAsia" w:ascii="仿宋" w:hAnsi="仿宋" w:eastAsia="仿宋"/>
          <w:sz w:val="28"/>
          <w:szCs w:val="28"/>
        </w:rPr>
        <w:t>投标人自行现场踏勘，投标人承担踏勘现场所发生的费用和自身安全责任。</w:t>
      </w:r>
    </w:p>
    <w:p>
      <w:pPr>
        <w:ind w:firstLine="560" w:firstLineChars="200"/>
        <w:rPr>
          <w:rFonts w:hint="eastAsia" w:ascii="仿宋" w:hAnsi="仿宋" w:eastAsia="仿宋"/>
          <w:sz w:val="28"/>
          <w:szCs w:val="28"/>
        </w:rPr>
      </w:pPr>
      <w:r>
        <w:rPr>
          <w:rFonts w:hint="eastAsia" w:ascii="仿宋" w:hAnsi="仿宋" w:eastAsia="仿宋"/>
          <w:sz w:val="28"/>
          <w:szCs w:val="28"/>
        </w:rPr>
        <w:t>4.投标费用要求</w:t>
      </w:r>
    </w:p>
    <w:p>
      <w:pPr>
        <w:ind w:firstLine="560" w:firstLineChars="200"/>
        <w:rPr>
          <w:rFonts w:ascii="仿宋" w:hAnsi="仿宋" w:eastAsia="仿宋"/>
          <w:color w:val="FF0000"/>
          <w:sz w:val="28"/>
          <w:szCs w:val="28"/>
        </w:rPr>
      </w:pPr>
      <w:r>
        <w:rPr>
          <w:rFonts w:hint="eastAsia" w:ascii="仿宋" w:hAnsi="仿宋" w:eastAsia="仿宋"/>
          <w:sz w:val="28"/>
          <w:szCs w:val="28"/>
        </w:rPr>
        <w:t>投标人应承担其参加本招标活动所发生的一切费用。</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五、商务要求</w:t>
      </w:r>
    </w:p>
    <w:p>
      <w:pPr>
        <w:spacing w:line="400" w:lineRule="exact"/>
        <w:rPr>
          <w:rFonts w:ascii="仿宋" w:hAnsi="仿宋" w:eastAsia="仿宋"/>
          <w:color w:val="auto"/>
          <w:sz w:val="28"/>
          <w:szCs w:val="28"/>
        </w:rPr>
      </w:pPr>
      <w:r>
        <w:rPr>
          <w:rFonts w:hint="eastAsia" w:ascii="仿宋" w:hAnsi="仿宋" w:eastAsia="仿宋"/>
          <w:color w:val="auto"/>
          <w:sz w:val="28"/>
          <w:szCs w:val="28"/>
        </w:rPr>
        <w:t>（一）服务期限</w:t>
      </w:r>
    </w:p>
    <w:p>
      <w:pPr>
        <w:spacing w:line="4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自合同签订之日</w:t>
      </w:r>
      <w:r>
        <w:rPr>
          <w:rFonts w:hint="eastAsia" w:ascii="仿宋" w:hAnsi="仿宋" w:eastAsia="仿宋"/>
          <w:color w:val="auto"/>
          <w:sz w:val="28"/>
          <w:szCs w:val="28"/>
          <w:lang w:val="en-US" w:eastAsia="zh-CN"/>
        </w:rPr>
        <w:t>6个月内</w:t>
      </w:r>
      <w:r>
        <w:rPr>
          <w:rFonts w:hint="eastAsia" w:ascii="仿宋" w:hAnsi="仿宋" w:eastAsia="仿宋"/>
          <w:color w:val="auto"/>
          <w:sz w:val="28"/>
          <w:szCs w:val="28"/>
        </w:rPr>
        <w:t>。</w:t>
      </w:r>
    </w:p>
    <w:p>
      <w:pPr>
        <w:rPr>
          <w:rFonts w:ascii="仿宋" w:hAnsi="仿宋" w:eastAsia="仿宋"/>
          <w:color w:val="auto"/>
          <w:sz w:val="28"/>
          <w:szCs w:val="28"/>
        </w:rPr>
      </w:pPr>
      <w:r>
        <w:rPr>
          <w:rFonts w:hint="eastAsia" w:ascii="仿宋" w:hAnsi="仿宋" w:eastAsia="仿宋"/>
          <w:color w:val="auto"/>
          <w:sz w:val="28"/>
          <w:szCs w:val="28"/>
        </w:rPr>
        <w:t>（二）款项结算</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合同签订并进场开展文物发掘工作</w:t>
      </w:r>
      <w:r>
        <w:rPr>
          <w:rFonts w:hint="eastAsia" w:ascii="仿宋" w:hAnsi="仿宋" w:eastAsia="仿宋"/>
          <w:color w:val="auto"/>
          <w:sz w:val="28"/>
          <w:szCs w:val="28"/>
          <w:lang w:eastAsia="zh-CN"/>
        </w:rPr>
        <w:t>，</w:t>
      </w:r>
      <w:r>
        <w:rPr>
          <w:rFonts w:hint="eastAsia" w:ascii="仿宋" w:hAnsi="仿宋" w:eastAsia="仿宋"/>
          <w:color w:val="auto"/>
          <w:sz w:val="28"/>
          <w:szCs w:val="28"/>
        </w:rPr>
        <w:t>支付合同总价款的</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项目实施完成提交合格成果</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个月内支付合同总价款的</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财政部门审计结算完成后，</w:t>
      </w:r>
      <w:r>
        <w:rPr>
          <w:rFonts w:hint="eastAsia" w:ascii="仿宋" w:hAnsi="仿宋" w:eastAsia="仿宋"/>
          <w:color w:val="auto"/>
          <w:sz w:val="28"/>
          <w:szCs w:val="28"/>
          <w:lang w:val="en-US" w:eastAsia="zh-CN"/>
        </w:rPr>
        <w:t>1个月</w:t>
      </w:r>
      <w:r>
        <w:rPr>
          <w:rFonts w:hint="eastAsia" w:ascii="仿宋" w:hAnsi="仿宋" w:eastAsia="仿宋"/>
          <w:color w:val="auto"/>
          <w:sz w:val="28"/>
          <w:szCs w:val="28"/>
        </w:rPr>
        <w:t>内支付</w:t>
      </w:r>
      <w:r>
        <w:rPr>
          <w:rFonts w:hint="eastAsia" w:ascii="仿宋" w:hAnsi="仿宋" w:eastAsia="仿宋"/>
          <w:color w:val="auto"/>
          <w:sz w:val="28"/>
          <w:szCs w:val="28"/>
          <w:lang w:val="en-US" w:eastAsia="zh-CN"/>
        </w:rPr>
        <w:t>至结算价</w:t>
      </w:r>
      <w:r>
        <w:rPr>
          <w:rFonts w:hint="eastAsia" w:ascii="仿宋" w:hAnsi="仿宋" w:eastAsia="仿宋"/>
          <w:color w:val="auto"/>
          <w:sz w:val="28"/>
          <w:szCs w:val="28"/>
        </w:rPr>
        <w:t>的</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0%。</w:t>
      </w:r>
    </w:p>
    <w:p>
      <w:pPr>
        <w:pBdr>
          <w:bottom w:val="single" w:color="auto" w:sz="4" w:space="1"/>
        </w:pBdr>
        <w:spacing w:before="312" w:beforeLines="100"/>
        <w:rPr>
          <w:rFonts w:ascii="仿宋" w:hAnsi="仿宋" w:eastAsia="仿宋"/>
          <w:b/>
          <w:color w:val="auto"/>
          <w:sz w:val="28"/>
          <w:szCs w:val="28"/>
        </w:rPr>
      </w:pPr>
      <w:r>
        <w:rPr>
          <w:rFonts w:hint="eastAsia" w:ascii="仿宋" w:hAnsi="仿宋" w:eastAsia="仿宋"/>
          <w:b/>
          <w:color w:val="auto"/>
          <w:sz w:val="28"/>
          <w:szCs w:val="28"/>
        </w:rPr>
        <w:t>六、其他</w:t>
      </w:r>
    </w:p>
    <w:p>
      <w:pPr>
        <w:rPr>
          <w:rFonts w:ascii="仿宋" w:hAnsi="仿宋" w:eastAsia="仿宋"/>
          <w:color w:val="auto"/>
          <w:sz w:val="28"/>
          <w:szCs w:val="28"/>
        </w:rPr>
      </w:pPr>
      <w:r>
        <w:rPr>
          <w:rFonts w:hint="eastAsia" w:ascii="仿宋" w:hAnsi="仿宋" w:eastAsia="仿宋"/>
          <w:color w:val="auto"/>
          <w:sz w:val="28"/>
          <w:szCs w:val="28"/>
        </w:rPr>
        <w:t>（一）对服务商的业绩要求</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采购人可以要求参加政府采购的供应商提供有关业绩情况，但不得以特定行政区域或者特定行业的业绩、奖项作为加分条件或者中标、成交条件，也不得限定业务规模。</w:t>
      </w:r>
    </w:p>
    <w:p>
      <w:pPr>
        <w:rPr>
          <w:rFonts w:ascii="仿宋" w:hAnsi="仿宋" w:eastAsia="仿宋"/>
          <w:color w:val="auto"/>
          <w:sz w:val="28"/>
          <w:szCs w:val="28"/>
        </w:rPr>
      </w:pPr>
      <w:r>
        <w:rPr>
          <w:rFonts w:hint="eastAsia" w:ascii="仿宋" w:hAnsi="仿宋" w:eastAsia="仿宋"/>
          <w:color w:val="auto"/>
          <w:sz w:val="28"/>
          <w:szCs w:val="28"/>
        </w:rPr>
        <w:t>（二）进度要求</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投标人接</w:t>
      </w:r>
      <w:r>
        <w:rPr>
          <w:rFonts w:hint="eastAsia" w:ascii="仿宋" w:hAnsi="仿宋" w:eastAsia="仿宋"/>
          <w:color w:val="auto"/>
          <w:sz w:val="28"/>
          <w:szCs w:val="28"/>
          <w:lang w:val="en-US" w:eastAsia="zh-CN"/>
        </w:rPr>
        <w:t>采购</w:t>
      </w:r>
      <w:r>
        <w:rPr>
          <w:rFonts w:hint="eastAsia" w:ascii="仿宋" w:hAnsi="仿宋" w:eastAsia="仿宋"/>
          <w:color w:val="auto"/>
          <w:sz w:val="28"/>
          <w:szCs w:val="28"/>
        </w:rPr>
        <w:t>人通知后三日内进场发掘，在</w:t>
      </w:r>
      <w:r>
        <w:rPr>
          <w:rFonts w:hint="eastAsia" w:ascii="仿宋" w:hAnsi="仿宋" w:eastAsia="仿宋"/>
          <w:color w:val="auto"/>
          <w:sz w:val="28"/>
          <w:szCs w:val="28"/>
          <w:lang w:val="en-US" w:eastAsia="zh-CN"/>
        </w:rPr>
        <w:t>六月</w:t>
      </w:r>
      <w:r>
        <w:rPr>
          <w:rFonts w:hint="eastAsia" w:ascii="仿宋" w:hAnsi="仿宋" w:eastAsia="仿宋"/>
          <w:color w:val="auto"/>
          <w:sz w:val="28"/>
          <w:szCs w:val="28"/>
        </w:rPr>
        <w:t>内完成现场考古发掘工作。</w:t>
      </w:r>
    </w:p>
    <w:p>
      <w:pPr>
        <w:rPr>
          <w:rFonts w:ascii="仿宋" w:hAnsi="仿宋" w:eastAsia="仿宋"/>
          <w:color w:val="auto"/>
          <w:sz w:val="28"/>
          <w:szCs w:val="28"/>
        </w:rPr>
      </w:pPr>
      <w:r>
        <w:rPr>
          <w:rFonts w:hint="eastAsia" w:ascii="仿宋" w:hAnsi="仿宋" w:eastAsia="仿宋"/>
          <w:color w:val="auto"/>
          <w:sz w:val="28"/>
          <w:szCs w:val="28"/>
        </w:rPr>
        <w:t>（三）成果交付要求</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考古发掘工作结束后7个工作日内向招标人出具《文物发掘报告》伍份，提交的成果文件必须符合国家、行业及陕西省相关标准、规范的规定，还需满足国家、行业、陕西省相关行政主管部门项目审批要求及招标人需求。</w:t>
      </w:r>
    </w:p>
    <w:p>
      <w:pPr>
        <w:rPr>
          <w:rFonts w:ascii="仿宋" w:hAnsi="仿宋" w:eastAsia="仿宋"/>
          <w:color w:val="auto"/>
          <w:sz w:val="28"/>
          <w:szCs w:val="28"/>
        </w:rPr>
      </w:pPr>
      <w:r>
        <w:rPr>
          <w:rFonts w:hint="eastAsia" w:ascii="仿宋" w:hAnsi="仿宋" w:eastAsia="仿宋"/>
          <w:color w:val="auto"/>
          <w:sz w:val="28"/>
          <w:szCs w:val="28"/>
        </w:rPr>
        <w:t>（四</w:t>
      </w:r>
      <w:r>
        <w:rPr>
          <w:rFonts w:ascii="仿宋" w:hAnsi="仿宋" w:eastAsia="仿宋"/>
          <w:color w:val="auto"/>
          <w:sz w:val="28"/>
          <w:szCs w:val="28"/>
        </w:rPr>
        <w:t>）</w:t>
      </w:r>
      <w:r>
        <w:rPr>
          <w:rFonts w:hint="eastAsia" w:ascii="仿宋" w:hAnsi="仿宋" w:eastAsia="仿宋"/>
          <w:color w:val="auto"/>
          <w:sz w:val="28"/>
          <w:szCs w:val="28"/>
        </w:rPr>
        <w:t>质量验收标准或规范</w:t>
      </w:r>
    </w:p>
    <w:p>
      <w:pPr>
        <w:rPr>
          <w:rFonts w:hint="eastAsia" w:ascii="仿宋" w:hAnsi="仿宋" w:eastAsia="仿宋"/>
          <w:color w:val="auto"/>
          <w:sz w:val="28"/>
          <w:szCs w:val="28"/>
        </w:rPr>
      </w:pPr>
      <w:r>
        <w:rPr>
          <w:rFonts w:hint="eastAsia" w:ascii="仿宋" w:hAnsi="仿宋" w:eastAsia="仿宋"/>
          <w:color w:val="auto"/>
          <w:sz w:val="28"/>
          <w:szCs w:val="28"/>
        </w:rPr>
        <w:t xml:space="preserve">（1）《中华人民共和国文物保护法》 </w:t>
      </w:r>
    </w:p>
    <w:p>
      <w:pPr>
        <w:rPr>
          <w:rFonts w:hint="eastAsia" w:ascii="仿宋" w:hAnsi="仿宋" w:eastAsia="仿宋"/>
          <w:color w:val="auto"/>
          <w:sz w:val="28"/>
          <w:szCs w:val="28"/>
        </w:rPr>
      </w:pPr>
      <w:r>
        <w:rPr>
          <w:rFonts w:hint="eastAsia" w:ascii="仿宋" w:hAnsi="仿宋" w:eastAsia="仿宋"/>
          <w:color w:val="auto"/>
          <w:sz w:val="28"/>
          <w:szCs w:val="28"/>
        </w:rPr>
        <w:t>（2）《中华人民共和国文物保护法实施条例》</w:t>
      </w:r>
    </w:p>
    <w:p>
      <w:pPr>
        <w:rPr>
          <w:rFonts w:hint="eastAsia" w:ascii="仿宋" w:hAnsi="仿宋" w:eastAsia="仿宋"/>
          <w:color w:val="auto"/>
          <w:sz w:val="28"/>
          <w:szCs w:val="28"/>
        </w:rPr>
      </w:pPr>
      <w:r>
        <w:rPr>
          <w:rFonts w:hint="eastAsia" w:ascii="仿宋" w:hAnsi="仿宋" w:eastAsia="仿宋"/>
          <w:color w:val="auto"/>
          <w:sz w:val="28"/>
          <w:szCs w:val="28"/>
        </w:rPr>
        <w:t>（3）《陕西省文物保护条例》</w:t>
      </w:r>
    </w:p>
    <w:p>
      <w:pPr>
        <w:rPr>
          <w:rFonts w:hint="eastAsia" w:ascii="仿宋" w:hAnsi="仿宋" w:eastAsia="仿宋"/>
          <w:color w:val="auto"/>
          <w:sz w:val="28"/>
          <w:szCs w:val="28"/>
        </w:rPr>
      </w:pPr>
      <w:r>
        <w:rPr>
          <w:rFonts w:hint="eastAsia" w:ascii="仿宋" w:hAnsi="仿宋" w:eastAsia="仿宋"/>
          <w:color w:val="auto"/>
          <w:sz w:val="28"/>
          <w:szCs w:val="28"/>
        </w:rPr>
        <w:t>（4）《田野考古工作规程》</w:t>
      </w:r>
    </w:p>
    <w:p>
      <w:pPr>
        <w:rPr>
          <w:rFonts w:ascii="仿宋" w:hAnsi="仿宋" w:eastAsia="仿宋"/>
          <w:color w:val="auto"/>
          <w:sz w:val="28"/>
          <w:szCs w:val="28"/>
        </w:rPr>
      </w:pPr>
      <w:r>
        <w:rPr>
          <w:rFonts w:hint="eastAsia" w:ascii="仿宋" w:hAnsi="仿宋" w:eastAsia="仿宋"/>
          <w:color w:val="auto"/>
          <w:sz w:val="28"/>
          <w:szCs w:val="28"/>
        </w:rPr>
        <w:t>（5）其他相关资料等。</w:t>
      </w:r>
    </w:p>
    <w:p>
      <w:pPr>
        <w:rPr>
          <w:rFonts w:ascii="仿宋" w:hAnsi="仿宋" w:eastAsia="仿宋"/>
          <w:color w:val="auto"/>
          <w:sz w:val="28"/>
          <w:szCs w:val="28"/>
        </w:rPr>
      </w:pPr>
      <w:r>
        <w:rPr>
          <w:rFonts w:hint="eastAsia" w:ascii="仿宋" w:hAnsi="仿宋" w:eastAsia="仿宋"/>
          <w:color w:val="auto"/>
          <w:sz w:val="28"/>
          <w:szCs w:val="28"/>
        </w:rPr>
        <w:t>（</w:t>
      </w:r>
      <w:r>
        <w:rPr>
          <w:rFonts w:hint="eastAsia" w:ascii="仿宋" w:hAnsi="仿宋" w:eastAsia="仿宋"/>
          <w:color w:val="auto"/>
          <w:sz w:val="28"/>
          <w:szCs w:val="28"/>
          <w:lang w:val="en-US" w:eastAsia="zh-CN"/>
        </w:rPr>
        <w:t>五</w:t>
      </w:r>
      <w:r>
        <w:rPr>
          <w:rFonts w:ascii="仿宋" w:hAnsi="仿宋" w:eastAsia="仿宋"/>
          <w:color w:val="auto"/>
          <w:sz w:val="28"/>
          <w:szCs w:val="28"/>
        </w:rPr>
        <w:t>）违约责任</w:t>
      </w:r>
    </w:p>
    <w:p>
      <w:pPr>
        <w:ind w:firstLine="560" w:firstLineChars="200"/>
        <w:rPr>
          <w:rFonts w:ascii="仿宋" w:hAnsi="仿宋" w:eastAsia="仿宋"/>
          <w:color w:val="auto"/>
          <w:sz w:val="28"/>
          <w:szCs w:val="28"/>
        </w:rPr>
      </w:pPr>
      <w:r>
        <w:rPr>
          <w:rFonts w:ascii="仿宋" w:hAnsi="仿宋" w:eastAsia="仿宋"/>
          <w:color w:val="auto"/>
          <w:sz w:val="28"/>
          <w:szCs w:val="28"/>
        </w:rPr>
        <w:t>一般与合同款项的支付相关，注意不要超出《民法典》中对于违约的责任上限。</w:t>
      </w:r>
    </w:p>
    <w:p>
      <w:pPr>
        <w:rPr>
          <w:rFonts w:hint="eastAsia" w:ascii="仿宋" w:hAnsi="仿宋" w:eastAsia="仿宋"/>
          <w:color w:val="auto"/>
          <w:sz w:val="28"/>
          <w:szCs w:val="28"/>
          <w:lang w:eastAsia="zh-CN"/>
        </w:rPr>
      </w:pPr>
    </w:p>
    <w:sectPr>
      <w:footerReference r:id="rId3"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jYjc0YzYwNjMwMTdiNDFmZTQ5YjYxNzNmZmRkMzQ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124272A"/>
    <w:rsid w:val="014411B5"/>
    <w:rsid w:val="01FE5971"/>
    <w:rsid w:val="02247ACE"/>
    <w:rsid w:val="02D74B40"/>
    <w:rsid w:val="03001A0A"/>
    <w:rsid w:val="03071F72"/>
    <w:rsid w:val="03731012"/>
    <w:rsid w:val="051756C8"/>
    <w:rsid w:val="052821D5"/>
    <w:rsid w:val="05AA653C"/>
    <w:rsid w:val="067B57E2"/>
    <w:rsid w:val="09557917"/>
    <w:rsid w:val="09E322B9"/>
    <w:rsid w:val="0B4765DB"/>
    <w:rsid w:val="0CD10BFF"/>
    <w:rsid w:val="0DF522C3"/>
    <w:rsid w:val="107F2B6D"/>
    <w:rsid w:val="11131439"/>
    <w:rsid w:val="11F12DFD"/>
    <w:rsid w:val="12576C0C"/>
    <w:rsid w:val="12D22C2E"/>
    <w:rsid w:val="138E124B"/>
    <w:rsid w:val="14397409"/>
    <w:rsid w:val="14DF53CE"/>
    <w:rsid w:val="1514752E"/>
    <w:rsid w:val="151D2886"/>
    <w:rsid w:val="15BB2A37"/>
    <w:rsid w:val="15F760CE"/>
    <w:rsid w:val="16A526E9"/>
    <w:rsid w:val="18722EE9"/>
    <w:rsid w:val="191A70DD"/>
    <w:rsid w:val="19414AA6"/>
    <w:rsid w:val="197467ED"/>
    <w:rsid w:val="1D682B0D"/>
    <w:rsid w:val="1E032872"/>
    <w:rsid w:val="1F5E414A"/>
    <w:rsid w:val="1FC009DE"/>
    <w:rsid w:val="20692E24"/>
    <w:rsid w:val="207D242B"/>
    <w:rsid w:val="22BB43D7"/>
    <w:rsid w:val="23A777BF"/>
    <w:rsid w:val="24D171E9"/>
    <w:rsid w:val="24DB0068"/>
    <w:rsid w:val="259634A5"/>
    <w:rsid w:val="25BF34E6"/>
    <w:rsid w:val="25CC175F"/>
    <w:rsid w:val="26946721"/>
    <w:rsid w:val="26B53BDB"/>
    <w:rsid w:val="27BE69E4"/>
    <w:rsid w:val="27DC212D"/>
    <w:rsid w:val="28511F4E"/>
    <w:rsid w:val="28CB4737"/>
    <w:rsid w:val="291D7154"/>
    <w:rsid w:val="29B71C3C"/>
    <w:rsid w:val="29B915A8"/>
    <w:rsid w:val="2AA001EB"/>
    <w:rsid w:val="2BCC0B7A"/>
    <w:rsid w:val="2C875551"/>
    <w:rsid w:val="2CFC2E35"/>
    <w:rsid w:val="313C1E8F"/>
    <w:rsid w:val="3200110E"/>
    <w:rsid w:val="32851613"/>
    <w:rsid w:val="330F7115"/>
    <w:rsid w:val="33CA5530"/>
    <w:rsid w:val="34CF5F7D"/>
    <w:rsid w:val="36AB3FD2"/>
    <w:rsid w:val="37100F0C"/>
    <w:rsid w:val="382D42DF"/>
    <w:rsid w:val="38A21DBF"/>
    <w:rsid w:val="397E4BD8"/>
    <w:rsid w:val="3A6B7341"/>
    <w:rsid w:val="3B30003E"/>
    <w:rsid w:val="3C76702D"/>
    <w:rsid w:val="3CED01FD"/>
    <w:rsid w:val="3CF01FCD"/>
    <w:rsid w:val="3D2D6B2F"/>
    <w:rsid w:val="3D5C1616"/>
    <w:rsid w:val="3DCB7A98"/>
    <w:rsid w:val="3EF773F5"/>
    <w:rsid w:val="3F116D9E"/>
    <w:rsid w:val="3F366441"/>
    <w:rsid w:val="3F9D0255"/>
    <w:rsid w:val="421B71C5"/>
    <w:rsid w:val="43122A4F"/>
    <w:rsid w:val="438F22F2"/>
    <w:rsid w:val="43E02B4D"/>
    <w:rsid w:val="442B7CAF"/>
    <w:rsid w:val="448B3A56"/>
    <w:rsid w:val="46753A21"/>
    <w:rsid w:val="4AAE7501"/>
    <w:rsid w:val="4B11183E"/>
    <w:rsid w:val="4C525FF2"/>
    <w:rsid w:val="4C6F4F8D"/>
    <w:rsid w:val="4C820C46"/>
    <w:rsid w:val="4E516B22"/>
    <w:rsid w:val="50697A27"/>
    <w:rsid w:val="5465104B"/>
    <w:rsid w:val="547D089F"/>
    <w:rsid w:val="54F97CC6"/>
    <w:rsid w:val="557708CE"/>
    <w:rsid w:val="55E82AD4"/>
    <w:rsid w:val="563D798B"/>
    <w:rsid w:val="56841877"/>
    <w:rsid w:val="57385F6B"/>
    <w:rsid w:val="57621CFC"/>
    <w:rsid w:val="57D17EF2"/>
    <w:rsid w:val="5B05479D"/>
    <w:rsid w:val="5B0B44FC"/>
    <w:rsid w:val="5CC53455"/>
    <w:rsid w:val="5D2F0CF6"/>
    <w:rsid w:val="5E0F7E5F"/>
    <w:rsid w:val="5F2142EE"/>
    <w:rsid w:val="5FC234C0"/>
    <w:rsid w:val="614168A0"/>
    <w:rsid w:val="63352116"/>
    <w:rsid w:val="635C76BE"/>
    <w:rsid w:val="636643ED"/>
    <w:rsid w:val="639D5F0D"/>
    <w:rsid w:val="63DD00C2"/>
    <w:rsid w:val="65424FBE"/>
    <w:rsid w:val="655642F4"/>
    <w:rsid w:val="66B861BB"/>
    <w:rsid w:val="66C9693E"/>
    <w:rsid w:val="68550B65"/>
    <w:rsid w:val="686F13BE"/>
    <w:rsid w:val="688A0464"/>
    <w:rsid w:val="6A111006"/>
    <w:rsid w:val="6A16109D"/>
    <w:rsid w:val="6A8B7D14"/>
    <w:rsid w:val="6BEC5C84"/>
    <w:rsid w:val="6CC91B21"/>
    <w:rsid w:val="70932B72"/>
    <w:rsid w:val="70E92792"/>
    <w:rsid w:val="72E41463"/>
    <w:rsid w:val="7499378F"/>
    <w:rsid w:val="776E4808"/>
    <w:rsid w:val="77C6382D"/>
    <w:rsid w:val="77C74EAF"/>
    <w:rsid w:val="793A6280"/>
    <w:rsid w:val="79943B71"/>
    <w:rsid w:val="7A0917AF"/>
    <w:rsid w:val="7AD06809"/>
    <w:rsid w:val="7B8332A3"/>
    <w:rsid w:val="7B9D22C0"/>
    <w:rsid w:val="7C417926"/>
    <w:rsid w:val="7E2529F7"/>
    <w:rsid w:val="7FF4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widowControl w:val="0"/>
      <w:jc w:val="left"/>
    </w:pPr>
    <w:rPr>
      <w:rFonts w:ascii="Copperplate Gothic Bold" w:hAnsi="Copperplate Gothic Bold" w:eastAsia="宋体" w:cs="Times New Roman"/>
      <w:kern w:val="0"/>
      <w:sz w:val="20"/>
      <w:szCs w:val="20"/>
      <w:lang w:val="en-US" w:eastAsia="zh-CN" w:bidi="ar-SA"/>
    </w:rPr>
  </w:style>
  <w:style w:type="paragraph" w:styleId="3">
    <w:name w:val="annotation text"/>
    <w:basedOn w:val="1"/>
    <w:link w:val="35"/>
    <w:semiHidden/>
    <w:unhideWhenUsed/>
    <w:qFormat/>
    <w:uiPriority w:val="99"/>
    <w:pPr>
      <w:jc w:val="left"/>
    </w:pPr>
  </w:style>
  <w:style w:type="paragraph" w:styleId="4">
    <w:name w:val="Balloon Text"/>
    <w:basedOn w:val="1"/>
    <w:link w:val="37"/>
    <w:semiHidden/>
    <w:unhideWhenUsed/>
    <w:qFormat/>
    <w:uiPriority w:val="99"/>
    <w:rPr>
      <w:sz w:val="18"/>
      <w:szCs w:val="18"/>
    </w:rPr>
  </w:style>
  <w:style w:type="paragraph" w:styleId="5">
    <w:name w:val="footer"/>
    <w:basedOn w:val="1"/>
    <w:next w:val="2"/>
    <w:link w:val="34"/>
    <w:unhideWhenUsed/>
    <w:qFormat/>
    <w:uiPriority w:val="99"/>
    <w:pPr>
      <w:tabs>
        <w:tab w:val="center" w:pos="4153"/>
        <w:tab w:val="right" w:pos="8306"/>
      </w:tabs>
      <w:snapToGrid w:val="0"/>
      <w:jc w:val="left"/>
    </w:pPr>
    <w:rPr>
      <w:sz w:val="18"/>
      <w:szCs w:val="18"/>
    </w:rPr>
  </w:style>
  <w:style w:type="paragraph" w:styleId="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3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20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2">
    <w:name w:val="样式 Char Char"/>
    <w:link w:val="31"/>
    <w:qFormat/>
    <w:locked/>
    <w:uiPriority w:val="0"/>
    <w:rPr>
      <w:rFonts w:ascii="宋体" w:hAnsi="宋体" w:eastAsia="宋体" w:cs="宋体"/>
      <w:kern w:val="0"/>
      <w:sz w:val="24"/>
      <w:szCs w:val="24"/>
    </w:rPr>
  </w:style>
  <w:style w:type="character" w:customStyle="1" w:styleId="33">
    <w:name w:val="页眉 Char"/>
    <w:basedOn w:val="9"/>
    <w:link w:val="6"/>
    <w:qFormat/>
    <w:uiPriority w:val="99"/>
    <w:rPr>
      <w:rFonts w:ascii="Calibri" w:hAnsi="Calibri" w:eastAsia="宋体" w:cs="Times New Roman"/>
      <w:sz w:val="18"/>
      <w:szCs w:val="18"/>
    </w:rPr>
  </w:style>
  <w:style w:type="character" w:customStyle="1" w:styleId="34">
    <w:name w:val="页脚 Char"/>
    <w:basedOn w:val="9"/>
    <w:link w:val="5"/>
    <w:qFormat/>
    <w:uiPriority w:val="99"/>
    <w:rPr>
      <w:rFonts w:ascii="Calibri" w:hAnsi="Calibri" w:eastAsia="宋体" w:cs="Times New Roman"/>
      <w:sz w:val="18"/>
      <w:szCs w:val="18"/>
    </w:rPr>
  </w:style>
  <w:style w:type="character" w:customStyle="1" w:styleId="35">
    <w:name w:val="批注文字 Char"/>
    <w:basedOn w:val="9"/>
    <w:link w:val="3"/>
    <w:semiHidden/>
    <w:qFormat/>
    <w:uiPriority w:val="99"/>
    <w:rPr>
      <w:rFonts w:ascii="Calibri" w:hAnsi="Calibri" w:eastAsia="宋体" w:cs="Times New Roman"/>
    </w:rPr>
  </w:style>
  <w:style w:type="character" w:customStyle="1" w:styleId="36">
    <w:name w:val="批注主题 Char"/>
    <w:basedOn w:val="35"/>
    <w:link w:val="7"/>
    <w:semiHidden/>
    <w:qFormat/>
    <w:uiPriority w:val="99"/>
    <w:rPr>
      <w:rFonts w:ascii="Calibri" w:hAnsi="Calibri" w:eastAsia="宋体" w:cs="Times New Roman"/>
      <w:b/>
      <w:bCs/>
    </w:rPr>
  </w:style>
  <w:style w:type="character" w:customStyle="1" w:styleId="37">
    <w:name w:val="批注框文本 Char"/>
    <w:basedOn w:val="9"/>
    <w:link w:val="4"/>
    <w:semiHidden/>
    <w:qFormat/>
    <w:uiPriority w:val="99"/>
    <w:rPr>
      <w:rFonts w:ascii="Calibri" w:hAnsi="Calibri" w:eastAsia="宋体" w:cs="Times New Roman"/>
      <w:sz w:val="18"/>
      <w:szCs w:val="18"/>
    </w:rPr>
  </w:style>
  <w:style w:type="paragraph" w:styleId="38">
    <w:name w:val="List Paragraph"/>
    <w:basedOn w:val="1"/>
    <w:qFormat/>
    <w:uiPriority w:val="0"/>
    <w:pPr>
      <w:ind w:firstLine="42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3899</Words>
  <Characters>4182</Characters>
  <Lines>21</Lines>
  <Paragraphs>6</Paragraphs>
  <TotalTime>0</TotalTime>
  <ScaleCrop>false</ScaleCrop>
  <LinksUpToDate>false</LinksUpToDate>
  <CharactersWithSpaces>4199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小豆芽</cp:lastModifiedBy>
  <dcterms:modified xsi:type="dcterms:W3CDTF">2023-05-23T02:29:26Z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F9E61581AB2140A3B6E984E24407F017</vt:lpwstr>
  </property>
</Properties>
</file>