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rPr>
          <w:rFonts w:hint="eastAsia" w:ascii="宋体" w:hAnsi="宋体" w:eastAsia="宋体" w:cs="宋体"/>
          <w:sz w:val="24"/>
          <w:szCs w:val="24"/>
        </w:rPr>
      </w:pPr>
      <w:r>
        <w:rPr>
          <w:rFonts w:hint="eastAsia" w:ascii="宋体" w:hAnsi="宋体" w:eastAsia="宋体" w:cs="宋体"/>
          <w:sz w:val="24"/>
          <w:szCs w:val="24"/>
        </w:rPr>
        <w:t>采购要求及标准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西安市未央区城市管理和综合执法局关于2023-2024年度数字化城市管理监督指挥系统PDA城管通终端租赁</w:t>
      </w:r>
      <w:bookmarkStart w:id="0" w:name="_Hlk74328671"/>
      <w:r>
        <w:rPr>
          <w:rFonts w:hint="eastAsia" w:ascii="宋体" w:hAnsi="宋体" w:eastAsia="宋体" w:cs="宋体"/>
          <w:sz w:val="24"/>
          <w:szCs w:val="24"/>
        </w:rPr>
        <w:t>及系统服务项目</w:t>
      </w:r>
      <w:bookmarkEnd w:id="0"/>
      <w:r>
        <w:rPr>
          <w:rFonts w:hint="eastAsia" w:ascii="宋体" w:hAnsi="宋体" w:eastAsia="宋体" w:cs="宋体"/>
          <w:sz w:val="24"/>
          <w:szCs w:val="24"/>
        </w:rPr>
        <w:t>，按照住建部要求的数字化城市管理平台标准，所有案件的报送、核实、核查环节都需要通过PDA城管通终端完成。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该服务需要满足采购方的要求，包括但不限于：</w:t>
      </w:r>
    </w:p>
    <w:p>
      <w:pPr>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 xml:space="preserve">、服务要求： </w:t>
      </w:r>
      <w:r>
        <w:rPr>
          <w:rFonts w:hint="eastAsia" w:ascii="宋体" w:hAnsi="宋体" w:eastAsia="宋体" w:cs="宋体"/>
          <w:sz w:val="24"/>
          <w:szCs w:val="24"/>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1.身份认证与授权：对以移动方式或从分支机构接入内网的远程终端或移动办公终端进行身份识别，确保接入的终端可信和可靠。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2.网络数据安全防护：保障我单位移动终端传输数据安全，不被黑客监听和窃取、信息资产不会被从内部外发，导致内部泄密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3.终端信息安全管控：避免因通过终端拷贝，网络共享，感染病毒等途径，导致机密信息资产泄密；同时确保用户通过移动设备访问我单位资源时，与单位相关的信息不会遗留到移动设备，导致信息泄密。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4.泄密事件审计：对泄密安全事件进行审计，追踪溯源，界定责任，并向管理员推送告警。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5.终端安全防护：确保终端安全，避免内部和外部恶意攻击导致业务。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6.网络安全防护：确保移动终端不遭受病毒、木马等恶意攻击，保障业务正常运行。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7.应用安全防护：保障终端应用、E-mail应用的安全可靠，防止终端应用被攻击，被篡改；防止邮件网关遭受攻击，进行垃圾邮件过滤，防止邮件钓鱼。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8.信息安全学习：实时推送新发布的国家信息安全相关法律、法规，更新信息安全警示教育信息。</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PDA城管通终端要求：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通话时长及流量要求：</w:t>
      </w:r>
    </w:p>
    <w:tbl>
      <w:tblPr>
        <w:tblStyle w:val="4"/>
        <w:tblW w:w="7949" w:type="dxa"/>
        <w:jc w:val="center"/>
        <w:tblLayout w:type="fixed"/>
        <w:tblCellMar>
          <w:top w:w="0" w:type="dxa"/>
          <w:left w:w="108" w:type="dxa"/>
          <w:bottom w:w="0" w:type="dxa"/>
          <w:right w:w="108" w:type="dxa"/>
        </w:tblCellMar>
      </w:tblPr>
      <w:tblGrid>
        <w:gridCol w:w="1045"/>
        <w:gridCol w:w="1225"/>
        <w:gridCol w:w="1153"/>
        <w:gridCol w:w="2229"/>
        <w:gridCol w:w="2297"/>
      </w:tblGrid>
      <w:tr>
        <w:tblPrEx>
          <w:tblCellMar>
            <w:top w:w="0" w:type="dxa"/>
            <w:left w:w="108" w:type="dxa"/>
            <w:bottom w:w="0" w:type="dxa"/>
            <w:right w:w="108" w:type="dxa"/>
          </w:tblCellMar>
        </w:tblPrEx>
        <w:trPr>
          <w:trHeight w:val="400" w:hRule="atLeast"/>
          <w:jc w:val="center"/>
        </w:trPr>
        <w:tc>
          <w:tcPr>
            <w:tcW w:w="10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数量（台）</w:t>
            </w:r>
          </w:p>
        </w:tc>
        <w:tc>
          <w:tcPr>
            <w:tcW w:w="1225"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kern w:val="0"/>
                <w:sz w:val="24"/>
                <w:szCs w:val="24"/>
              </w:rPr>
              <w:t>通话时长（分钟）</w:t>
            </w:r>
          </w:p>
        </w:tc>
        <w:tc>
          <w:tcPr>
            <w:tcW w:w="1153"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流量（G）</w:t>
            </w:r>
          </w:p>
        </w:tc>
        <w:tc>
          <w:tcPr>
            <w:tcW w:w="2229"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语音（超出）</w:t>
            </w:r>
          </w:p>
        </w:tc>
        <w:tc>
          <w:tcPr>
            <w:tcW w:w="2297"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流量（超出）</w:t>
            </w:r>
          </w:p>
        </w:tc>
      </w:tr>
      <w:tr>
        <w:tblPrEx>
          <w:tblCellMar>
            <w:top w:w="0" w:type="dxa"/>
            <w:left w:w="108" w:type="dxa"/>
            <w:bottom w:w="0" w:type="dxa"/>
            <w:right w:w="108" w:type="dxa"/>
          </w:tblCellMar>
        </w:tblPrEx>
        <w:trPr>
          <w:trHeight w:val="400" w:hRule="atLeast"/>
          <w:jc w:val="center"/>
        </w:trPr>
        <w:tc>
          <w:tcPr>
            <w:tcW w:w="1045"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64</w:t>
            </w:r>
          </w:p>
        </w:tc>
        <w:tc>
          <w:tcPr>
            <w:tcW w:w="1225"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≥1000</w:t>
            </w:r>
          </w:p>
        </w:tc>
        <w:tc>
          <w:tcPr>
            <w:tcW w:w="1153"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≥60</w:t>
            </w:r>
          </w:p>
        </w:tc>
        <w:tc>
          <w:tcPr>
            <w:tcW w:w="2229"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sz w:val="24"/>
                <w:szCs w:val="24"/>
              </w:rPr>
              <w:t>语音超出部分≤0.15元/分钟</w:t>
            </w:r>
          </w:p>
        </w:tc>
        <w:tc>
          <w:tcPr>
            <w:tcW w:w="2297"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sz w:val="24"/>
                <w:szCs w:val="24"/>
              </w:rPr>
              <w:t>流量超出部分≤0.29元/MB</w:t>
            </w:r>
          </w:p>
        </w:tc>
      </w:tr>
      <w:tr>
        <w:tblPrEx>
          <w:tblCellMar>
            <w:top w:w="0" w:type="dxa"/>
            <w:left w:w="108" w:type="dxa"/>
            <w:bottom w:w="0" w:type="dxa"/>
            <w:right w:w="108" w:type="dxa"/>
          </w:tblCellMar>
        </w:tblPrEx>
        <w:trPr>
          <w:trHeight w:val="400" w:hRule="atLeast"/>
          <w:jc w:val="center"/>
        </w:trPr>
        <w:tc>
          <w:tcPr>
            <w:tcW w:w="1045"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436</w:t>
            </w:r>
          </w:p>
        </w:tc>
        <w:tc>
          <w:tcPr>
            <w:tcW w:w="1225"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≥500</w:t>
            </w:r>
          </w:p>
        </w:tc>
        <w:tc>
          <w:tcPr>
            <w:tcW w:w="1153"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≥30</w:t>
            </w:r>
          </w:p>
        </w:tc>
        <w:tc>
          <w:tcPr>
            <w:tcW w:w="2229"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highlight w:val="none"/>
              </w:rPr>
            </w:pPr>
          </w:p>
        </w:tc>
        <w:tc>
          <w:tcPr>
            <w:tcW w:w="2297"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highlight w:val="none"/>
              </w:rPr>
            </w:pPr>
          </w:p>
        </w:tc>
      </w:tr>
    </w:tbl>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1.保持现有资费，上述两个套餐与运营商享受同等服务标准。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2.PDA城管通终端的使用需要保证网络安全性，系统安全，所以通过专用VPN网络接入。</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3.目前使用的PDA城管通终端号码，且</w:t>
      </w:r>
      <w:r>
        <w:rPr>
          <w:rFonts w:hint="eastAsia" w:ascii="宋体" w:hAnsi="宋体" w:eastAsia="宋体" w:cs="宋体"/>
          <w:sz w:val="24"/>
          <w:szCs w:val="24"/>
        </w:rPr>
        <w:t>在辖区内对外公布，不便于手机号码批量性</w:t>
      </w:r>
      <w:r>
        <w:rPr>
          <w:rFonts w:hint="eastAsia" w:ascii="宋体" w:hAnsi="宋体" w:eastAsia="宋体" w:cs="宋体"/>
          <w:sz w:val="24"/>
          <w:szCs w:val="24"/>
          <w:highlight w:val="none"/>
        </w:rPr>
        <w:t>更换。</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 提供5G网关及配套流量一套，且流量不限量。</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质量要求及验收标准：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质量要求：达到国家现行技术标准。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验收标准：国家标准、行业标准、企业标准。</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服务期限、地点：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服务期限：每年预算66.5万元，服务期限两年，第二年的合同经监管部门审批后续签</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2.项目实施地点：采购单位指定地点</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PDA城管通数量：</w:t>
      </w:r>
      <w:r>
        <w:rPr>
          <w:rFonts w:hint="eastAsia" w:ascii="宋体" w:hAnsi="宋体" w:eastAsia="宋体" w:cs="宋体"/>
          <w:sz w:val="24"/>
          <w:szCs w:val="24"/>
        </w:rPr>
        <w:t>500部</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PDA城管通配置参数：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硬件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CPU频率：2.2 A76*2+2.0 A55*6</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CPU核心数：八核</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GPU型号：ARM Mali-G57 MC2</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"https://baike.baidu.com/item/RAM/144481?fromModule=lemma_inlink" \t "https://baike.baidu.com/item/%E8%8D%A3%E8%80%80%E7%95%85%E7%8E%A9%2040%20Plus/_blank" </w:instrText>
      </w:r>
      <w:r>
        <w:rPr>
          <w:rFonts w:hint="eastAsia" w:ascii="宋体" w:hAnsi="宋体" w:eastAsia="宋体" w:cs="宋体"/>
          <w:sz w:val="24"/>
          <w:szCs w:val="24"/>
        </w:rPr>
        <w:fldChar w:fldCharType="separate"/>
      </w:r>
      <w:r>
        <w:rPr>
          <w:rFonts w:hint="eastAsia" w:ascii="宋体" w:hAnsi="宋体" w:eastAsia="宋体" w:cs="宋体"/>
          <w:sz w:val="24"/>
          <w:szCs w:val="24"/>
        </w:rPr>
        <w:t>RAM</w:t>
      </w:r>
      <w:r>
        <w:rPr>
          <w:rFonts w:hint="eastAsia" w:ascii="宋体" w:hAnsi="宋体" w:eastAsia="宋体" w:cs="宋体"/>
          <w:sz w:val="24"/>
          <w:szCs w:val="24"/>
        </w:rPr>
        <w:fldChar w:fldCharType="end"/>
      </w:r>
      <w:r>
        <w:rPr>
          <w:rFonts w:hint="eastAsia" w:ascii="宋体" w:hAnsi="宋体" w:eastAsia="宋体" w:cs="宋体"/>
          <w:sz w:val="24"/>
          <w:szCs w:val="24"/>
        </w:rPr>
        <w:t>容量：6GB、8GB</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ROM容量：128GB、256GB</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出厂系统内核：Android 12</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操作系统：Magic UI 6.1</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、屏幕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屏幕尺寸：6.74英寸</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屏幕材质：TFT LCD（IPS）</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分辨率：1600x720像素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屏幕比例：20:9</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屏幕刷新率：90赫兹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屏幕色彩：1670万色</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3、摄像头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摄像头总数：三摄像头（后双）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摄像头名称：后置摄像头1：主摄，后置摄像头2：感光景深摄像头，前置摄像头1：前置主摄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主摄：后置摄像头1：5000万像素，后置摄像头2：200万像素，前置摄像头1：500万像素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光圈：后置摄像头1：f/1.8，后置摄像头2：f/2.4，前置摄像头1：f/2.2</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后置视频拍摄：最大可支持1080x1920像素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其他摄像头参数：支持2D人脸识别</w:t>
      </w:r>
    </w:p>
    <w:p>
      <w:pPr>
        <w:widowControl/>
        <w:wordWrap w:val="0"/>
        <w:spacing w:line="360" w:lineRule="auto"/>
        <w:ind w:firstLine="480" w:firstLineChars="200"/>
        <w:textAlignment w:val="center"/>
        <w:rPr>
          <w:rFonts w:hint="eastAsia" w:ascii="宋体" w:hAnsi="宋体" w:eastAsia="宋体" w:cs="宋体"/>
          <w:sz w:val="24"/>
          <w:szCs w:val="24"/>
        </w:rPr>
      </w:pPr>
      <w:r>
        <w:rPr>
          <w:rFonts w:hint="eastAsia" w:ascii="宋体" w:hAnsi="宋体" w:eastAsia="宋体" w:cs="宋体"/>
          <w:sz w:val="24"/>
          <w:szCs w:val="24"/>
        </w:rPr>
        <w:t xml:space="preserve">4、网络与连接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5G网络：移动5G（NR TDD），联通5G（NR TDD），电信5G（NR TDD）</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4G网络：移动TD-LTE，联通TD-LTE，联通FDD-LTE，电信TD-LTE，电信FDD-LTE</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3G网络：移动3G（TD-SCDMA），联通3G（WCDMA），电信3G（CDMA2000）联通2G/移动2G（GSM）</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SIM卡类型：Nano SIM卡WLAN功能：双频WiFi，WiFi5（IEEE 802.11 a/b/g/n/ac）</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蓝牙：蓝牙5.1</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连接与共享：OTG</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定位导航：支持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"https://baike.baidu.com/item/GPS/214654?fromModule=lemma_inlink" \t "https://baike.baidu.com/item/%E8%8D%A3%E8%80%80%E7%95%85%E7%8E%A9%2040%20Plus/_blank" </w:instrText>
      </w:r>
      <w:r>
        <w:rPr>
          <w:rFonts w:hint="eastAsia" w:ascii="宋体" w:hAnsi="宋体" w:eastAsia="宋体" w:cs="宋体"/>
          <w:sz w:val="24"/>
          <w:szCs w:val="24"/>
        </w:rPr>
        <w:fldChar w:fldCharType="separate"/>
      </w:r>
      <w:r>
        <w:rPr>
          <w:rFonts w:hint="eastAsia" w:ascii="宋体" w:hAnsi="宋体" w:eastAsia="宋体" w:cs="宋体"/>
          <w:sz w:val="24"/>
          <w:szCs w:val="24"/>
        </w:rPr>
        <w:t>GPS</w:t>
      </w:r>
      <w:r>
        <w:rPr>
          <w:rFonts w:hint="eastAsia" w:ascii="宋体" w:hAnsi="宋体" w:eastAsia="宋体" w:cs="宋体"/>
          <w:sz w:val="24"/>
          <w:szCs w:val="24"/>
        </w:rPr>
        <w:fldChar w:fldCharType="end"/>
      </w:r>
      <w:r>
        <w:rPr>
          <w:rFonts w:hint="eastAsia" w:ascii="宋体" w:hAnsi="宋体" w:eastAsia="宋体" w:cs="宋体"/>
          <w:sz w:val="24"/>
          <w:szCs w:val="24"/>
        </w:rPr>
        <w:t>，AGPS，</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"https://baike.baidu.com/item/%E5%8C%97%E6%96%97/12640773?fromModule=lemma_inlink" \t "https://baike.baidu.com/item/%E8%8D%A3%E8%80%80%E7%95%85%E7%8E%A9%2040%20Plus/_blank" </w:instrText>
      </w:r>
      <w:r>
        <w:rPr>
          <w:rFonts w:hint="eastAsia" w:ascii="宋体" w:hAnsi="宋体" w:eastAsia="宋体" w:cs="宋体"/>
          <w:sz w:val="24"/>
          <w:szCs w:val="24"/>
        </w:rPr>
        <w:fldChar w:fldCharType="separate"/>
      </w:r>
      <w:r>
        <w:rPr>
          <w:rFonts w:hint="eastAsia" w:ascii="宋体" w:hAnsi="宋体" w:eastAsia="宋体" w:cs="宋体"/>
          <w:sz w:val="24"/>
          <w:szCs w:val="24"/>
        </w:rPr>
        <w:t>北斗</w:t>
      </w:r>
      <w:r>
        <w:rPr>
          <w:rFonts w:hint="eastAsia" w:ascii="宋体" w:hAnsi="宋体" w:eastAsia="宋体" w:cs="宋体"/>
          <w:sz w:val="24"/>
          <w:szCs w:val="24"/>
        </w:rPr>
        <w:fldChar w:fldCharType="end"/>
      </w:r>
      <w:r>
        <w:rPr>
          <w:rFonts w:hint="eastAsia" w:ascii="宋体" w:hAnsi="宋体" w:eastAsia="宋体" w:cs="宋体"/>
          <w:sz w:val="24"/>
          <w:szCs w:val="24"/>
        </w:rPr>
        <w:t>，Glonass，伽利略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机身接口：</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"https://baike.baidu.com/item/USB%20Type-C/16565059?fromModule=lemma_inlink" \t "https://baike.baidu.com/item/%E8%8D%A3%E8%80%80%E7%95%85%E7%8E%A9%2040%20Plus/_blank" </w:instrText>
      </w:r>
      <w:r>
        <w:rPr>
          <w:rFonts w:hint="eastAsia" w:ascii="宋体" w:hAnsi="宋体" w:eastAsia="宋体" w:cs="宋体"/>
          <w:sz w:val="24"/>
          <w:szCs w:val="24"/>
        </w:rPr>
        <w:fldChar w:fldCharType="separate"/>
      </w:r>
      <w:r>
        <w:rPr>
          <w:rFonts w:hint="eastAsia" w:ascii="宋体" w:hAnsi="宋体" w:eastAsia="宋体" w:cs="宋体"/>
          <w:sz w:val="24"/>
          <w:szCs w:val="24"/>
        </w:rPr>
        <w:t>USB Type-C</w:t>
      </w:r>
      <w:r>
        <w:rPr>
          <w:rFonts w:hint="eastAsia" w:ascii="宋体" w:hAnsi="宋体" w:eastAsia="宋体" w:cs="宋体"/>
          <w:sz w:val="24"/>
          <w:szCs w:val="24"/>
        </w:rPr>
        <w:fldChar w:fldCharType="end"/>
      </w:r>
      <w:r>
        <w:rPr>
          <w:rFonts w:hint="eastAsia" w:ascii="宋体" w:hAnsi="宋体" w:eastAsia="宋体" w:cs="宋体"/>
          <w:sz w:val="24"/>
          <w:szCs w:val="24"/>
        </w:rPr>
        <w:t>接口</w:t>
      </w:r>
    </w:p>
    <w:p>
      <w:pPr>
        <w:pStyle w:val="2"/>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注:以上参数为最低配置，只能响应和优于该配置，不响应按废标处理。</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NTJmNmFjNDQ2OTcyMjUyNjBkY2JlZjFhNTk0ZjYifQ=="/>
  </w:docVars>
  <w:rsids>
    <w:rsidRoot w:val="00000000"/>
    <w:rsid w:val="1B147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rFonts w:ascii="黑体" w:hAnsi="黑体"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ascii="Copperplate Gothic Bold" w:hAnsi="Copperplate Gothic Bold"/>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2023-05-08T01:20:54Z</dcterms:created>
  <dc:creator>Administrator</dc:creator>
  <cp:lastModifiedBy>Administrator</cp:lastModifiedBy>
  <dcterms:modified xsi:type="dcterms:W3CDTF">2023-05-08T01:21:31Z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5FE8E0CE01E440809080B873855DA87F_12</vt:lpwstr>
  </property>
</Properties>
</file>