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5" w:lineRule="auto"/>
        <w:rPr>
          <w:rFonts w:hint="default" w:ascii="宋体" w:hAnsi="宋体" w:eastAsia="宋体" w:cs="宋体"/>
          <w:sz w:val="31"/>
          <w:szCs w:val="31"/>
          <w:highlight w:val="none"/>
          <w:lang w:val="en-US" w:eastAsia="zh-CN"/>
          <w14:textOutline w14:w="5793" w14:cap="sq" w14:cmpd="sng">
            <w14:solidFill>
              <w14:srgbClr w14:val="000000"/>
            </w14:solidFill>
            <w14:prstDash w14:val="solid"/>
            <w14:bevel/>
          </w14:textOutline>
        </w:rPr>
      </w:pPr>
      <w:bookmarkStart w:id="138" w:name="_GoBack"/>
      <w:bookmarkEnd w:id="138"/>
      <w:r>
        <w:rPr>
          <w:rFonts w:ascii="宋体" w:hAnsi="宋体" w:eastAsia="宋体" w:cs="宋体"/>
          <w:spacing w:val="15"/>
          <w:sz w:val="31"/>
          <w:szCs w:val="31"/>
          <w:highlight w:val="none"/>
          <w14:textOutline w14:w="5793" w14:cap="sq" w14:cmpd="sng">
            <w14:solidFill>
              <w14:srgbClr w14:val="000000"/>
            </w14:solidFill>
            <w14:prstDash w14:val="solid"/>
            <w14:bevel/>
          </w14:textOutline>
        </w:rPr>
        <w:t>项</w:t>
      </w:r>
      <w:r>
        <w:rPr>
          <w:rFonts w:ascii="宋体" w:hAnsi="宋体" w:eastAsia="宋体" w:cs="宋体"/>
          <w:spacing w:val="8"/>
          <w:sz w:val="31"/>
          <w:szCs w:val="31"/>
          <w:highlight w:val="none"/>
          <w14:textOutline w14:w="5793" w14:cap="sq" w14:cmpd="sng">
            <w14:solidFill>
              <w14:srgbClr w14:val="000000"/>
            </w14:solidFill>
            <w14:prstDash w14:val="solid"/>
            <w14:bevel/>
          </w14:textOutline>
        </w:rPr>
        <w:t>目编号:</w:t>
      </w:r>
      <w:r>
        <w:rPr>
          <w:rFonts w:ascii="宋体" w:hAnsi="宋体" w:eastAsia="宋体" w:cs="宋体"/>
          <w:spacing w:val="8"/>
          <w:sz w:val="31"/>
          <w:szCs w:val="31"/>
          <w:highlight w:val="none"/>
        </w:rPr>
        <w:t xml:space="preserve"> </w:t>
      </w:r>
      <w:r>
        <w:rPr>
          <w:rFonts w:hint="eastAsia" w:ascii="宋体" w:hAnsi="宋体"/>
          <w:b/>
          <w:color w:val="000000"/>
          <w:sz w:val="28"/>
          <w:szCs w:val="28"/>
          <w:highlight w:val="none"/>
          <w:lang w:val="en-US" w:eastAsia="zh-CN"/>
        </w:rPr>
        <w:t>SXZH-2023-002.2B1</w:t>
      </w:r>
    </w:p>
    <w:p>
      <w:pPr>
        <w:pStyle w:val="38"/>
        <w:rPr>
          <w:rFonts w:hint="default"/>
          <w:highlight w:val="none"/>
          <w:lang w:val="en-US"/>
        </w:rPr>
      </w:pPr>
    </w:p>
    <w:p>
      <w:pPr>
        <w:pStyle w:val="38"/>
        <w:rPr>
          <w:rFonts w:hint="default"/>
          <w:highlight w:val="none"/>
          <w:lang w:val="en-US"/>
        </w:rPr>
      </w:pPr>
    </w:p>
    <w:p>
      <w:pPr>
        <w:spacing w:line="274" w:lineRule="auto"/>
        <w:rPr>
          <w:rFonts w:ascii="Arial"/>
          <w:sz w:val="21"/>
          <w:highlight w:val="none"/>
        </w:rPr>
      </w:pPr>
    </w:p>
    <w:p>
      <w:pPr>
        <w:spacing w:line="274" w:lineRule="auto"/>
        <w:rPr>
          <w:rFonts w:ascii="Arial"/>
          <w:sz w:val="21"/>
          <w:highlight w:val="none"/>
        </w:rPr>
      </w:pPr>
    </w:p>
    <w:p>
      <w:pPr>
        <w:jc w:val="center"/>
        <w:rPr>
          <w:rFonts w:hint="eastAsia" w:ascii="方正小标宋简体" w:hAnsi="宋体" w:eastAsia="方正小标宋简体" w:cs="Times New Roman"/>
          <w:color w:val="000000"/>
          <w:sz w:val="52"/>
          <w:szCs w:val="52"/>
          <w:highlight w:val="none"/>
          <w:lang w:eastAsia="zh-CN"/>
        </w:rPr>
      </w:pPr>
      <w:r>
        <w:rPr>
          <w:rFonts w:hint="eastAsia" w:ascii="方正小标宋简体" w:hAnsi="宋体" w:eastAsia="方正小标宋简体" w:cs="Times New Roman"/>
          <w:color w:val="000000"/>
          <w:sz w:val="52"/>
          <w:szCs w:val="52"/>
          <w:highlight w:val="none"/>
          <w:lang w:eastAsia="zh-CN"/>
        </w:rPr>
        <w:t>2023年春季绿化项目监理（</w:t>
      </w:r>
      <w:r>
        <w:rPr>
          <w:rFonts w:hint="eastAsia" w:ascii="方正小标宋简体" w:hAnsi="宋体" w:eastAsia="方正小标宋简体" w:cs="Times New Roman"/>
          <w:color w:val="000000"/>
          <w:sz w:val="52"/>
          <w:szCs w:val="52"/>
          <w:highlight w:val="none"/>
          <w:lang w:val="en-US" w:eastAsia="zh-CN"/>
        </w:rPr>
        <w:t>二次</w:t>
      </w:r>
      <w:r>
        <w:rPr>
          <w:rFonts w:hint="eastAsia" w:ascii="方正小标宋简体" w:hAnsi="宋体" w:eastAsia="方正小标宋简体" w:cs="Times New Roman"/>
          <w:color w:val="000000"/>
          <w:sz w:val="52"/>
          <w:szCs w:val="52"/>
          <w:highlight w:val="none"/>
          <w:lang w:eastAsia="zh-CN"/>
        </w:rPr>
        <w:t>）</w:t>
      </w:r>
    </w:p>
    <w:p>
      <w:pPr>
        <w:spacing w:line="300" w:lineRule="auto"/>
        <w:rPr>
          <w:rFonts w:ascii="Arial"/>
          <w:sz w:val="21"/>
          <w:highlight w:val="none"/>
        </w:rPr>
      </w:pPr>
    </w:p>
    <w:p>
      <w:pPr>
        <w:spacing w:before="270" w:line="222" w:lineRule="auto"/>
        <w:ind w:left="2094" w:firstLine="644" w:firstLineChars="100"/>
        <w:rPr>
          <w:rFonts w:ascii="宋体" w:hAnsi="宋体" w:eastAsia="宋体" w:cs="宋体"/>
          <w:spacing w:val="42"/>
          <w:sz w:val="56"/>
          <w:szCs w:val="56"/>
          <w:highlight w:val="none"/>
          <w14:textOutline w14:w="15255" w14:cap="sq" w14:cmpd="sng">
            <w14:solidFill>
              <w14:srgbClr w14:val="000000"/>
            </w14:solidFill>
            <w14:prstDash w14:val="solid"/>
            <w14:bevel/>
          </w14:textOutline>
        </w:rPr>
      </w:pPr>
    </w:p>
    <w:p>
      <w:pPr>
        <w:spacing w:before="270" w:line="222" w:lineRule="auto"/>
        <w:ind w:left="0" w:firstLine="2576" w:firstLineChars="400"/>
        <w:rPr>
          <w:rFonts w:ascii="宋体" w:hAnsi="宋体" w:eastAsia="宋体" w:cs="宋体"/>
          <w:sz w:val="56"/>
          <w:szCs w:val="56"/>
          <w:highlight w:val="none"/>
        </w:rPr>
      </w:pPr>
      <w:r>
        <w:rPr>
          <w:rFonts w:ascii="宋体" w:hAnsi="宋体" w:eastAsia="宋体" w:cs="宋体"/>
          <w:spacing w:val="42"/>
          <w:sz w:val="56"/>
          <w:szCs w:val="56"/>
          <w:highlight w:val="none"/>
          <w14:textOutline w14:w="15255" w14:cap="sq" w14:cmpd="sng">
            <w14:solidFill>
              <w14:srgbClr w14:val="000000"/>
            </w14:solidFill>
            <w14:prstDash w14:val="solid"/>
            <w14:bevel/>
          </w14:textOutline>
        </w:rPr>
        <w:t>招</w:t>
      </w:r>
      <w:r>
        <w:rPr>
          <w:rFonts w:ascii="宋体" w:hAnsi="宋体" w:eastAsia="宋体" w:cs="宋体"/>
          <w:spacing w:val="42"/>
          <w:sz w:val="56"/>
          <w:szCs w:val="56"/>
          <w:highlight w:val="none"/>
        </w:rPr>
        <w:t xml:space="preserve"> </w:t>
      </w:r>
      <w:r>
        <w:rPr>
          <w:rFonts w:ascii="宋体" w:hAnsi="宋体" w:eastAsia="宋体" w:cs="宋体"/>
          <w:spacing w:val="42"/>
          <w:sz w:val="56"/>
          <w:szCs w:val="56"/>
          <w:highlight w:val="none"/>
          <w14:textOutline w14:w="15255" w14:cap="sq" w14:cmpd="sng">
            <w14:solidFill>
              <w14:srgbClr w14:val="000000"/>
            </w14:solidFill>
            <w14:prstDash w14:val="solid"/>
            <w14:bevel/>
          </w14:textOutline>
        </w:rPr>
        <w:t>标</w:t>
      </w:r>
      <w:r>
        <w:rPr>
          <w:rFonts w:ascii="宋体" w:hAnsi="宋体" w:eastAsia="宋体" w:cs="宋体"/>
          <w:spacing w:val="42"/>
          <w:sz w:val="56"/>
          <w:szCs w:val="56"/>
          <w:highlight w:val="none"/>
        </w:rPr>
        <w:t xml:space="preserve"> </w:t>
      </w:r>
      <w:r>
        <w:rPr>
          <w:rFonts w:ascii="宋体" w:hAnsi="宋体" w:eastAsia="宋体" w:cs="宋体"/>
          <w:spacing w:val="42"/>
          <w:sz w:val="56"/>
          <w:szCs w:val="56"/>
          <w:highlight w:val="none"/>
          <w14:textOutline w14:w="15255" w14:cap="sq" w14:cmpd="sng">
            <w14:solidFill>
              <w14:srgbClr w14:val="000000"/>
            </w14:solidFill>
            <w14:prstDash w14:val="solid"/>
            <w14:bevel/>
          </w14:textOutline>
        </w:rPr>
        <w:t>文</w:t>
      </w:r>
      <w:r>
        <w:rPr>
          <w:rFonts w:ascii="宋体" w:hAnsi="宋体" w:eastAsia="宋体" w:cs="宋体"/>
          <w:spacing w:val="42"/>
          <w:sz w:val="56"/>
          <w:szCs w:val="56"/>
          <w:highlight w:val="none"/>
        </w:rPr>
        <w:t xml:space="preserve"> </w:t>
      </w:r>
      <w:r>
        <w:rPr>
          <w:rFonts w:ascii="宋体" w:hAnsi="宋体" w:eastAsia="宋体" w:cs="宋体"/>
          <w:spacing w:val="40"/>
          <w:sz w:val="56"/>
          <w:szCs w:val="56"/>
          <w:highlight w:val="none"/>
          <w14:textOutline w14:w="15255" w14:cap="sq" w14:cmpd="sng">
            <w14:solidFill>
              <w14:srgbClr w14:val="000000"/>
            </w14:solidFill>
            <w14:prstDash w14:val="solid"/>
            <w14:bevel/>
          </w14:textOutline>
        </w:rPr>
        <w:t>件</w:t>
      </w:r>
    </w:p>
    <w:p>
      <w:pPr>
        <w:spacing w:line="250" w:lineRule="auto"/>
        <w:rPr>
          <w:rFonts w:ascii="Arial"/>
          <w:sz w:val="21"/>
          <w:highlight w:val="none"/>
        </w:rPr>
      </w:pPr>
    </w:p>
    <w:p>
      <w:pPr>
        <w:spacing w:line="250"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pStyle w:val="15"/>
        <w:rPr>
          <w:rFonts w:ascii="Arial"/>
          <w:sz w:val="21"/>
          <w:highlight w:val="none"/>
        </w:rPr>
      </w:pPr>
    </w:p>
    <w:p>
      <w:pPr>
        <w:pStyle w:val="15"/>
        <w:rPr>
          <w:rFonts w:ascii="Arial"/>
          <w:sz w:val="21"/>
          <w:highlight w:val="none"/>
        </w:rPr>
      </w:pPr>
    </w:p>
    <w:p>
      <w:pPr>
        <w:pStyle w:val="15"/>
        <w:rPr>
          <w:rFonts w:ascii="Arial"/>
          <w:sz w:val="21"/>
          <w:highlight w:val="none"/>
        </w:rPr>
      </w:pPr>
    </w:p>
    <w:p>
      <w:pPr>
        <w:pStyle w:val="15"/>
        <w:rPr>
          <w:rFonts w:ascii="Arial"/>
          <w:sz w:val="21"/>
          <w:highlight w:val="none"/>
        </w:rPr>
      </w:pPr>
    </w:p>
    <w:p>
      <w:pPr>
        <w:pStyle w:val="15"/>
        <w:rPr>
          <w:rFonts w:ascii="Arial"/>
          <w:sz w:val="21"/>
          <w:highlight w:val="none"/>
        </w:rPr>
      </w:pPr>
    </w:p>
    <w:p>
      <w:pPr>
        <w:pStyle w:val="15"/>
        <w:rPr>
          <w:rFonts w:ascii="Arial"/>
          <w:sz w:val="21"/>
          <w:highlight w:val="none"/>
        </w:rPr>
      </w:pPr>
    </w:p>
    <w:p>
      <w:pPr>
        <w:pStyle w:val="15"/>
        <w:rPr>
          <w:rFonts w:ascii="Arial"/>
          <w:sz w:val="21"/>
          <w:highlight w:val="none"/>
        </w:rPr>
      </w:pPr>
    </w:p>
    <w:p>
      <w:pPr>
        <w:pStyle w:val="15"/>
        <w:rPr>
          <w:rFonts w:ascii="Arial"/>
          <w:sz w:val="21"/>
          <w:highlight w:val="none"/>
        </w:rPr>
      </w:pPr>
    </w:p>
    <w:p>
      <w:pPr>
        <w:spacing w:before="101" w:line="224" w:lineRule="auto"/>
        <w:ind w:firstLine="1038" w:firstLineChars="300"/>
        <w:rPr>
          <w:rFonts w:ascii="宋体" w:hAnsi="宋体" w:eastAsia="宋体" w:cs="宋体"/>
          <w:spacing w:val="18"/>
          <w:sz w:val="31"/>
          <w:szCs w:val="31"/>
          <w:highlight w:val="none"/>
          <w14:textOutline w14:w="5793" w14:cap="sq" w14:cmpd="sng">
            <w14:solidFill>
              <w14:srgbClr w14:val="000000"/>
            </w14:solidFill>
            <w14:prstDash w14:val="solid"/>
            <w14:bevel/>
          </w14:textOutline>
        </w:rPr>
      </w:pPr>
    </w:p>
    <w:p>
      <w:pPr>
        <w:spacing w:before="101" w:line="224" w:lineRule="auto"/>
        <w:ind w:firstLine="1038" w:firstLineChars="300"/>
        <w:rPr>
          <w:rFonts w:ascii="宋体" w:hAnsi="宋体" w:eastAsia="宋体" w:cs="宋体"/>
          <w:spacing w:val="18"/>
          <w:sz w:val="31"/>
          <w:szCs w:val="31"/>
          <w:highlight w:val="none"/>
          <w14:textOutline w14:w="5793" w14:cap="sq" w14:cmpd="sng">
            <w14:solidFill>
              <w14:srgbClr w14:val="000000"/>
            </w14:solidFill>
            <w14:prstDash w14:val="solid"/>
            <w14:bevel/>
          </w14:textOutline>
        </w:rPr>
      </w:pPr>
    </w:p>
    <w:p>
      <w:pPr>
        <w:spacing w:before="101" w:line="224" w:lineRule="auto"/>
        <w:ind w:firstLine="1038" w:firstLineChars="300"/>
        <w:rPr>
          <w:rFonts w:ascii="宋体" w:hAnsi="宋体" w:eastAsia="宋体" w:cs="宋体"/>
          <w:spacing w:val="18"/>
          <w:sz w:val="31"/>
          <w:szCs w:val="31"/>
          <w:highlight w:val="none"/>
          <w14:textOutline w14:w="5793" w14:cap="sq" w14:cmpd="sng">
            <w14:solidFill>
              <w14:srgbClr w14:val="000000"/>
            </w14:solidFill>
            <w14:prstDash w14:val="solid"/>
            <w14:bevel/>
          </w14:textOutline>
        </w:rPr>
      </w:pPr>
    </w:p>
    <w:p>
      <w:pPr>
        <w:spacing w:line="282" w:lineRule="auto"/>
        <w:ind w:firstLine="692" w:firstLineChars="200"/>
        <w:rPr>
          <w:rFonts w:ascii="Arial"/>
          <w:sz w:val="21"/>
          <w:highlight w:val="none"/>
        </w:rPr>
      </w:pPr>
      <w:r>
        <w:rPr>
          <w:rFonts w:ascii="宋体" w:hAnsi="宋体" w:eastAsia="宋体" w:cs="宋体"/>
          <w:spacing w:val="18"/>
          <w:sz w:val="31"/>
          <w:szCs w:val="31"/>
          <w:highlight w:val="none"/>
          <w14:textOutline w14:w="5793" w14:cap="sq" w14:cmpd="sng">
            <w14:solidFill>
              <w14:srgbClr w14:val="000000"/>
            </w14:solidFill>
            <w14:prstDash w14:val="solid"/>
            <w14:bevel/>
          </w14:textOutline>
        </w:rPr>
        <w:t>采</w:t>
      </w:r>
      <w:r>
        <w:rPr>
          <w:rFonts w:ascii="宋体" w:hAnsi="宋体" w:eastAsia="宋体" w:cs="宋体"/>
          <w:spacing w:val="10"/>
          <w:sz w:val="31"/>
          <w:szCs w:val="31"/>
          <w:highlight w:val="none"/>
          <w14:textOutline w14:w="5793" w14:cap="sq" w14:cmpd="sng">
            <w14:solidFill>
              <w14:srgbClr w14:val="000000"/>
            </w14:solidFill>
            <w14:prstDash w14:val="solid"/>
            <w14:bevel/>
          </w14:textOutline>
        </w:rPr>
        <w:t>购</w:t>
      </w:r>
      <w:r>
        <w:rPr>
          <w:rFonts w:ascii="宋体" w:hAnsi="宋体" w:eastAsia="宋体" w:cs="宋体"/>
          <w:spacing w:val="9"/>
          <w:sz w:val="31"/>
          <w:szCs w:val="31"/>
          <w:highlight w:val="none"/>
          <w14:textOutline w14:w="5793" w14:cap="sq" w14:cmpd="sng">
            <w14:solidFill>
              <w14:srgbClr w14:val="000000"/>
            </w14:solidFill>
            <w14:prstDash w14:val="solid"/>
            <w14:bevel/>
          </w14:textOutline>
        </w:rPr>
        <w:t>人：</w:t>
      </w: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西安市雁塔区城市管理和综合执法局</w:t>
      </w:r>
    </w:p>
    <w:p>
      <w:pPr>
        <w:spacing w:before="101" w:line="224" w:lineRule="auto"/>
        <w:ind w:firstLine="1050" w:firstLineChars="300"/>
        <w:rPr>
          <w:rFonts w:hint="eastAsia" w:ascii="宋体" w:hAnsi="宋体" w:eastAsia="宋体" w:cs="宋体"/>
          <w:sz w:val="31"/>
          <w:szCs w:val="31"/>
          <w:highlight w:val="none"/>
          <w:lang w:eastAsia="zh-CN"/>
        </w:rPr>
      </w:pPr>
      <w:r>
        <w:rPr>
          <w:rFonts w:ascii="宋体" w:hAnsi="宋体" w:eastAsia="宋体" w:cs="宋体"/>
          <w:spacing w:val="20"/>
          <w:sz w:val="31"/>
          <w:szCs w:val="31"/>
          <w:highlight w:val="none"/>
          <w14:textOutline w14:w="5793" w14:cap="sq" w14:cmpd="sng">
            <w14:solidFill>
              <w14:srgbClr w14:val="000000"/>
            </w14:solidFill>
            <w14:prstDash w14:val="solid"/>
            <w14:bevel/>
          </w14:textOutline>
        </w:rPr>
        <w:t>采</w:t>
      </w:r>
      <w:r>
        <w:rPr>
          <w:rFonts w:ascii="宋体" w:hAnsi="宋体" w:eastAsia="宋体" w:cs="宋体"/>
          <w:spacing w:val="10"/>
          <w:sz w:val="31"/>
          <w:szCs w:val="31"/>
          <w:highlight w:val="none"/>
          <w14:textOutline w14:w="5793" w14:cap="sq" w14:cmpd="sng">
            <w14:solidFill>
              <w14:srgbClr w14:val="000000"/>
            </w14:solidFill>
            <w14:prstDash w14:val="solid"/>
            <w14:bevel/>
          </w14:textOutline>
        </w:rPr>
        <w:t>购代理机构：</w:t>
      </w:r>
      <w:r>
        <w:rPr>
          <w:rFonts w:hint="eastAsia" w:ascii="宋体" w:hAnsi="宋体" w:eastAsia="宋体" w:cs="宋体"/>
          <w:spacing w:val="10"/>
          <w:sz w:val="31"/>
          <w:szCs w:val="31"/>
          <w:highlight w:val="none"/>
          <w:lang w:eastAsia="zh-CN"/>
          <w14:textOutline w14:w="5793" w14:cap="sq" w14:cmpd="sng">
            <w14:solidFill>
              <w14:srgbClr w14:val="000000"/>
            </w14:solidFill>
            <w14:prstDash w14:val="solid"/>
            <w14:bevel/>
          </w14:textOutline>
        </w:rPr>
        <w:t>陕西筑辉工程咨询有限公司</w:t>
      </w:r>
    </w:p>
    <w:p>
      <w:pPr>
        <w:spacing w:line="245" w:lineRule="auto"/>
        <w:rPr>
          <w:rFonts w:ascii="Arial"/>
          <w:sz w:val="21"/>
          <w:highlight w:val="none"/>
        </w:rPr>
      </w:pPr>
    </w:p>
    <w:p>
      <w:pPr>
        <w:spacing w:before="101" w:line="225" w:lineRule="auto"/>
        <w:ind w:left="3249"/>
        <w:rPr>
          <w:rFonts w:ascii="宋体" w:hAnsi="宋体" w:eastAsia="宋体" w:cs="宋体"/>
          <w:sz w:val="31"/>
          <w:szCs w:val="31"/>
          <w:highlight w:val="none"/>
        </w:rPr>
      </w:pPr>
      <w:r>
        <w:rPr>
          <w:rFonts w:ascii="宋体" w:hAnsi="宋体" w:eastAsia="宋体" w:cs="宋体"/>
          <w:spacing w:val="11"/>
          <w:sz w:val="31"/>
          <w:szCs w:val="31"/>
          <w:highlight w:val="none"/>
          <w14:textOutline w14:w="5793" w14:cap="sq" w14:cmpd="sng">
            <w14:solidFill>
              <w14:srgbClr w14:val="000000"/>
            </w14:solidFill>
            <w14:prstDash w14:val="solid"/>
            <w14:bevel/>
          </w14:textOutline>
        </w:rPr>
        <w:t>二</w:t>
      </w:r>
      <w:r>
        <w:rPr>
          <w:rFonts w:ascii="宋体" w:hAnsi="宋体" w:eastAsia="宋体" w:cs="宋体"/>
          <w:spacing w:val="10"/>
          <w:sz w:val="31"/>
          <w:szCs w:val="31"/>
          <w:highlight w:val="none"/>
          <w14:textOutline w14:w="5793" w14:cap="sq" w14:cmpd="sng">
            <w14:solidFill>
              <w14:srgbClr w14:val="000000"/>
            </w14:solidFill>
            <w14:prstDash w14:val="solid"/>
            <w14:bevel/>
          </w14:textOutline>
        </w:rPr>
        <w:t>〇二</w:t>
      </w:r>
      <w:r>
        <w:rPr>
          <w:rFonts w:hint="eastAsia" w:ascii="宋体" w:hAnsi="宋体" w:eastAsia="宋体" w:cs="宋体"/>
          <w:spacing w:val="10"/>
          <w:sz w:val="31"/>
          <w:szCs w:val="31"/>
          <w:highlight w:val="none"/>
          <w:lang w:val="en-US" w:eastAsia="zh-CN"/>
          <w14:textOutline w14:w="5793" w14:cap="sq" w14:cmpd="sng">
            <w14:solidFill>
              <w14:srgbClr w14:val="000000"/>
            </w14:solidFill>
            <w14:prstDash w14:val="solid"/>
            <w14:bevel/>
          </w14:textOutline>
        </w:rPr>
        <w:t>三</w:t>
      </w:r>
      <w:r>
        <w:rPr>
          <w:rFonts w:ascii="宋体" w:hAnsi="宋体" w:eastAsia="宋体" w:cs="宋体"/>
          <w:spacing w:val="10"/>
          <w:sz w:val="31"/>
          <w:szCs w:val="31"/>
          <w:highlight w:val="none"/>
          <w14:textOutline w14:w="5793" w14:cap="sq" w14:cmpd="sng">
            <w14:solidFill>
              <w14:srgbClr w14:val="000000"/>
            </w14:solidFill>
            <w14:prstDash w14:val="solid"/>
            <w14:bevel/>
          </w14:textOutline>
        </w:rPr>
        <w:t>年</w:t>
      </w:r>
      <w:r>
        <w:rPr>
          <w:rFonts w:hint="eastAsia" w:ascii="宋体" w:hAnsi="宋体" w:eastAsia="宋体" w:cs="宋体"/>
          <w:spacing w:val="10"/>
          <w:sz w:val="31"/>
          <w:szCs w:val="31"/>
          <w:highlight w:val="none"/>
          <w:lang w:val="en-US" w:eastAsia="zh-CN"/>
          <w14:textOutline w14:w="5793" w14:cap="sq" w14:cmpd="sng">
            <w14:solidFill>
              <w14:srgbClr w14:val="000000"/>
            </w14:solidFill>
            <w14:prstDash w14:val="solid"/>
            <w14:bevel/>
          </w14:textOutline>
        </w:rPr>
        <w:t>二</w:t>
      </w:r>
      <w:r>
        <w:rPr>
          <w:rFonts w:ascii="宋体" w:hAnsi="宋体" w:eastAsia="宋体" w:cs="宋体"/>
          <w:spacing w:val="10"/>
          <w:sz w:val="31"/>
          <w:szCs w:val="31"/>
          <w:highlight w:val="none"/>
          <w14:textOutline w14:w="5793" w14:cap="sq" w14:cmpd="sng">
            <w14:solidFill>
              <w14:srgbClr w14:val="000000"/>
            </w14:solidFill>
            <w14:prstDash w14:val="solid"/>
            <w14:bevel/>
          </w14:textOutline>
        </w:rPr>
        <w:t>月</w:t>
      </w:r>
    </w:p>
    <w:p>
      <w:pPr>
        <w:rPr>
          <w:highlight w:val="none"/>
        </w:rPr>
        <w:sectPr>
          <w:pgSz w:w="11906" w:h="16839"/>
          <w:pgMar w:top="1417" w:right="1417" w:bottom="1417" w:left="1417" w:header="1020" w:footer="0" w:gutter="0"/>
          <w:cols w:space="425" w:num="1"/>
          <w:rtlGutter w:val="0"/>
          <w:docGrid w:linePitch="0" w:charSpace="0"/>
        </w:sectPr>
      </w:pPr>
    </w:p>
    <w:p>
      <w:pPr>
        <w:ind w:left="0" w:leftChars="0" w:right="0" w:rightChars="0" w:firstLine="0" w:firstLineChars="0"/>
        <w:jc w:val="center"/>
        <w:rPr>
          <w:rFonts w:hint="eastAsia" w:eastAsia="宋体"/>
          <w:b/>
          <w:bCs/>
          <w:sz w:val="40"/>
          <w:szCs w:val="40"/>
          <w:highlight w:val="none"/>
          <w:lang w:val="en-US" w:eastAsia="zh-CN"/>
        </w:rPr>
      </w:pPr>
      <w:r>
        <w:rPr>
          <w:rFonts w:hint="eastAsia" w:eastAsia="宋体"/>
          <w:b/>
          <w:bCs/>
          <w:sz w:val="40"/>
          <w:szCs w:val="40"/>
          <w:highlight w:val="none"/>
          <w:lang w:val="en-US" w:eastAsia="zh-CN"/>
        </w:rPr>
        <w:t>目  录</w:t>
      </w:r>
    </w:p>
    <w:sdt>
      <w:sdtPr>
        <w:rPr>
          <w:rFonts w:hint="eastAsia" w:ascii="宋体" w:hAnsi="宋体" w:eastAsia="宋体" w:cs="宋体"/>
          <w:b w:val="0"/>
          <w:bCs w:val="0"/>
          <w:sz w:val="28"/>
          <w:szCs w:val="28"/>
          <w:highlight w:val="none"/>
          <w:lang w:val="en-US" w:eastAsia="zh-CN"/>
        </w:rPr>
        <w:id w:val="147453586"/>
        <w15:color w:val="DBDBDB"/>
        <w:docPartObj>
          <w:docPartGallery w:val="Table of Contents"/>
          <w:docPartUnique/>
        </w:docPartObj>
      </w:sdtPr>
      <w:sdtEndPr>
        <w:rPr>
          <w:rFonts w:hint="eastAsia" w:ascii="宋体" w:hAnsi="宋体" w:eastAsia="宋体" w:cs="宋体"/>
          <w:b w:val="0"/>
          <w:bCs w:val="0"/>
          <w:sz w:val="28"/>
          <w:szCs w:val="28"/>
          <w:highlight w:val="none"/>
          <w:lang w:val="en-US" w:eastAsia="zh-CN"/>
        </w:rPr>
      </w:sdtEndPr>
      <w:sdtContent>
        <w:p>
          <w:pPr>
            <w:pStyle w:val="44"/>
            <w:tabs>
              <w:tab w:val="right" w:leader="dot" w:pos="9073"/>
            </w:tabs>
            <w:spacing w:line="480" w:lineRule="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fldChar w:fldCharType="begin"/>
          </w:r>
          <w:r>
            <w:rPr>
              <w:rFonts w:hint="eastAsia" w:ascii="宋体" w:hAnsi="宋体" w:eastAsia="宋体" w:cs="宋体"/>
              <w:b w:val="0"/>
              <w:bCs w:val="0"/>
              <w:sz w:val="28"/>
              <w:szCs w:val="28"/>
              <w:highlight w:val="none"/>
              <w:lang w:val="en-US" w:eastAsia="zh-CN"/>
            </w:rPr>
            <w:instrText xml:space="preserve">TOC \o "1-1" \h \u </w:instrText>
          </w:r>
          <w:r>
            <w:rPr>
              <w:rFonts w:hint="eastAsia" w:ascii="宋体" w:hAnsi="宋体" w:eastAsia="宋体" w:cs="宋体"/>
              <w:b w:val="0"/>
              <w:bCs w:val="0"/>
              <w:sz w:val="28"/>
              <w:szCs w:val="28"/>
              <w:highlight w:val="none"/>
              <w:lang w:val="en-US" w:eastAsia="zh-CN"/>
            </w:rPr>
            <w:fldChar w:fldCharType="separate"/>
          </w:r>
          <w:r>
            <w:rPr>
              <w:rFonts w:hint="eastAsia" w:ascii="宋体" w:hAnsi="宋体" w:eastAsia="宋体" w:cs="宋体"/>
              <w:b w:val="0"/>
              <w:bCs w:val="0"/>
              <w:sz w:val="28"/>
              <w:szCs w:val="28"/>
              <w:highlight w:val="none"/>
              <w:lang w:val="en-US" w:eastAsia="zh-CN"/>
            </w:rPr>
            <w:fldChar w:fldCharType="begin"/>
          </w:r>
          <w:r>
            <w:rPr>
              <w:rFonts w:hint="eastAsia" w:ascii="宋体" w:hAnsi="宋体" w:eastAsia="宋体" w:cs="宋体"/>
              <w:b w:val="0"/>
              <w:bCs w:val="0"/>
              <w:sz w:val="28"/>
              <w:szCs w:val="28"/>
              <w:highlight w:val="none"/>
              <w:lang w:val="en-US" w:eastAsia="zh-CN"/>
            </w:rPr>
            <w:instrText xml:space="preserve"> HYPERLINK \l _Toc14079 </w:instrText>
          </w:r>
          <w:r>
            <w:rPr>
              <w:rFonts w:hint="eastAsia" w:ascii="宋体" w:hAnsi="宋体" w:eastAsia="宋体" w:cs="宋体"/>
              <w:b w:val="0"/>
              <w:bCs w:val="0"/>
              <w:sz w:val="28"/>
              <w:szCs w:val="28"/>
              <w:highlight w:val="none"/>
              <w:lang w:val="en-US" w:eastAsia="zh-CN"/>
            </w:rPr>
            <w:fldChar w:fldCharType="separate"/>
          </w:r>
          <w:r>
            <w:rPr>
              <w:rFonts w:hint="eastAsia" w:ascii="宋体" w:hAnsi="宋体" w:eastAsia="宋体" w:cs="宋体"/>
              <w:b w:val="0"/>
              <w:bCs w:val="0"/>
              <w:sz w:val="28"/>
              <w:szCs w:val="28"/>
              <w:highlight w:val="none"/>
              <w:lang w:val="en-US" w:eastAsia="zh-CN"/>
            </w:rPr>
            <w:t>第一章  招标公告</w:t>
          </w:r>
          <w:r>
            <w:rPr>
              <w:rFonts w:hint="eastAsia" w:ascii="宋体" w:hAnsi="宋体" w:eastAsia="宋体" w:cs="宋体"/>
              <w:b w:val="0"/>
              <w:bCs w:val="0"/>
              <w:sz w:val="28"/>
              <w:szCs w:val="28"/>
              <w:highlight w:val="none"/>
              <w:lang w:val="en-US" w:eastAsia="zh-CN"/>
            </w:rPr>
            <w:tab/>
          </w:r>
          <w:r>
            <w:rPr>
              <w:rFonts w:hint="eastAsia" w:ascii="宋体" w:hAnsi="宋体" w:eastAsia="宋体" w:cs="宋体"/>
              <w:b w:val="0"/>
              <w:bCs w:val="0"/>
              <w:sz w:val="28"/>
              <w:szCs w:val="28"/>
              <w:highlight w:val="none"/>
              <w:lang w:val="en-US" w:eastAsia="zh-CN"/>
            </w:rPr>
            <w:fldChar w:fldCharType="begin"/>
          </w:r>
          <w:r>
            <w:rPr>
              <w:rFonts w:hint="eastAsia" w:ascii="宋体" w:hAnsi="宋体" w:eastAsia="宋体" w:cs="宋体"/>
              <w:b w:val="0"/>
              <w:bCs w:val="0"/>
              <w:sz w:val="28"/>
              <w:szCs w:val="28"/>
              <w:highlight w:val="none"/>
              <w:lang w:val="en-US" w:eastAsia="zh-CN"/>
            </w:rPr>
            <w:instrText xml:space="preserve"> PAGEREF _Toc14079 \h </w:instrText>
          </w:r>
          <w:r>
            <w:rPr>
              <w:rFonts w:hint="eastAsia" w:ascii="宋体" w:hAnsi="宋体" w:eastAsia="宋体" w:cs="宋体"/>
              <w:b w:val="0"/>
              <w:bCs w:val="0"/>
              <w:sz w:val="28"/>
              <w:szCs w:val="28"/>
              <w:highlight w:val="none"/>
              <w:lang w:val="en-US" w:eastAsia="zh-CN"/>
            </w:rPr>
            <w:fldChar w:fldCharType="separate"/>
          </w:r>
          <w:r>
            <w:rPr>
              <w:rFonts w:hint="eastAsia" w:ascii="宋体" w:hAnsi="宋体" w:eastAsia="宋体" w:cs="宋体"/>
              <w:b w:val="0"/>
              <w:bCs w:val="0"/>
              <w:sz w:val="28"/>
              <w:szCs w:val="28"/>
              <w:highlight w:val="none"/>
              <w:lang w:val="en-US" w:eastAsia="zh-CN"/>
            </w:rPr>
            <w:t>2</w:t>
          </w:r>
          <w:r>
            <w:rPr>
              <w:rFonts w:hint="eastAsia" w:ascii="宋体" w:hAnsi="宋体" w:eastAsia="宋体" w:cs="宋体"/>
              <w:b w:val="0"/>
              <w:bCs w:val="0"/>
              <w:sz w:val="28"/>
              <w:szCs w:val="28"/>
              <w:highlight w:val="none"/>
              <w:lang w:val="en-US" w:eastAsia="zh-CN"/>
            </w:rPr>
            <w:fldChar w:fldCharType="end"/>
          </w:r>
          <w:r>
            <w:rPr>
              <w:rFonts w:hint="eastAsia" w:ascii="宋体" w:hAnsi="宋体" w:eastAsia="宋体" w:cs="宋体"/>
              <w:b w:val="0"/>
              <w:bCs w:val="0"/>
              <w:sz w:val="28"/>
              <w:szCs w:val="28"/>
              <w:highlight w:val="none"/>
              <w:lang w:val="en-US" w:eastAsia="zh-CN"/>
            </w:rPr>
            <w:fldChar w:fldCharType="end"/>
          </w:r>
        </w:p>
        <w:p>
          <w:pPr>
            <w:pStyle w:val="44"/>
            <w:tabs>
              <w:tab w:val="right" w:leader="dot" w:pos="9073"/>
            </w:tabs>
            <w:spacing w:line="480" w:lineRule="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fldChar w:fldCharType="begin"/>
          </w:r>
          <w:r>
            <w:rPr>
              <w:rFonts w:hint="eastAsia" w:ascii="宋体" w:hAnsi="宋体" w:eastAsia="宋体" w:cs="宋体"/>
              <w:b w:val="0"/>
              <w:bCs w:val="0"/>
              <w:sz w:val="28"/>
              <w:szCs w:val="28"/>
              <w:highlight w:val="none"/>
              <w:lang w:val="en-US" w:eastAsia="zh-CN"/>
            </w:rPr>
            <w:instrText xml:space="preserve"> HYPERLINK \l _Toc12075 </w:instrText>
          </w:r>
          <w:r>
            <w:rPr>
              <w:rFonts w:hint="eastAsia" w:ascii="宋体" w:hAnsi="宋体" w:eastAsia="宋体" w:cs="宋体"/>
              <w:b w:val="0"/>
              <w:bCs w:val="0"/>
              <w:sz w:val="28"/>
              <w:szCs w:val="28"/>
              <w:highlight w:val="none"/>
              <w:lang w:val="en-US" w:eastAsia="zh-CN"/>
            </w:rPr>
            <w:fldChar w:fldCharType="separate"/>
          </w:r>
          <w:r>
            <w:rPr>
              <w:rFonts w:hint="eastAsia" w:ascii="宋体" w:hAnsi="宋体" w:eastAsia="宋体" w:cs="宋体"/>
              <w:b w:val="0"/>
              <w:bCs w:val="0"/>
              <w:sz w:val="28"/>
              <w:szCs w:val="28"/>
              <w:highlight w:val="none"/>
              <w:lang w:val="en-US" w:eastAsia="zh-CN"/>
            </w:rPr>
            <w:t>第二章  投标人须知</w:t>
          </w:r>
          <w:r>
            <w:rPr>
              <w:rFonts w:hint="eastAsia" w:ascii="宋体" w:hAnsi="宋体" w:eastAsia="宋体" w:cs="宋体"/>
              <w:b w:val="0"/>
              <w:bCs w:val="0"/>
              <w:sz w:val="28"/>
              <w:szCs w:val="28"/>
              <w:highlight w:val="none"/>
              <w:lang w:val="en-US" w:eastAsia="zh-CN"/>
            </w:rPr>
            <w:tab/>
          </w:r>
          <w:r>
            <w:rPr>
              <w:rFonts w:hint="eastAsia" w:ascii="宋体" w:hAnsi="宋体" w:eastAsia="宋体" w:cs="宋体"/>
              <w:b w:val="0"/>
              <w:bCs w:val="0"/>
              <w:sz w:val="28"/>
              <w:szCs w:val="28"/>
              <w:highlight w:val="none"/>
              <w:lang w:val="en-US" w:eastAsia="zh-CN"/>
            </w:rPr>
            <w:fldChar w:fldCharType="begin"/>
          </w:r>
          <w:r>
            <w:rPr>
              <w:rFonts w:hint="eastAsia" w:ascii="宋体" w:hAnsi="宋体" w:eastAsia="宋体" w:cs="宋体"/>
              <w:b w:val="0"/>
              <w:bCs w:val="0"/>
              <w:sz w:val="28"/>
              <w:szCs w:val="28"/>
              <w:highlight w:val="none"/>
              <w:lang w:val="en-US" w:eastAsia="zh-CN"/>
            </w:rPr>
            <w:instrText xml:space="preserve"> PAGEREF _Toc12075 \h </w:instrText>
          </w:r>
          <w:r>
            <w:rPr>
              <w:rFonts w:hint="eastAsia" w:ascii="宋体" w:hAnsi="宋体" w:eastAsia="宋体" w:cs="宋体"/>
              <w:b w:val="0"/>
              <w:bCs w:val="0"/>
              <w:sz w:val="28"/>
              <w:szCs w:val="28"/>
              <w:highlight w:val="none"/>
              <w:lang w:val="en-US" w:eastAsia="zh-CN"/>
            </w:rPr>
            <w:fldChar w:fldCharType="separate"/>
          </w:r>
          <w:r>
            <w:rPr>
              <w:rFonts w:hint="eastAsia" w:ascii="宋体" w:hAnsi="宋体" w:eastAsia="宋体" w:cs="宋体"/>
              <w:b w:val="0"/>
              <w:bCs w:val="0"/>
              <w:sz w:val="28"/>
              <w:szCs w:val="28"/>
              <w:highlight w:val="none"/>
              <w:lang w:val="en-US" w:eastAsia="zh-CN"/>
            </w:rPr>
            <w:t>6</w:t>
          </w:r>
          <w:r>
            <w:rPr>
              <w:rFonts w:hint="eastAsia" w:ascii="宋体" w:hAnsi="宋体" w:eastAsia="宋体" w:cs="宋体"/>
              <w:b w:val="0"/>
              <w:bCs w:val="0"/>
              <w:sz w:val="28"/>
              <w:szCs w:val="28"/>
              <w:highlight w:val="none"/>
              <w:lang w:val="en-US" w:eastAsia="zh-CN"/>
            </w:rPr>
            <w:fldChar w:fldCharType="end"/>
          </w:r>
          <w:r>
            <w:rPr>
              <w:rFonts w:hint="eastAsia" w:ascii="宋体" w:hAnsi="宋体" w:eastAsia="宋体" w:cs="宋体"/>
              <w:b w:val="0"/>
              <w:bCs w:val="0"/>
              <w:sz w:val="28"/>
              <w:szCs w:val="28"/>
              <w:highlight w:val="none"/>
              <w:lang w:val="en-US" w:eastAsia="zh-CN"/>
            </w:rPr>
            <w:fldChar w:fldCharType="end"/>
          </w:r>
        </w:p>
        <w:p>
          <w:pPr>
            <w:pStyle w:val="44"/>
            <w:tabs>
              <w:tab w:val="right" w:leader="dot" w:pos="9073"/>
            </w:tabs>
            <w:spacing w:line="480" w:lineRule="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fldChar w:fldCharType="begin"/>
          </w:r>
          <w:r>
            <w:rPr>
              <w:rFonts w:hint="eastAsia" w:ascii="宋体" w:hAnsi="宋体" w:eastAsia="宋体" w:cs="宋体"/>
              <w:b w:val="0"/>
              <w:bCs w:val="0"/>
              <w:sz w:val="28"/>
              <w:szCs w:val="28"/>
              <w:highlight w:val="none"/>
              <w:lang w:val="en-US" w:eastAsia="zh-CN"/>
            </w:rPr>
            <w:instrText xml:space="preserve"> HYPERLINK \l _Toc23460 </w:instrText>
          </w:r>
          <w:r>
            <w:rPr>
              <w:rFonts w:hint="eastAsia" w:ascii="宋体" w:hAnsi="宋体" w:eastAsia="宋体" w:cs="宋体"/>
              <w:b w:val="0"/>
              <w:bCs w:val="0"/>
              <w:sz w:val="28"/>
              <w:szCs w:val="28"/>
              <w:highlight w:val="none"/>
              <w:lang w:val="en-US" w:eastAsia="zh-CN"/>
            </w:rPr>
            <w:fldChar w:fldCharType="separate"/>
          </w:r>
          <w:r>
            <w:rPr>
              <w:rFonts w:hint="eastAsia" w:ascii="宋体" w:hAnsi="宋体" w:eastAsia="宋体" w:cs="宋体"/>
              <w:b w:val="0"/>
              <w:bCs w:val="0"/>
              <w:sz w:val="28"/>
              <w:szCs w:val="28"/>
              <w:highlight w:val="none"/>
              <w:lang w:val="en-US" w:eastAsia="zh-CN"/>
            </w:rPr>
            <w:t>第三章  评标办法</w:t>
          </w:r>
          <w:r>
            <w:rPr>
              <w:rFonts w:hint="eastAsia" w:ascii="宋体" w:hAnsi="宋体" w:eastAsia="宋体" w:cs="宋体"/>
              <w:b w:val="0"/>
              <w:bCs w:val="0"/>
              <w:sz w:val="28"/>
              <w:szCs w:val="28"/>
              <w:highlight w:val="none"/>
              <w:lang w:val="en-US" w:eastAsia="zh-CN"/>
            </w:rPr>
            <w:tab/>
          </w:r>
          <w:r>
            <w:rPr>
              <w:rFonts w:hint="eastAsia" w:ascii="宋体" w:hAnsi="宋体" w:eastAsia="宋体" w:cs="宋体"/>
              <w:b w:val="0"/>
              <w:bCs w:val="0"/>
              <w:sz w:val="28"/>
              <w:szCs w:val="28"/>
              <w:highlight w:val="none"/>
              <w:lang w:val="en-US" w:eastAsia="zh-CN"/>
            </w:rPr>
            <w:fldChar w:fldCharType="begin"/>
          </w:r>
          <w:r>
            <w:rPr>
              <w:rFonts w:hint="eastAsia" w:ascii="宋体" w:hAnsi="宋体" w:eastAsia="宋体" w:cs="宋体"/>
              <w:b w:val="0"/>
              <w:bCs w:val="0"/>
              <w:sz w:val="28"/>
              <w:szCs w:val="28"/>
              <w:highlight w:val="none"/>
              <w:lang w:val="en-US" w:eastAsia="zh-CN"/>
            </w:rPr>
            <w:instrText xml:space="preserve"> PAGEREF _Toc23460 \h </w:instrText>
          </w:r>
          <w:r>
            <w:rPr>
              <w:rFonts w:hint="eastAsia" w:ascii="宋体" w:hAnsi="宋体" w:eastAsia="宋体" w:cs="宋体"/>
              <w:b w:val="0"/>
              <w:bCs w:val="0"/>
              <w:sz w:val="28"/>
              <w:szCs w:val="28"/>
              <w:highlight w:val="none"/>
              <w:lang w:val="en-US" w:eastAsia="zh-CN"/>
            </w:rPr>
            <w:fldChar w:fldCharType="separate"/>
          </w:r>
          <w:r>
            <w:rPr>
              <w:rFonts w:hint="eastAsia" w:ascii="宋体" w:hAnsi="宋体" w:eastAsia="宋体" w:cs="宋体"/>
              <w:b w:val="0"/>
              <w:bCs w:val="0"/>
              <w:sz w:val="28"/>
              <w:szCs w:val="28"/>
              <w:highlight w:val="none"/>
              <w:lang w:val="en-US" w:eastAsia="zh-CN"/>
            </w:rPr>
            <w:t>32</w:t>
          </w:r>
          <w:r>
            <w:rPr>
              <w:rFonts w:hint="eastAsia" w:ascii="宋体" w:hAnsi="宋体" w:eastAsia="宋体" w:cs="宋体"/>
              <w:b w:val="0"/>
              <w:bCs w:val="0"/>
              <w:sz w:val="28"/>
              <w:szCs w:val="28"/>
              <w:highlight w:val="none"/>
              <w:lang w:val="en-US" w:eastAsia="zh-CN"/>
            </w:rPr>
            <w:fldChar w:fldCharType="end"/>
          </w:r>
          <w:r>
            <w:rPr>
              <w:rFonts w:hint="eastAsia" w:ascii="宋体" w:hAnsi="宋体" w:eastAsia="宋体" w:cs="宋体"/>
              <w:b w:val="0"/>
              <w:bCs w:val="0"/>
              <w:sz w:val="28"/>
              <w:szCs w:val="28"/>
              <w:highlight w:val="none"/>
              <w:lang w:val="en-US" w:eastAsia="zh-CN"/>
            </w:rPr>
            <w:fldChar w:fldCharType="end"/>
          </w:r>
        </w:p>
        <w:p>
          <w:pPr>
            <w:pStyle w:val="44"/>
            <w:tabs>
              <w:tab w:val="right" w:leader="dot" w:pos="9073"/>
            </w:tabs>
            <w:spacing w:line="480" w:lineRule="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fldChar w:fldCharType="begin"/>
          </w:r>
          <w:r>
            <w:rPr>
              <w:rFonts w:hint="eastAsia" w:ascii="宋体" w:hAnsi="宋体" w:eastAsia="宋体" w:cs="宋体"/>
              <w:b w:val="0"/>
              <w:bCs w:val="0"/>
              <w:sz w:val="28"/>
              <w:szCs w:val="28"/>
              <w:highlight w:val="none"/>
              <w:lang w:val="en-US" w:eastAsia="zh-CN"/>
            </w:rPr>
            <w:instrText xml:space="preserve"> HYPERLINK \l _Toc10024 </w:instrText>
          </w:r>
          <w:r>
            <w:rPr>
              <w:rFonts w:hint="eastAsia" w:ascii="宋体" w:hAnsi="宋体" w:eastAsia="宋体" w:cs="宋体"/>
              <w:b w:val="0"/>
              <w:bCs w:val="0"/>
              <w:sz w:val="28"/>
              <w:szCs w:val="28"/>
              <w:highlight w:val="none"/>
              <w:lang w:val="en-US" w:eastAsia="zh-CN"/>
            </w:rPr>
            <w:fldChar w:fldCharType="separate"/>
          </w:r>
          <w:r>
            <w:rPr>
              <w:rFonts w:hint="eastAsia" w:ascii="宋体" w:hAnsi="宋体" w:eastAsia="宋体" w:cs="宋体"/>
              <w:b w:val="0"/>
              <w:bCs w:val="0"/>
              <w:sz w:val="28"/>
              <w:szCs w:val="28"/>
              <w:highlight w:val="none"/>
              <w:lang w:val="en-US" w:eastAsia="zh-CN"/>
            </w:rPr>
            <w:t>第四章  采购内容及要求</w:t>
          </w:r>
          <w:r>
            <w:rPr>
              <w:rFonts w:hint="eastAsia" w:ascii="宋体" w:hAnsi="宋体" w:eastAsia="宋体" w:cs="宋体"/>
              <w:b w:val="0"/>
              <w:bCs w:val="0"/>
              <w:sz w:val="28"/>
              <w:szCs w:val="28"/>
              <w:highlight w:val="none"/>
              <w:lang w:val="en-US" w:eastAsia="zh-CN"/>
            </w:rPr>
            <w:tab/>
          </w:r>
          <w:r>
            <w:rPr>
              <w:rFonts w:hint="eastAsia" w:ascii="宋体" w:hAnsi="宋体" w:eastAsia="宋体" w:cs="宋体"/>
              <w:b w:val="0"/>
              <w:bCs w:val="0"/>
              <w:sz w:val="28"/>
              <w:szCs w:val="28"/>
              <w:highlight w:val="none"/>
              <w:lang w:val="en-US" w:eastAsia="zh-CN"/>
            </w:rPr>
            <w:fldChar w:fldCharType="begin"/>
          </w:r>
          <w:r>
            <w:rPr>
              <w:rFonts w:hint="eastAsia" w:ascii="宋体" w:hAnsi="宋体" w:eastAsia="宋体" w:cs="宋体"/>
              <w:b w:val="0"/>
              <w:bCs w:val="0"/>
              <w:sz w:val="28"/>
              <w:szCs w:val="28"/>
              <w:highlight w:val="none"/>
              <w:lang w:val="en-US" w:eastAsia="zh-CN"/>
            </w:rPr>
            <w:instrText xml:space="preserve"> PAGEREF _Toc10024 \h </w:instrText>
          </w:r>
          <w:r>
            <w:rPr>
              <w:rFonts w:hint="eastAsia" w:ascii="宋体" w:hAnsi="宋体" w:eastAsia="宋体" w:cs="宋体"/>
              <w:b w:val="0"/>
              <w:bCs w:val="0"/>
              <w:sz w:val="28"/>
              <w:szCs w:val="28"/>
              <w:highlight w:val="none"/>
              <w:lang w:val="en-US" w:eastAsia="zh-CN"/>
            </w:rPr>
            <w:fldChar w:fldCharType="separate"/>
          </w:r>
          <w:r>
            <w:rPr>
              <w:rFonts w:hint="eastAsia" w:ascii="宋体" w:hAnsi="宋体" w:eastAsia="宋体" w:cs="宋体"/>
              <w:b w:val="0"/>
              <w:bCs w:val="0"/>
              <w:sz w:val="28"/>
              <w:szCs w:val="28"/>
              <w:highlight w:val="none"/>
              <w:lang w:val="en-US" w:eastAsia="zh-CN"/>
            </w:rPr>
            <w:t>43</w:t>
          </w:r>
          <w:r>
            <w:rPr>
              <w:rFonts w:hint="eastAsia" w:ascii="宋体" w:hAnsi="宋体" w:eastAsia="宋体" w:cs="宋体"/>
              <w:b w:val="0"/>
              <w:bCs w:val="0"/>
              <w:sz w:val="28"/>
              <w:szCs w:val="28"/>
              <w:highlight w:val="none"/>
              <w:lang w:val="en-US" w:eastAsia="zh-CN"/>
            </w:rPr>
            <w:fldChar w:fldCharType="end"/>
          </w:r>
          <w:r>
            <w:rPr>
              <w:rFonts w:hint="eastAsia" w:ascii="宋体" w:hAnsi="宋体" w:eastAsia="宋体" w:cs="宋体"/>
              <w:b w:val="0"/>
              <w:bCs w:val="0"/>
              <w:sz w:val="28"/>
              <w:szCs w:val="28"/>
              <w:highlight w:val="none"/>
              <w:lang w:val="en-US" w:eastAsia="zh-CN"/>
            </w:rPr>
            <w:fldChar w:fldCharType="end"/>
          </w:r>
        </w:p>
        <w:p>
          <w:pPr>
            <w:pStyle w:val="44"/>
            <w:tabs>
              <w:tab w:val="right" w:leader="dot" w:pos="9073"/>
            </w:tabs>
            <w:spacing w:line="480" w:lineRule="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fldChar w:fldCharType="begin"/>
          </w:r>
          <w:r>
            <w:rPr>
              <w:rFonts w:hint="eastAsia" w:ascii="宋体" w:hAnsi="宋体" w:eastAsia="宋体" w:cs="宋体"/>
              <w:b w:val="0"/>
              <w:bCs w:val="0"/>
              <w:sz w:val="28"/>
              <w:szCs w:val="28"/>
              <w:highlight w:val="none"/>
              <w:lang w:val="en-US" w:eastAsia="zh-CN"/>
            </w:rPr>
            <w:instrText xml:space="preserve"> HYPERLINK \l _Toc3783 </w:instrText>
          </w:r>
          <w:r>
            <w:rPr>
              <w:rFonts w:hint="eastAsia" w:ascii="宋体" w:hAnsi="宋体" w:eastAsia="宋体" w:cs="宋体"/>
              <w:b w:val="0"/>
              <w:bCs w:val="0"/>
              <w:sz w:val="28"/>
              <w:szCs w:val="28"/>
              <w:highlight w:val="none"/>
              <w:lang w:val="en-US" w:eastAsia="zh-CN"/>
            </w:rPr>
            <w:fldChar w:fldCharType="separate"/>
          </w:r>
          <w:r>
            <w:rPr>
              <w:rFonts w:hint="eastAsia" w:ascii="宋体" w:hAnsi="宋体" w:eastAsia="宋体" w:cs="宋体"/>
              <w:b w:val="0"/>
              <w:bCs w:val="0"/>
              <w:sz w:val="28"/>
              <w:szCs w:val="28"/>
              <w:highlight w:val="none"/>
              <w:lang w:val="en-US" w:eastAsia="zh-CN"/>
            </w:rPr>
            <w:t>第五章  合同条款及格式</w:t>
          </w:r>
          <w:r>
            <w:rPr>
              <w:rFonts w:hint="eastAsia" w:ascii="宋体" w:hAnsi="宋体" w:eastAsia="宋体" w:cs="宋体"/>
              <w:b w:val="0"/>
              <w:bCs w:val="0"/>
              <w:sz w:val="28"/>
              <w:szCs w:val="28"/>
              <w:highlight w:val="none"/>
              <w:lang w:val="en-US" w:eastAsia="zh-CN"/>
            </w:rPr>
            <w:tab/>
          </w:r>
          <w:r>
            <w:rPr>
              <w:rFonts w:hint="eastAsia" w:ascii="宋体" w:hAnsi="宋体" w:eastAsia="宋体" w:cs="宋体"/>
              <w:b w:val="0"/>
              <w:bCs w:val="0"/>
              <w:sz w:val="28"/>
              <w:szCs w:val="28"/>
              <w:highlight w:val="none"/>
              <w:lang w:val="en-US" w:eastAsia="zh-CN"/>
            </w:rPr>
            <w:fldChar w:fldCharType="begin"/>
          </w:r>
          <w:r>
            <w:rPr>
              <w:rFonts w:hint="eastAsia" w:ascii="宋体" w:hAnsi="宋体" w:eastAsia="宋体" w:cs="宋体"/>
              <w:b w:val="0"/>
              <w:bCs w:val="0"/>
              <w:sz w:val="28"/>
              <w:szCs w:val="28"/>
              <w:highlight w:val="none"/>
              <w:lang w:val="en-US" w:eastAsia="zh-CN"/>
            </w:rPr>
            <w:instrText xml:space="preserve"> PAGEREF _Toc3783 \h </w:instrText>
          </w:r>
          <w:r>
            <w:rPr>
              <w:rFonts w:hint="eastAsia" w:ascii="宋体" w:hAnsi="宋体" w:eastAsia="宋体" w:cs="宋体"/>
              <w:b w:val="0"/>
              <w:bCs w:val="0"/>
              <w:sz w:val="28"/>
              <w:szCs w:val="28"/>
              <w:highlight w:val="none"/>
              <w:lang w:val="en-US" w:eastAsia="zh-CN"/>
            </w:rPr>
            <w:fldChar w:fldCharType="separate"/>
          </w:r>
          <w:r>
            <w:rPr>
              <w:rFonts w:hint="eastAsia" w:ascii="宋体" w:hAnsi="宋体" w:eastAsia="宋体" w:cs="宋体"/>
              <w:b w:val="0"/>
              <w:bCs w:val="0"/>
              <w:sz w:val="28"/>
              <w:szCs w:val="28"/>
              <w:highlight w:val="none"/>
              <w:lang w:val="en-US" w:eastAsia="zh-CN"/>
            </w:rPr>
            <w:t>44</w:t>
          </w:r>
          <w:r>
            <w:rPr>
              <w:rFonts w:hint="eastAsia" w:ascii="宋体" w:hAnsi="宋体" w:eastAsia="宋体" w:cs="宋体"/>
              <w:b w:val="0"/>
              <w:bCs w:val="0"/>
              <w:sz w:val="28"/>
              <w:szCs w:val="28"/>
              <w:highlight w:val="none"/>
              <w:lang w:val="en-US" w:eastAsia="zh-CN"/>
            </w:rPr>
            <w:fldChar w:fldCharType="end"/>
          </w:r>
          <w:r>
            <w:rPr>
              <w:rFonts w:hint="eastAsia" w:ascii="宋体" w:hAnsi="宋体" w:eastAsia="宋体" w:cs="宋体"/>
              <w:b w:val="0"/>
              <w:bCs w:val="0"/>
              <w:sz w:val="28"/>
              <w:szCs w:val="28"/>
              <w:highlight w:val="none"/>
              <w:lang w:val="en-US" w:eastAsia="zh-CN"/>
            </w:rPr>
            <w:fldChar w:fldCharType="end"/>
          </w:r>
        </w:p>
        <w:p>
          <w:pPr>
            <w:pStyle w:val="44"/>
            <w:tabs>
              <w:tab w:val="right" w:leader="dot" w:pos="9073"/>
            </w:tabs>
            <w:spacing w:line="480" w:lineRule="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fldChar w:fldCharType="begin"/>
          </w:r>
          <w:r>
            <w:rPr>
              <w:rFonts w:hint="eastAsia" w:ascii="宋体" w:hAnsi="宋体" w:eastAsia="宋体" w:cs="宋体"/>
              <w:b w:val="0"/>
              <w:bCs w:val="0"/>
              <w:sz w:val="28"/>
              <w:szCs w:val="28"/>
              <w:highlight w:val="none"/>
              <w:lang w:val="en-US" w:eastAsia="zh-CN"/>
            </w:rPr>
            <w:instrText xml:space="preserve"> HYPERLINK \l _Toc21973 </w:instrText>
          </w:r>
          <w:r>
            <w:rPr>
              <w:rFonts w:hint="eastAsia" w:ascii="宋体" w:hAnsi="宋体" w:eastAsia="宋体" w:cs="宋体"/>
              <w:b w:val="0"/>
              <w:bCs w:val="0"/>
              <w:sz w:val="28"/>
              <w:szCs w:val="28"/>
              <w:highlight w:val="none"/>
              <w:lang w:val="en-US" w:eastAsia="zh-CN"/>
            </w:rPr>
            <w:fldChar w:fldCharType="separate"/>
          </w:r>
          <w:r>
            <w:rPr>
              <w:rFonts w:hint="eastAsia" w:ascii="宋体" w:hAnsi="宋体" w:eastAsia="宋体" w:cs="宋体"/>
              <w:b w:val="0"/>
              <w:bCs w:val="0"/>
              <w:sz w:val="28"/>
              <w:szCs w:val="28"/>
              <w:highlight w:val="none"/>
              <w:lang w:val="en-US" w:eastAsia="zh-CN"/>
            </w:rPr>
            <w:t>第六章  投标文件格式</w:t>
          </w:r>
          <w:r>
            <w:rPr>
              <w:rFonts w:hint="eastAsia" w:ascii="宋体" w:hAnsi="宋体" w:eastAsia="宋体" w:cs="宋体"/>
              <w:b w:val="0"/>
              <w:bCs w:val="0"/>
              <w:sz w:val="28"/>
              <w:szCs w:val="28"/>
              <w:highlight w:val="none"/>
              <w:lang w:val="en-US" w:eastAsia="zh-CN"/>
            </w:rPr>
            <w:tab/>
          </w:r>
          <w:r>
            <w:rPr>
              <w:rFonts w:hint="eastAsia" w:ascii="宋体" w:hAnsi="宋体" w:eastAsia="宋体" w:cs="宋体"/>
              <w:b w:val="0"/>
              <w:bCs w:val="0"/>
              <w:sz w:val="28"/>
              <w:szCs w:val="28"/>
              <w:highlight w:val="none"/>
              <w:lang w:val="en-US" w:eastAsia="zh-CN"/>
            </w:rPr>
            <w:fldChar w:fldCharType="begin"/>
          </w:r>
          <w:r>
            <w:rPr>
              <w:rFonts w:hint="eastAsia" w:ascii="宋体" w:hAnsi="宋体" w:eastAsia="宋体" w:cs="宋体"/>
              <w:b w:val="0"/>
              <w:bCs w:val="0"/>
              <w:sz w:val="28"/>
              <w:szCs w:val="28"/>
              <w:highlight w:val="none"/>
              <w:lang w:val="en-US" w:eastAsia="zh-CN"/>
            </w:rPr>
            <w:instrText xml:space="preserve"> PAGEREF _Toc21973 \h </w:instrText>
          </w:r>
          <w:r>
            <w:rPr>
              <w:rFonts w:hint="eastAsia" w:ascii="宋体" w:hAnsi="宋体" w:eastAsia="宋体" w:cs="宋体"/>
              <w:b w:val="0"/>
              <w:bCs w:val="0"/>
              <w:sz w:val="28"/>
              <w:szCs w:val="28"/>
              <w:highlight w:val="none"/>
              <w:lang w:val="en-US" w:eastAsia="zh-CN"/>
            </w:rPr>
            <w:fldChar w:fldCharType="separate"/>
          </w:r>
          <w:r>
            <w:rPr>
              <w:rFonts w:hint="eastAsia" w:ascii="宋体" w:hAnsi="宋体" w:eastAsia="宋体" w:cs="宋体"/>
              <w:b w:val="0"/>
              <w:bCs w:val="0"/>
              <w:sz w:val="28"/>
              <w:szCs w:val="28"/>
              <w:highlight w:val="none"/>
              <w:lang w:val="en-US" w:eastAsia="zh-CN"/>
            </w:rPr>
            <w:t>59</w:t>
          </w:r>
          <w:r>
            <w:rPr>
              <w:rFonts w:hint="eastAsia" w:ascii="宋体" w:hAnsi="宋体" w:eastAsia="宋体" w:cs="宋体"/>
              <w:b w:val="0"/>
              <w:bCs w:val="0"/>
              <w:sz w:val="28"/>
              <w:szCs w:val="28"/>
              <w:highlight w:val="none"/>
              <w:lang w:val="en-US" w:eastAsia="zh-CN"/>
            </w:rPr>
            <w:fldChar w:fldCharType="end"/>
          </w:r>
          <w:r>
            <w:rPr>
              <w:rFonts w:hint="eastAsia" w:ascii="宋体" w:hAnsi="宋体" w:eastAsia="宋体" w:cs="宋体"/>
              <w:b w:val="0"/>
              <w:bCs w:val="0"/>
              <w:sz w:val="28"/>
              <w:szCs w:val="28"/>
              <w:highlight w:val="none"/>
              <w:lang w:val="en-US" w:eastAsia="zh-CN"/>
            </w:rPr>
            <w:fldChar w:fldCharType="end"/>
          </w:r>
        </w:p>
        <w:p>
          <w:pPr>
            <w:pStyle w:val="44"/>
            <w:tabs>
              <w:tab w:val="right" w:leader="dot" w:pos="9073"/>
            </w:tabs>
            <w:spacing w:line="480" w:lineRule="auto"/>
            <w:rPr>
              <w:highlight w:val="none"/>
            </w:rPr>
          </w:pPr>
          <w:r>
            <w:rPr>
              <w:rFonts w:hint="eastAsia" w:ascii="宋体" w:hAnsi="宋体" w:eastAsia="宋体" w:cs="宋体"/>
              <w:b w:val="0"/>
              <w:bCs w:val="0"/>
              <w:sz w:val="28"/>
              <w:szCs w:val="28"/>
              <w:highlight w:val="none"/>
              <w:lang w:val="en-US" w:eastAsia="zh-CN"/>
            </w:rPr>
            <w:fldChar w:fldCharType="end"/>
          </w:r>
        </w:p>
      </w:sdtContent>
    </w:sdt>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r>
        <w:rPr>
          <w:highlight w:val="none"/>
        </w:rPr>
        <w:br w:type="page"/>
      </w:r>
    </w:p>
    <w:p>
      <w:pPr>
        <w:spacing w:before="369" w:line="223" w:lineRule="auto"/>
        <w:ind w:left="0" w:leftChars="0" w:right="0" w:rightChars="0" w:firstLine="0" w:firstLineChars="0"/>
        <w:jc w:val="center"/>
        <w:outlineLvl w:val="0"/>
        <w:rPr>
          <w:rFonts w:ascii="宋体" w:hAnsi="宋体" w:eastAsia="宋体" w:cs="宋体"/>
          <w:spacing w:val="27"/>
          <w:sz w:val="43"/>
          <w:szCs w:val="43"/>
          <w:highlight w:val="none"/>
          <w14:textOutline w14:w="7972" w14:cap="sq" w14:cmpd="sng">
            <w14:solidFill>
              <w14:srgbClr w14:val="000000"/>
            </w14:solidFill>
            <w14:prstDash w14:val="solid"/>
            <w14:bevel/>
          </w14:textOutline>
        </w:rPr>
      </w:pPr>
      <w:bookmarkStart w:id="0" w:name="_bookmark1"/>
      <w:bookmarkEnd w:id="0"/>
      <w:bookmarkStart w:id="1" w:name="_Toc14079"/>
      <w:r>
        <w:rPr>
          <w:rFonts w:ascii="宋体" w:hAnsi="宋体" w:eastAsia="宋体" w:cs="宋体"/>
          <w:spacing w:val="27"/>
          <w:sz w:val="43"/>
          <w:szCs w:val="43"/>
          <w:highlight w:val="none"/>
          <w14:textOutline w14:w="7972" w14:cap="sq" w14:cmpd="sng">
            <w14:solidFill>
              <w14:srgbClr w14:val="000000"/>
            </w14:solidFill>
            <w14:prstDash w14:val="solid"/>
            <w14:bevel/>
          </w14:textOutline>
        </w:rPr>
        <w:t>第一章 招标公告</w:t>
      </w:r>
      <w:bookmarkEnd w:id="1"/>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Fonts w:hint="eastAsia" w:ascii="宋体" w:hAnsi="宋体" w:eastAsia="宋体" w:cs="宋体"/>
          <w:b w:val="0"/>
          <w:bCs w:val="0"/>
          <w:color w:val="auto"/>
          <w:sz w:val="21"/>
          <w:szCs w:val="21"/>
        </w:rPr>
      </w:pPr>
      <w:r>
        <w:rPr>
          <w:rStyle w:val="25"/>
          <w:rFonts w:hint="eastAsia" w:ascii="宋体" w:hAnsi="宋体" w:eastAsia="宋体" w:cs="宋体"/>
          <w:b/>
          <w:bCs/>
          <w:i w:val="0"/>
          <w:iCs w:val="0"/>
          <w:caps w:val="0"/>
          <w:color w:val="auto"/>
          <w:spacing w:val="0"/>
          <w:sz w:val="21"/>
          <w:szCs w:val="21"/>
          <w:shd w:val="clear" w:fill="FFFFFF"/>
        </w:rPr>
        <w:t>项目概况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lang w:eastAsia="zh-CN"/>
        </w:rPr>
        <w:t>2023年春季绿化项目监理（二次）</w:t>
      </w:r>
      <w:r>
        <w:rPr>
          <w:rFonts w:hint="eastAsia" w:ascii="宋体" w:hAnsi="宋体" w:eastAsia="宋体" w:cs="宋体"/>
          <w:i w:val="0"/>
          <w:iCs w:val="0"/>
          <w:caps w:val="0"/>
          <w:color w:val="auto"/>
          <w:spacing w:val="0"/>
          <w:sz w:val="21"/>
          <w:szCs w:val="21"/>
          <w:shd w:val="clear" w:fill="FFFFFF"/>
        </w:rPr>
        <w:t>招标项目的潜在投标人应在全国公共资源交易平台（陕西省·西安市）网站〖首页〉电子交易平台〉陕西政府采购交易系统〉企业端〗获取招标文件，并于2023年</w:t>
      </w:r>
      <w:r>
        <w:rPr>
          <w:rFonts w:hint="eastAsia" w:ascii="宋体" w:hAnsi="宋体" w:eastAsia="宋体" w:cs="宋体"/>
          <w:i w:val="0"/>
          <w:iCs w:val="0"/>
          <w:caps w:val="0"/>
          <w:color w:val="auto"/>
          <w:spacing w:val="0"/>
          <w:sz w:val="21"/>
          <w:szCs w:val="21"/>
          <w:shd w:val="clear" w:fill="FFFFFF"/>
          <w:lang w:val="en-US" w:eastAsia="zh-CN"/>
        </w:rPr>
        <w:t>03</w:t>
      </w:r>
      <w:r>
        <w:rPr>
          <w:rFonts w:hint="eastAsia" w:ascii="宋体" w:hAnsi="宋体" w:eastAsia="宋体" w:cs="宋体"/>
          <w:i w:val="0"/>
          <w:iCs w:val="0"/>
          <w:caps w:val="0"/>
          <w:color w:val="auto"/>
          <w:spacing w:val="0"/>
          <w:sz w:val="21"/>
          <w:szCs w:val="21"/>
          <w:shd w:val="clear" w:fill="FFFFFF"/>
        </w:rPr>
        <w:t>月</w:t>
      </w:r>
      <w:r>
        <w:rPr>
          <w:rFonts w:hint="eastAsia" w:ascii="宋体" w:hAnsi="宋体" w:eastAsia="宋体" w:cs="宋体"/>
          <w:i w:val="0"/>
          <w:iCs w:val="0"/>
          <w:caps w:val="0"/>
          <w:color w:val="auto"/>
          <w:spacing w:val="0"/>
          <w:sz w:val="21"/>
          <w:szCs w:val="21"/>
          <w:shd w:val="clear" w:fill="FFFFFF"/>
          <w:lang w:val="en-US" w:eastAsia="zh-CN"/>
        </w:rPr>
        <w:t>14</w:t>
      </w:r>
      <w:r>
        <w:rPr>
          <w:rFonts w:hint="eastAsia" w:ascii="宋体" w:hAnsi="宋体" w:eastAsia="宋体" w:cs="宋体"/>
          <w:i w:val="0"/>
          <w:iCs w:val="0"/>
          <w:caps w:val="0"/>
          <w:color w:val="auto"/>
          <w:spacing w:val="0"/>
          <w:sz w:val="21"/>
          <w:szCs w:val="21"/>
          <w:shd w:val="clear" w:fill="FFFFFF"/>
        </w:rPr>
        <w:t>日09时</w:t>
      </w:r>
      <w:r>
        <w:rPr>
          <w:rFonts w:hint="eastAsia" w:ascii="宋体" w:hAnsi="宋体" w:eastAsia="宋体" w:cs="宋体"/>
          <w:i w:val="0"/>
          <w:iCs w:val="0"/>
          <w:caps w:val="0"/>
          <w:color w:val="auto"/>
          <w:spacing w:val="0"/>
          <w:sz w:val="21"/>
          <w:szCs w:val="21"/>
          <w:shd w:val="clear" w:fill="FFFFFF"/>
          <w:lang w:val="en-US" w:eastAsia="zh-CN"/>
        </w:rPr>
        <w:t>30</w:t>
      </w:r>
      <w:r>
        <w:rPr>
          <w:rFonts w:hint="eastAsia" w:ascii="宋体" w:hAnsi="宋体" w:eastAsia="宋体" w:cs="宋体"/>
          <w:i w:val="0"/>
          <w:iCs w:val="0"/>
          <w:caps w:val="0"/>
          <w:color w:val="auto"/>
          <w:spacing w:val="0"/>
          <w:sz w:val="21"/>
          <w:szCs w:val="21"/>
          <w:shd w:val="clear" w:fill="FFFFFF"/>
        </w:rPr>
        <w:t>分（北京时间）前递交投标文件。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1"/>
          <w:szCs w:val="21"/>
        </w:rPr>
      </w:pPr>
      <w:r>
        <w:rPr>
          <w:rStyle w:val="25"/>
          <w:rFonts w:hint="eastAsia" w:ascii="宋体" w:hAnsi="宋体" w:eastAsia="宋体" w:cs="宋体"/>
          <w:b/>
          <w:bCs/>
          <w:i w:val="0"/>
          <w:iCs w:val="0"/>
          <w:caps w:val="0"/>
          <w:color w:val="auto"/>
          <w:spacing w:val="0"/>
          <w:sz w:val="21"/>
          <w:szCs w:val="21"/>
          <w:shd w:val="clear" w:fill="FFFFFF"/>
        </w:rPr>
        <w:t>一、项目基本情况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shd w:val="clear" w:fill="FFFFFF"/>
        </w:rPr>
        <w:t>项目编号：</w:t>
      </w:r>
      <w:r>
        <w:rPr>
          <w:rFonts w:hint="eastAsia" w:ascii="宋体" w:hAnsi="宋体" w:eastAsia="宋体" w:cs="宋体"/>
          <w:i w:val="0"/>
          <w:iCs w:val="0"/>
          <w:caps w:val="0"/>
          <w:color w:val="auto"/>
          <w:spacing w:val="0"/>
          <w:sz w:val="21"/>
          <w:szCs w:val="21"/>
          <w:shd w:val="clear" w:fill="FFFFFF"/>
          <w:lang w:eastAsia="zh-CN"/>
        </w:rPr>
        <w:t>SXZH-2023-002.2B1</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shd w:val="clear" w:fill="FFFFFF"/>
        </w:rPr>
        <w:t>项目名称：</w:t>
      </w:r>
      <w:r>
        <w:rPr>
          <w:rFonts w:hint="eastAsia" w:ascii="宋体" w:hAnsi="宋体" w:eastAsia="宋体" w:cs="宋体"/>
          <w:i w:val="0"/>
          <w:iCs w:val="0"/>
          <w:caps w:val="0"/>
          <w:color w:val="auto"/>
          <w:spacing w:val="0"/>
          <w:sz w:val="21"/>
          <w:szCs w:val="21"/>
          <w:shd w:val="clear" w:fill="FFFFFF"/>
          <w:lang w:eastAsia="zh-CN"/>
        </w:rPr>
        <w:t>2023年春季绿化项目监理（二次）</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采购方式：公开招标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预算金额：1,300,000.00元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采购需求：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default" w:ascii="宋体" w:hAnsi="宋体" w:eastAsia="宋体" w:cs="宋体"/>
          <w:i w:val="0"/>
          <w:iCs w:val="0"/>
          <w:caps w:val="0"/>
          <w:color w:val="auto"/>
          <w:spacing w:val="0"/>
          <w:sz w:val="21"/>
          <w:szCs w:val="21"/>
          <w:shd w:val="clear" w:fill="FFFFFF"/>
        </w:rPr>
        <w:t>合同包1</w:t>
      </w: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lang w:eastAsia="zh-CN"/>
        </w:rPr>
        <w:t>2023年春季绿化项目监理（二次）</w:t>
      </w:r>
      <w:r>
        <w:rPr>
          <w:rFonts w:hint="eastAsia" w:ascii="宋体" w:hAnsi="宋体" w:eastAsia="宋体" w:cs="宋体"/>
          <w:i w:val="0"/>
          <w:iCs w:val="0"/>
          <w:caps w:val="0"/>
          <w:color w:val="auto"/>
          <w:spacing w:val="0"/>
          <w:sz w:val="21"/>
          <w:szCs w:val="21"/>
          <w:shd w:val="clear" w:fill="FFFFFF"/>
        </w:rPr>
        <w:t>):</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合同包预算金额：300,000.00元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合同包最高限价：273,863.00元</w:t>
      </w:r>
    </w:p>
    <w:tbl>
      <w:tblPr>
        <w:tblStyle w:val="22"/>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8"/>
        <w:gridCol w:w="2140"/>
        <w:gridCol w:w="2140"/>
        <w:gridCol w:w="662"/>
        <w:gridCol w:w="1326"/>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snapToGrid w:val="0"/>
                <w:color w:val="auto"/>
                <w:kern w:val="0"/>
                <w:sz w:val="21"/>
                <w:szCs w:val="21"/>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snapToGrid w:val="0"/>
                <w:color w:val="auto"/>
                <w:kern w:val="0"/>
                <w:sz w:val="21"/>
                <w:szCs w:val="21"/>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snapToGrid w:val="0"/>
                <w:color w:val="auto"/>
                <w:kern w:val="0"/>
                <w:sz w:val="21"/>
                <w:szCs w:val="21"/>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snapToGrid w:val="0"/>
                <w:color w:val="auto"/>
                <w:kern w:val="0"/>
                <w:sz w:val="21"/>
                <w:szCs w:val="21"/>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snapToGrid w:val="0"/>
                <w:color w:val="auto"/>
                <w:kern w:val="0"/>
                <w:sz w:val="21"/>
                <w:szCs w:val="21"/>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snapToGrid w:val="0"/>
                <w:color w:val="auto"/>
                <w:kern w:val="0"/>
                <w:sz w:val="21"/>
                <w:szCs w:val="21"/>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snapToGrid w:val="0"/>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2-1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工程监理服务</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2023年春季绿化项目监理（二次）二标段</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300,000.00</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273,863.00</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合同履行期限：120天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1"/>
          <w:szCs w:val="21"/>
        </w:rPr>
      </w:pPr>
      <w:r>
        <w:rPr>
          <w:rStyle w:val="25"/>
          <w:rFonts w:hint="eastAsia" w:ascii="宋体" w:hAnsi="宋体" w:eastAsia="宋体" w:cs="宋体"/>
          <w:b/>
          <w:bCs/>
          <w:i w:val="0"/>
          <w:iCs w:val="0"/>
          <w:caps w:val="0"/>
          <w:color w:val="auto"/>
          <w:spacing w:val="0"/>
          <w:sz w:val="21"/>
          <w:szCs w:val="21"/>
          <w:shd w:val="clear" w:fill="FFFFFF"/>
        </w:rPr>
        <w:t>二、申请人的资格要求：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2.落实政府采购政策需满足的资格要求：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default" w:ascii="宋体" w:hAnsi="宋体" w:eastAsia="宋体" w:cs="宋体"/>
          <w:i w:val="0"/>
          <w:iCs w:val="0"/>
          <w:caps w:val="0"/>
          <w:color w:val="auto"/>
          <w:spacing w:val="0"/>
          <w:sz w:val="21"/>
          <w:szCs w:val="21"/>
          <w:shd w:val="clear" w:fill="FFFFFF"/>
        </w:rPr>
        <w:t>合同包1</w:t>
      </w: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lang w:eastAsia="zh-CN"/>
        </w:rPr>
        <w:t>2023年春季绿化项目监理（二次）</w:t>
      </w:r>
      <w:r>
        <w:rPr>
          <w:rFonts w:hint="eastAsia" w:ascii="宋体" w:hAnsi="宋体" w:eastAsia="宋体" w:cs="宋体"/>
          <w:i w:val="0"/>
          <w:iCs w:val="0"/>
          <w:caps w:val="0"/>
          <w:color w:val="auto"/>
          <w:spacing w:val="0"/>
          <w:sz w:val="21"/>
          <w:szCs w:val="21"/>
          <w:shd w:val="clear" w:fill="FFFFFF"/>
        </w:rPr>
        <w:t>)落实政府采购政策需满足的资格要求如下: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本项目专门面向中小企业采购</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3.本项目的特定资格要求：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default" w:ascii="宋体" w:hAnsi="宋体" w:eastAsia="宋体" w:cs="宋体"/>
          <w:i w:val="0"/>
          <w:iCs w:val="0"/>
          <w:caps w:val="0"/>
          <w:color w:val="auto"/>
          <w:spacing w:val="0"/>
          <w:sz w:val="21"/>
          <w:szCs w:val="21"/>
          <w:shd w:val="clear" w:fill="FFFFFF"/>
        </w:rPr>
        <w:t>合同包1</w:t>
      </w: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lang w:eastAsia="zh-CN"/>
        </w:rPr>
        <w:t>2023年春季绿化项目监理（二次）</w:t>
      </w:r>
      <w:r>
        <w:rPr>
          <w:rFonts w:hint="eastAsia" w:ascii="宋体" w:hAnsi="宋体" w:eastAsia="宋体" w:cs="宋体"/>
          <w:i w:val="0"/>
          <w:iCs w:val="0"/>
          <w:caps w:val="0"/>
          <w:color w:val="auto"/>
          <w:spacing w:val="0"/>
          <w:sz w:val="21"/>
          <w:szCs w:val="21"/>
          <w:shd w:val="clear" w:fill="FFFFFF"/>
        </w:rPr>
        <w:t>)特定资格要求如下: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1.法定代表人授权书及被授权人身份证复印件（法定代表人直接参加投标，须提供法定代表人身份证明及身份证复印件）；</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2.投标人须具有建设行政主管部门颁发的工程监理综合资质或市政公用工程监理乙级及以上资质；</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拟派总监理工程师具有市政公用工程专业国家级注册监理工程师资质且在本单位注册，拟派总监理工程师如有担任其他在监工程的总监理工程师，则在监工程不得超过2个（含2个），同时需提供在监项目建设单位的同意意见书；</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4.投标人未被“信用中国”网站(www.creditchina.gov.cn) 列入失信被执行人和重大税收违法失信主体，未被中国政府采购网 (www.ccgp.gov.cn) 列入政府采购严重违法失信行为记录名单；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1"/>
          <w:szCs w:val="21"/>
        </w:rPr>
      </w:pPr>
      <w:r>
        <w:rPr>
          <w:rStyle w:val="25"/>
          <w:rFonts w:hint="eastAsia" w:ascii="宋体" w:hAnsi="宋体" w:eastAsia="宋体" w:cs="宋体"/>
          <w:b/>
          <w:bCs/>
          <w:i w:val="0"/>
          <w:iCs w:val="0"/>
          <w:caps w:val="0"/>
          <w:color w:val="auto"/>
          <w:spacing w:val="0"/>
          <w:sz w:val="21"/>
          <w:szCs w:val="21"/>
          <w:shd w:val="clear" w:fill="FFFFFF"/>
        </w:rPr>
        <w:t>三、获取招标文件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时间：2023年</w:t>
      </w:r>
      <w:r>
        <w:rPr>
          <w:rFonts w:hint="eastAsia" w:ascii="宋体" w:hAnsi="宋体" w:eastAsia="宋体" w:cs="宋体"/>
          <w:i w:val="0"/>
          <w:iCs w:val="0"/>
          <w:caps w:val="0"/>
          <w:color w:val="auto"/>
          <w:spacing w:val="0"/>
          <w:sz w:val="21"/>
          <w:szCs w:val="21"/>
          <w:shd w:val="clear" w:fill="FFFFFF"/>
          <w:lang w:val="en-US" w:eastAsia="zh-CN"/>
        </w:rPr>
        <w:t>02</w:t>
      </w:r>
      <w:r>
        <w:rPr>
          <w:rFonts w:hint="eastAsia" w:ascii="宋体" w:hAnsi="宋体" w:eastAsia="宋体" w:cs="宋体"/>
          <w:i w:val="0"/>
          <w:iCs w:val="0"/>
          <w:caps w:val="0"/>
          <w:color w:val="auto"/>
          <w:spacing w:val="0"/>
          <w:sz w:val="21"/>
          <w:szCs w:val="21"/>
          <w:shd w:val="clear" w:fill="FFFFFF"/>
        </w:rPr>
        <w:t>月</w:t>
      </w:r>
      <w:r>
        <w:rPr>
          <w:rFonts w:hint="eastAsia" w:ascii="宋体" w:hAnsi="宋体" w:eastAsia="宋体" w:cs="宋体"/>
          <w:i w:val="0"/>
          <w:iCs w:val="0"/>
          <w:caps w:val="0"/>
          <w:color w:val="auto"/>
          <w:spacing w:val="0"/>
          <w:sz w:val="21"/>
          <w:szCs w:val="21"/>
          <w:shd w:val="clear" w:fill="FFFFFF"/>
          <w:lang w:val="en-US" w:eastAsia="zh-CN"/>
        </w:rPr>
        <w:t>21</w:t>
      </w:r>
      <w:r>
        <w:rPr>
          <w:rFonts w:hint="eastAsia" w:ascii="宋体" w:hAnsi="宋体" w:eastAsia="宋体" w:cs="宋体"/>
          <w:i w:val="0"/>
          <w:iCs w:val="0"/>
          <w:caps w:val="0"/>
          <w:color w:val="auto"/>
          <w:spacing w:val="0"/>
          <w:sz w:val="21"/>
          <w:szCs w:val="21"/>
          <w:shd w:val="clear" w:fill="FFFFFF"/>
        </w:rPr>
        <w:t>日至2023年</w:t>
      </w:r>
      <w:r>
        <w:rPr>
          <w:rFonts w:hint="eastAsia" w:ascii="宋体" w:hAnsi="宋体" w:eastAsia="宋体" w:cs="宋体"/>
          <w:i w:val="0"/>
          <w:iCs w:val="0"/>
          <w:caps w:val="0"/>
          <w:color w:val="auto"/>
          <w:spacing w:val="0"/>
          <w:sz w:val="21"/>
          <w:szCs w:val="21"/>
          <w:shd w:val="clear" w:fill="FFFFFF"/>
          <w:lang w:val="en-US" w:eastAsia="zh-CN"/>
        </w:rPr>
        <w:t>02</w:t>
      </w:r>
      <w:r>
        <w:rPr>
          <w:rFonts w:hint="eastAsia" w:ascii="宋体" w:hAnsi="宋体" w:eastAsia="宋体" w:cs="宋体"/>
          <w:i w:val="0"/>
          <w:iCs w:val="0"/>
          <w:caps w:val="0"/>
          <w:color w:val="auto"/>
          <w:spacing w:val="0"/>
          <w:sz w:val="21"/>
          <w:szCs w:val="21"/>
          <w:shd w:val="clear" w:fill="FFFFFF"/>
        </w:rPr>
        <w:t>月</w:t>
      </w:r>
      <w:r>
        <w:rPr>
          <w:rFonts w:hint="eastAsia" w:ascii="宋体" w:hAnsi="宋体" w:eastAsia="宋体" w:cs="宋体"/>
          <w:i w:val="0"/>
          <w:iCs w:val="0"/>
          <w:caps w:val="0"/>
          <w:color w:val="auto"/>
          <w:spacing w:val="0"/>
          <w:sz w:val="21"/>
          <w:szCs w:val="21"/>
          <w:shd w:val="clear" w:fill="FFFFFF"/>
          <w:lang w:val="en-US" w:eastAsia="zh-CN"/>
        </w:rPr>
        <w:t>27</w:t>
      </w:r>
      <w:r>
        <w:rPr>
          <w:rFonts w:hint="eastAsia" w:ascii="宋体" w:hAnsi="宋体" w:eastAsia="宋体" w:cs="宋体"/>
          <w:i w:val="0"/>
          <w:iCs w:val="0"/>
          <w:caps w:val="0"/>
          <w:color w:val="auto"/>
          <w:spacing w:val="0"/>
          <w:sz w:val="21"/>
          <w:szCs w:val="21"/>
          <w:shd w:val="clear" w:fill="FFFFFF"/>
        </w:rPr>
        <w:t>日，每天上午00:00:00至12:00:00，下午12:00:00至23:59:59（北京时间）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途径：全国公共资源交易平台（陕西省·西安市）网站〖首页〉电子交易平台〉陕西政府采购交易系统〉企业端〗</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方式：在线获取</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售价：0元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1"/>
          <w:szCs w:val="21"/>
        </w:rPr>
      </w:pPr>
      <w:r>
        <w:rPr>
          <w:rStyle w:val="25"/>
          <w:rFonts w:hint="eastAsia" w:ascii="宋体" w:hAnsi="宋体" w:eastAsia="宋体" w:cs="宋体"/>
          <w:b/>
          <w:bCs/>
          <w:i w:val="0"/>
          <w:iCs w:val="0"/>
          <w:caps w:val="0"/>
          <w:color w:val="auto"/>
          <w:spacing w:val="0"/>
          <w:sz w:val="21"/>
          <w:szCs w:val="21"/>
          <w:shd w:val="clear" w:fill="FFFFFF"/>
        </w:rPr>
        <w:t>四、提交投标文件截止时间、开标时间和地点</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时间：2023年</w:t>
      </w:r>
      <w:r>
        <w:rPr>
          <w:rFonts w:hint="eastAsia" w:ascii="宋体" w:hAnsi="宋体" w:eastAsia="宋体" w:cs="宋体"/>
          <w:i w:val="0"/>
          <w:iCs w:val="0"/>
          <w:caps w:val="0"/>
          <w:color w:val="auto"/>
          <w:spacing w:val="0"/>
          <w:sz w:val="21"/>
          <w:szCs w:val="21"/>
          <w:shd w:val="clear" w:fill="FFFFFF"/>
          <w:lang w:val="en-US" w:eastAsia="zh-CN"/>
        </w:rPr>
        <w:t>03</w:t>
      </w:r>
      <w:r>
        <w:rPr>
          <w:rFonts w:hint="eastAsia" w:ascii="宋体" w:hAnsi="宋体" w:eastAsia="宋体" w:cs="宋体"/>
          <w:i w:val="0"/>
          <w:iCs w:val="0"/>
          <w:caps w:val="0"/>
          <w:color w:val="auto"/>
          <w:spacing w:val="0"/>
          <w:sz w:val="21"/>
          <w:szCs w:val="21"/>
          <w:shd w:val="clear" w:fill="FFFFFF"/>
        </w:rPr>
        <w:t>月</w:t>
      </w:r>
      <w:r>
        <w:rPr>
          <w:rFonts w:hint="eastAsia" w:ascii="宋体" w:hAnsi="宋体" w:eastAsia="宋体" w:cs="宋体"/>
          <w:i w:val="0"/>
          <w:iCs w:val="0"/>
          <w:caps w:val="0"/>
          <w:color w:val="auto"/>
          <w:spacing w:val="0"/>
          <w:sz w:val="21"/>
          <w:szCs w:val="21"/>
          <w:shd w:val="clear" w:fill="FFFFFF"/>
          <w:lang w:val="en-US" w:eastAsia="zh-CN"/>
        </w:rPr>
        <w:t>14</w:t>
      </w:r>
      <w:r>
        <w:rPr>
          <w:rFonts w:hint="eastAsia" w:ascii="宋体" w:hAnsi="宋体" w:eastAsia="宋体" w:cs="宋体"/>
          <w:i w:val="0"/>
          <w:iCs w:val="0"/>
          <w:caps w:val="0"/>
          <w:color w:val="auto"/>
          <w:spacing w:val="0"/>
          <w:sz w:val="21"/>
          <w:szCs w:val="21"/>
          <w:shd w:val="clear" w:fill="FFFFFF"/>
        </w:rPr>
        <w:t>日 09时</w:t>
      </w:r>
      <w:r>
        <w:rPr>
          <w:rFonts w:hint="eastAsia" w:ascii="宋体" w:hAnsi="宋体" w:eastAsia="宋体" w:cs="宋体"/>
          <w:i w:val="0"/>
          <w:iCs w:val="0"/>
          <w:caps w:val="0"/>
          <w:color w:val="auto"/>
          <w:spacing w:val="0"/>
          <w:sz w:val="21"/>
          <w:szCs w:val="21"/>
          <w:shd w:val="clear" w:fill="FFFFFF"/>
          <w:lang w:val="en-US" w:eastAsia="zh-CN"/>
        </w:rPr>
        <w:t>30</w:t>
      </w:r>
      <w:r>
        <w:rPr>
          <w:rFonts w:hint="eastAsia" w:ascii="宋体" w:hAnsi="宋体" w:eastAsia="宋体" w:cs="宋体"/>
          <w:i w:val="0"/>
          <w:iCs w:val="0"/>
          <w:caps w:val="0"/>
          <w:color w:val="auto"/>
          <w:spacing w:val="0"/>
          <w:sz w:val="21"/>
          <w:szCs w:val="21"/>
          <w:shd w:val="clear" w:fill="FFFFFF"/>
        </w:rPr>
        <w:t>分00秒（北京时间）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提交投标文件地点：全国公共资源交易平台(陕西省·西安市)网站〖首页〉电子交易平台&lt;陕西政府采购交易系统&gt;企业端〗在线提交</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开标地点：全国公共资源交易平台 (陕西省·西安市)不见面开标大厅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1"/>
          <w:szCs w:val="21"/>
        </w:rPr>
      </w:pPr>
      <w:r>
        <w:rPr>
          <w:rStyle w:val="25"/>
          <w:rFonts w:hint="eastAsia" w:ascii="宋体" w:hAnsi="宋体" w:eastAsia="宋体" w:cs="宋体"/>
          <w:b/>
          <w:bCs/>
          <w:i w:val="0"/>
          <w:iCs w:val="0"/>
          <w:caps w:val="0"/>
          <w:color w:val="auto"/>
          <w:spacing w:val="0"/>
          <w:sz w:val="21"/>
          <w:szCs w:val="21"/>
          <w:shd w:val="clear" w:fill="FFFFFF"/>
        </w:rPr>
        <w:t>五、公告期限</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自本公告发布之日起5个工作日。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1"/>
          <w:szCs w:val="21"/>
        </w:rPr>
      </w:pPr>
      <w:r>
        <w:rPr>
          <w:rStyle w:val="25"/>
          <w:rFonts w:hint="eastAsia" w:ascii="宋体" w:hAnsi="宋体" w:eastAsia="宋体" w:cs="宋体"/>
          <w:b/>
          <w:bCs/>
          <w:i w:val="0"/>
          <w:iCs w:val="0"/>
          <w:caps w:val="0"/>
          <w:color w:val="auto"/>
          <w:spacing w:val="0"/>
          <w:sz w:val="21"/>
          <w:szCs w:val="21"/>
          <w:shd w:val="clear" w:fill="FFFFFF"/>
        </w:rPr>
        <w:t>六、其他补充事宜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1.本项目开标地点：全国公共资源交易平台 (陕西省·西安市)不见面开标大厅</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2、落实的政府采购政策:</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(1)《政府采购促进中小企业发展管理办法》的通知--财库[2020]46 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财政部司法部关于政府采购支持监狱企业发展有关问题的通知--财库〔2014〕68；</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(2)《国务院办公厅关于建立政府强制采购节能产品制度的通知》--国办发〔2007〕51号；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(3)《财政部发展改革委生态环境部市场监督总局关于调整优化节能产品、环境标志 产品政府采购执行机制的通知》--(财库[2019]9 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(4)《关于印发环境标志产品政府采购品目清单的通知》--(财库〔2019〕18号)；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(5)《关于印发节能产品政府采购品目清单的通知》-- (财库〔2019〕19 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(6)《财政部民政部中国残疾人联合会关于促进残疾人就业政府采购政策的通知》--(财库〔2017〕141号)；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(7)陕西省财政厅关于印发《陕西省中小企业政府采购信用融资办法》  (陕财办采〔2018 〕23号)；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(8)《陕西省财政厅关于加快推进我省中小企业政府采购信用融资工作的通知》(陕财办采〔2020〕15 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(9)《关于进一步加强政府绿色采购有关问题的通知》(陕财办采〔2021〕29号)。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3、其他事宜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3-1供应商初次使用电子交易平台时,请先阅读【全国公共资源交易平台(陕西省·西安市)】(http://sxggzyjy.xa.gov.cn/)网站 〖首页〉服务指南〉下载专区〗中的 《西安市市级单位电子化政府采购项目投标指南》,并按要求完成诚信入库登记 、CA 认证 及企业信息绑定；</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3-2 办理 CA 认证:电子交易平台现已接入陕西 CA、深圳 CA、西部 CA、北京 CA 四家数字证书公司,各供应商在交易过程中登录系统、加密/解密投标文件、文件签章等均 可使用上述四家 CA 公司签发的数字证书。办理须知及所需资料详见:http://www.sxggzyjy.cn/fwzn/004003/20220701/6972fe02-f996-4928-951e-545dab02e 53c.htm1；</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3-3请各供应商务必及时下载招标文件并做好备份，否则会影响投标文件编制及后续投标活动；</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3-4制作电子投标文件 (*.SXSTF)需要使用专用制作工具。软件下载及操作说明详见西安市公共资源交易平台〖首面·&gt;服务指南 ·&gt;下载专区〗中的《政府采购项目投标文 件制作软件及操作手册》。提交投标文件截止时间前，供应商应随时留意【陕西省政府 采购网〗、【全国公区资源交易平台 (陕西省·西安市) 〗上可能发布的变更公告。若 变更公告中明确注明本项目提供有变更文件的，供应商应登录企业端后，从【项目流程 ·&gt;项目管理·&gt;答疑文件下载〗获取更新后的电子招标文件 (*.SXSCF),使用旧版电子招 标文件制作的电子投标文件 (*.SXSTF)，系统将拒绝接收；</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3-5提交投标文件截止时间前，供应商应随时留意【陕西省政府采购网〗、【全国公 区资源交易平台 (陕西省·西安市) 〗上可能发布的变更公告。若变更公告中明确注明本项目提供有变更文件的，供应商应登录企业端后，从【项目流程 ·&gt;项目管理·&gt;答疑文件下载〗获取更新后的电子招标文件(*.SXSCF) ,使用旧版电子招标文件制作的电子 投标文件 (*.SXSTF)，系统将拒绝接收；</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3-6本项目采用“不见面开标”形式，供应商可登录全国公共资源交易平台(陕西省 ·西安市)网站〖首页〉不见面开标〗系统，在线参加开标过程。操作手册详见〖首页〉服务指南〉下载专区〗中的《西安公共资源交易不见面开标大厅投标人操作手册》；</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3-7因供应商自身设施故障或自身原因导致无法完成签到、解密或投标的，由供应商 自行承担后果；</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3-8按照陕西省财政厅《关于政府采购供应商注册登记有关事项的通知》 中的要求, 供应商应通过陕西省政府采购网 (http://www.ccgp shaanxi.gov.cn/)注册登记 ,加入 陕西省政府采购供应商库；</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3-9 其他事项见本项目招标文件。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1"/>
          <w:szCs w:val="21"/>
        </w:rPr>
      </w:pPr>
      <w:r>
        <w:rPr>
          <w:rStyle w:val="25"/>
          <w:rFonts w:hint="eastAsia" w:ascii="宋体" w:hAnsi="宋体" w:eastAsia="宋体" w:cs="宋体"/>
          <w:b/>
          <w:bCs/>
          <w:i w:val="0"/>
          <w:iCs w:val="0"/>
          <w:caps w:val="0"/>
          <w:color w:val="auto"/>
          <w:spacing w:val="0"/>
          <w:sz w:val="21"/>
          <w:szCs w:val="21"/>
          <w:shd w:val="clear" w:fill="FFFFFF"/>
        </w:rPr>
        <w:t>七、对本次招标提出询问，请按以下方式联系。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1.采购人信息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名称：西安市雁塔区城市管理和综合执法局</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地址：西安市雁塔区丈八东路石油大学南区西侧</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联系方式：029-89313912</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2.采购代理机构信息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名称：陕西筑辉工程咨询有限公司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地址：西安市雁塔区南二环东段22号（凯森盛世1号）B座2楼</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联系方式：029-89533929</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3.项目联系方式</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项目联系人：师鹏涛</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sz w:val="21"/>
          <w:szCs w:val="21"/>
        </w:rPr>
      </w:pPr>
      <w:r>
        <w:rPr>
          <w:rFonts w:hint="eastAsia" w:ascii="宋体" w:hAnsi="宋体" w:eastAsia="宋体" w:cs="宋体"/>
          <w:i w:val="0"/>
          <w:iCs w:val="0"/>
          <w:caps w:val="0"/>
          <w:color w:val="auto"/>
          <w:spacing w:val="0"/>
          <w:sz w:val="21"/>
          <w:szCs w:val="21"/>
          <w:shd w:val="clear" w:fill="FFFFFF"/>
        </w:rPr>
        <w:t>电话：029-89533929</w:t>
      </w:r>
    </w:p>
    <w:p>
      <w:pPr>
        <w:keepNext w:val="0"/>
        <w:keepLines w:val="0"/>
        <w:pageBreakBefore w:val="0"/>
        <w:widowControl/>
        <w:overflowPunct/>
        <w:topLinePunct w:val="0"/>
        <w:bidi w:val="0"/>
        <w:adjustRightInd w:val="0"/>
        <w:snapToGrid w:val="0"/>
        <w:spacing w:before="0" w:beforeAutospacing="0" w:after="0" w:afterAutospacing="0" w:line="336" w:lineRule="auto"/>
        <w:ind w:firstLine="480"/>
        <w:jc w:val="both"/>
        <w:rPr>
          <w:rFonts w:hint="eastAsia" w:ascii="宋体" w:hAnsi="宋体" w:eastAsia="宋体" w:cs="宋体"/>
          <w:sz w:val="24"/>
          <w:szCs w:val="24"/>
          <w:highlight w:val="none"/>
          <w:shd w:val="clear" w:color="auto" w:fill="FFFFFF"/>
          <w:lang w:val="en-US" w:eastAsia="zh-CN" w:bidi="ar-SA"/>
        </w:rPr>
      </w:pPr>
    </w:p>
    <w:p>
      <w:pPr>
        <w:spacing w:before="0" w:line="240" w:lineRule="auto"/>
        <w:ind w:left="0"/>
        <w:outlineLvl w:val="9"/>
        <w:rPr>
          <w:rFonts w:ascii="宋体" w:hAnsi="宋体" w:eastAsia="宋体" w:cs="宋体"/>
          <w:spacing w:val="12"/>
          <w:sz w:val="43"/>
          <w:szCs w:val="43"/>
          <w:highlight w:val="none"/>
          <w14:textOutline w14:w="7972" w14:cap="sq" w14:cmpd="sng">
            <w14:solidFill>
              <w14:srgbClr w14:val="000000"/>
            </w14:solidFill>
            <w14:prstDash w14:val="solid"/>
            <w14:bevel/>
          </w14:textOutline>
        </w:rPr>
      </w:pPr>
      <w:r>
        <w:rPr>
          <w:rFonts w:ascii="宋体" w:hAnsi="宋体" w:eastAsia="宋体" w:cs="宋体"/>
          <w:spacing w:val="12"/>
          <w:sz w:val="43"/>
          <w:szCs w:val="43"/>
          <w:highlight w:val="none"/>
          <w14:textOutline w14:w="7972" w14:cap="sq" w14:cmpd="sng">
            <w14:solidFill>
              <w14:srgbClr w14:val="000000"/>
            </w14:solidFill>
            <w14:prstDash w14:val="solid"/>
            <w14:bevel/>
          </w14:textOutline>
        </w:rPr>
        <w:br w:type="page"/>
      </w:r>
    </w:p>
    <w:p>
      <w:pPr>
        <w:spacing w:before="103" w:line="222" w:lineRule="auto"/>
        <w:ind w:left="3005"/>
        <w:outlineLvl w:val="0"/>
        <w:rPr>
          <w:rFonts w:ascii="Arial"/>
          <w:sz w:val="21"/>
          <w:highlight w:val="none"/>
        </w:rPr>
      </w:pPr>
      <w:bookmarkStart w:id="2" w:name="_Toc12075"/>
      <w:r>
        <w:rPr>
          <w:rFonts w:ascii="宋体" w:hAnsi="宋体" w:eastAsia="宋体" w:cs="宋体"/>
          <w:spacing w:val="12"/>
          <w:sz w:val="43"/>
          <w:szCs w:val="43"/>
          <w:highlight w:val="none"/>
          <w14:textOutline w14:w="7972" w14:cap="sq" w14:cmpd="sng">
            <w14:solidFill>
              <w14:srgbClr w14:val="000000"/>
            </w14:solidFill>
            <w14:prstDash w14:val="solid"/>
            <w14:bevel/>
          </w14:textOutline>
        </w:rPr>
        <w:t>第</w:t>
      </w:r>
      <w:r>
        <w:rPr>
          <w:rFonts w:ascii="宋体" w:hAnsi="宋体" w:eastAsia="宋体" w:cs="宋体"/>
          <w:spacing w:val="8"/>
          <w:sz w:val="43"/>
          <w:szCs w:val="43"/>
          <w:highlight w:val="none"/>
          <w14:textOutline w14:w="7972" w14:cap="sq" w14:cmpd="sng">
            <w14:solidFill>
              <w14:srgbClr w14:val="000000"/>
            </w14:solidFill>
            <w14:prstDash w14:val="solid"/>
            <w14:bevel/>
          </w14:textOutline>
        </w:rPr>
        <w:t>二章</w:t>
      </w:r>
      <w:r>
        <w:rPr>
          <w:rFonts w:ascii="宋体" w:hAnsi="宋体" w:eastAsia="宋体" w:cs="宋体"/>
          <w:spacing w:val="8"/>
          <w:sz w:val="43"/>
          <w:szCs w:val="43"/>
          <w:highlight w:val="none"/>
        </w:rPr>
        <w:t xml:space="preserve">  </w:t>
      </w:r>
      <w:r>
        <w:rPr>
          <w:rFonts w:ascii="宋体" w:hAnsi="宋体" w:eastAsia="宋体" w:cs="宋体"/>
          <w:spacing w:val="8"/>
          <w:sz w:val="43"/>
          <w:szCs w:val="43"/>
          <w:highlight w:val="none"/>
          <w14:textOutline w14:w="7972" w14:cap="sq" w14:cmpd="sng">
            <w14:solidFill>
              <w14:srgbClr w14:val="000000"/>
            </w14:solidFill>
            <w14:prstDash w14:val="solid"/>
            <w14:bevel/>
          </w14:textOutline>
        </w:rPr>
        <w:t>投标人须知</w:t>
      </w:r>
      <w:bookmarkEnd w:id="2"/>
    </w:p>
    <w:p>
      <w:pPr>
        <w:spacing w:before="101" w:line="219" w:lineRule="auto"/>
        <w:ind w:left="3366"/>
        <w:rPr>
          <w:rFonts w:ascii="宋体" w:hAnsi="宋体" w:eastAsia="宋体" w:cs="宋体"/>
          <w:sz w:val="31"/>
          <w:szCs w:val="31"/>
          <w:highlight w:val="none"/>
        </w:rPr>
      </w:pPr>
      <w:r>
        <w:rPr>
          <w:rFonts w:ascii="宋体" w:hAnsi="宋体" w:eastAsia="宋体" w:cs="宋体"/>
          <w:spacing w:val="15"/>
          <w:sz w:val="31"/>
          <w:szCs w:val="31"/>
          <w:highlight w:val="none"/>
          <w14:textOutline w14:w="5793" w14:cap="sq" w14:cmpd="sng">
            <w14:solidFill>
              <w14:srgbClr w14:val="000000"/>
            </w14:solidFill>
            <w14:prstDash w14:val="solid"/>
            <w14:bevel/>
          </w14:textOutline>
        </w:rPr>
        <w:t>〖</w:t>
      </w:r>
      <w:r>
        <w:rPr>
          <w:rFonts w:ascii="宋体" w:hAnsi="宋体" w:eastAsia="宋体" w:cs="宋体"/>
          <w:spacing w:val="11"/>
          <w:sz w:val="31"/>
          <w:szCs w:val="31"/>
          <w:highlight w:val="none"/>
          <w14:textOutline w14:w="5793" w14:cap="sq" w14:cmpd="sng">
            <w14:solidFill>
              <w14:srgbClr w14:val="000000"/>
            </w14:solidFill>
            <w14:prstDash w14:val="solid"/>
            <w14:bevel/>
          </w14:textOutline>
        </w:rPr>
        <w:t>投标人须知前附表〗</w:t>
      </w:r>
    </w:p>
    <w:tbl>
      <w:tblPr>
        <w:tblStyle w:val="39"/>
        <w:tblW w:w="9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3"/>
        <w:gridCol w:w="1924"/>
        <w:gridCol w:w="66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0" w:hRule="atLeast"/>
        </w:trPr>
        <w:tc>
          <w:tcPr>
            <w:tcW w:w="953" w:type="dxa"/>
            <w:tcBorders>
              <w:left w:val="single" w:color="000000" w:sz="10" w:space="0"/>
            </w:tcBorders>
            <w:shd w:val="clear" w:color="auto" w:fill="F1F1F1"/>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pacing w:val="5"/>
                <w:sz w:val="21"/>
                <w:szCs w:val="21"/>
                <w:highlight w:val="none"/>
                <w:shd w:val="clear" w:color="auto" w:fill="auto"/>
              </w:rPr>
            </w:pPr>
            <w:r>
              <w:rPr>
                <w:rFonts w:hint="eastAsia" w:ascii="宋体" w:hAnsi="宋体" w:eastAsia="宋体" w:cs="宋体"/>
                <w:spacing w:val="5"/>
                <w:sz w:val="21"/>
                <w:szCs w:val="21"/>
                <w:highlight w:val="none"/>
                <w:shd w:val="clear" w:color="auto" w:fill="auto"/>
              </w:rPr>
              <w:t>序 号</w:t>
            </w:r>
          </w:p>
        </w:tc>
        <w:tc>
          <w:tcPr>
            <w:tcW w:w="1924" w:type="dxa"/>
            <w:shd w:val="clear" w:color="auto" w:fill="F1F1F1"/>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pacing w:val="5"/>
                <w:sz w:val="21"/>
                <w:szCs w:val="21"/>
                <w:highlight w:val="none"/>
                <w:shd w:val="clear" w:color="auto" w:fill="auto"/>
              </w:rPr>
            </w:pPr>
            <w:r>
              <w:rPr>
                <w:rFonts w:hint="eastAsia" w:ascii="宋体" w:hAnsi="宋体" w:eastAsia="宋体" w:cs="宋体"/>
                <w:spacing w:val="5"/>
                <w:sz w:val="21"/>
                <w:szCs w:val="21"/>
                <w:highlight w:val="none"/>
                <w:shd w:val="clear" w:color="auto" w:fill="auto"/>
              </w:rPr>
              <w:t>内容</w:t>
            </w:r>
          </w:p>
        </w:tc>
        <w:tc>
          <w:tcPr>
            <w:tcW w:w="6645" w:type="dxa"/>
            <w:tcBorders>
              <w:right w:val="single" w:color="000000" w:sz="10" w:space="0"/>
            </w:tcBorders>
            <w:shd w:val="clear" w:color="auto" w:fill="F1F1F1"/>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pacing w:val="5"/>
                <w:sz w:val="21"/>
                <w:szCs w:val="21"/>
                <w:highlight w:val="none"/>
                <w:shd w:val="clear" w:color="auto" w:fill="auto"/>
              </w:rPr>
            </w:pPr>
            <w:r>
              <w:rPr>
                <w:rFonts w:hint="eastAsia" w:ascii="宋体" w:hAnsi="宋体" w:eastAsia="宋体" w:cs="宋体"/>
                <w:spacing w:val="5"/>
                <w:sz w:val="21"/>
                <w:szCs w:val="21"/>
                <w:highlight w:val="none"/>
                <w:shd w:val="clear" w:color="auto" w:fill="auto"/>
              </w:rPr>
              <w:t>说明和要求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shd w:val="clear" w:color="auto" w:fill="F1F1F1"/>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right="0" w:rightChars="0"/>
              <w:jc w:val="center"/>
              <w:textAlignment w:val="baseline"/>
              <w:rPr>
                <w:rFonts w:hint="eastAsia" w:ascii="宋体" w:hAnsi="宋体" w:eastAsia="宋体" w:cs="宋体"/>
                <w:spacing w:val="5"/>
                <w:sz w:val="21"/>
                <w:szCs w:val="21"/>
                <w:highlight w:val="none"/>
                <w:shd w:val="clear" w:color="auto" w:fill="auto"/>
                <w:lang w:val="en-US" w:eastAsia="zh-CN"/>
              </w:rPr>
            </w:pPr>
            <w:r>
              <w:rPr>
                <w:rFonts w:hint="eastAsia" w:ascii="宋体" w:hAnsi="宋体" w:eastAsia="宋体" w:cs="宋体"/>
                <w:spacing w:val="5"/>
                <w:sz w:val="21"/>
                <w:szCs w:val="21"/>
                <w:highlight w:val="none"/>
                <w:shd w:val="clear" w:color="auto" w:fill="auto"/>
                <w:lang w:val="en-US" w:eastAsia="zh-CN"/>
              </w:rPr>
              <w:t>1</w:t>
            </w:r>
          </w:p>
        </w:tc>
        <w:tc>
          <w:tcPr>
            <w:tcW w:w="1924" w:type="dxa"/>
            <w:shd w:val="clear" w:color="auto" w:fill="F1F1F1"/>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pacing w:val="5"/>
                <w:sz w:val="21"/>
                <w:szCs w:val="21"/>
                <w:highlight w:val="none"/>
                <w:shd w:val="clear" w:color="auto" w:fill="auto"/>
              </w:rPr>
            </w:pPr>
            <w:r>
              <w:rPr>
                <w:rFonts w:hint="eastAsia" w:ascii="宋体" w:hAnsi="宋体" w:eastAsia="宋体" w:cs="宋体"/>
                <w:spacing w:val="5"/>
                <w:sz w:val="21"/>
                <w:szCs w:val="21"/>
                <w:highlight w:val="none"/>
                <w:shd w:val="clear" w:color="auto" w:fill="auto"/>
              </w:rPr>
              <w:t>采购人</w:t>
            </w:r>
          </w:p>
        </w:tc>
        <w:tc>
          <w:tcPr>
            <w:tcW w:w="6645" w:type="dxa"/>
            <w:tcBorders>
              <w:right w:val="single" w:color="000000" w:sz="10" w:space="0"/>
            </w:tcBorders>
            <w:shd w:val="clear" w:color="auto" w:fill="F1F1F1"/>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pacing w:val="5"/>
                <w:sz w:val="21"/>
                <w:szCs w:val="21"/>
                <w:highlight w:val="none"/>
                <w:shd w:val="clear" w:color="auto" w:fill="auto"/>
                <w:lang w:eastAsia="zh-CN"/>
              </w:rPr>
            </w:pPr>
            <w:r>
              <w:rPr>
                <w:rFonts w:hint="eastAsia" w:ascii="宋体" w:hAnsi="宋体" w:eastAsia="宋体" w:cs="宋体"/>
                <w:spacing w:val="5"/>
                <w:sz w:val="21"/>
                <w:szCs w:val="21"/>
                <w:highlight w:val="none"/>
                <w:shd w:val="clear" w:color="auto" w:fill="auto"/>
                <w:lang w:eastAsia="zh-CN"/>
              </w:rPr>
              <w:t>名称：</w:t>
            </w:r>
            <w:r>
              <w:rPr>
                <w:rFonts w:hint="eastAsia" w:ascii="宋体" w:hAnsi="宋体" w:eastAsia="宋体" w:cs="宋体"/>
                <w:sz w:val="21"/>
                <w:szCs w:val="21"/>
                <w:highlight w:val="none"/>
                <w:shd w:val="clear" w:color="auto" w:fill="auto"/>
                <w:lang w:val="en-US" w:eastAsia="zh-CN" w:bidi="ar-SA"/>
              </w:rPr>
              <w:t>西安市雁塔区城市管理和综合执法局</w:t>
            </w:r>
          </w:p>
          <w:p>
            <w:pPr>
              <w:keepNext w:val="0"/>
              <w:keepLines w:val="0"/>
              <w:pageBreakBefore w:val="0"/>
              <w:widowControl/>
              <w:overflowPunct/>
              <w:topLinePunct w:val="0"/>
              <w:bidi w:val="0"/>
              <w:adjustRightInd w:val="0"/>
              <w:snapToGrid w:val="0"/>
              <w:spacing w:before="0" w:beforeAutospacing="0" w:after="0" w:afterAutospacing="0" w:line="336" w:lineRule="auto"/>
              <w:ind w:firstLine="220" w:firstLineChars="100"/>
              <w:jc w:val="both"/>
              <w:rPr>
                <w:rFonts w:hint="eastAsia" w:ascii="宋体" w:hAnsi="宋体" w:eastAsia="宋体" w:cs="宋体"/>
                <w:spacing w:val="5"/>
                <w:sz w:val="21"/>
                <w:szCs w:val="21"/>
                <w:highlight w:val="none"/>
                <w:shd w:val="clear" w:color="auto" w:fill="auto"/>
                <w:lang w:eastAsia="zh-CN"/>
              </w:rPr>
            </w:pPr>
            <w:r>
              <w:rPr>
                <w:rFonts w:hint="eastAsia" w:ascii="宋体" w:hAnsi="宋体" w:eastAsia="宋体" w:cs="宋体"/>
                <w:spacing w:val="5"/>
                <w:sz w:val="21"/>
                <w:szCs w:val="21"/>
                <w:highlight w:val="none"/>
                <w:shd w:val="clear" w:color="auto" w:fill="auto"/>
                <w:lang w:eastAsia="zh-CN"/>
              </w:rPr>
              <w:t>地址：</w:t>
            </w:r>
            <w:r>
              <w:rPr>
                <w:rFonts w:hint="eastAsia" w:ascii="宋体" w:hAnsi="宋体" w:eastAsia="宋体" w:cs="宋体"/>
                <w:sz w:val="21"/>
                <w:szCs w:val="21"/>
                <w:highlight w:val="none"/>
                <w:shd w:val="clear" w:color="auto" w:fill="auto"/>
                <w:lang w:val="en-US" w:eastAsia="zh-CN" w:bidi="ar-SA"/>
              </w:rPr>
              <w:t>西安市雁塔区丈八东路石油大学南区西侧</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pacing w:val="5"/>
                <w:sz w:val="21"/>
                <w:szCs w:val="21"/>
                <w:highlight w:val="none"/>
                <w:shd w:val="clear" w:color="auto" w:fill="auto"/>
                <w:lang w:eastAsia="zh-CN"/>
              </w:rPr>
            </w:pPr>
            <w:r>
              <w:rPr>
                <w:rFonts w:hint="eastAsia" w:ascii="宋体" w:hAnsi="宋体" w:eastAsia="宋体" w:cs="宋体"/>
                <w:spacing w:val="5"/>
                <w:sz w:val="21"/>
                <w:szCs w:val="21"/>
                <w:highlight w:val="none"/>
                <w:shd w:val="clear" w:color="auto" w:fill="auto"/>
                <w:lang w:eastAsia="zh-CN"/>
              </w:rPr>
              <w:t>联系方式：</w:t>
            </w:r>
            <w:r>
              <w:rPr>
                <w:rFonts w:hint="eastAsia" w:ascii="宋体" w:hAnsi="宋体" w:eastAsia="宋体" w:cs="宋体"/>
                <w:spacing w:val="5"/>
                <w:sz w:val="21"/>
                <w:szCs w:val="21"/>
                <w:highlight w:val="none"/>
                <w:shd w:val="clear" w:color="auto" w:fill="auto"/>
                <w:lang w:val="en-US" w:eastAsia="zh-CN"/>
              </w:rPr>
              <w:t>029-89313912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shd w:val="clear" w:color="auto" w:fill="F1F1F1"/>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right="0" w:rightChars="0"/>
              <w:jc w:val="center"/>
              <w:textAlignment w:val="baseline"/>
              <w:rPr>
                <w:rFonts w:hint="eastAsia" w:ascii="宋体" w:hAnsi="宋体" w:eastAsia="宋体" w:cs="宋体"/>
                <w:spacing w:val="5"/>
                <w:sz w:val="21"/>
                <w:szCs w:val="21"/>
                <w:highlight w:val="none"/>
                <w:shd w:val="clear" w:color="auto" w:fill="auto"/>
                <w:lang w:val="en-US" w:eastAsia="zh-CN"/>
              </w:rPr>
            </w:pPr>
            <w:r>
              <w:rPr>
                <w:rFonts w:hint="eastAsia" w:ascii="宋体" w:hAnsi="宋体" w:eastAsia="宋体" w:cs="宋体"/>
                <w:spacing w:val="5"/>
                <w:sz w:val="21"/>
                <w:szCs w:val="21"/>
                <w:highlight w:val="none"/>
                <w:shd w:val="clear" w:color="auto" w:fill="auto"/>
                <w:lang w:val="en-US" w:eastAsia="zh-CN"/>
              </w:rPr>
              <w:t>2</w:t>
            </w:r>
          </w:p>
        </w:tc>
        <w:tc>
          <w:tcPr>
            <w:tcW w:w="1924" w:type="dxa"/>
            <w:shd w:val="clear" w:color="auto" w:fill="F1F1F1"/>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pacing w:val="5"/>
                <w:sz w:val="21"/>
                <w:szCs w:val="21"/>
                <w:highlight w:val="none"/>
                <w:shd w:val="clear" w:color="auto" w:fill="auto"/>
              </w:rPr>
            </w:pPr>
            <w:r>
              <w:rPr>
                <w:rFonts w:hint="eastAsia" w:ascii="宋体" w:hAnsi="宋体" w:eastAsia="宋体" w:cs="宋体"/>
                <w:spacing w:val="5"/>
                <w:sz w:val="21"/>
                <w:szCs w:val="21"/>
                <w:highlight w:val="none"/>
                <w:shd w:val="clear" w:color="auto" w:fill="auto"/>
              </w:rPr>
              <w:t>采购代理机构</w:t>
            </w:r>
          </w:p>
        </w:tc>
        <w:tc>
          <w:tcPr>
            <w:tcW w:w="6645" w:type="dxa"/>
            <w:tcBorders>
              <w:right w:val="single" w:color="000000" w:sz="10" w:space="0"/>
            </w:tcBorders>
            <w:shd w:val="clear" w:color="auto" w:fill="F1F1F1"/>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pacing w:val="5"/>
                <w:sz w:val="21"/>
                <w:szCs w:val="21"/>
                <w:highlight w:val="none"/>
                <w:shd w:val="clear" w:color="auto" w:fill="auto"/>
                <w:lang w:eastAsia="zh-CN"/>
              </w:rPr>
            </w:pPr>
            <w:r>
              <w:rPr>
                <w:rFonts w:hint="eastAsia" w:ascii="宋体" w:hAnsi="宋体" w:eastAsia="宋体" w:cs="宋体"/>
                <w:spacing w:val="5"/>
                <w:sz w:val="21"/>
                <w:szCs w:val="21"/>
                <w:highlight w:val="none"/>
                <w:shd w:val="clear" w:color="auto" w:fill="auto"/>
              </w:rPr>
              <w:t>名称：</w:t>
            </w:r>
            <w:r>
              <w:rPr>
                <w:rFonts w:hint="eastAsia" w:ascii="宋体" w:hAnsi="宋体" w:eastAsia="宋体" w:cs="宋体"/>
                <w:sz w:val="21"/>
                <w:szCs w:val="21"/>
                <w:highlight w:val="none"/>
                <w:shd w:val="clear" w:color="auto" w:fill="auto"/>
                <w:lang w:val="en-US" w:eastAsia="zh-CN" w:bidi="ar-SA"/>
              </w:rPr>
              <w:t>陕西筑辉工程咨询有限公司</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pacing w:val="5"/>
                <w:sz w:val="21"/>
                <w:szCs w:val="21"/>
                <w:highlight w:val="none"/>
                <w:shd w:val="clear" w:color="auto" w:fill="auto"/>
                <w:lang w:eastAsia="zh-CN"/>
              </w:rPr>
            </w:pPr>
            <w:r>
              <w:rPr>
                <w:rFonts w:hint="eastAsia" w:ascii="宋体" w:hAnsi="宋体" w:eastAsia="宋体" w:cs="宋体"/>
                <w:spacing w:val="5"/>
                <w:sz w:val="21"/>
                <w:szCs w:val="21"/>
                <w:highlight w:val="none"/>
                <w:shd w:val="clear" w:color="auto" w:fill="auto"/>
              </w:rPr>
              <w:t>地址：</w:t>
            </w:r>
            <w:r>
              <w:rPr>
                <w:rFonts w:hint="eastAsia" w:ascii="宋体" w:hAnsi="宋体" w:eastAsia="宋体" w:cs="宋体"/>
                <w:sz w:val="21"/>
                <w:szCs w:val="21"/>
                <w:highlight w:val="none"/>
                <w:shd w:val="clear" w:color="auto" w:fill="auto"/>
                <w:lang w:val="en-US" w:eastAsia="zh-CN" w:bidi="ar-SA"/>
              </w:rPr>
              <w:t>西安市雁塔区南二环东段22号（凯森盛世1号）B座2楼</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pacing w:val="5"/>
                <w:sz w:val="21"/>
                <w:szCs w:val="21"/>
                <w:highlight w:val="none"/>
                <w:shd w:val="clear" w:color="auto" w:fill="auto"/>
                <w:lang w:val="en-US" w:eastAsia="zh-CN"/>
              </w:rPr>
            </w:pPr>
            <w:r>
              <w:rPr>
                <w:rFonts w:hint="eastAsia" w:ascii="宋体" w:hAnsi="宋体" w:eastAsia="宋体" w:cs="宋体"/>
                <w:spacing w:val="5"/>
                <w:sz w:val="21"/>
                <w:szCs w:val="21"/>
                <w:highlight w:val="none"/>
                <w:shd w:val="clear" w:color="auto" w:fill="auto"/>
              </w:rPr>
              <w:t>联系人：</w:t>
            </w:r>
            <w:r>
              <w:rPr>
                <w:rFonts w:hint="eastAsia" w:ascii="宋体" w:hAnsi="宋体" w:eastAsia="宋体" w:cs="宋体"/>
                <w:spacing w:val="5"/>
                <w:sz w:val="21"/>
                <w:szCs w:val="21"/>
                <w:highlight w:val="none"/>
                <w:shd w:val="clear" w:color="auto" w:fill="auto"/>
                <w:lang w:val="en-US" w:eastAsia="zh-CN"/>
              </w:rPr>
              <w:t>师鹏涛</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pacing w:val="5"/>
                <w:sz w:val="21"/>
                <w:szCs w:val="21"/>
                <w:highlight w:val="none"/>
                <w:shd w:val="clear" w:color="auto" w:fill="auto"/>
                <w:lang w:eastAsia="zh-CN"/>
              </w:rPr>
            </w:pPr>
            <w:r>
              <w:rPr>
                <w:rFonts w:hint="eastAsia" w:ascii="宋体" w:hAnsi="宋体" w:eastAsia="宋体" w:cs="宋体"/>
                <w:spacing w:val="5"/>
                <w:sz w:val="21"/>
                <w:szCs w:val="21"/>
                <w:highlight w:val="none"/>
                <w:shd w:val="clear" w:color="auto" w:fill="auto"/>
              </w:rPr>
              <w:t>联系方式：</w:t>
            </w:r>
            <w:r>
              <w:rPr>
                <w:rFonts w:hint="eastAsia" w:ascii="宋体" w:hAnsi="宋体" w:eastAsia="宋体" w:cs="宋体"/>
                <w:spacing w:val="5"/>
                <w:sz w:val="21"/>
                <w:szCs w:val="21"/>
                <w:highlight w:val="none"/>
                <w:shd w:val="clear" w:color="auto" w:fill="auto"/>
                <w:lang w:val="en-US" w:eastAsia="zh-CN"/>
              </w:rPr>
              <w:t>029-89533929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项目名称</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right="0" w:rightChars="0" w:firstLine="164" w:firstLineChars="100"/>
              <w:jc w:val="both"/>
              <w:textAlignment w:val="baseline"/>
              <w:rPr>
                <w:rFonts w:hint="eastAsia" w:ascii="宋体" w:hAnsi="宋体" w:eastAsia="宋体" w:cs="宋体"/>
                <w:spacing w:val="5"/>
                <w:sz w:val="21"/>
                <w:szCs w:val="21"/>
                <w:highlight w:val="none"/>
                <w:lang w:eastAsia="zh-CN"/>
              </w:rPr>
            </w:pPr>
            <w:r>
              <w:rPr>
                <w:rFonts w:hint="eastAsia" w:ascii="宋体" w:hAnsi="宋体" w:eastAsia="宋体" w:cs="宋体"/>
                <w:spacing w:val="-23"/>
                <w:position w:val="0"/>
                <w:sz w:val="21"/>
                <w:szCs w:val="21"/>
                <w:highlight w:val="none"/>
                <w:lang w:eastAsia="zh-CN"/>
              </w:rPr>
              <w:t>2023年春季绿化项目监理（二次）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资金来源</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pacing w:val="5"/>
                <w:sz w:val="21"/>
                <w:szCs w:val="21"/>
                <w:highlight w:val="none"/>
                <w:lang w:eastAsia="zh-CN"/>
              </w:rPr>
            </w:pPr>
            <w:r>
              <w:rPr>
                <w:rFonts w:hint="eastAsia" w:ascii="宋体" w:hAnsi="宋体" w:eastAsia="宋体" w:cs="宋体"/>
                <w:spacing w:val="5"/>
                <w:sz w:val="21"/>
                <w:szCs w:val="21"/>
                <w:highlight w:val="none"/>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资金落实情况</w:t>
            </w:r>
            <w:r>
              <w:rPr>
                <w:rFonts w:hint="eastAsia" w:ascii="宋体" w:hAnsi="宋体" w:eastAsia="宋体" w:cs="宋体"/>
                <w:spacing w:val="5"/>
                <w:sz w:val="21"/>
                <w:szCs w:val="21"/>
                <w:highlight w:val="none"/>
                <w:lang w:val="en-US" w:eastAsia="zh-CN"/>
              </w:rPr>
              <w:t>及</w:t>
            </w:r>
            <w:r>
              <w:rPr>
                <w:rFonts w:hint="eastAsia" w:ascii="宋体" w:hAnsi="宋体" w:eastAsia="宋体" w:cs="宋体"/>
                <w:spacing w:val="5"/>
                <w:sz w:val="21"/>
                <w:szCs w:val="21"/>
                <w:highlight w:val="none"/>
              </w:rPr>
              <w:t>出资比例</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已落实</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napToGrid w:val="0"/>
                <w:color w:val="000000"/>
                <w:spacing w:val="5"/>
                <w:kern w:val="0"/>
                <w:sz w:val="21"/>
                <w:szCs w:val="21"/>
                <w:highlight w:val="none"/>
              </w:rPr>
            </w:pPr>
            <w:r>
              <w:rPr>
                <w:rFonts w:hint="eastAsia" w:ascii="宋体" w:hAnsi="宋体" w:eastAsia="宋体" w:cs="宋体"/>
                <w:spacing w:val="5"/>
                <w:sz w:val="21"/>
                <w:szCs w:val="21"/>
                <w:highlight w:val="none"/>
              </w:rPr>
              <w:t>项目实施地点</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napToGrid w:val="0"/>
                <w:color w:val="000000"/>
                <w:spacing w:val="5"/>
                <w:kern w:val="0"/>
                <w:sz w:val="21"/>
                <w:szCs w:val="21"/>
                <w:highlight w:val="none"/>
                <w:lang w:val="en-US" w:eastAsia="zh-CN"/>
              </w:rPr>
            </w:pPr>
            <w:r>
              <w:rPr>
                <w:rFonts w:hint="eastAsia" w:ascii="宋体" w:hAnsi="宋体" w:eastAsia="宋体" w:cs="宋体"/>
                <w:spacing w:val="5"/>
                <w:sz w:val="21"/>
                <w:szCs w:val="21"/>
                <w:highlight w:val="none"/>
              </w:rPr>
              <w:t>西安市</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lang w:val="en-US" w:eastAsia="zh-CN"/>
              </w:rPr>
              <w:t>雁塔区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napToGrid w:val="0"/>
                <w:color w:val="000000"/>
                <w:spacing w:val="5"/>
                <w:kern w:val="0"/>
                <w:sz w:val="21"/>
                <w:szCs w:val="21"/>
                <w:highlight w:val="none"/>
              </w:rPr>
            </w:pPr>
            <w:r>
              <w:rPr>
                <w:rFonts w:hint="eastAsia" w:ascii="宋体" w:hAnsi="宋体" w:eastAsia="宋体" w:cs="宋体"/>
                <w:spacing w:val="5"/>
                <w:sz w:val="21"/>
                <w:szCs w:val="21"/>
                <w:highlight w:val="none"/>
              </w:rPr>
              <w:t>项目编号</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napToGrid w:val="0"/>
                <w:color w:val="000000"/>
                <w:spacing w:val="5"/>
                <w:kern w:val="0"/>
                <w:sz w:val="21"/>
                <w:szCs w:val="21"/>
                <w:highlight w:val="none"/>
                <w:lang w:val="en-US" w:eastAsia="zh-CN"/>
              </w:rPr>
            </w:pPr>
            <w:r>
              <w:rPr>
                <w:rFonts w:hint="eastAsia" w:ascii="宋体" w:hAnsi="宋体" w:eastAsia="宋体" w:cs="宋体"/>
                <w:spacing w:val="5"/>
                <w:sz w:val="21"/>
                <w:szCs w:val="21"/>
                <w:highlight w:val="none"/>
                <w:lang w:eastAsia="zh-CN"/>
              </w:rPr>
              <w:t>SXZH-2023-002.2B1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val="en-US" w:eastAsia="zh-CN"/>
              </w:rPr>
              <w:t>投标报价</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lang w:val="en-US" w:eastAsia="zh-CN"/>
              </w:rPr>
              <w:t xml:space="preserve">供应商应在投标报价表中标明完成本次招标所要求的服务且验收合格的所有费用的费率，包括但不限于监理费、 人员工资、社保、税金等其他一切相关费用。任何有选择的报价将不予接受，否则按无效投标处理。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vMerge w:val="restart"/>
            <w:tcBorders>
              <w:left w:val="single" w:color="000000" w:sz="10"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lang w:val="en-US" w:eastAsia="zh-CN"/>
              </w:rPr>
              <w:t>项目总</w:t>
            </w:r>
            <w:r>
              <w:rPr>
                <w:rFonts w:hint="eastAsia" w:ascii="宋体" w:hAnsi="宋体" w:eastAsia="宋体" w:cs="宋体"/>
                <w:spacing w:val="5"/>
                <w:sz w:val="21"/>
                <w:szCs w:val="21"/>
                <w:highlight w:val="none"/>
              </w:rPr>
              <w:t>预算</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164" w:firstLineChars="100"/>
              <w:jc w:val="both"/>
              <w:textAlignment w:val="baseline"/>
              <w:rPr>
                <w:rFonts w:hint="eastAsia" w:ascii="宋体" w:hAnsi="宋体" w:eastAsia="宋体" w:cs="宋体"/>
                <w:spacing w:val="5"/>
                <w:sz w:val="21"/>
                <w:szCs w:val="21"/>
                <w:highlight w:val="none"/>
                <w:lang w:eastAsia="zh-CN"/>
              </w:rPr>
            </w:pPr>
            <w:r>
              <w:rPr>
                <w:rFonts w:hint="eastAsia" w:ascii="宋体" w:hAnsi="宋体" w:eastAsia="宋体" w:cs="宋体"/>
                <w:spacing w:val="-23"/>
                <w:position w:val="0"/>
                <w:sz w:val="21"/>
                <w:szCs w:val="21"/>
                <w:highlight w:val="none"/>
                <w:lang w:val="en-US" w:eastAsia="zh-CN"/>
              </w:rPr>
              <w:t>1,300,000.00</w:t>
            </w:r>
            <w:r>
              <w:rPr>
                <w:rFonts w:hint="eastAsia" w:ascii="宋体" w:hAnsi="宋体" w:eastAsia="宋体" w:cs="宋体"/>
                <w:spacing w:val="5"/>
                <w:sz w:val="21"/>
                <w:szCs w:val="21"/>
                <w:highlight w:val="none"/>
              </w:rPr>
              <w:t>元</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lang w:val="en-US" w:eastAsia="zh-CN"/>
              </w:rPr>
              <w:t>本次招标为二标段：预算30万</w:t>
            </w:r>
            <w:r>
              <w:rPr>
                <w:rFonts w:hint="eastAsia" w:ascii="宋体" w:hAnsi="宋体" w:eastAsia="宋体" w:cs="宋体"/>
                <w:spacing w:val="5"/>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953" w:type="dxa"/>
            <w:vMerge w:val="continue"/>
            <w:tcBorders>
              <w:top w:val="nil"/>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z w:val="21"/>
                <w:szCs w:val="21"/>
                <w:highlight w:val="none"/>
              </w:rPr>
            </w:pP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最高限价</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1" w:firstLineChars="100"/>
              <w:jc w:val="both"/>
              <w:textAlignment w:val="baseline"/>
              <w:rPr>
                <w:rFonts w:hint="eastAsia" w:ascii="宋体" w:hAnsi="宋体" w:eastAsia="宋体" w:cs="宋体"/>
                <w:b/>
                <w:bCs/>
                <w:spacing w:val="5"/>
                <w:sz w:val="21"/>
                <w:szCs w:val="21"/>
                <w:highlight w:val="none"/>
                <w:lang w:val="en-US" w:eastAsia="zh-CN"/>
              </w:rPr>
            </w:pPr>
            <w:r>
              <w:rPr>
                <w:rFonts w:hint="eastAsia" w:ascii="宋体" w:hAnsi="宋体" w:eastAsia="宋体" w:cs="宋体"/>
                <w:b/>
                <w:bCs/>
                <w:spacing w:val="5"/>
                <w:sz w:val="21"/>
                <w:szCs w:val="21"/>
                <w:highlight w:val="none"/>
                <w:lang w:val="en-US" w:eastAsia="zh-CN"/>
              </w:rPr>
              <w:t>投标报价不得超过最高限价：</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val="en-US" w:eastAsia="zh-CN"/>
              </w:rPr>
              <w:t>费率最高限价为：3.30%</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z w:val="21"/>
                <w:szCs w:val="21"/>
              </w:rPr>
            </w:pPr>
            <w:r>
              <w:rPr>
                <w:rFonts w:hint="eastAsia" w:ascii="宋体" w:hAnsi="宋体" w:eastAsia="宋体" w:cs="宋体"/>
                <w:spacing w:val="5"/>
                <w:sz w:val="21"/>
                <w:szCs w:val="21"/>
                <w:highlight w:val="none"/>
                <w:lang w:val="en-US" w:eastAsia="zh-CN"/>
              </w:rPr>
              <w:t>二标段：273863元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right="0" w:rightChars="0"/>
              <w:jc w:val="both"/>
              <w:textAlignment w:val="baseline"/>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是否接受联合体</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0" w:firstLineChars="100"/>
              <w:jc w:val="both"/>
              <w:textAlignment w:val="baseline"/>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投标保证金</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24" w:firstLineChars="10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本项</w:t>
            </w:r>
            <w:r>
              <w:rPr>
                <w:rFonts w:hint="eastAsia" w:ascii="宋体" w:hAnsi="宋体" w:eastAsia="宋体" w:cs="宋体"/>
                <w:spacing w:val="5"/>
                <w:sz w:val="21"/>
                <w:szCs w:val="21"/>
                <w:highlight w:val="none"/>
              </w:rPr>
              <w:t>目</w:t>
            </w:r>
            <w:r>
              <w:rPr>
                <w:rFonts w:hint="eastAsia" w:ascii="宋体" w:hAnsi="宋体" w:eastAsia="宋体" w:cs="宋体"/>
                <w:spacing w:val="6"/>
                <w:sz w:val="21"/>
                <w:szCs w:val="21"/>
                <w:highlight w:val="none"/>
              </w:rPr>
              <w:t>无需缴</w:t>
            </w:r>
            <w:r>
              <w:rPr>
                <w:rFonts w:hint="eastAsia" w:ascii="宋体" w:hAnsi="宋体" w:eastAsia="宋体" w:cs="宋体"/>
                <w:spacing w:val="7"/>
                <w:sz w:val="21"/>
                <w:szCs w:val="21"/>
                <w:highlight w:val="none"/>
              </w:rPr>
              <w:t>纳投标保证金</w:t>
            </w:r>
            <w:r>
              <w:rPr>
                <w:rFonts w:hint="eastAsia" w:ascii="宋体" w:hAnsi="宋体" w:eastAsia="宋体" w:cs="宋体"/>
                <w:spacing w:val="6"/>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z w:val="21"/>
                <w:szCs w:val="21"/>
                <w:highlight w:val="none"/>
                <w:lang w:eastAsia="zh-CN"/>
              </w:rPr>
            </w:pPr>
            <w:r>
              <w:rPr>
                <w:rFonts w:hint="eastAsia" w:ascii="宋体" w:hAnsi="宋体" w:eastAsia="宋体" w:cs="宋体"/>
                <w:spacing w:val="-10"/>
                <w:sz w:val="21"/>
                <w:szCs w:val="21"/>
                <w:highlight w:val="none"/>
              </w:rPr>
              <w:t>1</w:t>
            </w:r>
            <w:r>
              <w:rPr>
                <w:rFonts w:hint="eastAsia" w:ascii="宋体" w:hAnsi="宋体" w:eastAsia="宋体" w:cs="宋体"/>
                <w:spacing w:val="-8"/>
                <w:sz w:val="21"/>
                <w:szCs w:val="21"/>
                <w:highlight w:val="none"/>
                <w:lang w:val="en-US" w:eastAsia="zh-CN"/>
              </w:rPr>
              <w:t>2</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采购内容及</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采购范围</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采购内容：详见招标文件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z w:val="21"/>
                <w:szCs w:val="21"/>
                <w:highlight w:val="none"/>
                <w:lang w:eastAsia="zh-CN"/>
              </w:rPr>
            </w:pPr>
            <w:r>
              <w:rPr>
                <w:rFonts w:hint="eastAsia" w:ascii="宋体" w:hAnsi="宋体" w:eastAsia="宋体" w:cs="宋体"/>
                <w:spacing w:val="-10"/>
                <w:sz w:val="21"/>
                <w:szCs w:val="21"/>
                <w:highlight w:val="none"/>
              </w:rPr>
              <w:t>1</w:t>
            </w:r>
            <w:r>
              <w:rPr>
                <w:rFonts w:hint="eastAsia" w:ascii="宋体" w:hAnsi="宋体" w:eastAsia="宋体" w:cs="宋体"/>
                <w:spacing w:val="-8"/>
                <w:sz w:val="21"/>
                <w:szCs w:val="21"/>
                <w:highlight w:val="none"/>
                <w:lang w:val="en-US" w:eastAsia="zh-CN"/>
              </w:rPr>
              <w:t>3</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eastAsia="zh-CN"/>
              </w:rPr>
              <w:t>服务期限</w:t>
            </w:r>
            <w:r>
              <w:rPr>
                <w:rFonts w:hint="eastAsia" w:ascii="宋体" w:hAnsi="宋体" w:eastAsia="宋体" w:cs="宋体"/>
                <w:spacing w:val="10"/>
                <w:sz w:val="21"/>
                <w:szCs w:val="21"/>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质量标准</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both"/>
              <w:textAlignment w:val="baseline"/>
              <w:rPr>
                <w:rFonts w:hint="eastAsia" w:ascii="宋体" w:hAnsi="宋体" w:eastAsia="宋体" w:cs="宋体"/>
                <w:spacing w:val="10"/>
                <w:sz w:val="21"/>
                <w:szCs w:val="21"/>
                <w:highlight w:val="none"/>
                <w:lang w:eastAsia="zh-CN"/>
              </w:rPr>
            </w:pPr>
            <w:r>
              <w:rPr>
                <w:rFonts w:hint="eastAsia" w:ascii="宋体" w:hAnsi="宋体" w:eastAsia="宋体" w:cs="宋体"/>
                <w:spacing w:val="10"/>
                <w:sz w:val="21"/>
                <w:szCs w:val="21"/>
                <w:highlight w:val="none"/>
                <w:lang w:eastAsia="zh-CN"/>
              </w:rPr>
              <w:t>服务期限：</w:t>
            </w:r>
            <w:r>
              <w:rPr>
                <w:rFonts w:hint="eastAsia" w:ascii="宋体" w:hAnsi="宋体" w:eastAsia="宋体" w:cs="宋体"/>
                <w:spacing w:val="10"/>
                <w:sz w:val="21"/>
                <w:szCs w:val="21"/>
                <w:highlight w:val="none"/>
                <w:lang w:val="en-US" w:eastAsia="zh-CN"/>
              </w:rPr>
              <w:t>120天</w:t>
            </w:r>
            <w:r>
              <w:rPr>
                <w:rFonts w:hint="eastAsia" w:ascii="宋体" w:hAnsi="宋体" w:eastAsia="宋体" w:cs="宋体"/>
                <w:spacing w:val="3"/>
                <w:sz w:val="21"/>
                <w:szCs w:val="21"/>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lang w:val="en-US" w:eastAsia="zh-CN"/>
              </w:rPr>
              <w:t>质量标准：</w:t>
            </w:r>
            <w:r>
              <w:rPr>
                <w:rFonts w:hint="eastAsia" w:ascii="宋体" w:hAnsi="宋体" w:eastAsia="宋体" w:cs="宋体"/>
                <w:kern w:val="0"/>
                <w:sz w:val="21"/>
                <w:szCs w:val="21"/>
                <w:highlight w:val="none"/>
              </w:rPr>
              <w:t>符合相关国家、行业要求及采购人标准及要求。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14</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rPr>
              <w:t>投标人资格条件、能力和信誉等要求</w:t>
            </w:r>
          </w:p>
        </w:tc>
        <w:tc>
          <w:tcPr>
            <w:tcW w:w="6645" w:type="dxa"/>
            <w:tcBorders>
              <w:right w:val="single" w:color="000000" w:sz="10" w:space="0"/>
            </w:tcBorders>
            <w:vAlign w:val="center"/>
          </w:tcPr>
          <w:p>
            <w:pPr>
              <w:keepNext w:val="0"/>
              <w:keepLines w:val="0"/>
              <w:pageBreakBefore w:val="0"/>
              <w:widowControl/>
              <w:wordWrap/>
              <w:overflowPunct/>
              <w:topLinePunct w:val="0"/>
              <w:bidi w:val="0"/>
              <w:adjustRightInd w:val="0"/>
              <w:snapToGrid w:val="0"/>
              <w:spacing w:line="336" w:lineRule="auto"/>
              <w:ind w:left="0" w:leftChars="0" w:right="0" w:rightChars="0" w:firstLine="0" w:firstLineChars="0"/>
              <w:jc w:val="left"/>
              <w:textAlignment w:val="baseline"/>
              <w:rPr>
                <w:rFonts w:hint="eastAsia" w:ascii="宋体" w:hAnsi="宋体" w:eastAsia="宋体" w:cs="宋体"/>
                <w:sz w:val="21"/>
                <w:szCs w:val="21"/>
                <w:highlight w:val="none"/>
              </w:rPr>
            </w:pPr>
            <w:r>
              <w:rPr>
                <w:rFonts w:hint="eastAsia" w:ascii="宋体" w:hAnsi="宋体" w:eastAsia="宋体" w:cs="宋体"/>
                <w:b/>
                <w:bCs/>
                <w:sz w:val="21"/>
                <w:szCs w:val="21"/>
                <w:highlight w:val="none"/>
              </w:rPr>
              <w:t>1.基本资格条件：符合《中华人民共和国政府采购法》第二十二条的规定，并提供以下资料；</w:t>
            </w:r>
          </w:p>
          <w:p>
            <w:pPr>
              <w:keepNext w:val="0"/>
              <w:keepLines w:val="0"/>
              <w:pageBreakBefore w:val="0"/>
              <w:widowControl/>
              <w:wordWrap/>
              <w:overflowPunct/>
              <w:topLinePunct w:val="0"/>
              <w:bidi w:val="0"/>
              <w:adjustRightInd w:val="0"/>
              <w:snapToGrid w:val="0"/>
              <w:spacing w:line="336" w:lineRule="auto"/>
              <w:ind w:left="0" w:leftChars="0" w:right="0" w:rightChars="0" w:firstLine="0" w:firstLineChars="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（1）提供合格有效的法人或者其他组织的营业执照等证明文件，自然人的身份证明；</w:t>
            </w:r>
          </w:p>
          <w:p>
            <w:pPr>
              <w:keepNext w:val="0"/>
              <w:keepLines w:val="0"/>
              <w:pageBreakBefore w:val="0"/>
              <w:widowControl/>
              <w:wordWrap/>
              <w:overflowPunct/>
              <w:topLinePunct w:val="0"/>
              <w:bidi w:val="0"/>
              <w:adjustRightInd w:val="0"/>
              <w:snapToGrid w:val="0"/>
              <w:spacing w:line="336" w:lineRule="auto"/>
              <w:ind w:left="0" w:leftChars="0" w:right="0" w:rightChars="0" w:firstLine="0" w:firstLineChars="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是法人或其他组织的应提供营业执照等证明文件，</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是自然人的应提供有效的自然人身份证明。</w:t>
            </w:r>
          </w:p>
          <w:p>
            <w:pPr>
              <w:keepNext w:val="0"/>
              <w:keepLines w:val="0"/>
              <w:pageBreakBefore w:val="0"/>
              <w:widowControl/>
              <w:wordWrap/>
              <w:overflowPunct/>
              <w:topLinePunct w:val="0"/>
              <w:bidi w:val="0"/>
              <w:adjustRightInd w:val="0"/>
              <w:snapToGrid w:val="0"/>
              <w:spacing w:line="336" w:lineRule="auto"/>
              <w:ind w:left="0" w:leftChars="0" w:right="0" w:rightChars="0" w:firstLine="0" w:firstLineChars="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（2）提供202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年度经审计的财务报告（成立时间至提交投标文件截止时间不足一年的可提供成立后任意时段的资产负债表），或其基本存款账户开户银行出具的资信证明及基本存款账户开户许可证（基本账户信息表）；</w:t>
            </w:r>
          </w:p>
          <w:p>
            <w:pPr>
              <w:keepNext w:val="0"/>
              <w:keepLines w:val="0"/>
              <w:pageBreakBefore w:val="0"/>
              <w:widowControl/>
              <w:wordWrap/>
              <w:overflowPunct/>
              <w:topLinePunct w:val="0"/>
              <w:bidi w:val="0"/>
              <w:adjustRightInd w:val="0"/>
              <w:snapToGrid w:val="0"/>
              <w:spacing w:line="336" w:lineRule="auto"/>
              <w:ind w:left="0" w:leftChars="0" w:right="0" w:rightChars="0" w:firstLine="0" w:firstLineChars="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（3）提供具有履行合同所必需的设备和专业技术能力的承诺；</w:t>
            </w:r>
          </w:p>
          <w:p>
            <w:pPr>
              <w:keepNext w:val="0"/>
              <w:keepLines w:val="0"/>
              <w:pageBreakBefore w:val="0"/>
              <w:widowControl/>
              <w:wordWrap/>
              <w:overflowPunct/>
              <w:topLinePunct w:val="0"/>
              <w:bidi w:val="0"/>
              <w:adjustRightInd w:val="0"/>
              <w:snapToGrid w:val="0"/>
              <w:spacing w:line="336" w:lineRule="auto"/>
              <w:ind w:left="0" w:leftChars="0" w:right="0" w:rightChars="0" w:firstLine="0" w:firstLineChars="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（4）提供投标截止日前一年内已缴纳的至少一个月的纳税证明或完税证明，依法免税的单位应提供相关证明材料</w:t>
            </w:r>
          </w:p>
          <w:p>
            <w:pPr>
              <w:keepNext w:val="0"/>
              <w:keepLines w:val="0"/>
              <w:pageBreakBefore w:val="0"/>
              <w:widowControl/>
              <w:wordWrap/>
              <w:overflowPunct/>
              <w:topLinePunct w:val="0"/>
              <w:bidi w:val="0"/>
              <w:adjustRightInd w:val="0"/>
              <w:snapToGrid w:val="0"/>
              <w:spacing w:line="336" w:lineRule="auto"/>
              <w:ind w:left="0" w:leftChars="0" w:right="0" w:rightChars="0" w:firstLine="0" w:firstLineChars="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（5）提供投标截止日前一年内已缴存的至少一个月的社会保障资金缴存单据或社保机构开具的社会保险参保缴费情况证明，依法不需要缴纳社会保障资金的单位应提供相关证明材料；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wordWrap/>
              <w:overflowPunct/>
              <w:topLinePunct w:val="0"/>
              <w:bidi w:val="0"/>
              <w:adjustRightInd w:val="0"/>
              <w:snapToGrid w:val="0"/>
              <w:spacing w:line="336" w:lineRule="auto"/>
              <w:ind w:left="0" w:leftChars="0" w:right="0" w:rightChars="0" w:firstLine="0" w:firstLineChars="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（6）参加政府采购活动前三年内，在经营活动中没有重大违法记录的书面声明。</w:t>
            </w:r>
          </w:p>
          <w:p>
            <w:pPr>
              <w:keepNext w:val="0"/>
              <w:keepLines w:val="0"/>
              <w:pageBreakBefore w:val="0"/>
              <w:widowControl/>
              <w:wordWrap/>
              <w:overflowPunct/>
              <w:topLinePunct w:val="0"/>
              <w:bidi w:val="0"/>
              <w:adjustRightInd w:val="0"/>
              <w:snapToGrid w:val="0"/>
              <w:spacing w:line="336" w:lineRule="auto"/>
              <w:ind w:left="0" w:leftChars="0" w:right="0" w:rightChars="0" w:firstLine="0" w:firstLineChars="0"/>
              <w:jc w:val="left"/>
              <w:textAlignment w:val="baseline"/>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2.落实政府采购政策需满足的资格要求：本项目专门面向中小企业采购</w:t>
            </w:r>
            <w:r>
              <w:rPr>
                <w:rFonts w:hint="eastAsia" w:ascii="宋体" w:hAnsi="宋体" w:eastAsia="宋体" w:cs="宋体"/>
                <w:b/>
                <w:bCs/>
                <w:sz w:val="21"/>
                <w:szCs w:val="21"/>
                <w:highlight w:val="none"/>
                <w:lang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36" w:lineRule="auto"/>
              <w:jc w:val="left"/>
              <w:textAlignment w:val="baseline"/>
              <w:rPr>
                <w:rFonts w:hint="eastAsia" w:ascii="宋体" w:hAnsi="宋体" w:eastAsia="宋体" w:cs="宋体"/>
                <w:b/>
                <w:bCs/>
                <w:spacing w:val="10"/>
                <w:sz w:val="21"/>
                <w:szCs w:val="21"/>
                <w:highlight w:val="none"/>
                <w:lang w:val="en-US" w:eastAsia="zh-CN"/>
              </w:rPr>
            </w:pPr>
            <w:r>
              <w:rPr>
                <w:rFonts w:hint="eastAsia" w:ascii="宋体" w:hAnsi="宋体" w:eastAsia="宋体" w:cs="宋体"/>
                <w:b/>
                <w:bCs/>
                <w:spacing w:val="10"/>
                <w:sz w:val="21"/>
                <w:szCs w:val="21"/>
                <w:highlight w:val="none"/>
                <w:lang w:val="en-US" w:eastAsia="zh-CN"/>
              </w:rPr>
              <w:t>3.本项目的特定资格要求：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36" w:lineRule="auto"/>
              <w:jc w:val="left"/>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合同包(2023年春季绿化项目监理（二次）)特定资格要求如下：</w:t>
            </w:r>
          </w:p>
          <w:p>
            <w:pPr>
              <w:keepNext w:val="0"/>
              <w:keepLines w:val="0"/>
              <w:pageBreakBefore w:val="0"/>
              <w:widowControl/>
              <w:suppressLineNumbers w:val="0"/>
              <w:kinsoku w:val="0"/>
              <w:wordWrap/>
              <w:overflowPunct/>
              <w:topLinePunct w:val="0"/>
              <w:autoSpaceDE w:val="0"/>
              <w:autoSpaceDN w:val="0"/>
              <w:bidi w:val="0"/>
              <w:adjustRightInd w:val="0"/>
              <w:snapToGrid w:val="0"/>
              <w:spacing w:line="336" w:lineRule="auto"/>
              <w:jc w:val="left"/>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（1）法定代表人授权书及被授权人身份证复印件（法定代表人直接参加投标，须提供法定代表人身份证明及身份证复印件）；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864"/>
              </w:tabs>
              <w:kinsoku/>
              <w:wordWrap w:val="0"/>
              <w:overflowPunct/>
              <w:topLinePunct w:val="0"/>
              <w:autoSpaceDE/>
              <w:autoSpaceDN/>
              <w:bidi w:val="0"/>
              <w:adjustRightInd w:val="0"/>
              <w:snapToGrid w:val="0"/>
              <w:spacing w:before="0" w:beforeAutospacing="0" w:after="0" w:afterAutospacing="0" w:line="336" w:lineRule="auto"/>
              <w:ind w:right="0"/>
              <w:jc w:val="left"/>
              <w:textAlignment w:val="baseline"/>
              <w:outlineLvl w:val="9"/>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（2）投标人须具有建设行政主管部门颁发的工程监理综合资质或市政公用工程监理乙级及以上资质；</w:t>
            </w:r>
          </w:p>
          <w:p>
            <w:pPr>
              <w:keepNext w:val="0"/>
              <w:keepLines w:val="0"/>
              <w:pageBreakBefore w:val="0"/>
              <w:widowControl/>
              <w:numPr>
                <w:ilvl w:val="0"/>
                <w:numId w:val="2"/>
              </w:numPr>
              <w:suppressLineNumbers w:val="0"/>
              <w:kinsoku w:val="0"/>
              <w:wordWrap/>
              <w:overflowPunct/>
              <w:topLinePunct w:val="0"/>
              <w:autoSpaceDE w:val="0"/>
              <w:autoSpaceDN w:val="0"/>
              <w:bidi w:val="0"/>
              <w:adjustRightInd w:val="0"/>
              <w:snapToGrid w:val="0"/>
              <w:spacing w:line="336" w:lineRule="auto"/>
              <w:jc w:val="left"/>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color w:val="auto"/>
                <w:sz w:val="21"/>
                <w:szCs w:val="21"/>
                <w:highlight w:val="none"/>
                <w:lang w:val="en-US" w:eastAsia="zh-CN" w:bidi="ar-SA"/>
              </w:rPr>
              <w:t>拟派总监理工程师具有市政公用工程专业国家级注册监理工程师资质且在本单位注册，拟派总监理工程师如有担任其他在监工程的总监理工程师，则在监工程不得超过2个（含2个），同时需提供在监项目建设单位的同意意见书；</w:t>
            </w:r>
          </w:p>
          <w:p>
            <w:pPr>
              <w:keepNext w:val="0"/>
              <w:keepLines w:val="0"/>
              <w:pageBreakBefore w:val="0"/>
              <w:widowControl/>
              <w:numPr>
                <w:ilvl w:val="0"/>
                <w:numId w:val="2"/>
              </w:numPr>
              <w:suppressLineNumbers w:val="0"/>
              <w:kinsoku w:val="0"/>
              <w:wordWrap/>
              <w:overflowPunct/>
              <w:topLinePunct w:val="0"/>
              <w:autoSpaceDE w:val="0"/>
              <w:autoSpaceDN w:val="0"/>
              <w:bidi w:val="0"/>
              <w:adjustRightInd w:val="0"/>
              <w:snapToGrid w:val="0"/>
              <w:spacing w:line="336" w:lineRule="auto"/>
              <w:jc w:val="left"/>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投标人</w:t>
            </w:r>
            <w:r>
              <w:rPr>
                <w:rFonts w:hint="eastAsia" w:ascii="宋体" w:hAnsi="宋体" w:eastAsia="宋体" w:cs="宋体"/>
                <w:spacing w:val="10"/>
                <w:sz w:val="21"/>
                <w:szCs w:val="21"/>
                <w:highlight w:val="none"/>
                <w:lang w:val="en-US" w:eastAsia="zh-CN"/>
              </w:rPr>
              <w:fldChar w:fldCharType="begin"/>
            </w:r>
            <w:r>
              <w:rPr>
                <w:rFonts w:hint="eastAsia" w:ascii="宋体" w:hAnsi="宋体" w:eastAsia="宋体" w:cs="宋体"/>
                <w:spacing w:val="10"/>
                <w:sz w:val="21"/>
                <w:szCs w:val="21"/>
                <w:highlight w:val="none"/>
                <w:lang w:val="en-US" w:eastAsia="zh-CN"/>
              </w:rPr>
              <w:instrText xml:space="preserve"> HYPERLINK "http://www.creditchina.gov.cn/" </w:instrText>
            </w:r>
            <w:r>
              <w:rPr>
                <w:rFonts w:hint="eastAsia" w:ascii="宋体" w:hAnsi="宋体" w:eastAsia="宋体" w:cs="宋体"/>
                <w:spacing w:val="10"/>
                <w:sz w:val="21"/>
                <w:szCs w:val="21"/>
                <w:highlight w:val="none"/>
                <w:lang w:val="en-US" w:eastAsia="zh-CN"/>
              </w:rPr>
              <w:fldChar w:fldCharType="separate"/>
            </w:r>
            <w:r>
              <w:rPr>
                <w:rFonts w:hint="eastAsia" w:ascii="宋体" w:hAnsi="宋体" w:eastAsia="宋体" w:cs="宋体"/>
                <w:spacing w:val="10"/>
                <w:sz w:val="21"/>
                <w:szCs w:val="21"/>
                <w:highlight w:val="none"/>
                <w:lang w:val="en-US" w:eastAsia="zh-CN"/>
              </w:rPr>
              <w:t>未被“信用中国”网站(www.creditchina.gov.cn</w:t>
            </w:r>
            <w:r>
              <w:rPr>
                <w:rFonts w:hint="eastAsia" w:ascii="宋体" w:hAnsi="宋体" w:eastAsia="宋体" w:cs="宋体"/>
                <w:spacing w:val="10"/>
                <w:sz w:val="21"/>
                <w:szCs w:val="21"/>
                <w:highlight w:val="none"/>
                <w:lang w:val="en-US" w:eastAsia="zh-CN"/>
              </w:rPr>
              <w:fldChar w:fldCharType="end"/>
            </w:r>
            <w:r>
              <w:rPr>
                <w:rFonts w:hint="eastAsia" w:ascii="宋体" w:hAnsi="宋体" w:eastAsia="宋体" w:cs="宋体"/>
                <w:spacing w:val="10"/>
                <w:sz w:val="21"/>
                <w:szCs w:val="21"/>
                <w:highlight w:val="none"/>
                <w:lang w:val="en-US" w:eastAsia="zh-CN"/>
              </w:rPr>
              <w:t>) 列入失信被执行人和重大税收违法失信主体，未被中国政府采购网 (</w:t>
            </w:r>
            <w:r>
              <w:rPr>
                <w:rFonts w:hint="eastAsia" w:ascii="宋体" w:hAnsi="宋体" w:eastAsia="宋体" w:cs="宋体"/>
                <w:spacing w:val="10"/>
                <w:sz w:val="21"/>
                <w:szCs w:val="21"/>
                <w:highlight w:val="none"/>
                <w:lang w:val="en-US" w:eastAsia="zh-CN"/>
              </w:rPr>
              <w:fldChar w:fldCharType="begin"/>
            </w:r>
            <w:r>
              <w:rPr>
                <w:rFonts w:hint="eastAsia" w:ascii="宋体" w:hAnsi="宋体" w:eastAsia="宋体" w:cs="宋体"/>
                <w:spacing w:val="10"/>
                <w:sz w:val="21"/>
                <w:szCs w:val="21"/>
                <w:highlight w:val="none"/>
                <w:lang w:val="en-US" w:eastAsia="zh-CN"/>
              </w:rPr>
              <w:instrText xml:space="preserve"> HYPERLINK "http://www.ccgp.gov.cn/" </w:instrText>
            </w:r>
            <w:r>
              <w:rPr>
                <w:rFonts w:hint="eastAsia" w:ascii="宋体" w:hAnsi="宋体" w:eastAsia="宋体" w:cs="宋体"/>
                <w:spacing w:val="10"/>
                <w:sz w:val="21"/>
                <w:szCs w:val="21"/>
                <w:highlight w:val="none"/>
                <w:lang w:val="en-US" w:eastAsia="zh-CN"/>
              </w:rPr>
              <w:fldChar w:fldCharType="separate"/>
            </w:r>
            <w:r>
              <w:rPr>
                <w:rFonts w:hint="eastAsia" w:ascii="宋体" w:hAnsi="宋体" w:eastAsia="宋体" w:cs="宋体"/>
                <w:spacing w:val="10"/>
                <w:sz w:val="21"/>
                <w:szCs w:val="21"/>
                <w:highlight w:val="none"/>
                <w:lang w:val="en-US" w:eastAsia="zh-CN"/>
              </w:rPr>
              <w:t>www.ccgp.gov.cn</w:t>
            </w:r>
            <w:r>
              <w:rPr>
                <w:rFonts w:hint="eastAsia" w:ascii="宋体" w:hAnsi="宋体" w:eastAsia="宋体" w:cs="宋体"/>
                <w:spacing w:val="10"/>
                <w:sz w:val="21"/>
                <w:szCs w:val="21"/>
                <w:highlight w:val="none"/>
                <w:lang w:val="en-US" w:eastAsia="zh-CN"/>
              </w:rPr>
              <w:fldChar w:fldCharType="end"/>
            </w:r>
            <w:r>
              <w:rPr>
                <w:rFonts w:hint="eastAsia" w:ascii="宋体" w:hAnsi="宋体" w:eastAsia="宋体" w:cs="宋体"/>
                <w:spacing w:val="10"/>
                <w:sz w:val="21"/>
                <w:szCs w:val="21"/>
                <w:highlight w:val="none"/>
                <w:lang w:val="en-US" w:eastAsia="zh-CN"/>
              </w:rPr>
              <w:t>) 列入政府采购严重违法失信行为记录名单；</w:t>
            </w:r>
          </w:p>
          <w:p>
            <w:pPr>
              <w:keepNext w:val="0"/>
              <w:keepLines w:val="0"/>
              <w:pageBreakBefore w:val="0"/>
              <w:widowControl/>
              <w:suppressLineNumbers w:val="0"/>
              <w:kinsoku w:val="0"/>
              <w:wordWrap/>
              <w:overflowPunct/>
              <w:topLinePunct w:val="0"/>
              <w:autoSpaceDE w:val="0"/>
              <w:autoSpaceDN w:val="0"/>
              <w:bidi w:val="0"/>
              <w:adjustRightInd w:val="0"/>
              <w:snapToGrid w:val="0"/>
              <w:spacing w:line="336" w:lineRule="auto"/>
              <w:jc w:val="left"/>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lang w:val="en-US" w:eastAsia="zh-CN"/>
              </w:rPr>
              <w:t>（5）本项目不接受联合体投标。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15</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踏勘现场</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不踏勘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16</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投标预备会</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不召开。相关事宜以招标答疑方式进行。投标人对招标文件的所有疑问和要求澄清的内容，以书面方式通过信函、电子邮件、书面送交或传真的方式提交采购代理机构，采购人和采购代理机构负责做出统一解答和必要澄清后，以书面的《答疑纪要》发送所有投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17</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分包</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本项目不允许分包。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18</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偏离</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投标文件不允许负偏离招标文件的实质性要求和条件。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default"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19</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right="0" w:rightChars="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招标文件的澄清和修改</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采购人或者采购代理机构可以对已发出的招标文件进行必要的澄清或者修改。澄清或者修改的内容可能影响投标文件编制的，采购人或者采购代理机构应当在投标 截止时间至少15日前，以书面形式通知所有获取招标文件的潜在投标人；不足15日的，采购人或者采购代理机构应当顺延提交投标文件的截止时间。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default"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20</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right="0" w:rightChars="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投标人确认收到招标文件澄清和修改的时间</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采购人发出澄清和修改文件后24小时内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default"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21</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投标有效期</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lang w:eastAsia="zh-CN"/>
              </w:rPr>
            </w:pPr>
            <w:r>
              <w:rPr>
                <w:rFonts w:hint="eastAsia" w:ascii="宋体" w:hAnsi="宋体" w:eastAsia="宋体" w:cs="宋体"/>
                <w:spacing w:val="10"/>
                <w:sz w:val="21"/>
                <w:szCs w:val="21"/>
                <w:highlight w:val="none"/>
              </w:rPr>
              <w:t>自递交投标文件截止之日起 90 日历天</w:t>
            </w:r>
            <w:r>
              <w:rPr>
                <w:rFonts w:hint="eastAsia" w:ascii="宋体" w:hAnsi="宋体" w:eastAsia="宋体" w:cs="宋体"/>
                <w:spacing w:val="10"/>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default"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22</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36" w:lineRule="auto"/>
              <w:ind w:right="0" w:rightChars="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投标文件的编制</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编制投标文件时，应使用最新发布的电子招标文件及专用制作工具进行编制。并使用CA(数字认证证书) 对 电子投标文件进行签署、加密、及开标时解密等相关操作。</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1、电子招标文件获取方式：投标人登录〖西安市公共资源交易平台·〉首页·〉电子交易平台·〉企业端〗后，在〖招标公告/出让公告〗模块中选 择有意向的项 目点击“我要投标”，成功后点击“我的项目 ·〉项目 流程·〉交易文件下载”免费下载电子招标文件(*.SXSZF)。</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注意：①正常下载电子招标文件后，“交易文件下载”按钮前的图标将变为“✔”，未正常下载或从其他途径获取招标文件的，将无法上传电子投标文件；②投标人应随时留意可能发布的变更公告，变更公告是招标文件的组成部分。变更内容影响投标文件编制时，集采机 构将同时发布答疑文件，此时投标人应从“项目流程〉答疑文件下载”下载更新后的电子招标文件(*.SXSCF)，使用旧版电子招标文件制作的电 子 投 标 文 件 (*.SXSTF)，系统将拒绝接收。                     2、 电子招标文件需要使用专用软件打开、浏览。软件 下载地址及操作手册详见〖西安市公共资源交易平台·〉首页·〉服务指南·〉下载专区〗中的《政府采购项目投标文件制作软件及操作手册》。</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36" w:lineRule="auto"/>
              <w:ind w:right="0" w:rightChars="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 xml:space="preserve">电子投标文件中需要法定代表人签字或盖章的地方，请使用“法人CA”进行签章；需要加盖投标人公章的地方，请使用“企业CA”进行盖章。加密和解密应当 使用同一CA，否则将会导致解密失败。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right="0" w:rightChars="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4、电子投标文件同样需要使用上述专用软件进行编制。若电子投标文件签章后，导出的PDF文件里看不到签章，请尝试使用查看投标文件工具打开未加密的电子投标 文件重新导出。在编制过程中，如有其他技术性问题，请先翻阅操作手册，或致电软件开发商：</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(1) 技术支持热线：400-998-0000</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(2) 驻场技术人员：029-86510166/86510167人工转 80310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23</w:t>
            </w:r>
          </w:p>
        </w:tc>
        <w:tc>
          <w:tcPr>
            <w:tcW w:w="192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36" w:lineRule="auto"/>
              <w:ind w:firstLine="210" w:firstLineChars="100"/>
              <w:jc w:val="left"/>
              <w:textAlignment w:val="baseline"/>
              <w:rPr>
                <w:rFonts w:hint="eastAsia" w:ascii="宋体" w:hAnsi="宋体" w:eastAsia="宋体" w:cs="宋体"/>
                <w:spacing w:val="10"/>
                <w:sz w:val="21"/>
                <w:szCs w:val="21"/>
                <w:highlight w:val="none"/>
              </w:rPr>
            </w:pPr>
            <w:r>
              <w:rPr>
                <w:rFonts w:hint="eastAsia" w:ascii="宋体" w:hAnsi="宋体" w:eastAsia="宋体" w:cs="宋体"/>
                <w:snapToGrid w:val="0"/>
                <w:color w:val="000000"/>
                <w:kern w:val="0"/>
                <w:sz w:val="21"/>
                <w:szCs w:val="21"/>
                <w:highlight w:val="none"/>
                <w:lang w:val="en-US" w:eastAsia="zh-CN" w:bidi="ar"/>
              </w:rPr>
              <w:t>签字或盖章要求</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投标文件应在需要盖公章处应加盖投标人单位公章，需 要法定代表人或其授权代表签字或盖章处应由投标人的法定代表人或其授权代表签字或盖章。由授权代表签字或盖章的，应在投标文件中须附有效的法定代表人授权委托书。投标人为自然人的，应在投标文件的需要签字处由本人签字并附身份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0"/>
                <w:sz w:val="21"/>
                <w:szCs w:val="21"/>
                <w:highlight w:val="none"/>
                <w:lang w:val="en-US" w:eastAsia="zh-CN" w:bidi="ar"/>
              </w:rPr>
            </w:pPr>
            <w:r>
              <w:rPr>
                <w:rFonts w:hint="eastAsia" w:ascii="宋体" w:hAnsi="宋体" w:eastAsia="宋体" w:cs="宋体"/>
                <w:spacing w:val="0"/>
                <w:sz w:val="21"/>
                <w:szCs w:val="21"/>
                <w:highlight w:val="none"/>
                <w:lang w:val="en-US" w:eastAsia="zh-CN" w:bidi="ar"/>
              </w:rPr>
              <w:t>24</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10" w:firstLineChars="100"/>
              <w:jc w:val="left"/>
              <w:textAlignment w:val="baseline"/>
              <w:rPr>
                <w:rFonts w:hint="eastAsia" w:ascii="宋体" w:hAnsi="宋体" w:eastAsia="宋体" w:cs="宋体"/>
                <w:spacing w:val="0"/>
                <w:sz w:val="21"/>
                <w:szCs w:val="21"/>
                <w:highlight w:val="none"/>
                <w:lang w:val="en-US" w:eastAsia="zh-CN" w:bidi="ar"/>
              </w:rPr>
            </w:pPr>
            <w:r>
              <w:rPr>
                <w:rFonts w:hint="eastAsia" w:ascii="宋体" w:hAnsi="宋体" w:eastAsia="宋体" w:cs="宋体"/>
                <w:spacing w:val="0"/>
                <w:sz w:val="21"/>
                <w:szCs w:val="21"/>
                <w:highlight w:val="none"/>
                <w:lang w:val="en-US" w:eastAsia="zh-CN" w:bidi="ar"/>
              </w:rPr>
              <w:t>投标截止时间</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202</w:t>
            </w:r>
            <w:r>
              <w:rPr>
                <w:rFonts w:hint="eastAsia" w:ascii="宋体" w:hAnsi="宋体" w:eastAsia="宋体" w:cs="宋体"/>
                <w:spacing w:val="10"/>
                <w:sz w:val="21"/>
                <w:szCs w:val="21"/>
                <w:highlight w:val="none"/>
                <w:lang w:val="en-US" w:eastAsia="zh-CN"/>
              </w:rPr>
              <w:t>3</w:t>
            </w:r>
            <w:r>
              <w:rPr>
                <w:rFonts w:hint="eastAsia" w:ascii="宋体" w:hAnsi="宋体" w:eastAsia="宋体" w:cs="宋体"/>
                <w:spacing w:val="10"/>
                <w:sz w:val="21"/>
                <w:szCs w:val="21"/>
                <w:highlight w:val="none"/>
              </w:rPr>
              <w:t>年</w:t>
            </w:r>
            <w:r>
              <w:rPr>
                <w:rFonts w:hint="eastAsia" w:ascii="宋体" w:hAnsi="宋体" w:eastAsia="宋体" w:cs="宋体"/>
                <w:spacing w:val="10"/>
                <w:sz w:val="21"/>
                <w:szCs w:val="21"/>
                <w:highlight w:val="none"/>
                <w:lang w:val="en-US" w:eastAsia="zh-CN"/>
              </w:rPr>
              <w:t>03</w:t>
            </w:r>
            <w:r>
              <w:rPr>
                <w:rFonts w:hint="eastAsia" w:ascii="宋体" w:hAnsi="宋体" w:eastAsia="宋体" w:cs="宋体"/>
                <w:spacing w:val="10"/>
                <w:sz w:val="21"/>
                <w:szCs w:val="21"/>
                <w:highlight w:val="none"/>
              </w:rPr>
              <w:t>月</w:t>
            </w:r>
            <w:r>
              <w:rPr>
                <w:rFonts w:hint="eastAsia" w:ascii="宋体" w:hAnsi="宋体" w:eastAsia="宋体" w:cs="宋体"/>
                <w:spacing w:val="10"/>
                <w:sz w:val="21"/>
                <w:szCs w:val="21"/>
                <w:highlight w:val="none"/>
                <w:lang w:val="en-US" w:eastAsia="zh-CN"/>
              </w:rPr>
              <w:t>14</w:t>
            </w:r>
            <w:r>
              <w:rPr>
                <w:rFonts w:hint="eastAsia" w:ascii="宋体" w:hAnsi="宋体" w:eastAsia="宋体" w:cs="宋体"/>
                <w:spacing w:val="10"/>
                <w:sz w:val="21"/>
                <w:szCs w:val="21"/>
                <w:highlight w:val="none"/>
              </w:rPr>
              <w:t>日09时</w:t>
            </w:r>
            <w:r>
              <w:rPr>
                <w:rFonts w:hint="eastAsia" w:ascii="宋体" w:hAnsi="宋体" w:eastAsia="宋体" w:cs="宋体"/>
                <w:spacing w:val="10"/>
                <w:sz w:val="21"/>
                <w:szCs w:val="21"/>
                <w:highlight w:val="none"/>
                <w:lang w:val="en-US" w:eastAsia="zh-CN"/>
              </w:rPr>
              <w:t>30</w:t>
            </w:r>
            <w:r>
              <w:rPr>
                <w:rFonts w:hint="eastAsia" w:ascii="宋体" w:hAnsi="宋体" w:eastAsia="宋体" w:cs="宋体"/>
                <w:spacing w:val="10"/>
                <w:sz w:val="21"/>
                <w:szCs w:val="21"/>
                <w:highlight w:val="none"/>
              </w:rPr>
              <w:t>分00秒 (北京时间)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25</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递交投标文件</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地点</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地点：全国公共资源交易平台 (陕西省 ·西安市) 网站 〖首页〉电子交易平台〉陕西政府采购交易系统〉企业端〗，在线提交；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26</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是否退还</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投标文件</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不予退还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27</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开标形式</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不见面开标</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详见本章“开标程序”有关内容。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28</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right="0" w:rightChars="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投标文件的递交</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本项目采用“不见面开标”方式，各投标人登录全国公共资源交易平台(陕西省·西安市)下载操作手册,并在投标文件递交截止时间前通过全国公共资源交易平台(陕西省·西安市)递交加密版电子投标文件。投标人按包递交加密版电子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default"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29</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投标文件份数</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开标时投标人无需提交纸质投标文件，</w:t>
            </w:r>
            <w:r>
              <w:rPr>
                <w:rFonts w:hint="eastAsia" w:ascii="宋体" w:hAnsi="宋体" w:eastAsia="宋体" w:cs="宋体"/>
                <w:spacing w:val="10"/>
                <w:sz w:val="21"/>
                <w:szCs w:val="21"/>
                <w:highlight w:val="none"/>
                <w:lang w:val="en-US" w:eastAsia="zh-CN"/>
              </w:rPr>
              <w:t>中标通知书领取时，</w:t>
            </w:r>
            <w:r>
              <w:rPr>
                <w:rFonts w:hint="eastAsia" w:ascii="宋体" w:hAnsi="宋体" w:eastAsia="宋体" w:cs="宋体"/>
                <w:spacing w:val="10"/>
                <w:sz w:val="21"/>
                <w:szCs w:val="21"/>
                <w:highlight w:val="none"/>
              </w:rPr>
              <w:t>中标单位向采购代理机构提供一正</w:t>
            </w:r>
            <w:r>
              <w:rPr>
                <w:rFonts w:hint="eastAsia" w:ascii="宋体" w:hAnsi="宋体" w:eastAsia="宋体" w:cs="宋体"/>
                <w:spacing w:val="10"/>
                <w:sz w:val="21"/>
                <w:szCs w:val="21"/>
                <w:highlight w:val="none"/>
                <w:lang w:val="en-US" w:eastAsia="zh-CN"/>
              </w:rPr>
              <w:t>二</w:t>
            </w:r>
            <w:r>
              <w:rPr>
                <w:rFonts w:hint="eastAsia" w:ascii="宋体" w:hAnsi="宋体" w:eastAsia="宋体" w:cs="宋体"/>
                <w:spacing w:val="10"/>
                <w:sz w:val="21"/>
                <w:szCs w:val="21"/>
                <w:highlight w:val="none"/>
              </w:rPr>
              <w:t>副</w:t>
            </w:r>
            <w:r>
              <w:rPr>
                <w:rFonts w:hint="eastAsia" w:ascii="宋体" w:hAnsi="宋体" w:eastAsia="宋体" w:cs="宋体"/>
                <w:spacing w:val="10"/>
                <w:sz w:val="21"/>
                <w:szCs w:val="21"/>
                <w:highlight w:val="none"/>
                <w:lang w:val="en-US" w:eastAsia="zh-CN"/>
              </w:rPr>
              <w:t>及电子版一份</w:t>
            </w:r>
            <w:r>
              <w:rPr>
                <w:rFonts w:hint="eastAsia" w:ascii="宋体" w:hAnsi="宋体" w:eastAsia="宋体" w:cs="宋体"/>
                <w:spacing w:val="10"/>
                <w:sz w:val="21"/>
                <w:szCs w:val="21"/>
                <w:highlight w:val="none"/>
              </w:rPr>
              <w:t>（和上传文件保持一致的）纸质投标（响应）文件用于备案及档案保存</w:t>
            </w:r>
            <w:r>
              <w:rPr>
                <w:rFonts w:hint="eastAsia" w:ascii="宋体" w:hAnsi="宋体" w:eastAsia="宋体" w:cs="宋体"/>
                <w:spacing w:val="10"/>
                <w:sz w:val="21"/>
                <w:szCs w:val="21"/>
                <w:highlight w:val="none"/>
                <w:lang w:eastAsia="zh-CN"/>
              </w:rPr>
              <w:t>，</w:t>
            </w:r>
            <w:r>
              <w:rPr>
                <w:rFonts w:hint="eastAsia" w:ascii="宋体" w:hAnsi="宋体" w:eastAsia="宋体" w:cs="宋体"/>
                <w:spacing w:val="10"/>
                <w:sz w:val="21"/>
                <w:szCs w:val="21"/>
                <w:highlight w:val="none"/>
                <w:lang w:val="en-US" w:eastAsia="zh-CN"/>
              </w:rPr>
              <w:t>电子版以光盘形式提供签字盖章后的扫描件</w:t>
            </w:r>
            <w:r>
              <w:rPr>
                <w:rFonts w:hint="eastAsia" w:ascii="宋体" w:hAnsi="宋体" w:eastAsia="宋体" w:cs="宋体"/>
                <w:spacing w:val="10"/>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采用电子化评审系统的采购项目，其纸质投标文件应从政府采购项目投标文件制作软件中导出，并在封面注名“正本/副本”，分别装订成册。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default"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30</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投标签到</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投标人在开标前</w:t>
            </w:r>
            <w:r>
              <w:rPr>
                <w:rFonts w:hint="eastAsia" w:ascii="宋体" w:hAnsi="宋体" w:eastAsia="宋体" w:cs="宋体"/>
                <w:spacing w:val="10"/>
                <w:sz w:val="21"/>
                <w:szCs w:val="21"/>
                <w:highlight w:val="none"/>
                <w:lang w:val="en-US" w:eastAsia="zh-CN"/>
              </w:rPr>
              <w:t>30</w:t>
            </w:r>
            <w:r>
              <w:rPr>
                <w:rFonts w:hint="eastAsia" w:ascii="宋体" w:hAnsi="宋体" w:eastAsia="宋体" w:cs="宋体"/>
                <w:spacing w:val="10"/>
                <w:sz w:val="21"/>
                <w:szCs w:val="21"/>
                <w:highlight w:val="none"/>
              </w:rPr>
              <w:t>分钟内用制作投标文件的CA锁登录不见面开标大厅，并及时签到(开标前</w:t>
            </w:r>
            <w:r>
              <w:rPr>
                <w:rFonts w:hint="eastAsia" w:ascii="宋体" w:hAnsi="宋体" w:eastAsia="宋体" w:cs="宋体"/>
                <w:spacing w:val="10"/>
                <w:sz w:val="21"/>
                <w:szCs w:val="21"/>
                <w:highlight w:val="none"/>
                <w:lang w:val="en-US" w:eastAsia="zh-CN"/>
              </w:rPr>
              <w:t>30</w:t>
            </w:r>
            <w:r>
              <w:rPr>
                <w:rFonts w:hint="eastAsia" w:ascii="宋体" w:hAnsi="宋体" w:eastAsia="宋体" w:cs="宋体"/>
                <w:spacing w:val="10"/>
                <w:sz w:val="21"/>
                <w:szCs w:val="21"/>
                <w:highlight w:val="none"/>
              </w:rPr>
              <w:t>分钟开始签到)，及时关注右侧公告及互动栏目信息，并做出响应。为顺利实现本项目开评标的远程交互，建议投标人配置的硬件设施有：高配置电脑、高速稳定的网络、电源(不间断)、CA锁、音视频设备(话筒、耳麦、高清摄像头、音响)，浏览器建议使用IE11浏览器，且电脑已经正确安装了陕西省公共资源交易平台多CA互认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default"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31</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评标委员会</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的组建</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由采购人代表及评审专家组成，成员人数为</w:t>
            </w:r>
            <w:r>
              <w:rPr>
                <w:rFonts w:hint="eastAsia" w:ascii="宋体" w:hAnsi="宋体" w:eastAsia="宋体" w:cs="宋体"/>
                <w:spacing w:val="10"/>
                <w:sz w:val="21"/>
                <w:szCs w:val="21"/>
                <w:highlight w:val="none"/>
                <w:lang w:val="en-US" w:eastAsia="zh-CN"/>
              </w:rPr>
              <w:t>5</w:t>
            </w:r>
            <w:r>
              <w:rPr>
                <w:rFonts w:hint="eastAsia" w:ascii="宋体" w:hAnsi="宋体" w:eastAsia="宋体" w:cs="宋体"/>
                <w:spacing w:val="10"/>
                <w:sz w:val="21"/>
                <w:szCs w:val="21"/>
                <w:highlight w:val="none"/>
              </w:rPr>
              <w:t>人。</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采购人代表</w:t>
            </w:r>
            <w:r>
              <w:rPr>
                <w:rFonts w:hint="eastAsia" w:ascii="宋体" w:hAnsi="宋体" w:eastAsia="宋体" w:cs="宋体"/>
                <w:spacing w:val="10"/>
                <w:sz w:val="21"/>
                <w:szCs w:val="21"/>
                <w:highlight w:val="none"/>
                <w:lang w:val="en-US" w:eastAsia="zh-CN"/>
              </w:rPr>
              <w:t>1</w:t>
            </w:r>
            <w:r>
              <w:rPr>
                <w:rFonts w:hint="eastAsia" w:ascii="宋体" w:hAnsi="宋体" w:eastAsia="宋体" w:cs="宋体"/>
                <w:spacing w:val="10"/>
                <w:sz w:val="21"/>
                <w:szCs w:val="21"/>
                <w:highlight w:val="none"/>
              </w:rPr>
              <w:t>人，专家</w:t>
            </w:r>
            <w:r>
              <w:rPr>
                <w:rFonts w:hint="eastAsia" w:ascii="宋体" w:hAnsi="宋体" w:eastAsia="宋体" w:cs="宋体"/>
                <w:spacing w:val="10"/>
                <w:sz w:val="21"/>
                <w:szCs w:val="21"/>
                <w:highlight w:val="none"/>
                <w:lang w:val="en-US" w:eastAsia="zh-CN"/>
              </w:rPr>
              <w:t>4</w:t>
            </w:r>
            <w:r>
              <w:rPr>
                <w:rFonts w:hint="eastAsia" w:ascii="宋体" w:hAnsi="宋体" w:eastAsia="宋体" w:cs="宋体"/>
                <w:spacing w:val="10"/>
                <w:sz w:val="21"/>
                <w:szCs w:val="21"/>
                <w:highlight w:val="none"/>
              </w:rPr>
              <w:t>人，专家于开标当天</w:t>
            </w:r>
            <w:r>
              <w:rPr>
                <w:rFonts w:hint="eastAsia" w:ascii="宋体" w:hAnsi="宋体" w:eastAsia="宋体" w:cs="宋体"/>
                <w:spacing w:val="10"/>
                <w:sz w:val="21"/>
                <w:szCs w:val="21"/>
                <w:highlight w:val="none"/>
                <w:lang w:eastAsia="zh-Hans"/>
              </w:rPr>
              <w:t>在省级财政部门设立的政府采购评审专家库中随机抽取技术、经济方面的专家。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default"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32</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履约担保</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本项目不要求提供履约担保。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default"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33</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right="0" w:rightChars="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招标代理服务费</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lang w:eastAsia="zh-CN"/>
              </w:rPr>
            </w:pPr>
            <w:r>
              <w:rPr>
                <w:rFonts w:hint="eastAsia" w:ascii="宋体" w:hAnsi="宋体" w:eastAsia="宋体" w:cs="宋体"/>
                <w:spacing w:val="10"/>
                <w:sz w:val="21"/>
                <w:szCs w:val="21"/>
                <w:highlight w:val="none"/>
              </w:rPr>
              <w:t>1.参照国家计委颁发的《招标代理服务收费管理暂行办法》（计价格[2002]1980号）和国家发展改革委员会办公厅颁发的《关于招标代理服务收费有关问题的通知》（发改办价格[2003]857号）的有关规定</w:t>
            </w:r>
            <w:r>
              <w:rPr>
                <w:rFonts w:hint="eastAsia" w:ascii="宋体" w:hAnsi="宋体" w:eastAsia="宋体" w:cs="宋体"/>
                <w:spacing w:val="10"/>
                <w:sz w:val="21"/>
                <w:szCs w:val="21"/>
                <w:highlight w:val="none"/>
                <w:lang w:val="en-US" w:eastAsia="zh-CN"/>
              </w:rPr>
              <w:t>收取。</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2.</w:t>
            </w:r>
            <w:r>
              <w:rPr>
                <w:rFonts w:hint="eastAsia" w:ascii="宋体" w:hAnsi="宋体" w:eastAsia="宋体" w:cs="宋体"/>
                <w:spacing w:val="10"/>
                <w:sz w:val="21"/>
                <w:szCs w:val="21"/>
                <w:highlight w:val="none"/>
                <w:lang w:val="en-US" w:eastAsia="zh-CN"/>
              </w:rPr>
              <w:t>中标</w:t>
            </w:r>
            <w:r>
              <w:rPr>
                <w:rFonts w:hint="eastAsia" w:ascii="宋体" w:hAnsi="宋体" w:eastAsia="宋体" w:cs="宋体"/>
                <w:spacing w:val="10"/>
                <w:sz w:val="21"/>
                <w:szCs w:val="21"/>
                <w:highlight w:val="none"/>
              </w:rPr>
              <w:t>单位在领取成交通知书前，须向采购代理机构一次性支付招标代理服务费。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34</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招标代理服务</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费账户</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rPr>
              <w:t>户名：</w:t>
            </w:r>
            <w:r>
              <w:rPr>
                <w:rFonts w:hint="eastAsia" w:ascii="宋体" w:hAnsi="宋体" w:eastAsia="宋体" w:cs="宋体"/>
                <w:spacing w:val="10"/>
                <w:sz w:val="21"/>
                <w:szCs w:val="21"/>
                <w:highlight w:val="none"/>
                <w:lang w:val="zh-CN" w:eastAsia="zh-CN"/>
              </w:rPr>
              <w:t>陕西筑辉工程咨询有限公司</w:t>
            </w:r>
            <w:r>
              <w:rPr>
                <w:rFonts w:hint="eastAsia" w:ascii="宋体" w:hAnsi="宋体" w:eastAsia="宋体" w:cs="宋体"/>
                <w:spacing w:val="10"/>
                <w:sz w:val="21"/>
                <w:szCs w:val="21"/>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开户行名称：</w:t>
            </w:r>
            <w:r>
              <w:rPr>
                <w:rFonts w:hint="eastAsia" w:ascii="宋体" w:hAnsi="宋体" w:eastAsia="宋体" w:cs="宋体"/>
                <w:spacing w:val="10"/>
                <w:sz w:val="21"/>
                <w:szCs w:val="21"/>
                <w:highlight w:val="none"/>
                <w:lang w:val="zh-CN" w:eastAsia="zh-CN"/>
              </w:rPr>
              <w:t>北京银行股份有限公司西安经济技术开发区支行</w:t>
            </w:r>
            <w:r>
              <w:rPr>
                <w:rFonts w:hint="eastAsia" w:ascii="宋体" w:hAnsi="宋体" w:eastAsia="宋体" w:cs="宋体"/>
                <w:spacing w:val="10"/>
                <w:sz w:val="21"/>
                <w:szCs w:val="21"/>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 xml:space="preserve">账号：20000041418600030109571 </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请中标</w:t>
            </w:r>
            <w:r>
              <w:rPr>
                <w:rFonts w:hint="eastAsia" w:ascii="宋体" w:hAnsi="宋体" w:eastAsia="宋体" w:cs="宋体"/>
                <w:spacing w:val="10"/>
                <w:sz w:val="21"/>
                <w:szCs w:val="21"/>
                <w:highlight w:val="none"/>
                <w:lang w:eastAsia="zh-CN"/>
              </w:rPr>
              <w:t>人</w:t>
            </w:r>
            <w:r>
              <w:rPr>
                <w:rFonts w:hint="eastAsia" w:ascii="宋体" w:hAnsi="宋体" w:eastAsia="宋体" w:cs="宋体"/>
                <w:spacing w:val="10"/>
                <w:sz w:val="21"/>
                <w:szCs w:val="21"/>
                <w:highlight w:val="none"/>
              </w:rPr>
              <w:t>按照要求将招标代理服务费转入以上指定账户，如因自身原因发生错误，产生的不利后果均由</w:t>
            </w:r>
            <w:r>
              <w:rPr>
                <w:rFonts w:hint="eastAsia" w:ascii="宋体" w:hAnsi="宋体" w:eastAsia="宋体" w:cs="宋体"/>
                <w:spacing w:val="10"/>
                <w:sz w:val="21"/>
                <w:szCs w:val="21"/>
                <w:highlight w:val="none"/>
                <w:lang w:eastAsia="zh-CN"/>
              </w:rPr>
              <w:t>投标人</w:t>
            </w:r>
            <w:r>
              <w:rPr>
                <w:rFonts w:hint="eastAsia" w:ascii="宋体" w:hAnsi="宋体" w:eastAsia="宋体" w:cs="宋体"/>
                <w:spacing w:val="10"/>
                <w:sz w:val="21"/>
                <w:szCs w:val="21"/>
                <w:highlight w:val="none"/>
              </w:rPr>
              <w:t>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35</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注意事项</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请各投标人获取招标文件后，按照陕西省财政厅《关于政府采投标人注册登记有关事项的通知》要求，通过陕西省政府采购网注册登记加入陕西省政府采购投标人库。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36</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right="0" w:rightChars="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政府采购信息发布媒体 (采购公告、采 购结果公告、变更公 告)</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陕西省政府采购网：仅提供项目公告，官网地址：</w:t>
            </w:r>
            <w:r>
              <w:rPr>
                <w:rFonts w:hint="eastAsia" w:ascii="宋体" w:hAnsi="宋体" w:eastAsia="宋体" w:cs="宋体"/>
                <w:spacing w:val="10"/>
                <w:sz w:val="21"/>
                <w:szCs w:val="21"/>
                <w:highlight w:val="none"/>
              </w:rPr>
              <w:fldChar w:fldCharType="begin"/>
            </w:r>
            <w:r>
              <w:rPr>
                <w:rFonts w:hint="eastAsia" w:ascii="宋体" w:hAnsi="宋体" w:eastAsia="宋体" w:cs="宋体"/>
                <w:spacing w:val="10"/>
                <w:sz w:val="21"/>
                <w:szCs w:val="21"/>
                <w:highlight w:val="none"/>
              </w:rPr>
              <w:instrText xml:space="preserve"> HYPERLINK "http://ccgp-shaanxi.gov.cn/" </w:instrText>
            </w:r>
            <w:r>
              <w:rPr>
                <w:rFonts w:hint="eastAsia" w:ascii="宋体" w:hAnsi="宋体" w:eastAsia="宋体" w:cs="宋体"/>
                <w:spacing w:val="10"/>
                <w:sz w:val="21"/>
                <w:szCs w:val="21"/>
                <w:highlight w:val="none"/>
              </w:rPr>
              <w:fldChar w:fldCharType="separate"/>
            </w:r>
            <w:r>
              <w:rPr>
                <w:rFonts w:hint="eastAsia" w:ascii="宋体" w:hAnsi="宋体" w:eastAsia="宋体" w:cs="宋体"/>
                <w:spacing w:val="10"/>
                <w:sz w:val="21"/>
                <w:szCs w:val="21"/>
                <w:highlight w:val="none"/>
              </w:rPr>
              <w:t xml:space="preserve"> </w:t>
            </w:r>
            <w:r>
              <w:rPr>
                <w:rFonts w:hint="eastAsia" w:ascii="宋体" w:hAnsi="宋体" w:eastAsia="宋体" w:cs="宋体"/>
                <w:spacing w:val="10"/>
                <w:sz w:val="21"/>
                <w:szCs w:val="21"/>
                <w:highlight w:val="none"/>
              </w:rPr>
              <w:drawing>
                <wp:inline distT="0" distB="0" distL="0" distR="0">
                  <wp:extent cx="75565" cy="295910"/>
                  <wp:effectExtent l="0" t="0" r="0" b="0"/>
                  <wp:docPr id="8" name="IM 13"/>
                  <wp:cNvGraphicFramePr/>
                  <a:graphic xmlns:a="http://schemas.openxmlformats.org/drawingml/2006/main">
                    <a:graphicData uri="http://schemas.openxmlformats.org/drawingml/2006/picture">
                      <pic:pic xmlns:pic="http://schemas.openxmlformats.org/drawingml/2006/picture">
                        <pic:nvPicPr>
                          <pic:cNvPr id="8" name="IM 13"/>
                          <pic:cNvPicPr/>
                        </pic:nvPicPr>
                        <pic:blipFill>
                          <a:blip r:embed="rId9"/>
                          <a:stretch>
                            <a:fillRect/>
                          </a:stretch>
                        </pic:blipFill>
                        <pic:spPr>
                          <a:xfrm>
                            <a:off x="0" y="0"/>
                            <a:ext cx="75893" cy="295910"/>
                          </a:xfrm>
                          <a:prstGeom prst="rect">
                            <a:avLst/>
                          </a:prstGeom>
                        </pic:spPr>
                      </pic:pic>
                    </a:graphicData>
                  </a:graphic>
                </wp:inline>
              </w:drawing>
            </w:r>
            <w:r>
              <w:rPr>
                <w:rFonts w:hint="eastAsia" w:ascii="宋体" w:hAnsi="宋体" w:eastAsia="宋体" w:cs="宋体"/>
                <w:spacing w:val="10"/>
                <w:sz w:val="21"/>
                <w:szCs w:val="21"/>
                <w:highlight w:val="none"/>
              </w:rPr>
              <w:fldChar w:fldCharType="end"/>
            </w:r>
            <w:r>
              <w:rPr>
                <w:rFonts w:hint="eastAsia" w:ascii="宋体" w:hAnsi="宋体" w:eastAsia="宋体" w:cs="宋体"/>
                <w:spacing w:val="10"/>
                <w:sz w:val="21"/>
                <w:szCs w:val="21"/>
                <w:highlight w:val="none"/>
              </w:rPr>
              <w:fldChar w:fldCharType="begin"/>
            </w:r>
            <w:r>
              <w:rPr>
                <w:rFonts w:hint="eastAsia" w:ascii="宋体" w:hAnsi="宋体" w:eastAsia="宋体" w:cs="宋体"/>
                <w:spacing w:val="10"/>
                <w:sz w:val="21"/>
                <w:szCs w:val="21"/>
                <w:highlight w:val="none"/>
              </w:rPr>
              <w:instrText xml:space="preserve"> HYPERLINK "http://ccgp-shaanxi.gov.cn/" </w:instrText>
            </w:r>
            <w:r>
              <w:rPr>
                <w:rFonts w:hint="eastAsia" w:ascii="宋体" w:hAnsi="宋体" w:eastAsia="宋体" w:cs="宋体"/>
                <w:spacing w:val="10"/>
                <w:sz w:val="21"/>
                <w:szCs w:val="21"/>
                <w:highlight w:val="none"/>
              </w:rPr>
              <w:fldChar w:fldCharType="separate"/>
            </w:r>
            <w:r>
              <w:rPr>
                <w:rFonts w:hint="eastAsia" w:ascii="宋体" w:hAnsi="宋体" w:eastAsia="宋体" w:cs="宋体"/>
                <w:spacing w:val="10"/>
                <w:sz w:val="21"/>
                <w:szCs w:val="21"/>
                <w:highlight w:val="none"/>
              </w:rPr>
              <w:t>http://ccgp-shaanxi.gov.cn/</w:t>
            </w:r>
            <w:r>
              <w:rPr>
                <w:rFonts w:hint="eastAsia" w:ascii="宋体" w:hAnsi="宋体" w:eastAsia="宋体" w:cs="宋体"/>
                <w:spacing w:val="10"/>
                <w:sz w:val="21"/>
                <w:szCs w:val="21"/>
                <w:highlight w:val="none"/>
              </w:rPr>
              <w:fldChar w:fldCharType="end"/>
            </w:r>
            <w:r>
              <w:rPr>
                <w:rFonts w:hint="eastAsia" w:ascii="宋体" w:hAnsi="宋体" w:eastAsia="宋体" w:cs="宋体"/>
                <w:spacing w:val="10"/>
                <w:sz w:val="21"/>
                <w:szCs w:val="21"/>
                <w:highlight w:val="none"/>
              </w:rPr>
              <w:t>。全国公共资源交易平台(陕西省·西安市)：即西安市 公共资源交易平台，提供项目公告和采购文件下载。官 网地址：</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fldChar w:fldCharType="begin"/>
            </w:r>
            <w:r>
              <w:rPr>
                <w:rFonts w:hint="eastAsia" w:ascii="宋体" w:hAnsi="宋体" w:eastAsia="宋体" w:cs="宋体"/>
                <w:spacing w:val="10"/>
                <w:sz w:val="21"/>
                <w:szCs w:val="21"/>
                <w:highlight w:val="none"/>
              </w:rPr>
              <w:instrText xml:space="preserve"> HYPERLINK "http://sxggzyjy.xa.gov.cn/" </w:instrText>
            </w:r>
            <w:r>
              <w:rPr>
                <w:rFonts w:hint="eastAsia" w:ascii="宋体" w:hAnsi="宋体" w:eastAsia="宋体" w:cs="宋体"/>
                <w:spacing w:val="10"/>
                <w:sz w:val="21"/>
                <w:szCs w:val="21"/>
                <w:highlight w:val="none"/>
              </w:rPr>
              <w:fldChar w:fldCharType="separate"/>
            </w:r>
            <w:r>
              <w:rPr>
                <w:rFonts w:hint="eastAsia" w:ascii="宋体" w:hAnsi="宋体" w:eastAsia="宋体" w:cs="宋体"/>
                <w:spacing w:val="10"/>
                <w:sz w:val="21"/>
                <w:szCs w:val="21"/>
                <w:highlight w:val="none"/>
              </w:rPr>
              <w:t>http://sxggzyjy.xa.gov.cn/</w:t>
            </w:r>
            <w:r>
              <w:rPr>
                <w:rFonts w:hint="eastAsia" w:ascii="宋体" w:hAnsi="宋体" w:eastAsia="宋体" w:cs="宋体"/>
                <w:spacing w:val="10"/>
                <w:sz w:val="21"/>
                <w:szCs w:val="21"/>
                <w:highlight w:val="none"/>
              </w:rPr>
              <w:fldChar w:fldCharType="end"/>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37</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一致性</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lang w:eastAsia="zh-CN"/>
              </w:rPr>
              <w:t>投标人</w:t>
            </w:r>
            <w:r>
              <w:rPr>
                <w:rFonts w:hint="eastAsia" w:ascii="宋体" w:hAnsi="宋体" w:eastAsia="宋体" w:cs="宋体"/>
                <w:spacing w:val="10"/>
                <w:sz w:val="21"/>
                <w:szCs w:val="21"/>
                <w:highlight w:val="none"/>
              </w:rPr>
              <w:t>须知前附表和须知不一致的地方，以前附表为准。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53"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0" w:firstLineChars="0"/>
              <w:jc w:val="center"/>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38</w:t>
            </w:r>
          </w:p>
        </w:tc>
        <w:tc>
          <w:tcPr>
            <w:tcW w:w="19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其他</w:t>
            </w:r>
          </w:p>
        </w:tc>
        <w:tc>
          <w:tcPr>
            <w:tcW w:w="6645"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1.本项目专门面向中小企业采购。</w:t>
            </w:r>
          </w:p>
          <w:p>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rightChars="0" w:firstLine="230" w:firstLine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2.本包属性为</w:t>
            </w:r>
            <w:r>
              <w:rPr>
                <w:rFonts w:hint="eastAsia" w:ascii="宋体" w:hAnsi="宋体" w:eastAsia="宋体" w:cs="宋体"/>
                <w:spacing w:val="10"/>
                <w:sz w:val="21"/>
                <w:szCs w:val="21"/>
                <w:highlight w:val="none"/>
                <w:lang w:val="en-US" w:eastAsia="zh-CN"/>
              </w:rPr>
              <w:t>服务</w:t>
            </w:r>
            <w:r>
              <w:rPr>
                <w:rFonts w:hint="eastAsia" w:ascii="宋体" w:hAnsi="宋体" w:eastAsia="宋体" w:cs="宋体"/>
                <w:spacing w:val="10"/>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36" w:lineRule="auto"/>
              <w:ind w:left="469" w:leftChars="114" w:right="0" w:rightChars="0" w:hanging="230" w:hangingChars="100"/>
              <w:jc w:val="both"/>
              <w:textAlignment w:val="baseline"/>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3.采购标的对应的中小企业划分标准所属行业为：</w:t>
            </w:r>
            <w:r>
              <w:rPr>
                <w:rFonts w:hint="eastAsia" w:ascii="宋体" w:hAnsi="宋体" w:eastAsia="宋体" w:cs="宋体"/>
                <w:b/>
                <w:bCs/>
                <w:color w:val="auto"/>
                <w:sz w:val="21"/>
                <w:szCs w:val="21"/>
                <w:highlight w:val="none"/>
                <w:u w:val="single"/>
                <w:lang w:val="en-US" w:eastAsia="zh-CN"/>
              </w:rPr>
              <w:t xml:space="preserve">其他未列明行业 </w:t>
            </w:r>
            <w:r>
              <w:rPr>
                <w:rFonts w:hint="eastAsia" w:ascii="宋体" w:hAnsi="宋体" w:eastAsia="宋体" w:cs="宋体"/>
                <w:b/>
                <w:bCs/>
                <w:spacing w:val="10"/>
                <w:sz w:val="21"/>
                <w:szCs w:val="21"/>
                <w:highlight w:val="none"/>
                <w:u w:val="single"/>
              </w:rPr>
              <w:t>。</w:t>
            </w:r>
          </w:p>
        </w:tc>
      </w:tr>
    </w:tbl>
    <w:p>
      <w:pPr>
        <w:spacing w:line="277" w:lineRule="auto"/>
        <w:rPr>
          <w:rFonts w:ascii="Arial"/>
          <w:sz w:val="21"/>
          <w:highlight w:val="none"/>
        </w:rPr>
      </w:pPr>
    </w:p>
    <w:p>
      <w:pPr>
        <w:spacing w:before="65" w:line="227" w:lineRule="auto"/>
        <w:ind w:left="452"/>
        <w:rPr>
          <w:highlight w:val="none"/>
        </w:rPr>
        <w:sectPr>
          <w:headerReference r:id="rId5" w:type="default"/>
          <w:footerReference r:id="rId6" w:type="default"/>
          <w:pgSz w:w="11906" w:h="16839"/>
          <w:pgMar w:top="1417" w:right="1417" w:bottom="1417" w:left="1417" w:header="1020" w:footer="0" w:gutter="0"/>
          <w:pgNumType w:fmt="decimal" w:start="1"/>
          <w:cols w:space="425" w:num="1"/>
          <w:rtlGutter w:val="0"/>
          <w:docGrid w:linePitch="0" w:charSpace="0"/>
        </w:sectPr>
      </w:pPr>
      <w:r>
        <w:rPr>
          <w:highlight w:val="none"/>
        </w:rPr>
        <w:pict>
          <v:shape id="_x0000_s1027" o:spid="_x0000_s1027" o:spt="202" type="#_x0000_t202" style="position:absolute;left:0pt;margin-left:429.65pt;margin-top:2.25pt;height:14.35pt;width:43.2pt;z-index:251659264;mso-width-relative:page;mso-height-relative:page;" filled="f" stroked="f" coordsize="21600,21600">
            <v:path/>
            <v:fill on="f" focussize="0,0"/>
            <v:stroke on="f"/>
            <v:imagedata o:title=""/>
            <o:lock v:ext="edit" aspectratio="f"/>
            <v:textbox inset="0mm,0mm,0mm,0mm">
              <w:txbxContent>
                <w:p>
                  <w:pPr>
                    <w:spacing w:before="19" w:line="228" w:lineRule="auto"/>
                    <w:ind w:left="20"/>
                    <w:rPr>
                      <w:rFonts w:ascii="宋体" w:hAnsi="宋体" w:eastAsia="宋体" w:cs="宋体"/>
                      <w:sz w:val="20"/>
                      <w:szCs w:val="20"/>
                    </w:rPr>
                  </w:pPr>
                </w:p>
              </w:txbxContent>
            </v:textbox>
          </v:shape>
        </w:pict>
      </w:r>
    </w:p>
    <w:p>
      <w:pPr>
        <w:rPr>
          <w:highlight w:val="none"/>
        </w:rPr>
        <w:sectPr>
          <w:type w:val="continuous"/>
          <w:pgSz w:w="11906" w:h="16839"/>
          <w:pgMar w:top="1417" w:right="1417" w:bottom="1417" w:left="1417" w:header="1020" w:footer="0" w:gutter="0"/>
          <w:pgNumType w:fmt="decimal"/>
          <w:cols w:space="425" w:num="1"/>
          <w:rtlGutter w:val="0"/>
          <w:docGrid w:linePitch="0" w:charSpace="0"/>
        </w:sectPr>
      </w:pPr>
    </w:p>
    <w:p>
      <w:pPr>
        <w:pStyle w:val="15"/>
        <w:rPr>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spacing w:val="10"/>
          <w:sz w:val="28"/>
          <w:szCs w:val="28"/>
          <w:highlight w:val="none"/>
        </w:rPr>
      </w:pPr>
      <w:r>
        <w:rPr>
          <w:rFonts w:hint="eastAsia" w:ascii="宋体" w:hAnsi="宋体" w:eastAsia="宋体" w:cs="宋体"/>
          <w:b/>
          <w:bCs/>
          <w:spacing w:val="10"/>
          <w:sz w:val="28"/>
          <w:szCs w:val="28"/>
          <w:highlight w:val="none"/>
        </w:rPr>
        <w:t>一</w:t>
      </w:r>
      <w:r>
        <w:rPr>
          <w:rFonts w:hint="eastAsia" w:ascii="宋体" w:hAnsi="宋体" w:eastAsia="宋体" w:cs="宋体"/>
          <w:b/>
          <w:bCs/>
          <w:spacing w:val="10"/>
          <w:sz w:val="28"/>
          <w:szCs w:val="28"/>
          <w:highlight w:val="none"/>
          <w:lang w:eastAsia="zh-CN"/>
        </w:rPr>
        <w:t>、</w:t>
      </w:r>
      <w:r>
        <w:rPr>
          <w:rFonts w:hint="eastAsia" w:ascii="宋体" w:hAnsi="宋体" w:eastAsia="宋体" w:cs="宋体"/>
          <w:b/>
          <w:bCs/>
          <w:spacing w:val="10"/>
          <w:sz w:val="28"/>
          <w:szCs w:val="28"/>
          <w:highlight w:val="none"/>
        </w:rPr>
        <w:t>总  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1" w:firstLineChars="100"/>
        <w:jc w:val="both"/>
        <w:textAlignment w:val="baseline"/>
        <w:rPr>
          <w:rFonts w:hint="eastAsia" w:ascii="宋体" w:hAnsi="宋体" w:eastAsia="宋体" w:cs="宋体"/>
          <w:b/>
          <w:bCs/>
          <w:spacing w:val="10"/>
          <w:sz w:val="24"/>
          <w:szCs w:val="24"/>
          <w:highlight w:val="none"/>
        </w:rPr>
      </w:pPr>
      <w:r>
        <w:rPr>
          <w:rFonts w:hint="eastAsia" w:ascii="宋体" w:hAnsi="宋体" w:eastAsia="宋体" w:cs="宋体"/>
          <w:b/>
          <w:bCs/>
          <w:spacing w:val="10"/>
          <w:sz w:val="24"/>
          <w:szCs w:val="24"/>
          <w:highlight w:val="none"/>
        </w:rPr>
        <w:t>1、项目概况及说明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1.1 项目名称：详见本须知前附表。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1.2 实施地点：详见本须知前附表。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1.3 招标内容：详见本须知前附表。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1" w:firstLineChars="100"/>
        <w:jc w:val="both"/>
        <w:textAlignment w:val="baseline"/>
        <w:rPr>
          <w:rFonts w:hint="eastAsia" w:ascii="宋体" w:hAnsi="宋体" w:eastAsia="宋体" w:cs="宋体"/>
          <w:b/>
          <w:bCs/>
          <w:spacing w:val="10"/>
          <w:sz w:val="24"/>
          <w:szCs w:val="24"/>
          <w:highlight w:val="none"/>
          <w:lang w:eastAsia="zh-CN"/>
        </w:rPr>
      </w:pPr>
      <w:r>
        <w:rPr>
          <w:rFonts w:hint="eastAsia" w:ascii="宋体" w:hAnsi="宋体" w:eastAsia="宋体" w:cs="宋体"/>
          <w:b/>
          <w:bCs/>
          <w:spacing w:val="10"/>
          <w:sz w:val="24"/>
          <w:szCs w:val="24"/>
          <w:highlight w:val="none"/>
        </w:rPr>
        <w:t>2、招标范围及</w:t>
      </w:r>
      <w:r>
        <w:rPr>
          <w:rFonts w:hint="eastAsia" w:ascii="宋体" w:hAnsi="宋体" w:eastAsia="宋体" w:cs="宋体"/>
          <w:b/>
          <w:bCs/>
          <w:spacing w:val="10"/>
          <w:sz w:val="24"/>
          <w:szCs w:val="24"/>
          <w:highlight w:val="none"/>
          <w:lang w:eastAsia="zh-CN"/>
        </w:rPr>
        <w:t>服务期限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2.1 本招标项目的范围详见本须知前附表。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2.2 本招标项目的</w:t>
      </w:r>
      <w:r>
        <w:rPr>
          <w:rFonts w:hint="eastAsia" w:ascii="宋体" w:hAnsi="宋体" w:eastAsia="宋体" w:cs="宋体"/>
          <w:spacing w:val="10"/>
          <w:sz w:val="24"/>
          <w:szCs w:val="24"/>
          <w:highlight w:val="none"/>
          <w:lang w:eastAsia="zh-CN"/>
        </w:rPr>
        <w:t>服务期限</w:t>
      </w:r>
      <w:r>
        <w:rPr>
          <w:rFonts w:hint="eastAsia" w:ascii="宋体" w:hAnsi="宋体" w:eastAsia="宋体" w:cs="宋体"/>
          <w:spacing w:val="10"/>
          <w:sz w:val="24"/>
          <w:szCs w:val="24"/>
          <w:highlight w:val="none"/>
        </w:rPr>
        <w:t>详见本须知前附表。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1" w:firstLineChars="100"/>
        <w:jc w:val="both"/>
        <w:textAlignment w:val="baseline"/>
        <w:rPr>
          <w:rFonts w:hint="eastAsia" w:ascii="宋体" w:hAnsi="宋体" w:eastAsia="宋体" w:cs="宋体"/>
          <w:b/>
          <w:bCs/>
          <w:spacing w:val="10"/>
          <w:sz w:val="24"/>
          <w:szCs w:val="24"/>
          <w:highlight w:val="none"/>
        </w:rPr>
      </w:pPr>
      <w:r>
        <w:rPr>
          <w:rFonts w:hint="eastAsia" w:ascii="宋体" w:hAnsi="宋体" w:eastAsia="宋体" w:cs="宋体"/>
          <w:b/>
          <w:bCs/>
          <w:spacing w:val="10"/>
          <w:sz w:val="24"/>
          <w:szCs w:val="24"/>
          <w:highlight w:val="none"/>
        </w:rPr>
        <w:t>3、项目资金来源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3.1 本招标项目资金来源详见投标须知前附表。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1" w:firstLineChars="100"/>
        <w:jc w:val="both"/>
        <w:textAlignment w:val="baseline"/>
        <w:rPr>
          <w:rFonts w:hint="eastAsia" w:ascii="宋体" w:hAnsi="宋体" w:eastAsia="宋体" w:cs="宋体"/>
          <w:b/>
          <w:bCs/>
          <w:spacing w:val="10"/>
          <w:sz w:val="24"/>
          <w:szCs w:val="24"/>
          <w:highlight w:val="none"/>
        </w:rPr>
      </w:pPr>
      <w:r>
        <w:rPr>
          <w:rFonts w:hint="eastAsia" w:ascii="宋体" w:hAnsi="宋体" w:eastAsia="宋体" w:cs="宋体"/>
          <w:b/>
          <w:bCs/>
          <w:spacing w:val="10"/>
          <w:sz w:val="24"/>
          <w:szCs w:val="24"/>
          <w:highlight w:val="none"/>
        </w:rPr>
        <w:t>4、合格投标人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4.1 投标人应是符合招标公告中资质要求的单位。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4.2 投标人的资格要求详见本须知前附表。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4.3 本招标项目采用本须知前附表所述的资格审查方式确定合格投标人。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1" w:firstLineChars="100"/>
        <w:jc w:val="both"/>
        <w:textAlignment w:val="baseline"/>
        <w:rPr>
          <w:rFonts w:hint="eastAsia" w:ascii="宋体" w:hAnsi="宋体" w:eastAsia="宋体" w:cs="宋体"/>
          <w:b/>
          <w:bCs/>
          <w:spacing w:val="10"/>
          <w:sz w:val="24"/>
          <w:szCs w:val="24"/>
          <w:highlight w:val="none"/>
        </w:rPr>
      </w:pPr>
      <w:r>
        <w:rPr>
          <w:rFonts w:hint="eastAsia" w:ascii="宋体" w:hAnsi="宋体" w:eastAsia="宋体" w:cs="宋体"/>
          <w:b/>
          <w:bCs/>
          <w:spacing w:val="10"/>
          <w:sz w:val="24"/>
          <w:szCs w:val="24"/>
          <w:highlight w:val="none"/>
        </w:rPr>
        <w:t>5、踏勘现场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5.1</w:t>
      </w: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10"/>
          <w:sz w:val="24"/>
          <w:szCs w:val="24"/>
          <w:highlight w:val="none"/>
        </w:rPr>
        <w:t>详见本须知前附表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1" w:firstLineChars="100"/>
        <w:jc w:val="both"/>
        <w:textAlignment w:val="baseline"/>
        <w:rPr>
          <w:rFonts w:hint="eastAsia" w:ascii="宋体" w:hAnsi="宋体" w:eastAsia="宋体" w:cs="宋体"/>
          <w:b/>
          <w:bCs/>
          <w:spacing w:val="10"/>
          <w:sz w:val="24"/>
          <w:szCs w:val="24"/>
          <w:highlight w:val="none"/>
        </w:rPr>
      </w:pPr>
      <w:r>
        <w:rPr>
          <w:rFonts w:hint="eastAsia" w:ascii="宋体" w:hAnsi="宋体" w:eastAsia="宋体" w:cs="宋体"/>
          <w:b/>
          <w:bCs/>
          <w:spacing w:val="10"/>
          <w:sz w:val="24"/>
          <w:szCs w:val="24"/>
          <w:highlight w:val="none"/>
        </w:rPr>
        <w:t>6、投标费用及招标代理服务费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6.1 投标人应承担其参加本招标活动自身所发生的费用。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6.2 中标单位在领取中标通知书前，须向采购代理机构一次性支付代理服务费。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 xml:space="preserve">6.3 </w:t>
      </w:r>
      <w:r>
        <w:rPr>
          <w:rFonts w:hint="eastAsia" w:ascii="宋体" w:hAnsi="宋体" w:eastAsia="宋体" w:cs="宋体"/>
          <w:spacing w:val="10"/>
          <w:sz w:val="24"/>
          <w:szCs w:val="24"/>
          <w:highlight w:val="none"/>
        </w:rPr>
        <w:t>招标代理服务费：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lang w:eastAsia="zh-CN"/>
        </w:rPr>
      </w:pPr>
      <w:r>
        <w:rPr>
          <w:rFonts w:hint="eastAsia" w:ascii="宋体" w:hAnsi="宋体" w:eastAsia="宋体" w:cs="宋体"/>
          <w:spacing w:val="10"/>
          <w:sz w:val="24"/>
          <w:szCs w:val="24"/>
          <w:highlight w:val="none"/>
          <w:lang w:eastAsia="zh-CN"/>
        </w:rPr>
        <w:t>（</w:t>
      </w:r>
      <w:r>
        <w:rPr>
          <w:rFonts w:hint="eastAsia" w:ascii="宋体" w:hAnsi="宋体" w:eastAsia="宋体" w:cs="宋体"/>
          <w:spacing w:val="10"/>
          <w:sz w:val="24"/>
          <w:szCs w:val="24"/>
          <w:highlight w:val="none"/>
          <w:lang w:val="en-US" w:eastAsia="zh-CN"/>
        </w:rPr>
        <w:t>1</w:t>
      </w:r>
      <w:r>
        <w:rPr>
          <w:rFonts w:hint="eastAsia" w:ascii="宋体" w:hAnsi="宋体" w:eastAsia="宋体" w:cs="宋体"/>
          <w:spacing w:val="10"/>
          <w:sz w:val="24"/>
          <w:szCs w:val="24"/>
          <w:highlight w:val="none"/>
          <w:lang w:eastAsia="zh-CN"/>
        </w:rPr>
        <w:t>）</w:t>
      </w:r>
      <w:r>
        <w:rPr>
          <w:rFonts w:hint="eastAsia" w:ascii="宋体" w:hAnsi="宋体" w:eastAsia="宋体" w:cs="宋体"/>
          <w:spacing w:val="10"/>
          <w:sz w:val="24"/>
          <w:szCs w:val="24"/>
          <w:highlight w:val="none"/>
        </w:rPr>
        <w:t>参照国家计委颁发的《招标代理服务收费管理暂行办法》（计价格[2002]1980号）和国家发展改革委员会办公厅颁发的《关于招标代理服务收费有关问题的通知》（发改办价格[2003]857号）的有关规定</w:t>
      </w:r>
      <w:r>
        <w:rPr>
          <w:rFonts w:hint="eastAsia" w:ascii="宋体" w:hAnsi="宋体" w:eastAsia="宋体" w:cs="宋体"/>
          <w:spacing w:val="10"/>
          <w:sz w:val="24"/>
          <w:szCs w:val="24"/>
          <w:highlight w:val="none"/>
          <w:lang w:val="en-US" w:eastAsia="zh-CN"/>
        </w:rPr>
        <w:t>收取。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eastAsia="zh-CN"/>
        </w:rPr>
        <w:t>（</w:t>
      </w:r>
      <w:r>
        <w:rPr>
          <w:rFonts w:hint="eastAsia" w:ascii="宋体" w:hAnsi="宋体" w:eastAsia="宋体" w:cs="宋体"/>
          <w:spacing w:val="10"/>
          <w:sz w:val="24"/>
          <w:szCs w:val="24"/>
          <w:highlight w:val="none"/>
          <w:lang w:val="en-US" w:eastAsia="zh-CN"/>
        </w:rPr>
        <w:t>2</w:t>
      </w:r>
      <w:r>
        <w:rPr>
          <w:rFonts w:hint="eastAsia" w:ascii="宋体" w:hAnsi="宋体" w:eastAsia="宋体" w:cs="宋体"/>
          <w:spacing w:val="10"/>
          <w:sz w:val="24"/>
          <w:szCs w:val="24"/>
          <w:highlight w:val="none"/>
          <w:lang w:eastAsia="zh-CN"/>
        </w:rPr>
        <w:t>）</w:t>
      </w:r>
      <w:r>
        <w:rPr>
          <w:rFonts w:hint="eastAsia" w:ascii="宋体" w:hAnsi="宋体" w:eastAsia="宋体" w:cs="宋体"/>
          <w:spacing w:val="10"/>
          <w:sz w:val="24"/>
          <w:szCs w:val="24"/>
          <w:highlight w:val="none"/>
          <w:lang w:val="en-US" w:eastAsia="zh-CN"/>
        </w:rPr>
        <w:t>中标</w:t>
      </w:r>
      <w:r>
        <w:rPr>
          <w:rFonts w:hint="eastAsia" w:ascii="宋体" w:hAnsi="宋体" w:eastAsia="宋体" w:cs="宋体"/>
          <w:spacing w:val="10"/>
          <w:sz w:val="24"/>
          <w:szCs w:val="24"/>
          <w:highlight w:val="none"/>
        </w:rPr>
        <w:t>单位在领取成交通知书前，须向采购代理机构一次性支付招标代理服务费。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开户名称：</w:t>
      </w:r>
      <w:r>
        <w:rPr>
          <w:rFonts w:hint="eastAsia" w:ascii="宋体" w:hAnsi="宋体" w:eastAsia="宋体" w:cs="宋体"/>
          <w:spacing w:val="10"/>
          <w:sz w:val="24"/>
          <w:szCs w:val="24"/>
          <w:highlight w:val="none"/>
          <w:lang w:val="zh-CN" w:eastAsia="zh-CN"/>
        </w:rPr>
        <w:t>陕西筑辉工程咨询有限公司</w:t>
      </w:r>
      <w:r>
        <w:rPr>
          <w:rFonts w:hint="eastAsia" w:ascii="宋体" w:hAnsi="宋体" w:eastAsia="宋体" w:cs="宋体"/>
          <w:spacing w:val="10"/>
          <w:sz w:val="24"/>
          <w:szCs w:val="24"/>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开户行名称：</w:t>
      </w:r>
      <w:r>
        <w:rPr>
          <w:rFonts w:hint="eastAsia" w:ascii="宋体" w:hAnsi="宋体" w:eastAsia="宋体" w:cs="宋体"/>
          <w:spacing w:val="10"/>
          <w:sz w:val="24"/>
          <w:szCs w:val="24"/>
          <w:highlight w:val="none"/>
          <w:lang w:val="zh-CN" w:eastAsia="zh-CN"/>
        </w:rPr>
        <w:t>北京银行股份有限公司西安经济技术开发区支行</w:t>
      </w:r>
      <w:r>
        <w:rPr>
          <w:rFonts w:hint="eastAsia" w:ascii="宋体" w:hAnsi="宋体" w:eastAsia="宋体" w:cs="宋体"/>
          <w:spacing w:val="10"/>
          <w:sz w:val="24"/>
          <w:szCs w:val="24"/>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 xml:space="preserve">账号：20000041418600030109571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spacing w:val="10"/>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spacing w:val="10"/>
          <w:sz w:val="28"/>
          <w:szCs w:val="28"/>
          <w:highlight w:val="none"/>
        </w:rPr>
      </w:pPr>
      <w:r>
        <w:rPr>
          <w:rFonts w:hint="eastAsia" w:ascii="宋体" w:hAnsi="宋体" w:eastAsia="宋体" w:cs="宋体"/>
          <w:b/>
          <w:bCs/>
          <w:spacing w:val="10"/>
          <w:sz w:val="28"/>
          <w:szCs w:val="28"/>
          <w:highlight w:val="none"/>
        </w:rPr>
        <w:t>二</w:t>
      </w:r>
      <w:r>
        <w:rPr>
          <w:rFonts w:hint="eastAsia" w:ascii="宋体" w:hAnsi="宋体" w:eastAsia="宋体" w:cs="宋体"/>
          <w:b/>
          <w:bCs/>
          <w:spacing w:val="10"/>
          <w:sz w:val="28"/>
          <w:szCs w:val="28"/>
          <w:highlight w:val="none"/>
          <w:lang w:eastAsia="zh-CN"/>
        </w:rPr>
        <w:t>、</w:t>
      </w:r>
      <w:r>
        <w:rPr>
          <w:rFonts w:hint="eastAsia" w:ascii="宋体" w:hAnsi="宋体" w:eastAsia="宋体" w:cs="宋体"/>
          <w:b/>
          <w:bCs/>
          <w:spacing w:val="10"/>
          <w:sz w:val="28"/>
          <w:szCs w:val="28"/>
          <w:highlight w:val="none"/>
        </w:rPr>
        <w:t xml:space="preserve"> 招标文件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7.招标文件的构成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7.1 招标文件各章节的内容如：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第一章 招标公告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第二章 投标人须知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第三章 评标方法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第四章 招标内容及要求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第五章 合同文本</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第六章 投标文件格式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7.2 投标人应仔细阅读招标文件的全部内容，必须按照招标文件要求的内容编制投标文件。任何对招标文件的忽略或误解，不能作为投标文件存在缺陷或瑕疵的理由，其风险由投标人承担。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1" w:firstLineChars="100"/>
        <w:jc w:val="both"/>
        <w:textAlignment w:val="baseline"/>
        <w:rPr>
          <w:rFonts w:hint="eastAsia" w:ascii="宋体" w:hAnsi="宋体" w:eastAsia="宋体" w:cs="宋体"/>
          <w:b/>
          <w:bCs/>
          <w:spacing w:val="10"/>
          <w:sz w:val="24"/>
          <w:szCs w:val="24"/>
          <w:highlight w:val="none"/>
        </w:rPr>
      </w:pPr>
      <w:r>
        <w:rPr>
          <w:rFonts w:hint="eastAsia" w:ascii="宋体" w:hAnsi="宋体" w:eastAsia="宋体" w:cs="宋体"/>
          <w:b/>
          <w:bCs/>
          <w:spacing w:val="10"/>
          <w:sz w:val="24"/>
          <w:szCs w:val="24"/>
          <w:highlight w:val="none"/>
        </w:rPr>
        <w:t>8.招标文件的澄清与修改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8.1 招标代理机构对已发出的招标文件进行必要澄清或者修改的，应当在投标人须知前附表规定的提交投标文件截止时间15日前，在原刊登招标公告的媒体上发布更正公告，并以书面形式通知所有招标文件收受人。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8.2 如果澄清或者修改时间距本章投标人须知前附表规定的投标截止时间不足15日，将相应顺延提交投标文件的截止时间，澄清或者修改时间具体见投标人须知前附表。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8.3 澄清或者修改内容为招标文件的组成部分，对所有领取了招标文件的潜在投标人均具有约束力。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1" w:firstLineChars="100"/>
        <w:jc w:val="both"/>
        <w:textAlignment w:val="baseline"/>
        <w:rPr>
          <w:rFonts w:hint="eastAsia" w:ascii="宋体" w:hAnsi="宋体" w:eastAsia="宋体" w:cs="宋体"/>
          <w:b/>
          <w:bCs/>
          <w:spacing w:val="10"/>
          <w:sz w:val="24"/>
          <w:szCs w:val="24"/>
          <w:highlight w:val="none"/>
        </w:rPr>
      </w:pPr>
      <w:r>
        <w:rPr>
          <w:rFonts w:hint="eastAsia" w:ascii="宋体" w:hAnsi="宋体" w:eastAsia="宋体" w:cs="宋体"/>
          <w:b/>
          <w:bCs/>
          <w:spacing w:val="10"/>
          <w:sz w:val="24"/>
          <w:szCs w:val="24"/>
          <w:highlight w:val="none"/>
          <w:lang w:val="en-US" w:eastAsia="zh-CN"/>
        </w:rPr>
        <w:t>9</w:t>
      </w:r>
      <w:r>
        <w:rPr>
          <w:rFonts w:hint="eastAsia" w:ascii="宋体" w:hAnsi="宋体" w:eastAsia="宋体" w:cs="宋体"/>
          <w:b/>
          <w:bCs/>
          <w:spacing w:val="10"/>
          <w:sz w:val="24"/>
          <w:szCs w:val="24"/>
          <w:highlight w:val="none"/>
        </w:rPr>
        <w:t>.招标文件的澄清修改</w:t>
      </w:r>
    </w:p>
    <w:p>
      <w:pPr>
        <w:autoSpaceDE w:val="0"/>
        <w:autoSpaceDN w:val="0"/>
        <w:adjustRightInd w:val="0"/>
        <w:spacing w:line="360" w:lineRule="auto"/>
        <w:ind w:firstLine="240" w:firstLineChars="100"/>
        <w:rPr>
          <w:rFonts w:ascii="宋体" w:hAnsi="宋体"/>
          <w:sz w:val="24"/>
          <w:szCs w:val="24"/>
          <w:highlight w:val="none"/>
          <w:lang w:val="zh-CN"/>
        </w:rPr>
      </w:pPr>
      <w:r>
        <w:rPr>
          <w:rFonts w:hint="eastAsia" w:ascii="宋体" w:hAnsi="宋体" w:eastAsia="宋体" w:cs="宋体"/>
          <w:sz w:val="24"/>
          <w:szCs w:val="24"/>
          <w:highlight w:val="none"/>
          <w:lang w:val="en-US" w:eastAsia="zh-CN"/>
        </w:rPr>
        <w:t>9</w:t>
      </w:r>
      <w:r>
        <w:rPr>
          <w:rFonts w:hint="eastAsia" w:ascii="宋体" w:hAnsi="宋体" w:cs="宋体"/>
          <w:sz w:val="24"/>
          <w:szCs w:val="24"/>
          <w:highlight w:val="none"/>
        </w:rPr>
        <w:t>.1</w:t>
      </w:r>
      <w:r>
        <w:rPr>
          <w:rFonts w:hint="eastAsia" w:ascii="宋体" w:hAnsi="宋体"/>
          <w:sz w:val="24"/>
          <w:szCs w:val="24"/>
          <w:highlight w:val="none"/>
          <w:lang w:val="zh-CN"/>
        </w:rPr>
        <w:t>提交投标文件截止之日前，采购人或采购代理机构可能对已发出的招标文件进行澄清或者修改，澄清或者修改的内容为招标文件的组成部分。</w:t>
      </w:r>
    </w:p>
    <w:p>
      <w:pPr>
        <w:autoSpaceDE w:val="0"/>
        <w:autoSpaceDN w:val="0"/>
        <w:adjustRightInd w:val="0"/>
        <w:spacing w:line="360" w:lineRule="auto"/>
        <w:ind w:firstLine="240" w:firstLineChars="100"/>
        <w:rPr>
          <w:rFonts w:ascii="宋体" w:hAnsi="宋体"/>
          <w:sz w:val="24"/>
          <w:szCs w:val="24"/>
          <w:highlight w:val="none"/>
          <w:lang w:val="zh-CN"/>
        </w:rPr>
      </w:pPr>
      <w:r>
        <w:rPr>
          <w:rFonts w:hint="eastAsia" w:ascii="宋体" w:hAnsi="宋体" w:eastAsia="宋体"/>
          <w:sz w:val="24"/>
          <w:szCs w:val="24"/>
          <w:highlight w:val="none"/>
          <w:lang w:val="en-US" w:eastAsia="zh-CN"/>
        </w:rPr>
        <w:t>9</w:t>
      </w:r>
      <w:r>
        <w:rPr>
          <w:rFonts w:hint="eastAsia" w:ascii="宋体" w:hAnsi="宋体"/>
          <w:sz w:val="24"/>
          <w:szCs w:val="24"/>
          <w:highlight w:val="none"/>
        </w:rPr>
        <w:t>.2</w:t>
      </w:r>
      <w:r>
        <w:rPr>
          <w:rFonts w:hint="eastAsia" w:ascii="宋体" w:hAnsi="宋体"/>
          <w:sz w:val="24"/>
          <w:szCs w:val="24"/>
          <w:highlight w:val="none"/>
          <w:lang w:val="zh-CN"/>
        </w:rPr>
        <w:t>当需要澄清或修改时，采购代理机构将在提交投标文件截止之日15日前，在原刊登招标公告的媒体上发布</w:t>
      </w:r>
      <w:r>
        <w:rPr>
          <w:rFonts w:hint="eastAsia" w:ascii="宋体" w:hAnsi="宋体" w:eastAsia="宋体"/>
          <w:sz w:val="24"/>
          <w:szCs w:val="24"/>
          <w:highlight w:val="none"/>
          <w:lang w:val="en-US" w:eastAsia="zh-CN"/>
        </w:rPr>
        <w:t>变更</w:t>
      </w:r>
      <w:r>
        <w:rPr>
          <w:rFonts w:hint="eastAsia" w:ascii="宋体" w:hAnsi="宋体"/>
          <w:sz w:val="24"/>
          <w:szCs w:val="24"/>
          <w:highlight w:val="none"/>
          <w:lang w:val="zh-CN"/>
        </w:rPr>
        <w:t>公告；不足15日的，将顺延提交投标文件截止时间。</w:t>
      </w:r>
    </w:p>
    <w:p>
      <w:pPr>
        <w:autoSpaceDE w:val="0"/>
        <w:autoSpaceDN w:val="0"/>
        <w:adjustRightInd w:val="0"/>
        <w:spacing w:line="360" w:lineRule="auto"/>
        <w:ind w:firstLine="240" w:firstLineChars="100"/>
        <w:rPr>
          <w:rFonts w:ascii="宋体" w:hAnsi="宋体"/>
          <w:sz w:val="24"/>
          <w:szCs w:val="24"/>
          <w:highlight w:val="none"/>
          <w:lang w:val="zh-CN"/>
        </w:rPr>
      </w:pPr>
      <w:r>
        <w:rPr>
          <w:rFonts w:hint="eastAsia" w:ascii="宋体" w:hAnsi="宋体" w:eastAsia="宋体"/>
          <w:sz w:val="24"/>
          <w:szCs w:val="24"/>
          <w:highlight w:val="none"/>
          <w:lang w:val="en-US" w:eastAsia="zh-CN"/>
        </w:rPr>
        <w:t>9</w:t>
      </w:r>
      <w:r>
        <w:rPr>
          <w:rFonts w:hint="eastAsia" w:ascii="宋体" w:hAnsi="宋体"/>
          <w:sz w:val="24"/>
          <w:szCs w:val="24"/>
          <w:highlight w:val="none"/>
        </w:rPr>
        <w:t>.3</w:t>
      </w:r>
      <w:r>
        <w:rPr>
          <w:rFonts w:hint="eastAsia" w:ascii="宋体" w:hAnsi="宋体"/>
          <w:sz w:val="24"/>
          <w:szCs w:val="24"/>
          <w:highlight w:val="none"/>
          <w:lang w:val="zh-CN"/>
        </w:rPr>
        <w:t>澄清或修改的内容可能影响投标文件编制时，采购代理机构将在发布变更公告的同时，提醒投标人下载答疑文件（*.SXSCF，即更新后的电子招标文件）。投标人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autoSpaceDE w:val="0"/>
        <w:autoSpaceDN w:val="0"/>
        <w:adjustRightInd w:val="0"/>
        <w:spacing w:line="360" w:lineRule="auto"/>
        <w:ind w:firstLine="240" w:firstLineChars="100"/>
        <w:rPr>
          <w:rFonts w:ascii="宋体" w:hAnsi="宋体"/>
          <w:sz w:val="24"/>
          <w:szCs w:val="24"/>
          <w:highlight w:val="none"/>
          <w:lang w:val="zh-CN"/>
        </w:rPr>
      </w:pPr>
      <w:r>
        <w:rPr>
          <w:rFonts w:hint="eastAsia" w:ascii="宋体" w:hAnsi="宋体" w:eastAsia="宋体"/>
          <w:sz w:val="24"/>
          <w:szCs w:val="24"/>
          <w:highlight w:val="none"/>
          <w:lang w:val="en-US" w:eastAsia="zh-CN"/>
        </w:rPr>
        <w:t>9</w:t>
      </w:r>
      <w:r>
        <w:rPr>
          <w:rFonts w:hint="eastAsia" w:ascii="宋体" w:hAnsi="宋体"/>
          <w:sz w:val="24"/>
          <w:szCs w:val="24"/>
          <w:highlight w:val="none"/>
        </w:rPr>
        <w:t>.4</w:t>
      </w:r>
      <w:r>
        <w:rPr>
          <w:rFonts w:hint="eastAsia" w:ascii="宋体" w:hAnsi="宋体"/>
          <w:sz w:val="24"/>
          <w:szCs w:val="24"/>
          <w:highlight w:val="none"/>
          <w:lang w:val="zh-CN"/>
        </w:rPr>
        <w:t>请各投标人在提交投标文件截止时间之前，务必随时关注在原刊登招标公告的媒体上发布</w:t>
      </w:r>
      <w:r>
        <w:rPr>
          <w:rFonts w:hint="eastAsia" w:ascii="宋体" w:hAnsi="宋体" w:eastAsia="宋体"/>
          <w:sz w:val="24"/>
          <w:szCs w:val="24"/>
          <w:highlight w:val="none"/>
          <w:lang w:val="en-US" w:eastAsia="zh-CN"/>
        </w:rPr>
        <w:t>变更</w:t>
      </w:r>
      <w:r>
        <w:rPr>
          <w:rFonts w:hint="eastAsia" w:ascii="宋体" w:hAnsi="宋体"/>
          <w:sz w:val="24"/>
          <w:szCs w:val="24"/>
          <w:highlight w:val="none"/>
          <w:lang w:val="zh-CN"/>
        </w:rPr>
        <w:t>公告，采购代理机构不再另行通知，因投标人未及时关注所造成的一切后果由投标人自行承担：</w:t>
      </w:r>
    </w:p>
    <w:p>
      <w:pPr>
        <w:autoSpaceDE w:val="0"/>
        <w:autoSpaceDN w:val="0"/>
        <w:adjustRightInd w:val="0"/>
        <w:spacing w:line="360" w:lineRule="auto"/>
        <w:ind w:firstLine="240" w:firstLineChars="100"/>
        <w:rPr>
          <w:rFonts w:ascii="宋体" w:hAnsi="宋体"/>
          <w:sz w:val="24"/>
          <w:szCs w:val="24"/>
          <w:highlight w:val="none"/>
          <w:lang w:val="zh-CN"/>
        </w:rPr>
      </w:pPr>
      <w:r>
        <w:rPr>
          <w:rFonts w:hint="eastAsia" w:ascii="宋体" w:hAnsi="宋体" w:eastAsia="宋体"/>
          <w:sz w:val="24"/>
          <w:szCs w:val="24"/>
          <w:highlight w:val="none"/>
          <w:lang w:val="en-US" w:eastAsia="zh-CN"/>
        </w:rPr>
        <w:t>9</w:t>
      </w:r>
      <w:r>
        <w:rPr>
          <w:rFonts w:hint="eastAsia" w:ascii="宋体" w:hAnsi="宋体"/>
          <w:sz w:val="24"/>
          <w:szCs w:val="24"/>
          <w:highlight w:val="none"/>
        </w:rPr>
        <w:t>.4.1</w:t>
      </w:r>
      <w:r>
        <w:rPr>
          <w:rFonts w:hint="eastAsia" w:ascii="宋体" w:hAnsi="宋体"/>
          <w:sz w:val="24"/>
          <w:szCs w:val="24"/>
          <w:highlight w:val="none"/>
          <w:lang w:val="zh-CN"/>
        </w:rPr>
        <w:t>【</w:t>
      </w:r>
      <w:r>
        <w:rPr>
          <w:highlight w:val="none"/>
        </w:rPr>
        <w:fldChar w:fldCharType="begin"/>
      </w:r>
      <w:r>
        <w:rPr>
          <w:highlight w:val="none"/>
        </w:rPr>
        <w:instrText xml:space="preserve"> HYPERLINK "http://www.ccgp-shaanxi.gov.cn" </w:instrText>
      </w:r>
      <w:r>
        <w:rPr>
          <w:highlight w:val="none"/>
        </w:rPr>
        <w:fldChar w:fldCharType="separate"/>
      </w:r>
      <w:r>
        <w:rPr>
          <w:rFonts w:hint="eastAsia" w:ascii="宋体" w:hAnsi="宋体"/>
          <w:sz w:val="24"/>
          <w:szCs w:val="24"/>
          <w:highlight w:val="none"/>
          <w:lang w:val="zh-CN"/>
        </w:rPr>
        <w:t>陕西省政府采购网</w:t>
      </w:r>
      <w:r>
        <w:rPr>
          <w:rFonts w:hint="eastAsia" w:ascii="宋体" w:hAnsi="宋体"/>
          <w:sz w:val="24"/>
          <w:szCs w:val="24"/>
          <w:highlight w:val="none"/>
          <w:lang w:val="zh-CN"/>
        </w:rPr>
        <w:fldChar w:fldCharType="end"/>
      </w:r>
      <w:r>
        <w:rPr>
          <w:rFonts w:hint="eastAsia" w:ascii="宋体" w:hAnsi="宋体"/>
          <w:sz w:val="24"/>
          <w:szCs w:val="24"/>
          <w:highlight w:val="none"/>
          <w:lang w:val="zh-CN"/>
        </w:rPr>
        <w:t>】（</w:t>
      </w:r>
      <w:r>
        <w:rPr>
          <w:highlight w:val="none"/>
        </w:rPr>
        <w:fldChar w:fldCharType="begin"/>
      </w:r>
      <w:r>
        <w:rPr>
          <w:highlight w:val="none"/>
        </w:rPr>
        <w:instrText xml:space="preserve"> HYPERLINK "http://www.ccgp-shaanxi.gov.cn/" </w:instrText>
      </w:r>
      <w:r>
        <w:rPr>
          <w:highlight w:val="none"/>
        </w:rPr>
        <w:fldChar w:fldCharType="separate"/>
      </w:r>
      <w:r>
        <w:rPr>
          <w:rFonts w:hint="eastAsia" w:ascii="宋体" w:hAnsi="宋体"/>
          <w:sz w:val="24"/>
          <w:szCs w:val="24"/>
          <w:highlight w:val="none"/>
          <w:lang w:val="zh-CN"/>
        </w:rPr>
        <w:t>http://www.ccgp-shaanxi.gov.cn/</w:t>
      </w:r>
      <w:r>
        <w:rPr>
          <w:rFonts w:hint="eastAsia" w:ascii="宋体" w:hAnsi="宋体"/>
          <w:sz w:val="24"/>
          <w:szCs w:val="24"/>
          <w:highlight w:val="none"/>
          <w:lang w:val="zh-CN"/>
        </w:rPr>
        <w:fldChar w:fldCharType="end"/>
      </w:r>
      <w:r>
        <w:rPr>
          <w:rFonts w:hint="eastAsia" w:ascii="宋体" w:hAnsi="宋体"/>
          <w:sz w:val="24"/>
          <w:szCs w:val="24"/>
          <w:highlight w:val="none"/>
          <w:lang w:val="zh-CN"/>
        </w:rPr>
        <w:t>）中的〖首页·〉信息公告·〉市级·〉西安市〗；</w:t>
      </w:r>
    </w:p>
    <w:p>
      <w:pPr>
        <w:autoSpaceDE w:val="0"/>
        <w:autoSpaceDN w:val="0"/>
        <w:adjustRightInd w:val="0"/>
        <w:spacing w:line="360" w:lineRule="auto"/>
        <w:ind w:firstLine="240" w:firstLineChars="100"/>
        <w:rPr>
          <w:rFonts w:ascii="宋体" w:hAnsi="宋体"/>
          <w:sz w:val="24"/>
          <w:szCs w:val="24"/>
          <w:highlight w:val="none"/>
          <w:lang w:val="zh-CN"/>
        </w:rPr>
      </w:pPr>
      <w:r>
        <w:rPr>
          <w:rFonts w:hint="eastAsia" w:ascii="宋体" w:hAnsi="宋体" w:eastAsia="宋体"/>
          <w:sz w:val="24"/>
          <w:szCs w:val="24"/>
          <w:highlight w:val="none"/>
          <w:lang w:val="en-US" w:eastAsia="zh-CN"/>
        </w:rPr>
        <w:t>9</w:t>
      </w:r>
      <w:r>
        <w:rPr>
          <w:rFonts w:hint="eastAsia" w:ascii="宋体" w:hAnsi="宋体"/>
          <w:sz w:val="24"/>
          <w:szCs w:val="24"/>
          <w:highlight w:val="none"/>
        </w:rPr>
        <w:t>.4.2</w:t>
      </w:r>
      <w:r>
        <w:rPr>
          <w:rFonts w:hint="eastAsia" w:ascii="宋体" w:hAnsi="宋体"/>
          <w:sz w:val="24"/>
          <w:szCs w:val="24"/>
          <w:highlight w:val="none"/>
          <w:lang w:val="zh-CN"/>
        </w:rPr>
        <w:t>【</w:t>
      </w:r>
      <w:r>
        <w:rPr>
          <w:highlight w:val="none"/>
        </w:rPr>
        <w:fldChar w:fldCharType="begin"/>
      </w:r>
      <w:r>
        <w:rPr>
          <w:highlight w:val="none"/>
        </w:rPr>
        <w:instrText xml:space="preserve"> HYPERLINK "http://xa.sxggzyjy.cn/" </w:instrText>
      </w:r>
      <w:r>
        <w:rPr>
          <w:highlight w:val="none"/>
        </w:rPr>
        <w:fldChar w:fldCharType="separate"/>
      </w:r>
      <w:r>
        <w:rPr>
          <w:rFonts w:hint="eastAsia" w:ascii="宋体" w:hAnsi="宋体"/>
          <w:sz w:val="24"/>
          <w:szCs w:val="24"/>
          <w:highlight w:val="none"/>
          <w:lang w:val="zh-CN"/>
        </w:rPr>
        <w:t>全国公共资源交易网（陕西省·西安市）</w:t>
      </w:r>
      <w:r>
        <w:rPr>
          <w:rFonts w:hint="eastAsia" w:ascii="宋体" w:hAnsi="宋体"/>
          <w:sz w:val="24"/>
          <w:szCs w:val="24"/>
          <w:highlight w:val="none"/>
          <w:lang w:val="zh-CN"/>
        </w:rPr>
        <w:fldChar w:fldCharType="end"/>
      </w:r>
      <w:r>
        <w:rPr>
          <w:rFonts w:hint="eastAsia" w:ascii="宋体" w:hAnsi="宋体"/>
          <w:sz w:val="24"/>
          <w:szCs w:val="24"/>
          <w:highlight w:val="none"/>
          <w:lang w:val="zh-CN"/>
        </w:rPr>
        <w:t>】（</w:t>
      </w:r>
      <w:r>
        <w:rPr>
          <w:highlight w:val="none"/>
        </w:rPr>
        <w:fldChar w:fldCharType="begin"/>
      </w:r>
      <w:r>
        <w:rPr>
          <w:highlight w:val="none"/>
        </w:rPr>
        <w:instrText xml:space="preserve"> HYPERLINK "http://sxggzyjy.xa.gov.cn/" </w:instrText>
      </w:r>
      <w:r>
        <w:rPr>
          <w:highlight w:val="none"/>
        </w:rPr>
        <w:fldChar w:fldCharType="separate"/>
      </w:r>
      <w:r>
        <w:rPr>
          <w:rFonts w:hint="eastAsia" w:ascii="宋体" w:hAnsi="宋体"/>
          <w:sz w:val="24"/>
          <w:szCs w:val="24"/>
          <w:highlight w:val="none"/>
          <w:lang w:val="zh-CN"/>
        </w:rPr>
        <w:t>http://sxggzyjy.xa.gov.cn/</w:t>
      </w:r>
      <w:r>
        <w:rPr>
          <w:rFonts w:hint="eastAsia" w:ascii="宋体" w:hAnsi="宋体"/>
          <w:sz w:val="24"/>
          <w:szCs w:val="24"/>
          <w:highlight w:val="none"/>
          <w:lang w:val="zh-CN"/>
        </w:rPr>
        <w:fldChar w:fldCharType="end"/>
      </w:r>
      <w:r>
        <w:rPr>
          <w:rFonts w:hint="eastAsia" w:ascii="宋体" w:hAnsi="宋体"/>
          <w:sz w:val="24"/>
          <w:szCs w:val="24"/>
          <w:highlight w:val="none"/>
          <w:lang w:val="zh-CN"/>
        </w:rPr>
        <w:t>）中的〖首页·〉交易大厅·〉政府采购〗。</w:t>
      </w:r>
    </w:p>
    <w:p>
      <w:pPr>
        <w:autoSpaceDE w:val="0"/>
        <w:autoSpaceDN w:val="0"/>
        <w:adjustRightInd w:val="0"/>
        <w:spacing w:line="360" w:lineRule="auto"/>
        <w:ind w:firstLine="240" w:firstLineChars="100"/>
        <w:rPr>
          <w:rFonts w:hint="default" w:ascii="宋体" w:hAnsi="宋体" w:eastAsia="宋体" w:cs="宋体"/>
          <w:b/>
          <w:bCs/>
          <w:spacing w:val="10"/>
          <w:sz w:val="24"/>
          <w:szCs w:val="24"/>
          <w:highlight w:val="none"/>
          <w:lang w:val="en-US" w:eastAsia="zh-CN"/>
        </w:rPr>
      </w:pPr>
      <w:r>
        <w:rPr>
          <w:rFonts w:hint="eastAsia" w:ascii="宋体" w:hAnsi="宋体" w:eastAsia="宋体"/>
          <w:sz w:val="24"/>
          <w:szCs w:val="24"/>
          <w:highlight w:val="none"/>
          <w:lang w:val="en-US" w:eastAsia="zh-CN"/>
        </w:rPr>
        <w:t>9</w:t>
      </w:r>
      <w:r>
        <w:rPr>
          <w:rFonts w:hint="eastAsia" w:ascii="宋体" w:hAnsi="宋体"/>
          <w:sz w:val="24"/>
          <w:szCs w:val="24"/>
          <w:highlight w:val="none"/>
        </w:rPr>
        <w:t>.5</w:t>
      </w:r>
      <w:r>
        <w:rPr>
          <w:rFonts w:hint="eastAsia" w:ascii="宋体" w:hAnsi="宋体"/>
          <w:sz w:val="24"/>
          <w:szCs w:val="24"/>
          <w:highlight w:val="none"/>
          <w:lang w:val="zh-CN"/>
        </w:rPr>
        <w:t>招标文件的解释权归采购代理机构。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1" w:firstLineChars="100"/>
        <w:jc w:val="both"/>
        <w:textAlignment w:val="baseline"/>
        <w:rPr>
          <w:rFonts w:hint="eastAsia" w:ascii="宋体" w:hAnsi="宋体" w:eastAsia="宋体" w:cs="宋体"/>
          <w:b/>
          <w:bCs/>
          <w:spacing w:val="10"/>
          <w:sz w:val="24"/>
          <w:szCs w:val="24"/>
          <w:highlight w:val="none"/>
        </w:rPr>
      </w:pPr>
      <w:r>
        <w:rPr>
          <w:rFonts w:hint="eastAsia" w:ascii="宋体" w:hAnsi="宋体" w:eastAsia="宋体" w:cs="宋体"/>
          <w:b/>
          <w:bCs/>
          <w:spacing w:val="10"/>
          <w:sz w:val="24"/>
          <w:szCs w:val="24"/>
          <w:highlight w:val="none"/>
          <w:lang w:val="en-US" w:eastAsia="zh-CN"/>
        </w:rPr>
        <w:t>10</w:t>
      </w:r>
      <w:r>
        <w:rPr>
          <w:rFonts w:hint="eastAsia" w:ascii="宋体" w:hAnsi="宋体" w:eastAsia="宋体" w:cs="宋体"/>
          <w:b/>
          <w:bCs/>
          <w:spacing w:val="10"/>
          <w:sz w:val="24"/>
          <w:szCs w:val="24"/>
          <w:highlight w:val="none"/>
        </w:rPr>
        <w:t>.偏离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10</w:t>
      </w:r>
      <w:r>
        <w:rPr>
          <w:rFonts w:hint="eastAsia" w:ascii="宋体" w:hAnsi="宋体" w:eastAsia="宋体" w:cs="宋体"/>
          <w:spacing w:val="10"/>
          <w:sz w:val="24"/>
          <w:szCs w:val="24"/>
          <w:highlight w:val="none"/>
        </w:rPr>
        <w:t xml:space="preserve">.1 </w:t>
      </w:r>
      <w:r>
        <w:rPr>
          <w:rFonts w:hint="eastAsia" w:ascii="宋体" w:hAnsi="宋体" w:eastAsia="宋体" w:cs="宋体"/>
          <w:spacing w:val="10"/>
          <w:sz w:val="24"/>
          <w:szCs w:val="24"/>
          <w:highlight w:val="none"/>
          <w:lang w:val="en-US" w:eastAsia="zh-CN"/>
        </w:rPr>
        <w:t>投标文件不允许负偏离招标文件的实质性要求和条件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spacing w:val="10"/>
          <w:sz w:val="28"/>
          <w:szCs w:val="28"/>
          <w:highlight w:val="none"/>
        </w:rPr>
      </w:pPr>
      <w:r>
        <w:rPr>
          <w:rFonts w:hint="eastAsia" w:ascii="宋体" w:hAnsi="宋体" w:eastAsia="宋体" w:cs="宋体"/>
          <w:b/>
          <w:bCs/>
          <w:spacing w:val="10"/>
          <w:sz w:val="28"/>
          <w:szCs w:val="28"/>
          <w:highlight w:val="none"/>
        </w:rPr>
        <w:t>三</w:t>
      </w:r>
      <w:r>
        <w:rPr>
          <w:rFonts w:hint="eastAsia" w:ascii="宋体" w:hAnsi="宋体" w:eastAsia="宋体" w:cs="宋体"/>
          <w:b/>
          <w:bCs/>
          <w:spacing w:val="10"/>
          <w:sz w:val="28"/>
          <w:szCs w:val="28"/>
          <w:highlight w:val="none"/>
          <w:lang w:eastAsia="zh-CN"/>
        </w:rPr>
        <w:t>、</w:t>
      </w:r>
      <w:r>
        <w:rPr>
          <w:rFonts w:hint="eastAsia" w:ascii="宋体" w:hAnsi="宋体" w:eastAsia="宋体" w:cs="宋体"/>
          <w:b/>
          <w:bCs/>
          <w:spacing w:val="10"/>
          <w:sz w:val="28"/>
          <w:szCs w:val="28"/>
          <w:highlight w:val="none"/>
        </w:rPr>
        <w:t>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11</w:t>
      </w:r>
      <w:r>
        <w:rPr>
          <w:rFonts w:hint="eastAsia" w:ascii="宋体" w:hAnsi="宋体" w:eastAsia="宋体" w:cs="宋体"/>
          <w:spacing w:val="10"/>
          <w:sz w:val="24"/>
          <w:szCs w:val="24"/>
          <w:highlight w:val="none"/>
        </w:rPr>
        <w:t>.一般要求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11</w:t>
      </w:r>
      <w:r>
        <w:rPr>
          <w:rFonts w:hint="eastAsia" w:ascii="宋体" w:hAnsi="宋体" w:eastAsia="宋体" w:cs="宋体"/>
          <w:spacing w:val="10"/>
          <w:sz w:val="24"/>
          <w:szCs w:val="24"/>
          <w:highlight w:val="none"/>
        </w:rPr>
        <w:t>.1 投标人应仔细阅读招标文件的所有内容，按招标文件的要求的内容编制投标文件，并保证所提供的全部资料的真实性，以使其投标文件对招标文件做出实质性的响应。</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11</w:t>
      </w:r>
      <w:r>
        <w:rPr>
          <w:rFonts w:hint="eastAsia" w:ascii="宋体" w:hAnsi="宋体" w:eastAsia="宋体" w:cs="宋体"/>
          <w:spacing w:val="10"/>
          <w:sz w:val="24"/>
          <w:szCs w:val="24"/>
          <w:highlight w:val="none"/>
        </w:rPr>
        <w:t>.2 投标人提交的投标文件及投标人与招标人或招标代理机构、评标委员会就有关投标的所有来往函电必须使用中文。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11</w:t>
      </w:r>
      <w:r>
        <w:rPr>
          <w:rFonts w:hint="eastAsia" w:ascii="宋体" w:hAnsi="宋体" w:eastAsia="宋体" w:cs="宋体"/>
          <w:spacing w:val="10"/>
          <w:sz w:val="24"/>
          <w:szCs w:val="24"/>
          <w:highlight w:val="none"/>
        </w:rPr>
        <w:t>.3 除技术要求另有规定外，本文件所要求使用的计量单位均采用国家法定的度、量、衡标准单位计量。未列明时亦默认为我国法定计量单位。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11</w:t>
      </w:r>
      <w:r>
        <w:rPr>
          <w:rFonts w:hint="eastAsia" w:ascii="宋体" w:hAnsi="宋体" w:eastAsia="宋体" w:cs="宋体"/>
          <w:spacing w:val="10"/>
          <w:sz w:val="24"/>
          <w:szCs w:val="24"/>
          <w:highlight w:val="none"/>
        </w:rPr>
        <w:t>.4 投标人应当按招标文件中提供的投标文件内容进行填写。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1" w:firstLineChars="100"/>
        <w:jc w:val="both"/>
        <w:textAlignment w:val="baseline"/>
        <w:rPr>
          <w:rFonts w:hint="eastAsia" w:ascii="宋体" w:hAnsi="宋体" w:eastAsia="宋体" w:cs="宋体"/>
          <w:b/>
          <w:bCs/>
          <w:spacing w:val="10"/>
          <w:sz w:val="24"/>
          <w:szCs w:val="24"/>
          <w:highlight w:val="none"/>
        </w:rPr>
      </w:pPr>
      <w:r>
        <w:rPr>
          <w:rFonts w:hint="eastAsia" w:ascii="宋体" w:hAnsi="宋体" w:eastAsia="宋体" w:cs="宋体"/>
          <w:b/>
          <w:bCs/>
          <w:spacing w:val="10"/>
          <w:sz w:val="24"/>
          <w:szCs w:val="24"/>
          <w:highlight w:val="none"/>
        </w:rPr>
        <w:t>1</w:t>
      </w:r>
      <w:r>
        <w:rPr>
          <w:rFonts w:hint="eastAsia" w:ascii="宋体" w:hAnsi="宋体" w:eastAsia="宋体" w:cs="宋体"/>
          <w:b/>
          <w:bCs/>
          <w:spacing w:val="10"/>
          <w:sz w:val="24"/>
          <w:szCs w:val="24"/>
          <w:highlight w:val="none"/>
          <w:lang w:val="en-US" w:eastAsia="zh-CN"/>
        </w:rPr>
        <w:t>2</w:t>
      </w:r>
      <w:r>
        <w:rPr>
          <w:rFonts w:hint="eastAsia" w:ascii="宋体" w:hAnsi="宋体" w:eastAsia="宋体" w:cs="宋体"/>
          <w:b/>
          <w:bCs/>
          <w:spacing w:val="10"/>
          <w:sz w:val="24"/>
          <w:szCs w:val="24"/>
          <w:highlight w:val="none"/>
        </w:rPr>
        <w:t>.投标文件的组成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w:t>
      </w:r>
      <w:r>
        <w:rPr>
          <w:rFonts w:hint="eastAsia" w:ascii="宋体" w:hAnsi="宋体" w:eastAsia="宋体" w:cs="宋体"/>
          <w:spacing w:val="10"/>
          <w:sz w:val="24"/>
          <w:szCs w:val="24"/>
          <w:highlight w:val="none"/>
          <w:lang w:val="en-US" w:eastAsia="zh-CN"/>
        </w:rPr>
        <w:t>2</w:t>
      </w:r>
      <w:r>
        <w:rPr>
          <w:rFonts w:hint="eastAsia" w:ascii="宋体" w:hAnsi="宋体" w:eastAsia="宋体" w:cs="宋体"/>
          <w:spacing w:val="10"/>
          <w:sz w:val="24"/>
          <w:szCs w:val="24"/>
          <w:highlight w:val="none"/>
        </w:rPr>
        <w:t>.1 投标文件包括但不限于下列内容</w:t>
      </w:r>
    </w:p>
    <w:p>
      <w:pPr>
        <w:tabs>
          <w:tab w:val="left" w:pos="1080"/>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第一部分  投标函</w:t>
      </w:r>
    </w:p>
    <w:p>
      <w:pPr>
        <w:tabs>
          <w:tab w:val="left" w:pos="1080"/>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第二部分  </w:t>
      </w:r>
      <w:r>
        <w:rPr>
          <w:rFonts w:hint="eastAsia" w:ascii="宋体" w:hAnsi="宋体" w:eastAsia="宋体" w:cs="宋体"/>
          <w:sz w:val="24"/>
          <w:szCs w:val="24"/>
          <w:highlight w:val="none"/>
          <w:lang w:val="en-US" w:eastAsia="zh-CN"/>
        </w:rPr>
        <w:t>开标一览表</w:t>
      </w:r>
    </w:p>
    <w:p>
      <w:pPr>
        <w:tabs>
          <w:tab w:val="left" w:pos="1080"/>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第三部分  </w:t>
      </w:r>
      <w:r>
        <w:rPr>
          <w:rFonts w:hint="eastAsia" w:ascii="宋体" w:hAnsi="宋体" w:eastAsia="宋体" w:cs="宋体"/>
          <w:sz w:val="24"/>
          <w:szCs w:val="24"/>
          <w:highlight w:val="none"/>
          <w:lang w:val="en-US" w:eastAsia="zh-CN"/>
        </w:rPr>
        <w:t>资格证明文件</w:t>
      </w:r>
    </w:p>
    <w:p>
      <w:pPr>
        <w:tabs>
          <w:tab w:val="left" w:pos="1080"/>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第四部分  </w:t>
      </w:r>
      <w:r>
        <w:rPr>
          <w:rFonts w:hint="eastAsia" w:ascii="宋体" w:hAnsi="宋体" w:eastAsia="宋体" w:cs="宋体"/>
          <w:sz w:val="24"/>
          <w:szCs w:val="24"/>
          <w:highlight w:val="none"/>
          <w:lang w:val="en-US" w:eastAsia="zh-CN"/>
        </w:rPr>
        <w:t>投标人基本情况表</w:t>
      </w:r>
    </w:p>
    <w:p>
      <w:pPr>
        <w:tabs>
          <w:tab w:val="left" w:pos="1080"/>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第五部分  </w:t>
      </w:r>
      <w:r>
        <w:rPr>
          <w:rFonts w:hint="eastAsia" w:ascii="宋体" w:hAnsi="宋体" w:eastAsia="宋体" w:cs="宋体"/>
          <w:sz w:val="24"/>
          <w:szCs w:val="24"/>
          <w:highlight w:val="none"/>
          <w:lang w:val="en-US" w:eastAsia="zh-CN"/>
        </w:rPr>
        <w:t>投标人承诺书</w:t>
      </w:r>
    </w:p>
    <w:p>
      <w:pPr>
        <w:tabs>
          <w:tab w:val="left" w:pos="1080"/>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第六部分  </w:t>
      </w:r>
      <w:r>
        <w:rPr>
          <w:rFonts w:hint="eastAsia" w:ascii="宋体" w:hAnsi="宋体" w:eastAsia="宋体" w:cs="宋体"/>
          <w:sz w:val="24"/>
          <w:szCs w:val="24"/>
          <w:highlight w:val="none"/>
          <w:lang w:val="en-US" w:eastAsia="zh-CN"/>
        </w:rPr>
        <w:t>投标方案说明书</w:t>
      </w:r>
    </w:p>
    <w:p>
      <w:pPr>
        <w:tabs>
          <w:tab w:val="left" w:pos="1080"/>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 xml:space="preserve">部分  </w:t>
      </w:r>
      <w:r>
        <w:rPr>
          <w:rFonts w:hint="eastAsia" w:ascii="宋体" w:hAnsi="宋体" w:eastAsia="宋体" w:cs="宋体"/>
          <w:sz w:val="24"/>
          <w:szCs w:val="24"/>
          <w:highlight w:val="none"/>
          <w:lang w:val="en-US" w:eastAsia="zh-CN"/>
        </w:rPr>
        <w:t>商务偏离表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200"/>
        <w:jc w:val="both"/>
        <w:textAlignment w:val="baseline"/>
        <w:rPr>
          <w:rFonts w:hint="eastAsia" w:ascii="宋体" w:hAnsi="宋体" w:eastAsia="宋体" w:cs="宋体"/>
          <w:spacing w:val="10"/>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 xml:space="preserve">部分 </w:t>
      </w:r>
      <w:r>
        <w:rPr>
          <w:rFonts w:hint="eastAsia" w:ascii="宋体" w:hAnsi="宋体" w:eastAsia="宋体" w:cs="宋体"/>
          <w:sz w:val="24"/>
          <w:szCs w:val="24"/>
          <w:highlight w:val="none"/>
          <w:lang w:val="en-US" w:eastAsia="zh-CN"/>
        </w:rPr>
        <w:t xml:space="preserve"> 其他</w:t>
      </w:r>
      <w:r>
        <w:rPr>
          <w:rFonts w:hint="eastAsia" w:ascii="宋体" w:hAnsi="宋体" w:eastAsia="宋体" w:cs="宋体"/>
          <w:i w:val="0"/>
          <w:iCs w:val="0"/>
          <w:sz w:val="24"/>
          <w:szCs w:val="24"/>
          <w:highlight w:val="none"/>
          <w:lang w:val="en-US" w:eastAsia="zh-CN"/>
        </w:rPr>
        <w:t>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w:t>
      </w:r>
      <w:r>
        <w:rPr>
          <w:rFonts w:hint="eastAsia" w:ascii="宋体" w:hAnsi="宋体" w:eastAsia="宋体" w:cs="宋体"/>
          <w:spacing w:val="10"/>
          <w:sz w:val="24"/>
          <w:szCs w:val="24"/>
          <w:highlight w:val="none"/>
          <w:lang w:val="en-US" w:eastAsia="zh-CN"/>
        </w:rPr>
        <w:t>2</w:t>
      </w:r>
      <w:r>
        <w:rPr>
          <w:rFonts w:hint="eastAsia" w:ascii="宋体" w:hAnsi="宋体" w:eastAsia="宋体" w:cs="宋体"/>
          <w:spacing w:val="10"/>
          <w:sz w:val="24"/>
          <w:szCs w:val="24"/>
          <w:highlight w:val="none"/>
        </w:rPr>
        <w:t>.</w:t>
      </w:r>
      <w:r>
        <w:rPr>
          <w:rFonts w:hint="eastAsia" w:ascii="宋体" w:hAnsi="宋体" w:eastAsia="宋体" w:cs="宋体"/>
          <w:spacing w:val="10"/>
          <w:sz w:val="24"/>
          <w:szCs w:val="24"/>
          <w:highlight w:val="none"/>
          <w:lang w:val="en-US" w:eastAsia="zh-CN"/>
        </w:rPr>
        <w:t>2</w:t>
      </w:r>
      <w:r>
        <w:rPr>
          <w:rFonts w:hint="eastAsia" w:ascii="宋体" w:hAnsi="宋体" w:eastAsia="宋体" w:cs="宋体"/>
          <w:spacing w:val="10"/>
          <w:sz w:val="24"/>
          <w:szCs w:val="24"/>
          <w:highlight w:val="none"/>
        </w:rPr>
        <w:t xml:space="preserve"> 在投标过程中，投标人根据评标委员会书面形式要求提供的澄清文件是投标文的有效组成部分。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w:t>
      </w:r>
      <w:r>
        <w:rPr>
          <w:rFonts w:hint="eastAsia" w:ascii="宋体" w:hAnsi="宋体" w:eastAsia="宋体" w:cs="宋体"/>
          <w:spacing w:val="10"/>
          <w:sz w:val="24"/>
          <w:szCs w:val="24"/>
          <w:highlight w:val="none"/>
          <w:lang w:val="en-US" w:eastAsia="zh-CN"/>
        </w:rPr>
        <w:t>2</w:t>
      </w:r>
      <w:r>
        <w:rPr>
          <w:rFonts w:hint="eastAsia" w:ascii="宋体" w:hAnsi="宋体" w:eastAsia="宋体" w:cs="宋体"/>
          <w:spacing w:val="10"/>
          <w:sz w:val="24"/>
          <w:szCs w:val="24"/>
          <w:highlight w:val="none"/>
        </w:rPr>
        <w:t>.</w:t>
      </w:r>
      <w:r>
        <w:rPr>
          <w:rFonts w:hint="eastAsia" w:ascii="宋体" w:hAnsi="宋体" w:eastAsia="宋体" w:cs="宋体"/>
          <w:spacing w:val="10"/>
          <w:sz w:val="24"/>
          <w:szCs w:val="24"/>
          <w:highlight w:val="none"/>
          <w:lang w:val="en-US" w:eastAsia="zh-CN"/>
        </w:rPr>
        <w:t>3</w:t>
      </w:r>
      <w:r>
        <w:rPr>
          <w:rFonts w:hint="eastAsia" w:ascii="宋体" w:hAnsi="宋体" w:eastAsia="宋体" w:cs="宋体"/>
          <w:spacing w:val="10"/>
          <w:sz w:val="24"/>
          <w:szCs w:val="24"/>
          <w:highlight w:val="none"/>
        </w:rPr>
        <w:t xml:space="preserve"> 投标人无论中标与否，其投标文件不予退还。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1" w:firstLineChars="100"/>
        <w:jc w:val="both"/>
        <w:textAlignment w:val="baseline"/>
        <w:rPr>
          <w:rFonts w:hint="eastAsia" w:ascii="宋体" w:hAnsi="宋体" w:eastAsia="宋体" w:cs="宋体"/>
          <w:b/>
          <w:bCs/>
          <w:spacing w:val="10"/>
          <w:sz w:val="24"/>
          <w:szCs w:val="24"/>
          <w:highlight w:val="none"/>
        </w:rPr>
      </w:pPr>
      <w:r>
        <w:rPr>
          <w:rFonts w:hint="eastAsia" w:ascii="宋体" w:hAnsi="宋体" w:eastAsia="宋体" w:cs="宋体"/>
          <w:b/>
          <w:bCs/>
          <w:spacing w:val="10"/>
          <w:sz w:val="24"/>
          <w:szCs w:val="24"/>
          <w:highlight w:val="none"/>
        </w:rPr>
        <w:t>1</w:t>
      </w:r>
      <w:r>
        <w:rPr>
          <w:rFonts w:hint="eastAsia" w:ascii="宋体" w:hAnsi="宋体" w:eastAsia="宋体" w:cs="宋体"/>
          <w:b/>
          <w:bCs/>
          <w:spacing w:val="10"/>
          <w:sz w:val="24"/>
          <w:szCs w:val="24"/>
          <w:highlight w:val="none"/>
          <w:lang w:val="en-US" w:eastAsia="zh-CN"/>
        </w:rPr>
        <w:t>3</w:t>
      </w:r>
      <w:r>
        <w:rPr>
          <w:rFonts w:hint="eastAsia" w:ascii="宋体" w:hAnsi="宋体" w:eastAsia="宋体" w:cs="宋体"/>
          <w:b/>
          <w:bCs/>
          <w:spacing w:val="10"/>
          <w:sz w:val="24"/>
          <w:szCs w:val="24"/>
          <w:highlight w:val="none"/>
        </w:rPr>
        <w:t>.投标报价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w:t>
      </w:r>
      <w:r>
        <w:rPr>
          <w:rFonts w:hint="eastAsia" w:ascii="宋体" w:hAnsi="宋体" w:eastAsia="宋体" w:cs="宋体"/>
          <w:spacing w:val="10"/>
          <w:sz w:val="24"/>
          <w:szCs w:val="24"/>
          <w:highlight w:val="none"/>
          <w:lang w:val="en-US" w:eastAsia="zh-CN"/>
        </w:rPr>
        <w:t>3</w:t>
      </w:r>
      <w:r>
        <w:rPr>
          <w:rFonts w:hint="eastAsia" w:ascii="宋体" w:hAnsi="宋体" w:eastAsia="宋体" w:cs="宋体"/>
          <w:spacing w:val="10"/>
          <w:sz w:val="24"/>
          <w:szCs w:val="24"/>
          <w:highlight w:val="none"/>
        </w:rPr>
        <w:t>.1 投标人应当按招标文件规定的服务</w:t>
      </w:r>
      <w:r>
        <w:rPr>
          <w:rFonts w:hint="eastAsia" w:ascii="宋体" w:hAnsi="宋体" w:eastAsia="宋体" w:cs="宋体"/>
          <w:spacing w:val="10"/>
          <w:sz w:val="24"/>
          <w:szCs w:val="24"/>
          <w:highlight w:val="none"/>
          <w:lang w:val="en-US" w:eastAsia="zh-CN"/>
        </w:rPr>
        <w:t>采购需求</w:t>
      </w:r>
      <w:r>
        <w:rPr>
          <w:rFonts w:hint="eastAsia" w:ascii="宋体" w:hAnsi="宋体" w:eastAsia="宋体" w:cs="宋体"/>
          <w:spacing w:val="10"/>
          <w:sz w:val="24"/>
          <w:szCs w:val="24"/>
          <w:highlight w:val="none"/>
        </w:rPr>
        <w:t>、合同条件以人民币形式进行报价。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w:t>
      </w:r>
      <w:r>
        <w:rPr>
          <w:rFonts w:hint="eastAsia" w:ascii="宋体" w:hAnsi="宋体" w:eastAsia="宋体" w:cs="宋体"/>
          <w:spacing w:val="10"/>
          <w:sz w:val="24"/>
          <w:szCs w:val="24"/>
          <w:highlight w:val="none"/>
          <w:lang w:val="en-US" w:eastAsia="zh-CN"/>
        </w:rPr>
        <w:t>3</w:t>
      </w:r>
      <w:r>
        <w:rPr>
          <w:rFonts w:hint="eastAsia" w:ascii="宋体" w:hAnsi="宋体" w:eastAsia="宋体" w:cs="宋体"/>
          <w:spacing w:val="10"/>
          <w:sz w:val="24"/>
          <w:szCs w:val="24"/>
          <w:highlight w:val="none"/>
        </w:rPr>
        <w:t>.2 投标人必须按开标一览表要求的内容填写</w:t>
      </w:r>
      <w:r>
        <w:rPr>
          <w:rFonts w:hint="eastAsia" w:ascii="宋体" w:hAnsi="宋体" w:eastAsia="宋体" w:cs="宋体"/>
          <w:spacing w:val="10"/>
          <w:sz w:val="24"/>
          <w:szCs w:val="24"/>
          <w:highlight w:val="none"/>
          <w:lang w:val="en-US" w:eastAsia="zh-CN"/>
        </w:rPr>
        <w:t>投标报价</w:t>
      </w:r>
      <w:r>
        <w:rPr>
          <w:rFonts w:hint="eastAsia" w:ascii="宋体" w:hAnsi="宋体" w:eastAsia="宋体" w:cs="宋体"/>
          <w:spacing w:val="1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w:t>
      </w:r>
      <w:r>
        <w:rPr>
          <w:rFonts w:hint="eastAsia" w:ascii="宋体" w:hAnsi="宋体" w:eastAsia="宋体" w:cs="宋体"/>
          <w:spacing w:val="10"/>
          <w:sz w:val="24"/>
          <w:szCs w:val="24"/>
          <w:highlight w:val="none"/>
          <w:lang w:val="en-US" w:eastAsia="zh-CN"/>
        </w:rPr>
        <w:t>3</w:t>
      </w:r>
      <w:r>
        <w:rPr>
          <w:rFonts w:hint="eastAsia" w:ascii="宋体" w:hAnsi="宋体" w:eastAsia="宋体" w:cs="宋体"/>
          <w:spacing w:val="10"/>
          <w:sz w:val="24"/>
          <w:szCs w:val="24"/>
          <w:highlight w:val="none"/>
        </w:rPr>
        <w:t>.3 投标人对服务只允许有一个报价，不接受超过招标文件中规定的预算金额的报价、可变动性报价、赠送及“零”报价，否则视为无效投标。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 xml:space="preserve">13.4 </w:t>
      </w:r>
      <w:r>
        <w:rPr>
          <w:rFonts w:hint="eastAsia" w:ascii="宋体" w:hAnsi="宋体" w:eastAsia="宋体" w:cs="宋体"/>
          <w:spacing w:val="10"/>
          <w:sz w:val="24"/>
          <w:szCs w:val="24"/>
          <w:highlight w:val="none"/>
        </w:rPr>
        <w:t>供应商应在投标报价表中标明完成本次招标所要求的服务且验收合格的所有费用的费率，包括但不限于监理费、 人员工资、社保、税金等其他一切相关费用。 任何有选择的报价将不予接受，否则按无效投标处理。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lang w:eastAsia="zh-CN"/>
        </w:rPr>
      </w:pPr>
      <w:r>
        <w:rPr>
          <w:rFonts w:hint="eastAsia" w:ascii="宋体" w:hAnsi="宋体" w:eastAsia="宋体" w:cs="宋体"/>
          <w:spacing w:val="10"/>
          <w:sz w:val="24"/>
          <w:szCs w:val="24"/>
          <w:highlight w:val="none"/>
          <w:lang w:val="en-US" w:eastAsia="zh-CN"/>
        </w:rPr>
        <w:t>13.5</w:t>
      </w:r>
      <w:r>
        <w:rPr>
          <w:rFonts w:hint="eastAsia" w:ascii="宋体" w:hAnsi="宋体" w:eastAsia="宋体" w:cs="宋体"/>
          <w:spacing w:val="10"/>
          <w:sz w:val="24"/>
          <w:szCs w:val="24"/>
          <w:highlight w:val="none"/>
        </w:rPr>
        <w:t xml:space="preserve"> 费率最高限价为：</w:t>
      </w:r>
      <w:r>
        <w:rPr>
          <w:rFonts w:hint="eastAsia" w:ascii="宋体" w:hAnsi="宋体" w:eastAsia="宋体" w:cs="宋体"/>
          <w:spacing w:val="10"/>
          <w:sz w:val="24"/>
          <w:szCs w:val="24"/>
          <w:highlight w:val="none"/>
          <w:lang w:val="en-US" w:eastAsia="zh-CN"/>
        </w:rPr>
        <w:t>3.30</w:t>
      </w:r>
      <w:r>
        <w:rPr>
          <w:rFonts w:hint="eastAsia" w:ascii="宋体" w:hAnsi="宋体" w:eastAsia="宋体" w:cs="宋体"/>
          <w:spacing w:val="10"/>
          <w:sz w:val="24"/>
          <w:szCs w:val="24"/>
          <w:highlight w:val="none"/>
        </w:rPr>
        <w:t>%。</w:t>
      </w:r>
      <w:r>
        <w:rPr>
          <w:rFonts w:hint="eastAsia" w:ascii="宋体" w:hAnsi="宋体" w:eastAsia="宋体" w:cs="宋体"/>
          <w:color w:val="auto"/>
          <w:kern w:val="0"/>
          <w:sz w:val="24"/>
          <w:szCs w:val="24"/>
          <w:highlight w:val="none"/>
          <w:lang w:val="en-US" w:eastAsia="zh-CN"/>
        </w:rPr>
        <w:t>2023年春季绿化项目施工</w:t>
      </w:r>
      <w:r>
        <w:rPr>
          <w:rFonts w:hint="eastAsia" w:ascii="宋体" w:hAnsi="宋体" w:eastAsia="宋体" w:cs="宋体"/>
          <w:spacing w:val="10"/>
          <w:sz w:val="24"/>
          <w:szCs w:val="24"/>
          <w:highlight w:val="none"/>
        </w:rPr>
        <w:t>预算金额：35988166.45元</w:t>
      </w:r>
      <w:r>
        <w:rPr>
          <w:rFonts w:hint="eastAsia" w:ascii="宋体" w:hAnsi="宋体" w:eastAsia="宋体" w:cs="宋体"/>
          <w:spacing w:val="10"/>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default" w:eastAsia="宋体"/>
          <w:highlight w:val="none"/>
          <w:lang w:val="en-US" w:eastAsia="zh-CN"/>
        </w:rPr>
      </w:pPr>
      <w:r>
        <w:rPr>
          <w:rFonts w:hint="eastAsia" w:ascii="宋体" w:hAnsi="宋体" w:eastAsia="宋体" w:cs="宋体"/>
          <w:spacing w:val="10"/>
          <w:sz w:val="24"/>
          <w:szCs w:val="24"/>
          <w:highlight w:val="none"/>
          <w:lang w:val="en-US" w:eastAsia="zh-CN"/>
        </w:rPr>
        <w:t>13.5 投标报价表中标明的价格应为履行合同的固定费率，不得以任何理由予以变更。以可调整的价格提交的投标文件将按无效投标处理。最终根据</w:t>
      </w:r>
      <w:r>
        <w:rPr>
          <w:rFonts w:hint="eastAsia" w:ascii="宋体" w:hAnsi="宋体" w:eastAsia="宋体" w:cs="宋体"/>
          <w:color w:val="auto"/>
          <w:kern w:val="0"/>
          <w:sz w:val="24"/>
          <w:szCs w:val="24"/>
          <w:highlight w:val="none"/>
          <w:lang w:val="en-US" w:eastAsia="zh-CN"/>
        </w:rPr>
        <w:t>2023年春季绿化项目施工</w:t>
      </w:r>
      <w:r>
        <w:rPr>
          <w:rFonts w:hint="eastAsia" w:ascii="宋体" w:hAnsi="宋体" w:eastAsia="宋体" w:cs="宋体"/>
          <w:spacing w:val="10"/>
          <w:sz w:val="24"/>
          <w:szCs w:val="24"/>
          <w:highlight w:val="none"/>
          <w:lang w:val="en-US" w:eastAsia="zh-CN"/>
        </w:rPr>
        <w:t xml:space="preserve">的最终审核结算价*中标费率据实结算。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1" w:firstLineChars="100"/>
        <w:jc w:val="both"/>
        <w:textAlignment w:val="baseline"/>
        <w:rPr>
          <w:rFonts w:hint="eastAsia" w:ascii="宋体" w:hAnsi="宋体" w:eastAsia="宋体" w:cs="宋体"/>
          <w:b/>
          <w:bCs/>
          <w:spacing w:val="10"/>
          <w:sz w:val="24"/>
          <w:szCs w:val="24"/>
          <w:highlight w:val="none"/>
        </w:rPr>
      </w:pPr>
      <w:r>
        <w:rPr>
          <w:rFonts w:hint="eastAsia" w:ascii="宋体" w:hAnsi="宋体" w:eastAsia="宋体" w:cs="宋体"/>
          <w:b/>
          <w:bCs/>
          <w:spacing w:val="10"/>
          <w:sz w:val="24"/>
          <w:szCs w:val="24"/>
          <w:highlight w:val="none"/>
        </w:rPr>
        <w:t>1</w:t>
      </w:r>
      <w:r>
        <w:rPr>
          <w:rFonts w:hint="eastAsia" w:ascii="宋体" w:hAnsi="宋体" w:eastAsia="宋体" w:cs="宋体"/>
          <w:b/>
          <w:bCs/>
          <w:spacing w:val="10"/>
          <w:sz w:val="24"/>
          <w:szCs w:val="24"/>
          <w:highlight w:val="none"/>
          <w:lang w:val="en-US" w:eastAsia="zh-CN"/>
        </w:rPr>
        <w:t>4</w:t>
      </w:r>
      <w:r>
        <w:rPr>
          <w:rFonts w:hint="eastAsia" w:ascii="宋体" w:hAnsi="宋体" w:eastAsia="宋体" w:cs="宋体"/>
          <w:b/>
          <w:bCs/>
          <w:spacing w:val="10"/>
          <w:sz w:val="24"/>
          <w:szCs w:val="24"/>
          <w:highlight w:val="none"/>
        </w:rPr>
        <w:t>.投标保证金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w:t>
      </w:r>
      <w:r>
        <w:rPr>
          <w:rFonts w:hint="eastAsia" w:ascii="宋体" w:hAnsi="宋体" w:eastAsia="宋体" w:cs="宋体"/>
          <w:spacing w:val="10"/>
          <w:sz w:val="24"/>
          <w:szCs w:val="24"/>
          <w:highlight w:val="none"/>
          <w:lang w:val="en-US" w:eastAsia="zh-CN"/>
        </w:rPr>
        <w:t>4</w:t>
      </w:r>
      <w:r>
        <w:rPr>
          <w:rFonts w:hint="eastAsia" w:ascii="宋体" w:hAnsi="宋体" w:eastAsia="宋体" w:cs="宋体"/>
          <w:spacing w:val="10"/>
          <w:sz w:val="24"/>
          <w:szCs w:val="24"/>
          <w:highlight w:val="none"/>
        </w:rPr>
        <w:t>.1 本项目是否交纳投标保证金详见投标人须知前附表。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1" w:firstLineChars="100"/>
        <w:jc w:val="both"/>
        <w:textAlignment w:val="baseline"/>
        <w:rPr>
          <w:rFonts w:hint="eastAsia" w:ascii="宋体" w:hAnsi="宋体" w:eastAsia="宋体" w:cs="宋体"/>
          <w:b/>
          <w:bCs/>
          <w:spacing w:val="10"/>
          <w:sz w:val="24"/>
          <w:szCs w:val="24"/>
          <w:highlight w:val="none"/>
        </w:rPr>
      </w:pPr>
      <w:r>
        <w:rPr>
          <w:rFonts w:hint="eastAsia" w:ascii="宋体" w:hAnsi="宋体" w:eastAsia="宋体" w:cs="宋体"/>
          <w:b/>
          <w:bCs/>
          <w:spacing w:val="10"/>
          <w:sz w:val="24"/>
          <w:szCs w:val="24"/>
          <w:highlight w:val="none"/>
        </w:rPr>
        <w:t>1</w:t>
      </w:r>
      <w:r>
        <w:rPr>
          <w:rFonts w:hint="eastAsia" w:ascii="宋体" w:hAnsi="宋体" w:eastAsia="宋体" w:cs="宋体"/>
          <w:b/>
          <w:bCs/>
          <w:spacing w:val="10"/>
          <w:sz w:val="24"/>
          <w:szCs w:val="24"/>
          <w:highlight w:val="none"/>
          <w:lang w:val="en-US" w:eastAsia="zh-CN"/>
        </w:rPr>
        <w:t>5</w:t>
      </w:r>
      <w:r>
        <w:rPr>
          <w:rFonts w:hint="eastAsia" w:ascii="宋体" w:hAnsi="宋体" w:eastAsia="宋体" w:cs="宋体"/>
          <w:b/>
          <w:bCs/>
          <w:spacing w:val="10"/>
          <w:sz w:val="24"/>
          <w:szCs w:val="24"/>
          <w:highlight w:val="none"/>
        </w:rPr>
        <w:t>.投标有效期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w:t>
      </w:r>
      <w:r>
        <w:rPr>
          <w:rFonts w:hint="eastAsia" w:ascii="宋体" w:hAnsi="宋体" w:eastAsia="宋体" w:cs="宋体"/>
          <w:spacing w:val="10"/>
          <w:sz w:val="24"/>
          <w:szCs w:val="24"/>
          <w:highlight w:val="none"/>
          <w:lang w:val="en-US" w:eastAsia="zh-CN"/>
        </w:rPr>
        <w:t>5</w:t>
      </w:r>
      <w:r>
        <w:rPr>
          <w:rFonts w:hint="eastAsia" w:ascii="宋体" w:hAnsi="宋体" w:eastAsia="宋体" w:cs="宋体"/>
          <w:spacing w:val="10"/>
          <w:sz w:val="24"/>
          <w:szCs w:val="24"/>
          <w:highlight w:val="none"/>
        </w:rPr>
        <w:t>.1 投标有效期见投标人须知前附表，在此期间投标文件对投标人具有法律约束力，以保证招标人有足够的时间完成评标、定标以及签订合同。投标有效期从投标人须知前附表规定的投标文件截止时间起计算。投标有效期不足的，在评标时将其视为无效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w:t>
      </w:r>
      <w:r>
        <w:rPr>
          <w:rFonts w:hint="eastAsia" w:ascii="宋体" w:hAnsi="宋体" w:eastAsia="宋体" w:cs="宋体"/>
          <w:spacing w:val="10"/>
          <w:sz w:val="24"/>
          <w:szCs w:val="24"/>
          <w:highlight w:val="none"/>
          <w:lang w:val="en-US" w:eastAsia="zh-CN"/>
        </w:rPr>
        <w:t>5</w:t>
      </w:r>
      <w:r>
        <w:rPr>
          <w:rFonts w:hint="eastAsia" w:ascii="宋体" w:hAnsi="宋体" w:eastAsia="宋体" w:cs="宋体"/>
          <w:spacing w:val="10"/>
          <w:sz w:val="24"/>
          <w:szCs w:val="24"/>
          <w:highlight w:val="none"/>
        </w:rPr>
        <w:t>.2 特殊情况需延长投标有效期的，招标人可于投标有效期届满之前，要求投标人同意延长有效期，招标人的要求与投标人的答复均应为书面形式。投标人拒绝延长的，其投标在原投标有效期届满后将不再有效；投标人同意延长的，不允许修改或撤回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1" w:firstLineChars="100"/>
        <w:jc w:val="both"/>
        <w:textAlignment w:val="baseline"/>
        <w:rPr>
          <w:rFonts w:hint="eastAsia" w:ascii="宋体" w:hAnsi="宋体" w:eastAsia="宋体" w:cs="宋体"/>
          <w:b/>
          <w:bCs/>
          <w:spacing w:val="10"/>
          <w:sz w:val="24"/>
          <w:szCs w:val="24"/>
          <w:highlight w:val="none"/>
        </w:rPr>
      </w:pPr>
      <w:r>
        <w:rPr>
          <w:rFonts w:hint="eastAsia" w:ascii="宋体" w:hAnsi="宋体" w:eastAsia="宋体" w:cs="宋体"/>
          <w:b/>
          <w:bCs/>
          <w:spacing w:val="10"/>
          <w:sz w:val="24"/>
          <w:szCs w:val="24"/>
          <w:highlight w:val="none"/>
        </w:rPr>
        <w:t>1</w:t>
      </w:r>
      <w:r>
        <w:rPr>
          <w:rFonts w:hint="eastAsia" w:ascii="宋体" w:hAnsi="宋体" w:eastAsia="宋体" w:cs="宋体"/>
          <w:b/>
          <w:bCs/>
          <w:spacing w:val="10"/>
          <w:sz w:val="24"/>
          <w:szCs w:val="24"/>
          <w:highlight w:val="none"/>
          <w:lang w:val="en-US" w:eastAsia="zh-CN"/>
        </w:rPr>
        <w:t>6</w:t>
      </w:r>
      <w:r>
        <w:rPr>
          <w:rFonts w:hint="eastAsia" w:ascii="宋体" w:hAnsi="宋体" w:eastAsia="宋体" w:cs="宋体"/>
          <w:b/>
          <w:bCs/>
          <w:spacing w:val="10"/>
          <w:sz w:val="24"/>
          <w:szCs w:val="24"/>
          <w:highlight w:val="none"/>
        </w:rPr>
        <w:t>.投标文件的签署和规定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0" w:firstLineChars="100"/>
        <w:jc w:val="both"/>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w:t>
      </w:r>
      <w:r>
        <w:rPr>
          <w:rFonts w:hint="eastAsia" w:ascii="宋体" w:hAnsi="宋体" w:eastAsia="宋体" w:cs="宋体"/>
          <w:spacing w:val="10"/>
          <w:sz w:val="24"/>
          <w:szCs w:val="24"/>
          <w:highlight w:val="none"/>
          <w:lang w:val="en-US" w:eastAsia="zh-CN"/>
        </w:rPr>
        <w:t>6</w:t>
      </w:r>
      <w:r>
        <w:rPr>
          <w:rFonts w:hint="eastAsia" w:ascii="宋体" w:hAnsi="宋体" w:eastAsia="宋体" w:cs="宋体"/>
          <w:spacing w:val="10"/>
          <w:sz w:val="24"/>
          <w:szCs w:val="24"/>
          <w:highlight w:val="none"/>
        </w:rPr>
        <w:t xml:space="preserve">.1 </w:t>
      </w:r>
      <w:r>
        <w:rPr>
          <w:rFonts w:hint="eastAsia" w:ascii="宋体" w:hAnsi="宋体" w:eastAsia="宋体" w:cs="宋体"/>
          <w:spacing w:val="10"/>
          <w:sz w:val="24"/>
          <w:szCs w:val="24"/>
          <w:highlight w:val="none"/>
          <w:lang w:val="en-US" w:eastAsia="zh-CN"/>
        </w:rPr>
        <w:t>提交的电子</w:t>
      </w:r>
      <w:r>
        <w:rPr>
          <w:rFonts w:hint="eastAsia" w:ascii="宋体" w:hAnsi="宋体" w:eastAsia="宋体" w:cs="宋体"/>
          <w:spacing w:val="10"/>
          <w:sz w:val="24"/>
          <w:szCs w:val="24"/>
          <w:highlight w:val="none"/>
        </w:rPr>
        <w:t>投标文件应按招标文件要求在签字盖章处盖单位章和由法定代表人或其授权代表签字或盖章。投标文件中的任何行间插字、涂改和增删，应加盖单位章或由投标人的法定代表人或其授权的代理人签字确认。否则，将其视为无效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1" w:firstLineChars="100"/>
        <w:jc w:val="both"/>
        <w:textAlignment w:val="baseline"/>
        <w:rPr>
          <w:rFonts w:hint="eastAsia" w:ascii="宋体" w:hAnsi="宋体" w:eastAsia="宋体" w:cs="宋体"/>
          <w:b/>
          <w:bCs/>
          <w:spacing w:val="10"/>
          <w:sz w:val="24"/>
          <w:szCs w:val="24"/>
          <w:highlight w:val="none"/>
        </w:rPr>
      </w:pPr>
      <w:r>
        <w:rPr>
          <w:rFonts w:hint="eastAsia" w:ascii="宋体" w:hAnsi="宋体" w:eastAsia="宋体" w:cs="宋体"/>
          <w:b/>
          <w:bCs/>
          <w:spacing w:val="10"/>
          <w:sz w:val="24"/>
          <w:szCs w:val="24"/>
          <w:highlight w:val="none"/>
        </w:rPr>
        <w:t xml:space="preserve"> 1</w:t>
      </w:r>
      <w:r>
        <w:rPr>
          <w:rFonts w:hint="eastAsia" w:ascii="宋体" w:hAnsi="宋体" w:eastAsia="宋体" w:cs="宋体"/>
          <w:b/>
          <w:bCs/>
          <w:spacing w:val="10"/>
          <w:sz w:val="24"/>
          <w:szCs w:val="24"/>
          <w:highlight w:val="none"/>
          <w:lang w:val="en-US" w:eastAsia="zh-CN"/>
        </w:rPr>
        <w:t>7</w:t>
      </w:r>
      <w:r>
        <w:rPr>
          <w:rFonts w:hint="eastAsia" w:ascii="宋体" w:hAnsi="宋体" w:eastAsia="宋体" w:cs="宋体"/>
          <w:b/>
          <w:bCs/>
          <w:spacing w:val="10"/>
          <w:sz w:val="24"/>
          <w:szCs w:val="24"/>
          <w:highlight w:val="none"/>
        </w:rPr>
        <w:t>.投标文件的递交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40" w:firstLineChars="10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w:t>
      </w:r>
      <w:r>
        <w:rPr>
          <w:rFonts w:hint="eastAsia" w:ascii="宋体" w:hAnsi="宋体" w:eastAsia="宋体" w:cs="宋体"/>
          <w:spacing w:val="0"/>
          <w:sz w:val="24"/>
          <w:szCs w:val="24"/>
          <w:highlight w:val="none"/>
          <w:lang w:val="en-US" w:eastAsia="zh-CN"/>
        </w:rPr>
        <w:t>7</w:t>
      </w:r>
      <w:r>
        <w:rPr>
          <w:rFonts w:hint="eastAsia" w:ascii="宋体" w:hAnsi="宋体" w:eastAsia="宋体" w:cs="宋体"/>
          <w:spacing w:val="0"/>
          <w:sz w:val="24"/>
          <w:szCs w:val="24"/>
          <w:highlight w:val="none"/>
        </w:rPr>
        <w:t>.1 投标人根据投标人须知前附表规定提交投标文件。本项目采用不见面开标模式，采用电子化投标文件，投标人不需要提供纸质投标文件。投标人应在投标截止时间前登录投标文件载明的“不见面开标大厅”网址，按系统提示完成投标流程。因投标人自身设施故障或自身原因导致无法完成投标的，由投标人自行承担后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40" w:firstLineChars="10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w:t>
      </w:r>
      <w:r>
        <w:rPr>
          <w:rFonts w:hint="eastAsia" w:ascii="宋体" w:hAnsi="宋体" w:eastAsia="宋体" w:cs="宋体"/>
          <w:spacing w:val="0"/>
          <w:sz w:val="24"/>
          <w:szCs w:val="24"/>
          <w:highlight w:val="none"/>
          <w:lang w:val="en-US" w:eastAsia="zh-CN"/>
        </w:rPr>
        <w:t>7</w:t>
      </w:r>
      <w:r>
        <w:rPr>
          <w:rFonts w:hint="eastAsia" w:ascii="宋体" w:hAnsi="宋体" w:eastAsia="宋体" w:cs="宋体"/>
          <w:spacing w:val="0"/>
          <w:sz w:val="24"/>
          <w:szCs w:val="24"/>
          <w:highlight w:val="none"/>
        </w:rPr>
        <w:t>.2 投标人须在全国公共资源交易平台(陕西省 ·西安市)登记企业信息，然后使用数字认证CA锁获取公开招标文件及其他文件。投标人应使用电子投标书制作工具制作、加密投标文件，并在规定时间上传经过数字证书加密的电子投标文件(投标文件为.SXSTF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40" w:firstLineChars="10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w:t>
      </w:r>
      <w:r>
        <w:rPr>
          <w:rFonts w:hint="eastAsia" w:ascii="宋体" w:hAnsi="宋体" w:eastAsia="宋体" w:cs="宋体"/>
          <w:spacing w:val="0"/>
          <w:sz w:val="24"/>
          <w:szCs w:val="24"/>
          <w:highlight w:val="none"/>
          <w:lang w:val="en-US" w:eastAsia="zh-CN"/>
        </w:rPr>
        <w:t>7</w:t>
      </w:r>
      <w:r>
        <w:rPr>
          <w:rFonts w:hint="eastAsia" w:ascii="宋体" w:hAnsi="宋体" w:eastAsia="宋体" w:cs="宋体"/>
          <w:spacing w:val="0"/>
          <w:sz w:val="24"/>
          <w:szCs w:val="24"/>
          <w:highlight w:val="none"/>
        </w:rPr>
        <w:t>.3 因投标人自身原因造成电子投标文件在规定的时间内无法解密或无法现场报价的，按无效响应文件对待。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1" w:firstLineChars="100"/>
        <w:jc w:val="both"/>
        <w:textAlignment w:val="baseline"/>
        <w:rPr>
          <w:rFonts w:hint="eastAsia" w:ascii="宋体" w:hAnsi="宋体" w:eastAsia="宋体" w:cs="宋体"/>
          <w:b/>
          <w:bCs/>
          <w:spacing w:val="10"/>
          <w:sz w:val="24"/>
          <w:szCs w:val="24"/>
          <w:highlight w:val="none"/>
        </w:rPr>
      </w:pPr>
      <w:r>
        <w:rPr>
          <w:rFonts w:hint="eastAsia" w:ascii="宋体" w:hAnsi="宋体" w:eastAsia="宋体" w:cs="宋体"/>
          <w:b/>
          <w:bCs/>
          <w:spacing w:val="10"/>
          <w:sz w:val="24"/>
          <w:szCs w:val="24"/>
          <w:highlight w:val="none"/>
        </w:rPr>
        <w:t>1</w:t>
      </w:r>
      <w:r>
        <w:rPr>
          <w:rFonts w:hint="eastAsia" w:ascii="宋体" w:hAnsi="宋体" w:eastAsia="宋体" w:cs="宋体"/>
          <w:b/>
          <w:bCs/>
          <w:spacing w:val="10"/>
          <w:sz w:val="24"/>
          <w:szCs w:val="24"/>
          <w:highlight w:val="none"/>
          <w:lang w:val="en-US" w:eastAsia="zh-CN"/>
        </w:rPr>
        <w:t>7</w:t>
      </w:r>
      <w:r>
        <w:rPr>
          <w:rFonts w:hint="eastAsia" w:ascii="宋体" w:hAnsi="宋体" w:eastAsia="宋体" w:cs="宋体"/>
          <w:b/>
          <w:bCs/>
          <w:spacing w:val="10"/>
          <w:sz w:val="24"/>
          <w:szCs w:val="24"/>
          <w:highlight w:val="none"/>
        </w:rPr>
        <w:t>.4 其他需要说明的事项：</w:t>
      </w:r>
    </w:p>
    <w:p>
      <w:pPr>
        <w:spacing w:line="360" w:lineRule="auto"/>
        <w:ind w:firstLine="520" w:firstLineChars="200"/>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w:t>
      </w:r>
      <w:r>
        <w:rPr>
          <w:rFonts w:hint="eastAsia" w:ascii="宋体" w:hAnsi="宋体" w:eastAsia="宋体" w:cs="宋体"/>
          <w:spacing w:val="10"/>
          <w:sz w:val="24"/>
          <w:szCs w:val="24"/>
          <w:highlight w:val="none"/>
          <w:lang w:val="en-US" w:eastAsia="zh-CN"/>
        </w:rPr>
        <w:t>7</w:t>
      </w:r>
      <w:r>
        <w:rPr>
          <w:rFonts w:hint="eastAsia" w:ascii="宋体" w:hAnsi="宋体" w:eastAsia="宋体" w:cs="宋体"/>
          <w:spacing w:val="10"/>
          <w:sz w:val="24"/>
          <w:szCs w:val="24"/>
          <w:highlight w:val="none"/>
        </w:rPr>
        <w:t>.4.1 本项目招标所使用的交易平台为全国公共资源交易平台 (陕西省·西安市)(</w:t>
      </w:r>
      <w:r>
        <w:rPr>
          <w:rFonts w:hint="eastAsia" w:ascii="宋体" w:hAnsi="宋体" w:eastAsia="宋体" w:cs="宋体"/>
          <w:spacing w:val="10"/>
          <w:sz w:val="24"/>
          <w:szCs w:val="24"/>
          <w:highlight w:val="none"/>
        </w:rPr>
        <w:fldChar w:fldCharType="begin"/>
      </w:r>
      <w:r>
        <w:rPr>
          <w:rFonts w:hint="eastAsia" w:ascii="宋体" w:hAnsi="宋体" w:eastAsia="宋体" w:cs="宋体"/>
          <w:spacing w:val="10"/>
          <w:sz w:val="24"/>
          <w:szCs w:val="24"/>
          <w:highlight w:val="none"/>
        </w:rPr>
        <w:instrText xml:space="preserve"> HYPERLINK "http://sxggzyjy.xa.gov.cn/" </w:instrText>
      </w:r>
      <w:r>
        <w:rPr>
          <w:rFonts w:hint="eastAsia" w:ascii="宋体" w:hAnsi="宋体" w:eastAsia="宋体" w:cs="宋体"/>
          <w:spacing w:val="10"/>
          <w:sz w:val="24"/>
          <w:szCs w:val="24"/>
          <w:highlight w:val="none"/>
        </w:rPr>
        <w:fldChar w:fldCharType="separate"/>
      </w:r>
      <w:r>
        <w:rPr>
          <w:rFonts w:hint="eastAsia" w:ascii="宋体" w:hAnsi="宋体" w:eastAsia="宋体" w:cs="宋体"/>
          <w:spacing w:val="10"/>
          <w:sz w:val="24"/>
          <w:szCs w:val="24"/>
          <w:highlight w:val="none"/>
        </w:rPr>
        <w:t>http://sxggzyjy.xa.gov.cn/</w:t>
      </w:r>
      <w:r>
        <w:rPr>
          <w:rFonts w:hint="eastAsia" w:ascii="宋体" w:hAnsi="宋体" w:eastAsia="宋体" w:cs="宋体"/>
          <w:spacing w:val="10"/>
          <w:sz w:val="24"/>
          <w:szCs w:val="24"/>
          <w:highlight w:val="none"/>
        </w:rPr>
        <w:fldChar w:fldCharType="end"/>
      </w:r>
      <w:r>
        <w:rPr>
          <w:rFonts w:hint="eastAsia" w:ascii="宋体" w:hAnsi="宋体" w:eastAsia="宋体" w:cs="宋体"/>
          <w:spacing w:val="10"/>
          <w:sz w:val="24"/>
          <w:szCs w:val="24"/>
          <w:highlight w:val="none"/>
        </w:rPr>
        <w:t>)不见面开标系统，如有疑问，请及时与招标代理机构联系。</w:t>
      </w:r>
    </w:p>
    <w:p>
      <w:pPr>
        <w:spacing w:line="360" w:lineRule="auto"/>
        <w:ind w:firstLine="520" w:firstLineChars="200"/>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w:t>
      </w:r>
      <w:r>
        <w:rPr>
          <w:rFonts w:hint="eastAsia" w:ascii="宋体" w:hAnsi="宋体" w:eastAsia="宋体" w:cs="宋体"/>
          <w:spacing w:val="10"/>
          <w:sz w:val="24"/>
          <w:szCs w:val="24"/>
          <w:highlight w:val="none"/>
          <w:lang w:val="en-US" w:eastAsia="zh-CN"/>
        </w:rPr>
        <w:t>7</w:t>
      </w:r>
      <w:r>
        <w:rPr>
          <w:rFonts w:hint="eastAsia" w:ascii="宋体" w:hAnsi="宋体" w:eastAsia="宋体" w:cs="宋体"/>
          <w:spacing w:val="10"/>
          <w:sz w:val="24"/>
          <w:szCs w:val="24"/>
          <w:highlight w:val="none"/>
        </w:rPr>
        <w:t>.4.2 在线参与公开招标的方式：打开全国公共资源交易平台 (陕西省·西安市)(</w:t>
      </w:r>
      <w:r>
        <w:rPr>
          <w:rFonts w:hint="eastAsia" w:ascii="宋体" w:hAnsi="宋体" w:eastAsia="宋体" w:cs="宋体"/>
          <w:spacing w:val="10"/>
          <w:sz w:val="24"/>
          <w:szCs w:val="24"/>
          <w:highlight w:val="none"/>
        </w:rPr>
        <w:fldChar w:fldCharType="begin"/>
      </w:r>
      <w:r>
        <w:rPr>
          <w:rFonts w:hint="eastAsia" w:ascii="宋体" w:hAnsi="宋体" w:eastAsia="宋体" w:cs="宋体"/>
          <w:spacing w:val="10"/>
          <w:sz w:val="24"/>
          <w:szCs w:val="24"/>
          <w:highlight w:val="none"/>
        </w:rPr>
        <w:instrText xml:space="preserve"> HYPERLINK "http://sxggzyjy.xa.gov.cn/" </w:instrText>
      </w:r>
      <w:r>
        <w:rPr>
          <w:rFonts w:hint="eastAsia" w:ascii="宋体" w:hAnsi="宋体" w:eastAsia="宋体" w:cs="宋体"/>
          <w:spacing w:val="10"/>
          <w:sz w:val="24"/>
          <w:szCs w:val="24"/>
          <w:highlight w:val="none"/>
        </w:rPr>
        <w:fldChar w:fldCharType="separate"/>
      </w:r>
      <w:r>
        <w:rPr>
          <w:rFonts w:hint="eastAsia" w:ascii="宋体" w:hAnsi="宋体" w:eastAsia="宋体" w:cs="宋体"/>
          <w:spacing w:val="10"/>
          <w:sz w:val="24"/>
          <w:szCs w:val="24"/>
          <w:highlight w:val="none"/>
        </w:rPr>
        <w:t>http://sxggzyjy.xa.gov.cn/</w:t>
      </w:r>
      <w:r>
        <w:rPr>
          <w:rFonts w:hint="eastAsia" w:ascii="宋体" w:hAnsi="宋体" w:eastAsia="宋体" w:cs="宋体"/>
          <w:spacing w:val="10"/>
          <w:sz w:val="24"/>
          <w:szCs w:val="24"/>
          <w:highlight w:val="none"/>
        </w:rPr>
        <w:fldChar w:fldCharType="end"/>
      </w:r>
      <w:r>
        <w:rPr>
          <w:rFonts w:hint="eastAsia" w:ascii="宋体" w:hAnsi="宋体" w:eastAsia="宋体" w:cs="宋体"/>
          <w:spacing w:val="10"/>
          <w:sz w:val="24"/>
          <w:szCs w:val="24"/>
          <w:highlight w:val="none"/>
        </w:rPr>
        <w:t>) ，点击【不见面开标系统】进入不见面开标大厅登陆 首页。在我的项目里面找到等待开标的项目，点击进入不见面开标会议室。投标人阅读开标流程，并完成在线签到。</w:t>
      </w:r>
    </w:p>
    <w:p>
      <w:pPr>
        <w:spacing w:line="360" w:lineRule="auto"/>
        <w:ind w:firstLine="522" w:firstLineChars="200"/>
        <w:rPr>
          <w:rFonts w:hint="eastAsia" w:ascii="宋体" w:hAnsi="宋体" w:eastAsia="宋体" w:cs="宋体"/>
          <w:b/>
          <w:bCs/>
          <w:spacing w:val="10"/>
          <w:sz w:val="24"/>
          <w:szCs w:val="24"/>
          <w:highlight w:val="none"/>
        </w:rPr>
      </w:pPr>
      <w:r>
        <w:rPr>
          <w:rFonts w:hint="eastAsia" w:ascii="宋体" w:hAnsi="宋体" w:eastAsia="宋体" w:cs="宋体"/>
          <w:b/>
          <w:bCs/>
          <w:spacing w:val="10"/>
          <w:sz w:val="24"/>
          <w:szCs w:val="24"/>
          <w:highlight w:val="none"/>
        </w:rPr>
        <w:t>不见面开标注意事项：</w:t>
      </w:r>
    </w:p>
    <w:p>
      <w:pPr>
        <w:spacing w:line="360" w:lineRule="auto"/>
        <w:ind w:firstLine="260" w:firstLineChars="100"/>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 为顺利实现本项目公开招标的远程交互，建议投标人提前调试好硬件设备。</w:t>
      </w:r>
    </w:p>
    <w:p>
      <w:pPr>
        <w:spacing w:line="360" w:lineRule="auto"/>
        <w:ind w:firstLine="260" w:firstLineChars="100"/>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(2) 建议投标人在投标文件递交截止时间前</w:t>
      </w:r>
      <w:r>
        <w:rPr>
          <w:rFonts w:hint="eastAsia" w:ascii="宋体" w:hAnsi="宋体" w:eastAsia="宋体" w:cs="宋体"/>
          <w:spacing w:val="10"/>
          <w:sz w:val="24"/>
          <w:szCs w:val="24"/>
          <w:highlight w:val="none"/>
          <w:lang w:val="en-US" w:eastAsia="zh-CN"/>
        </w:rPr>
        <w:t>30</w:t>
      </w:r>
      <w:r>
        <w:rPr>
          <w:rFonts w:hint="eastAsia" w:ascii="宋体" w:hAnsi="宋体" w:eastAsia="宋体" w:cs="宋体"/>
          <w:spacing w:val="10"/>
          <w:sz w:val="24"/>
          <w:szCs w:val="24"/>
          <w:highlight w:val="none"/>
        </w:rPr>
        <w:t>分钟内登录不见面开标大厅，并及时签到 (投标文件递交截止时间前</w:t>
      </w:r>
      <w:r>
        <w:rPr>
          <w:rFonts w:hint="eastAsia" w:ascii="宋体" w:hAnsi="宋体" w:eastAsia="宋体" w:cs="宋体"/>
          <w:spacing w:val="10"/>
          <w:sz w:val="24"/>
          <w:szCs w:val="24"/>
          <w:highlight w:val="none"/>
          <w:lang w:val="en-US" w:eastAsia="zh-CN"/>
        </w:rPr>
        <w:t>30</w:t>
      </w:r>
      <w:r>
        <w:rPr>
          <w:rFonts w:hint="eastAsia" w:ascii="宋体" w:hAnsi="宋体" w:eastAsia="宋体" w:cs="宋体"/>
          <w:spacing w:val="10"/>
          <w:sz w:val="24"/>
          <w:szCs w:val="24"/>
          <w:highlight w:val="none"/>
        </w:rPr>
        <w:t>分钟开始签到)，将</w:t>
      </w:r>
      <w:r>
        <w:rPr>
          <w:rFonts w:hint="eastAsia" w:ascii="宋体" w:hAnsi="宋体" w:eastAsia="宋体" w:cs="宋体"/>
          <w:spacing w:val="10"/>
          <w:sz w:val="24"/>
          <w:szCs w:val="24"/>
          <w:highlight w:val="none"/>
          <w:lang w:val="en-US" w:eastAsia="zh-CN"/>
        </w:rPr>
        <w:t>视为默认</w:t>
      </w:r>
      <w:r>
        <w:rPr>
          <w:rFonts w:hint="eastAsia" w:ascii="宋体" w:hAnsi="宋体" w:eastAsia="宋体" w:cs="宋体"/>
          <w:spacing w:val="10"/>
          <w:sz w:val="24"/>
          <w:szCs w:val="24"/>
          <w:highlight w:val="none"/>
        </w:rPr>
        <w:t>参与不见面投标。</w:t>
      </w:r>
    </w:p>
    <w:p>
      <w:pPr>
        <w:spacing w:line="360" w:lineRule="auto"/>
        <w:ind w:firstLine="260" w:firstLineChars="100"/>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 投标人需注意CA锁一定要提前准备好，并确保CA锁为制作投标文件的CA锁。</w:t>
      </w:r>
    </w:p>
    <w:p>
      <w:pPr>
        <w:spacing w:line="360" w:lineRule="auto"/>
        <w:ind w:firstLine="260" w:firstLineChars="100"/>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(4) 及时关注右侧公告及互动栏目信息，并尽快做出响应。</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61" w:firstLineChars="100"/>
        <w:jc w:val="both"/>
        <w:textAlignment w:val="baseline"/>
        <w:rPr>
          <w:rFonts w:hint="eastAsia" w:ascii="宋体" w:hAnsi="宋体" w:eastAsia="宋体" w:cs="宋体"/>
          <w:b/>
          <w:bCs/>
          <w:spacing w:val="10"/>
          <w:sz w:val="24"/>
          <w:szCs w:val="24"/>
          <w:highlight w:val="none"/>
        </w:rPr>
      </w:pPr>
      <w:r>
        <w:rPr>
          <w:rFonts w:hint="eastAsia" w:ascii="宋体" w:hAnsi="宋体" w:eastAsia="宋体" w:cs="宋体"/>
          <w:b/>
          <w:bCs/>
          <w:spacing w:val="10"/>
          <w:sz w:val="24"/>
          <w:szCs w:val="24"/>
          <w:highlight w:val="none"/>
        </w:rPr>
        <w:t>1</w:t>
      </w:r>
      <w:r>
        <w:rPr>
          <w:rFonts w:hint="eastAsia" w:ascii="宋体" w:hAnsi="宋体" w:eastAsia="宋体" w:cs="宋体"/>
          <w:b/>
          <w:bCs/>
          <w:spacing w:val="10"/>
          <w:sz w:val="24"/>
          <w:szCs w:val="24"/>
          <w:highlight w:val="none"/>
          <w:lang w:val="en-US" w:eastAsia="zh-CN"/>
        </w:rPr>
        <w:t>8</w:t>
      </w:r>
      <w:r>
        <w:rPr>
          <w:rFonts w:hint="eastAsia" w:ascii="宋体" w:hAnsi="宋体" w:eastAsia="宋体" w:cs="宋体"/>
          <w:b/>
          <w:bCs/>
          <w:spacing w:val="10"/>
          <w:sz w:val="24"/>
          <w:szCs w:val="24"/>
          <w:highlight w:val="none"/>
        </w:rPr>
        <w:t>. 投标文件的修改、撤回和补充</w:t>
      </w:r>
    </w:p>
    <w:p>
      <w:pPr>
        <w:spacing w:line="440" w:lineRule="exact"/>
        <w:ind w:firstLine="520" w:firstLineChars="200"/>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w:t>
      </w:r>
      <w:r>
        <w:rPr>
          <w:rFonts w:hint="eastAsia" w:ascii="宋体" w:hAnsi="宋体" w:eastAsia="宋体" w:cs="宋体"/>
          <w:spacing w:val="10"/>
          <w:sz w:val="24"/>
          <w:szCs w:val="24"/>
          <w:highlight w:val="none"/>
          <w:lang w:val="en-US" w:eastAsia="zh-CN"/>
        </w:rPr>
        <w:t>8</w:t>
      </w:r>
      <w:r>
        <w:rPr>
          <w:rFonts w:hint="eastAsia" w:ascii="宋体" w:hAnsi="宋体" w:eastAsia="宋体" w:cs="宋体"/>
          <w:spacing w:val="10"/>
          <w:sz w:val="24"/>
          <w:szCs w:val="24"/>
          <w:highlight w:val="none"/>
        </w:rPr>
        <w:t>.1 在投标人须知前附表规定的投标截止时间前，投标人可以修改或撤回已递交的投标文件。投标人对已提交的电子投标文件进行补充、修改的，应先从电子交易平台上撤回旧文件，再重新提交新文件。投标人对已提交的电子投标文件进行撤回的，直接从电子交易平台撤回投标文件即可。在投标截止时间之后，投标人将无法对其提交的投标文件做任何修改或者撤回投标。</w:t>
      </w:r>
    </w:p>
    <w:p>
      <w:pPr>
        <w:spacing w:line="440" w:lineRule="exact"/>
        <w:ind w:firstLine="520" w:firstLineChars="200"/>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w:t>
      </w:r>
      <w:r>
        <w:rPr>
          <w:rFonts w:hint="eastAsia" w:ascii="宋体" w:hAnsi="宋体" w:eastAsia="宋体" w:cs="宋体"/>
          <w:spacing w:val="10"/>
          <w:sz w:val="24"/>
          <w:szCs w:val="24"/>
          <w:highlight w:val="none"/>
          <w:lang w:val="en-US" w:eastAsia="zh-CN"/>
        </w:rPr>
        <w:t>8</w:t>
      </w:r>
      <w:r>
        <w:rPr>
          <w:rFonts w:hint="eastAsia" w:ascii="宋体" w:hAnsi="宋体" w:eastAsia="宋体" w:cs="宋体"/>
          <w:spacing w:val="10"/>
          <w:sz w:val="24"/>
          <w:szCs w:val="24"/>
          <w:highlight w:val="none"/>
        </w:rPr>
        <w:t>.2 修改、补充的内容为投标文件的组成部分。修改、补充的投标文件应按本章规定编制、签署，并标明“修改、补充”字样。</w:t>
      </w:r>
    </w:p>
    <w:p>
      <w:pPr>
        <w:spacing w:line="440" w:lineRule="exact"/>
        <w:ind w:firstLine="520" w:firstLineChars="200"/>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18</w:t>
      </w:r>
      <w:r>
        <w:rPr>
          <w:rFonts w:hint="eastAsia" w:ascii="宋体" w:hAnsi="宋体" w:eastAsia="宋体" w:cs="宋体"/>
          <w:spacing w:val="10"/>
          <w:sz w:val="24"/>
          <w:szCs w:val="24"/>
          <w:highlight w:val="none"/>
        </w:rPr>
        <w:t>.3 补充、修改的内容与投标文件不一致时，以补充、修改的内容为准。</w:t>
      </w:r>
    </w:p>
    <w:p>
      <w:pPr>
        <w:spacing w:before="317" w:beforeLines="100" w:line="360" w:lineRule="auto"/>
        <w:ind w:left="0" w:leftChars="0" w:right="0" w:rightChars="0" w:firstLine="0" w:firstLineChars="0"/>
        <w:jc w:val="center"/>
        <w:outlineLvl w:val="1"/>
        <w:rPr>
          <w:rFonts w:ascii="宋体" w:hAnsi="宋体" w:cs="宋体"/>
          <w:b/>
          <w:sz w:val="28"/>
          <w:szCs w:val="28"/>
          <w:highlight w:val="none"/>
        </w:rPr>
      </w:pPr>
      <w:bookmarkStart w:id="3" w:name="_Toc114588046"/>
      <w:bookmarkStart w:id="4" w:name="_Toc114498900"/>
      <w:bookmarkStart w:id="5" w:name="_Toc114498308"/>
      <w:bookmarkStart w:id="6" w:name="_Toc18187"/>
      <w:r>
        <w:rPr>
          <w:rFonts w:hint="eastAsia" w:ascii="宋体" w:hAnsi="宋体" w:eastAsia="宋体" w:cs="宋体"/>
          <w:b/>
          <w:sz w:val="28"/>
          <w:szCs w:val="28"/>
          <w:highlight w:val="none"/>
          <w:lang w:val="en-US" w:eastAsia="zh-CN"/>
        </w:rPr>
        <w:t>四</w:t>
      </w:r>
      <w:r>
        <w:rPr>
          <w:rFonts w:hint="eastAsia" w:ascii="宋体" w:hAnsi="宋体" w:cs="宋体"/>
          <w:b/>
          <w:sz w:val="28"/>
          <w:szCs w:val="28"/>
          <w:highlight w:val="none"/>
        </w:rPr>
        <w:t>、投标文件的编制和签章</w:t>
      </w:r>
      <w:bookmarkEnd w:id="3"/>
      <w:bookmarkEnd w:id="4"/>
      <w:bookmarkEnd w:id="5"/>
      <w:bookmarkEnd w:id="6"/>
    </w:p>
    <w:p>
      <w:pPr>
        <w:spacing w:line="360" w:lineRule="auto"/>
        <w:rPr>
          <w:rFonts w:ascii="宋体" w:hAnsi="宋体" w:cs="宋体"/>
          <w:b/>
          <w:kern w:val="0"/>
          <w:sz w:val="24"/>
          <w:szCs w:val="24"/>
          <w:highlight w:val="none"/>
        </w:rPr>
      </w:pPr>
      <w:r>
        <w:rPr>
          <w:rFonts w:hint="eastAsia" w:ascii="宋体" w:hAnsi="宋体" w:eastAsia="宋体" w:cs="宋体"/>
          <w:b/>
          <w:kern w:val="0"/>
          <w:sz w:val="24"/>
          <w:szCs w:val="24"/>
          <w:highlight w:val="none"/>
          <w:lang w:val="en-US" w:eastAsia="zh-CN"/>
        </w:rPr>
        <w:t>19</w:t>
      </w:r>
      <w:r>
        <w:rPr>
          <w:rFonts w:hint="eastAsia" w:ascii="宋体" w:hAnsi="宋体" w:cs="宋体"/>
          <w:b/>
          <w:kern w:val="0"/>
          <w:sz w:val="24"/>
          <w:szCs w:val="24"/>
          <w:highlight w:val="none"/>
        </w:rPr>
        <w:t>.投标语言和投标货币</w:t>
      </w:r>
    </w:p>
    <w:p>
      <w:pPr>
        <w:spacing w:line="360" w:lineRule="auto"/>
        <w:ind w:firstLine="260" w:firstLineChars="100"/>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19</w:t>
      </w:r>
      <w:r>
        <w:rPr>
          <w:rFonts w:hint="eastAsia" w:ascii="宋体" w:hAnsi="宋体" w:eastAsia="宋体" w:cs="宋体"/>
          <w:spacing w:val="10"/>
          <w:sz w:val="24"/>
          <w:szCs w:val="24"/>
          <w:highlight w:val="none"/>
        </w:rPr>
        <w:t>.1投标人提交的投标文件以及投标人与采购代理机构就有关投标的所有来往函电均应使用中文。对不同文字文本投标文件的解释发生异议的，以中文文本为准。</w:t>
      </w:r>
    </w:p>
    <w:p>
      <w:pPr>
        <w:spacing w:line="360" w:lineRule="auto"/>
        <w:ind w:firstLine="260" w:firstLineChars="100"/>
        <w:rPr>
          <w:rFonts w:ascii="宋体" w:hAnsi="宋体" w:cs="宋体"/>
          <w:kern w:val="0"/>
          <w:sz w:val="24"/>
          <w:szCs w:val="24"/>
          <w:highlight w:val="none"/>
        </w:rPr>
      </w:pPr>
      <w:r>
        <w:rPr>
          <w:rFonts w:hint="eastAsia" w:ascii="宋体" w:hAnsi="宋体" w:eastAsia="宋体" w:cs="宋体"/>
          <w:spacing w:val="10"/>
          <w:sz w:val="24"/>
          <w:szCs w:val="24"/>
          <w:highlight w:val="none"/>
          <w:lang w:val="en-US" w:eastAsia="zh-CN"/>
        </w:rPr>
        <w:t>19</w:t>
      </w:r>
      <w:r>
        <w:rPr>
          <w:rFonts w:hint="eastAsia" w:ascii="宋体" w:hAnsi="宋体" w:eastAsia="宋体" w:cs="宋体"/>
          <w:spacing w:val="10"/>
          <w:sz w:val="24"/>
          <w:szCs w:val="24"/>
          <w:highlight w:val="none"/>
        </w:rPr>
        <w:t>.2投标应以人民币报价。任何包含非人民币报价的投标均按照无效投标处理。</w:t>
      </w:r>
    </w:p>
    <w:p>
      <w:pPr>
        <w:spacing w:line="360" w:lineRule="auto"/>
        <w:rPr>
          <w:rFonts w:ascii="宋体" w:hAnsi="宋体" w:cs="宋体"/>
          <w:b/>
          <w:kern w:val="0"/>
          <w:sz w:val="24"/>
          <w:szCs w:val="24"/>
          <w:highlight w:val="none"/>
        </w:rPr>
      </w:pPr>
      <w:r>
        <w:rPr>
          <w:rFonts w:hint="eastAsia" w:ascii="宋体" w:hAnsi="宋体" w:eastAsia="宋体" w:cs="宋体"/>
          <w:b/>
          <w:kern w:val="0"/>
          <w:sz w:val="24"/>
          <w:szCs w:val="24"/>
          <w:highlight w:val="none"/>
          <w:lang w:val="en-US" w:eastAsia="zh-CN"/>
        </w:rPr>
        <w:t>20</w:t>
      </w:r>
      <w:r>
        <w:rPr>
          <w:rFonts w:hint="eastAsia" w:ascii="宋体" w:hAnsi="宋体" w:cs="宋体"/>
          <w:b/>
          <w:kern w:val="0"/>
          <w:sz w:val="24"/>
          <w:szCs w:val="24"/>
          <w:highlight w:val="none"/>
        </w:rPr>
        <w:t>.投标文件的构成</w:t>
      </w:r>
    </w:p>
    <w:p>
      <w:pPr>
        <w:spacing w:line="360" w:lineRule="auto"/>
        <w:ind w:firstLine="240" w:firstLineChars="100"/>
        <w:rPr>
          <w:rFonts w:ascii="宋体" w:hAnsi="宋体" w:cs="宋体"/>
          <w:kern w:val="0"/>
          <w:sz w:val="24"/>
          <w:szCs w:val="24"/>
          <w:highlight w:val="none"/>
          <w:lang w:val="zh-CN"/>
        </w:rPr>
      </w:pPr>
      <w:r>
        <w:rPr>
          <w:rFonts w:hint="eastAsia" w:ascii="宋体" w:hAnsi="宋体" w:eastAsia="宋体" w:cs="宋体"/>
          <w:kern w:val="0"/>
          <w:sz w:val="24"/>
          <w:szCs w:val="24"/>
          <w:highlight w:val="none"/>
          <w:lang w:val="en-US" w:eastAsia="zh-CN"/>
        </w:rPr>
        <w:t>20</w:t>
      </w:r>
      <w:r>
        <w:rPr>
          <w:rFonts w:hint="eastAsia" w:ascii="宋体" w:hAnsi="宋体" w:cs="宋体"/>
          <w:kern w:val="0"/>
          <w:sz w:val="24"/>
          <w:szCs w:val="24"/>
          <w:highlight w:val="none"/>
        </w:rPr>
        <w:t>.1</w:t>
      </w:r>
      <w:r>
        <w:rPr>
          <w:rFonts w:hint="eastAsia" w:ascii="宋体" w:hAnsi="宋体" w:cs="宋体"/>
          <w:kern w:val="0"/>
          <w:sz w:val="24"/>
          <w:szCs w:val="24"/>
          <w:highlight w:val="none"/>
          <w:lang w:val="zh-CN"/>
        </w:rPr>
        <w:t>电子投标文件（*.SXSTF）需要使用专用制作软件</w:t>
      </w:r>
      <w:r>
        <w:rPr>
          <w:rFonts w:hint="eastAsia" w:ascii="宋体" w:hAnsi="宋体" w:cs="宋体"/>
          <w:kern w:val="0"/>
          <w:sz w:val="24"/>
          <w:szCs w:val="24"/>
          <w:highlight w:val="none"/>
        </w:rPr>
        <w:t>根据招标文件提供的内容及格式编制</w:t>
      </w:r>
      <w:r>
        <w:rPr>
          <w:rFonts w:hint="eastAsia" w:ascii="宋体" w:hAnsi="宋体" w:cs="宋体"/>
          <w:kern w:val="0"/>
          <w:sz w:val="24"/>
          <w:szCs w:val="24"/>
          <w:highlight w:val="none"/>
          <w:lang w:val="zh-CN"/>
        </w:rPr>
        <w:t>——“新点投标文件制作软件（陕西公共资源）”进行编制。软件下载地址及操作手册：见西安市公共资源交易平台〖首页〉服务指南〉下载专区〗中的《政府采购项目投标文件制作软件及操作手册》。</w:t>
      </w:r>
    </w:p>
    <w:p>
      <w:pPr>
        <w:spacing w:line="360" w:lineRule="auto"/>
        <w:ind w:firstLine="480" w:firstLineChars="200"/>
        <w:rPr>
          <w:rFonts w:ascii="宋体" w:hAnsi="宋体" w:cs="宋体"/>
          <w:kern w:val="0"/>
          <w:sz w:val="24"/>
          <w:szCs w:val="24"/>
          <w:highlight w:val="none"/>
          <w:lang w:val="zh-CN"/>
        </w:rPr>
      </w:pPr>
      <w:r>
        <w:rPr>
          <w:rFonts w:hint="eastAsia" w:ascii="宋体" w:hAnsi="宋体" w:cs="宋体"/>
          <w:kern w:val="0"/>
          <w:sz w:val="24"/>
          <w:szCs w:val="24"/>
          <w:highlight w:val="none"/>
          <w:lang w:val="zh-CN"/>
        </w:rPr>
        <w:t>链接地址：</w:t>
      </w:r>
    </w:p>
    <w:p>
      <w:pPr>
        <w:spacing w:line="360" w:lineRule="auto"/>
        <w:ind w:firstLine="420" w:firstLineChars="200"/>
        <w:rPr>
          <w:rFonts w:ascii="宋体" w:hAnsi="宋体" w:cs="宋体"/>
          <w:kern w:val="0"/>
          <w:sz w:val="24"/>
          <w:szCs w:val="24"/>
          <w:highlight w:val="none"/>
        </w:rPr>
      </w:pPr>
      <w:r>
        <w:rPr>
          <w:highlight w:val="none"/>
        </w:rPr>
        <w:fldChar w:fldCharType="begin"/>
      </w:r>
      <w:r>
        <w:rPr>
          <w:highlight w:val="none"/>
        </w:rPr>
        <w:instrText xml:space="preserve"> HYPERLINK "http://sxggzyjy.xa.gov.cn/fwzn/004003/20181115/4d59c184-e8f6-4d5a-a416-c2f6b0601e66.html" </w:instrText>
      </w:r>
      <w:r>
        <w:rPr>
          <w:highlight w:val="none"/>
        </w:rPr>
        <w:fldChar w:fldCharType="separate"/>
      </w:r>
      <w:r>
        <w:rPr>
          <w:rFonts w:hint="eastAsia" w:ascii="宋体" w:hAnsi="宋体" w:cs="宋体"/>
          <w:kern w:val="0"/>
          <w:sz w:val="24"/>
          <w:szCs w:val="24"/>
          <w:highlight w:val="none"/>
          <w:lang w:val="zh-CN"/>
        </w:rPr>
        <w:t>http://sxggzyjy.xa.gov.cn/fwzn/004003/20181115/4d59c184-e8f6-4d5a-a416-c2f6b0601e66.html</w:t>
      </w:r>
      <w:r>
        <w:rPr>
          <w:rFonts w:hint="eastAsia" w:ascii="宋体" w:hAnsi="宋体" w:cs="宋体"/>
          <w:kern w:val="0"/>
          <w:sz w:val="24"/>
          <w:szCs w:val="24"/>
          <w:highlight w:val="none"/>
          <w:lang w:val="zh-CN"/>
        </w:rPr>
        <w:fldChar w:fldCharType="end"/>
      </w:r>
    </w:p>
    <w:p>
      <w:pPr>
        <w:spacing w:line="360" w:lineRule="auto"/>
        <w:ind w:firstLine="480" w:firstLineChars="200"/>
        <w:rPr>
          <w:rFonts w:ascii="宋体" w:hAnsi="宋体" w:cs="宋体"/>
          <w:kern w:val="0"/>
          <w:sz w:val="24"/>
          <w:szCs w:val="24"/>
          <w:highlight w:val="none"/>
          <w:lang w:val="zh-CN"/>
        </w:rPr>
      </w:pPr>
      <w:r>
        <w:rPr>
          <w:rFonts w:hint="eastAsia" w:ascii="宋体" w:hAnsi="宋体" w:eastAsia="宋体" w:cs="宋体"/>
          <w:kern w:val="0"/>
          <w:sz w:val="24"/>
          <w:szCs w:val="24"/>
          <w:highlight w:val="none"/>
          <w:lang w:val="en-US" w:eastAsia="zh-CN"/>
        </w:rPr>
        <w:t>20</w:t>
      </w:r>
      <w:r>
        <w:rPr>
          <w:rFonts w:hint="eastAsia" w:ascii="宋体" w:hAnsi="宋体" w:cs="宋体"/>
          <w:kern w:val="0"/>
          <w:sz w:val="24"/>
          <w:szCs w:val="24"/>
          <w:highlight w:val="none"/>
        </w:rPr>
        <w:t>.2</w:t>
      </w:r>
      <w:r>
        <w:rPr>
          <w:rFonts w:hint="eastAsia" w:ascii="宋体" w:hAnsi="宋体" w:cs="宋体"/>
          <w:kern w:val="0"/>
          <w:sz w:val="24"/>
          <w:szCs w:val="24"/>
          <w:highlight w:val="none"/>
          <w:lang w:val="zh-CN"/>
        </w:rPr>
        <w:t>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360" w:lineRule="auto"/>
        <w:ind w:firstLine="480" w:firstLineChars="200"/>
        <w:rPr>
          <w:rFonts w:ascii="宋体" w:hAnsi="宋体" w:cs="宋体"/>
          <w:sz w:val="24"/>
          <w:szCs w:val="24"/>
          <w:highlight w:val="none"/>
        </w:rPr>
      </w:pPr>
      <w:r>
        <w:rPr>
          <w:rFonts w:hint="eastAsia" w:ascii="宋体" w:hAnsi="宋体" w:eastAsia="宋体" w:cs="宋体"/>
          <w:kern w:val="0"/>
          <w:sz w:val="24"/>
          <w:szCs w:val="24"/>
          <w:highlight w:val="none"/>
          <w:lang w:val="en-US" w:eastAsia="zh-CN"/>
        </w:rPr>
        <w:t>20</w:t>
      </w:r>
      <w:r>
        <w:rPr>
          <w:rFonts w:hint="eastAsia" w:ascii="宋体" w:hAnsi="宋体" w:cs="宋体"/>
          <w:kern w:val="0"/>
          <w:sz w:val="24"/>
          <w:szCs w:val="24"/>
          <w:highlight w:val="none"/>
        </w:rPr>
        <w:t>.3</w:t>
      </w:r>
      <w:r>
        <w:rPr>
          <w:rFonts w:hint="eastAsia" w:ascii="宋体" w:hAnsi="宋体" w:cs="宋体"/>
          <w:kern w:val="0"/>
          <w:sz w:val="24"/>
          <w:szCs w:val="24"/>
          <w:highlight w:val="none"/>
          <w:lang w:val="zh-CN"/>
        </w:rPr>
        <w:t>再次提醒：提交投标文件截止时间前，投标人应随时留意“政府采购信息发布媒体”上可能发布的变更公告。若变更公告中明确注明本项目伴有变更文件的，投标人应登录企业端后，从〖项目流程·〉项目管理·〉答疑文件下载〗获取更新后的电子招标文件（*.SXSCF），使用旧版电子招标文件制作的电子投标文件（*.SXSTF），系统将拒绝接收。</w:t>
      </w:r>
    </w:p>
    <w:p>
      <w:pPr>
        <w:spacing w:line="360" w:lineRule="auto"/>
        <w:ind w:firstLine="480" w:firstLineChars="200"/>
        <w:rPr>
          <w:rFonts w:ascii="宋体" w:hAnsi="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cs="宋体"/>
          <w:sz w:val="24"/>
          <w:szCs w:val="24"/>
          <w:highlight w:val="none"/>
        </w:rPr>
        <w:t>.4投标文件需要对招标文件做出实质性响应。</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cs="宋体"/>
          <w:b/>
          <w:kern w:val="0"/>
          <w:sz w:val="24"/>
          <w:szCs w:val="24"/>
          <w:highlight w:val="none"/>
        </w:rPr>
      </w:pPr>
      <w:r>
        <w:rPr>
          <w:rFonts w:hint="eastAsia" w:ascii="宋体" w:hAnsi="宋体" w:eastAsia="宋体" w:cs="宋体"/>
          <w:b/>
          <w:kern w:val="0"/>
          <w:sz w:val="24"/>
          <w:szCs w:val="24"/>
          <w:highlight w:val="none"/>
          <w:lang w:val="en-US" w:eastAsia="zh-CN"/>
        </w:rPr>
        <w:t>21</w:t>
      </w:r>
      <w:r>
        <w:rPr>
          <w:rFonts w:hint="eastAsia" w:ascii="宋体" w:hAnsi="宋体" w:cs="宋体"/>
          <w:b/>
          <w:kern w:val="0"/>
          <w:sz w:val="24"/>
          <w:szCs w:val="24"/>
          <w:highlight w:val="none"/>
        </w:rPr>
        <w:t>.投标文件格式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kern w:val="0"/>
          <w:sz w:val="24"/>
          <w:szCs w:val="24"/>
          <w:highlight w:val="none"/>
        </w:rPr>
      </w:pPr>
      <w:r>
        <w:rPr>
          <w:rFonts w:hint="eastAsia" w:ascii="宋体" w:hAnsi="宋体" w:eastAsia="宋体" w:cs="宋体"/>
          <w:kern w:val="0"/>
          <w:sz w:val="24"/>
          <w:szCs w:val="24"/>
          <w:highlight w:val="none"/>
          <w:lang w:val="en-US" w:eastAsia="zh-CN"/>
        </w:rPr>
        <w:t>21</w:t>
      </w:r>
      <w:r>
        <w:rPr>
          <w:rFonts w:hint="eastAsia" w:ascii="宋体" w:hAnsi="宋体" w:cs="宋体"/>
          <w:kern w:val="0"/>
          <w:sz w:val="24"/>
          <w:szCs w:val="24"/>
          <w:highlight w:val="none"/>
        </w:rPr>
        <w:t>.1投标人应按照招标文件中“投标文件格式”所提供的格式和要求制作投标文件，明确表达投标意愿，详细说明投标方案和投标价格。</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kern w:val="0"/>
          <w:sz w:val="24"/>
          <w:szCs w:val="24"/>
          <w:highlight w:val="none"/>
        </w:rPr>
      </w:pPr>
      <w:r>
        <w:rPr>
          <w:rFonts w:hint="eastAsia" w:ascii="宋体" w:hAnsi="宋体" w:eastAsia="宋体" w:cs="宋体"/>
          <w:kern w:val="0"/>
          <w:sz w:val="24"/>
          <w:szCs w:val="24"/>
          <w:highlight w:val="none"/>
          <w:lang w:val="en-US" w:eastAsia="zh-CN"/>
        </w:rPr>
        <w:t>21</w:t>
      </w:r>
      <w:r>
        <w:rPr>
          <w:rFonts w:hint="eastAsia" w:ascii="宋体" w:hAnsi="宋体" w:cs="宋体"/>
          <w:kern w:val="0"/>
          <w:sz w:val="24"/>
          <w:szCs w:val="24"/>
          <w:highlight w:val="none"/>
        </w:rPr>
        <w:t>.2投标应完整地提供招标文件要求的所有数据和资料。不得缺少或留空任何招标文件要求填写的表格或提交的资料。否则，按无效投标处理。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cs="宋体"/>
          <w:b/>
          <w:kern w:val="0"/>
          <w:sz w:val="24"/>
          <w:szCs w:val="24"/>
          <w:highlight w:val="none"/>
        </w:rPr>
      </w:pPr>
      <w:r>
        <w:rPr>
          <w:rFonts w:hint="eastAsia" w:ascii="宋体" w:hAnsi="宋体" w:eastAsia="宋体" w:cs="宋体"/>
          <w:b/>
          <w:kern w:val="0"/>
          <w:sz w:val="24"/>
          <w:szCs w:val="24"/>
          <w:highlight w:val="none"/>
          <w:lang w:val="en-US" w:eastAsia="zh-CN"/>
        </w:rPr>
        <w:t>22</w:t>
      </w:r>
      <w:r>
        <w:rPr>
          <w:rFonts w:hint="eastAsia" w:ascii="宋体" w:hAnsi="宋体" w:cs="宋体"/>
          <w:b/>
          <w:kern w:val="0"/>
          <w:sz w:val="24"/>
          <w:szCs w:val="24"/>
          <w:highlight w:val="none"/>
        </w:rPr>
        <w:t>.投标报价和投标方案要求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kern w:val="0"/>
          <w:sz w:val="24"/>
          <w:szCs w:val="24"/>
          <w:highlight w:val="none"/>
        </w:rPr>
      </w:pPr>
      <w:r>
        <w:rPr>
          <w:rFonts w:hint="eastAsia" w:ascii="宋体" w:hAnsi="宋体" w:eastAsia="宋体" w:cs="宋体"/>
          <w:kern w:val="0"/>
          <w:sz w:val="24"/>
          <w:szCs w:val="24"/>
          <w:highlight w:val="none"/>
          <w:lang w:val="en-US" w:eastAsia="zh-CN"/>
        </w:rPr>
        <w:t>22.1</w:t>
      </w:r>
      <w:r>
        <w:rPr>
          <w:rFonts w:hint="eastAsia" w:ascii="宋体" w:hAnsi="宋体" w:cs="宋体"/>
          <w:kern w:val="0"/>
          <w:sz w:val="24"/>
          <w:szCs w:val="24"/>
          <w:highlight w:val="none"/>
        </w:rPr>
        <w:t>投标报价是</w:t>
      </w:r>
      <w:r>
        <w:rPr>
          <w:rFonts w:hint="eastAsia" w:ascii="宋体" w:hAnsi="宋体" w:eastAsia="宋体" w:cs="宋体"/>
          <w:spacing w:val="5"/>
          <w:sz w:val="24"/>
          <w:szCs w:val="24"/>
          <w:highlight w:val="none"/>
          <w:lang w:val="en-US" w:eastAsia="zh-CN"/>
        </w:rPr>
        <w:t xml:space="preserve">供应商应在投标报价表中标明完成本次招标所要求的服务且验收合格的所有费用的费率，包括但不限于监理费、人员工资、社保、税金等其他一切相关费用。任何有选择的报价将不予接受，否则按无效投标处理。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kern w:val="0"/>
          <w:sz w:val="24"/>
          <w:szCs w:val="24"/>
          <w:highlight w:val="none"/>
        </w:rPr>
      </w:pPr>
      <w:r>
        <w:rPr>
          <w:rFonts w:hint="eastAsia" w:ascii="宋体" w:hAnsi="宋体" w:eastAsia="宋体" w:cs="宋体"/>
          <w:kern w:val="0"/>
          <w:sz w:val="24"/>
          <w:szCs w:val="24"/>
          <w:highlight w:val="none"/>
          <w:lang w:val="en-US" w:eastAsia="zh-CN"/>
        </w:rPr>
        <w:t>22</w:t>
      </w:r>
      <w:r>
        <w:rPr>
          <w:rFonts w:ascii="宋体" w:hAnsi="宋体" w:cs="宋体"/>
          <w:kern w:val="0"/>
          <w:sz w:val="24"/>
          <w:szCs w:val="24"/>
          <w:highlight w:val="none"/>
        </w:rPr>
        <w:t>.</w:t>
      </w:r>
      <w:r>
        <w:rPr>
          <w:rFonts w:hint="eastAsia" w:ascii="宋体" w:hAnsi="宋体" w:eastAsia="宋体" w:cs="宋体"/>
          <w:kern w:val="0"/>
          <w:sz w:val="24"/>
          <w:szCs w:val="24"/>
          <w:highlight w:val="none"/>
          <w:lang w:val="en-US" w:eastAsia="zh-CN"/>
        </w:rPr>
        <w:t>2投标人</w:t>
      </w:r>
      <w:r>
        <w:rPr>
          <w:rFonts w:hint="eastAsia" w:ascii="宋体" w:hAnsi="宋体" w:cs="宋体"/>
          <w:kern w:val="0"/>
          <w:sz w:val="24"/>
          <w:szCs w:val="24"/>
          <w:highlight w:val="none"/>
        </w:rPr>
        <w:t>在报价时应充分考虑所有可能发生的费用，招标文件未列明，而供应商认为应当计取的费用均应列入报价中。报价时不论是否计取，采购人均按已计取对待。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kern w:val="0"/>
          <w:sz w:val="24"/>
          <w:szCs w:val="24"/>
          <w:highlight w:val="none"/>
        </w:rPr>
      </w:pPr>
      <w:r>
        <w:rPr>
          <w:rFonts w:hint="eastAsia" w:ascii="宋体" w:hAnsi="宋体" w:eastAsia="宋体" w:cs="宋体"/>
          <w:kern w:val="0"/>
          <w:sz w:val="24"/>
          <w:szCs w:val="24"/>
          <w:highlight w:val="none"/>
          <w:lang w:val="en-US" w:eastAsia="zh-CN"/>
        </w:rPr>
        <w:t>22</w:t>
      </w:r>
      <w:r>
        <w:rPr>
          <w:rFonts w:ascii="宋体" w:hAnsi="宋体" w:cs="宋体"/>
          <w:kern w:val="0"/>
          <w:sz w:val="24"/>
          <w:szCs w:val="24"/>
          <w:highlight w:val="none"/>
        </w:rPr>
        <w:t>.</w:t>
      </w:r>
      <w:r>
        <w:rPr>
          <w:rFonts w:hint="eastAsia" w:ascii="宋体" w:hAnsi="宋体" w:eastAsia="宋体" w:cs="宋体"/>
          <w:kern w:val="0"/>
          <w:sz w:val="24"/>
          <w:szCs w:val="24"/>
          <w:highlight w:val="none"/>
          <w:lang w:val="en-US" w:eastAsia="zh-CN"/>
        </w:rPr>
        <w:t>3投标人</w:t>
      </w:r>
      <w:r>
        <w:rPr>
          <w:rFonts w:hint="eastAsia" w:ascii="宋体" w:hAnsi="宋体" w:cs="宋体"/>
          <w:kern w:val="0"/>
          <w:sz w:val="24"/>
          <w:szCs w:val="24"/>
          <w:highlight w:val="none"/>
        </w:rPr>
        <w:t>应严格按照招标文件相关要求填写开标一览表及其他需要响应的内容。投标报价只能提交唯一报价，任何有选择的报价将不予接受，按无效投标处理。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kern w:val="0"/>
          <w:sz w:val="24"/>
          <w:szCs w:val="24"/>
          <w:highlight w:val="none"/>
        </w:rPr>
      </w:pPr>
      <w:r>
        <w:rPr>
          <w:rFonts w:hint="eastAsia" w:ascii="宋体" w:hAnsi="宋体" w:eastAsia="宋体" w:cs="宋体"/>
          <w:kern w:val="0"/>
          <w:sz w:val="24"/>
          <w:szCs w:val="24"/>
          <w:highlight w:val="none"/>
          <w:lang w:val="en-US" w:eastAsia="zh-CN"/>
        </w:rPr>
        <w:t>22</w:t>
      </w:r>
      <w:r>
        <w:rPr>
          <w:rFonts w:ascii="宋体" w:hAnsi="宋体" w:cs="宋体"/>
          <w:kern w:val="0"/>
          <w:sz w:val="24"/>
          <w:szCs w:val="24"/>
          <w:highlight w:val="none"/>
        </w:rPr>
        <w:t>.</w:t>
      </w:r>
      <w:r>
        <w:rPr>
          <w:rFonts w:hint="eastAsia" w:ascii="宋体" w:hAnsi="宋体" w:eastAsia="宋体" w:cs="宋体"/>
          <w:kern w:val="0"/>
          <w:sz w:val="24"/>
          <w:szCs w:val="24"/>
          <w:highlight w:val="none"/>
          <w:lang w:val="en-US" w:eastAsia="zh-CN"/>
        </w:rPr>
        <w:t>4</w:t>
      </w:r>
      <w:r>
        <w:rPr>
          <w:rFonts w:hint="eastAsia" w:ascii="宋体" w:hAnsi="宋体" w:cs="宋体"/>
          <w:kern w:val="0"/>
          <w:sz w:val="24"/>
          <w:szCs w:val="24"/>
          <w:highlight w:val="none"/>
        </w:rPr>
        <w:t>投标报价货币：人民币；单位：元。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kern w:val="0"/>
          <w:sz w:val="24"/>
          <w:szCs w:val="24"/>
          <w:highlight w:val="none"/>
        </w:rPr>
      </w:pPr>
      <w:r>
        <w:rPr>
          <w:rFonts w:hint="eastAsia" w:ascii="宋体" w:hAnsi="宋体" w:eastAsia="宋体" w:cs="宋体"/>
          <w:kern w:val="0"/>
          <w:sz w:val="24"/>
          <w:szCs w:val="24"/>
          <w:highlight w:val="none"/>
          <w:lang w:val="en-US" w:eastAsia="zh-CN"/>
        </w:rPr>
        <w:t>22</w:t>
      </w:r>
      <w:r>
        <w:rPr>
          <w:rFonts w:ascii="宋体" w:hAnsi="宋体" w:cs="宋体"/>
          <w:kern w:val="0"/>
          <w:sz w:val="24"/>
          <w:szCs w:val="24"/>
          <w:highlight w:val="none"/>
        </w:rPr>
        <w:t>.</w:t>
      </w:r>
      <w:r>
        <w:rPr>
          <w:rFonts w:hint="eastAsia" w:ascii="宋体" w:hAnsi="宋体" w:eastAsia="宋体" w:cs="宋体"/>
          <w:kern w:val="0"/>
          <w:sz w:val="24"/>
          <w:szCs w:val="24"/>
          <w:highlight w:val="none"/>
          <w:lang w:val="en-US" w:eastAsia="zh-CN"/>
        </w:rPr>
        <w:t>5电子</w:t>
      </w:r>
      <w:r>
        <w:rPr>
          <w:rFonts w:hint="eastAsia" w:ascii="宋体" w:hAnsi="宋体" w:cs="宋体"/>
          <w:kern w:val="0"/>
          <w:sz w:val="24"/>
          <w:szCs w:val="24"/>
          <w:highlight w:val="none"/>
        </w:rPr>
        <w:t>投标文件报价出现前后不一致的，除招标文件另有规定外，按照下列规则修正：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eastAsia="宋体" w:cs="宋体"/>
          <w:kern w:val="0"/>
          <w:sz w:val="24"/>
          <w:szCs w:val="24"/>
          <w:highlight w:val="none"/>
          <w:lang w:val="en-US" w:eastAsia="zh-CN"/>
        </w:rPr>
        <w:t>电子</w:t>
      </w:r>
      <w:r>
        <w:rPr>
          <w:rFonts w:hint="eastAsia" w:ascii="宋体" w:hAnsi="宋体" w:cs="宋体"/>
          <w:kern w:val="0"/>
          <w:sz w:val="24"/>
          <w:szCs w:val="24"/>
          <w:highlight w:val="none"/>
        </w:rPr>
        <w:t>投标文件中开标一览表内容与</w:t>
      </w:r>
      <w:r>
        <w:rPr>
          <w:rFonts w:hint="eastAsia" w:ascii="宋体" w:hAnsi="宋体" w:eastAsia="宋体" w:cs="宋体"/>
          <w:kern w:val="0"/>
          <w:sz w:val="24"/>
          <w:szCs w:val="24"/>
          <w:highlight w:val="none"/>
          <w:lang w:val="en-US" w:eastAsia="zh-CN"/>
        </w:rPr>
        <w:t>电子</w:t>
      </w:r>
      <w:r>
        <w:rPr>
          <w:rFonts w:hint="eastAsia" w:ascii="宋体" w:hAnsi="宋体" w:cs="宋体"/>
          <w:kern w:val="0"/>
          <w:sz w:val="24"/>
          <w:szCs w:val="24"/>
          <w:highlight w:val="none"/>
        </w:rPr>
        <w:t>投标文件中其他位置相应内容表述不一致的，以开标一览表为准；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（2）大写金额和小写金额不一致的，以大写金额为准；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（3）单价金额小数点或者百分比有明显错位的，以开标一览表的总价为准，并修改单价；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（4）总价金额与按单价汇总金额不一致的，以单价金额计算结果为准。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同时出现两种以上不一致的，按照前款规定的顺序修正。修正后的报价经供应商确认后产生约束力，供应商不确认的，其投标无效。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kern w:val="0"/>
          <w:sz w:val="24"/>
          <w:szCs w:val="24"/>
          <w:highlight w:val="none"/>
        </w:rPr>
      </w:pPr>
      <w:r>
        <w:rPr>
          <w:rFonts w:hint="eastAsia" w:ascii="宋体" w:hAnsi="宋体" w:eastAsia="宋体" w:cs="宋体"/>
          <w:kern w:val="0"/>
          <w:sz w:val="24"/>
          <w:szCs w:val="24"/>
          <w:highlight w:val="none"/>
          <w:lang w:val="en-US" w:eastAsia="zh-CN"/>
        </w:rPr>
        <w:t>22</w:t>
      </w:r>
      <w:r>
        <w:rPr>
          <w:rFonts w:ascii="宋体" w:hAnsi="宋体" w:cs="宋体"/>
          <w:kern w:val="0"/>
          <w:sz w:val="24"/>
          <w:szCs w:val="24"/>
          <w:highlight w:val="none"/>
        </w:rPr>
        <w:t>.</w:t>
      </w:r>
      <w:r>
        <w:rPr>
          <w:rFonts w:hint="eastAsia" w:ascii="宋体" w:hAnsi="宋体" w:cs="宋体"/>
          <w:kern w:val="0"/>
          <w:sz w:val="24"/>
          <w:szCs w:val="24"/>
          <w:highlight w:val="none"/>
        </w:rPr>
        <w:t>5．因</w:t>
      </w:r>
      <w:r>
        <w:rPr>
          <w:rFonts w:hint="eastAsia" w:ascii="宋体" w:hAnsi="宋体" w:eastAsia="宋体" w:cs="宋体"/>
          <w:kern w:val="0"/>
          <w:sz w:val="24"/>
          <w:szCs w:val="24"/>
          <w:highlight w:val="none"/>
          <w:lang w:val="en-US" w:eastAsia="zh-CN"/>
        </w:rPr>
        <w:t>投标人</w:t>
      </w:r>
      <w:r>
        <w:rPr>
          <w:rFonts w:hint="eastAsia" w:ascii="宋体" w:hAnsi="宋体" w:cs="宋体"/>
          <w:kern w:val="0"/>
          <w:sz w:val="24"/>
          <w:szCs w:val="24"/>
          <w:highlight w:val="none"/>
        </w:rPr>
        <w:t>对招标文件理解不透、误解、疏漏或对市场行情了解不清造成的后果和风险，均由供应商自己负责。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kern w:val="0"/>
          <w:sz w:val="24"/>
          <w:szCs w:val="24"/>
          <w:highlight w:val="none"/>
        </w:rPr>
      </w:pPr>
      <w:r>
        <w:rPr>
          <w:rFonts w:hint="eastAsia" w:ascii="宋体" w:hAnsi="宋体" w:eastAsia="宋体" w:cs="宋体"/>
          <w:kern w:val="0"/>
          <w:sz w:val="24"/>
          <w:szCs w:val="24"/>
          <w:highlight w:val="none"/>
          <w:lang w:val="en-US" w:eastAsia="zh-CN"/>
        </w:rPr>
        <w:t>22</w:t>
      </w:r>
      <w:r>
        <w:rPr>
          <w:rFonts w:hint="eastAsia" w:ascii="宋体" w:hAnsi="宋体" w:cs="宋体"/>
          <w:kern w:val="0"/>
          <w:sz w:val="24"/>
          <w:szCs w:val="24"/>
          <w:highlight w:val="none"/>
        </w:rPr>
        <w:t>.</w:t>
      </w:r>
      <w:r>
        <w:rPr>
          <w:rFonts w:ascii="宋体" w:hAnsi="宋体" w:cs="宋体"/>
          <w:kern w:val="0"/>
          <w:sz w:val="24"/>
          <w:szCs w:val="24"/>
          <w:highlight w:val="none"/>
        </w:rPr>
        <w:t>6</w:t>
      </w:r>
      <w:r>
        <w:rPr>
          <w:rFonts w:hint="eastAsia" w:ascii="宋体" w:hAnsi="宋体" w:cs="宋体"/>
          <w:kern w:val="0"/>
          <w:sz w:val="24"/>
          <w:szCs w:val="24"/>
          <w:highlight w:val="none"/>
        </w:rPr>
        <w:t xml:space="preserve"> 如果在招标文件中没有允许提供备选方案，则每个</w:t>
      </w:r>
      <w:r>
        <w:rPr>
          <w:rFonts w:hint="eastAsia" w:hAnsi="宋体" w:cs="宋体"/>
          <w:sz w:val="24"/>
          <w:szCs w:val="24"/>
          <w:highlight w:val="none"/>
        </w:rPr>
        <w:t>投标人</w:t>
      </w:r>
      <w:r>
        <w:rPr>
          <w:rFonts w:hint="eastAsia" w:ascii="宋体" w:hAnsi="宋体" w:cs="宋体"/>
          <w:kern w:val="0"/>
          <w:sz w:val="24"/>
          <w:szCs w:val="24"/>
          <w:highlight w:val="none"/>
        </w:rPr>
        <w:t>只允许提交一个投标方案，否则，其投标按照无效投标处理。如果允许提供备选方案，则按照评标方法中的规定对备选方案进行评审。</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cs="宋体"/>
          <w:b/>
          <w:kern w:val="0"/>
          <w:sz w:val="24"/>
          <w:szCs w:val="24"/>
          <w:highlight w:val="none"/>
        </w:rPr>
      </w:pPr>
      <w:r>
        <w:rPr>
          <w:rFonts w:hint="eastAsia" w:ascii="宋体" w:hAnsi="宋体" w:eastAsia="宋体" w:cs="宋体"/>
          <w:b/>
          <w:kern w:val="0"/>
          <w:sz w:val="24"/>
          <w:szCs w:val="24"/>
          <w:highlight w:val="none"/>
          <w:lang w:val="en-US" w:eastAsia="zh-CN"/>
        </w:rPr>
        <w:t>23</w:t>
      </w:r>
      <w:r>
        <w:rPr>
          <w:rFonts w:hint="eastAsia" w:ascii="宋体" w:hAnsi="宋体" w:cs="宋体"/>
          <w:b/>
          <w:kern w:val="0"/>
          <w:sz w:val="24"/>
          <w:szCs w:val="24"/>
          <w:highlight w:val="none"/>
        </w:rPr>
        <w:t>.证明投标人合格和资格的文件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kern w:val="0"/>
          <w:sz w:val="24"/>
          <w:szCs w:val="24"/>
          <w:highlight w:val="none"/>
        </w:rPr>
      </w:pPr>
      <w:r>
        <w:rPr>
          <w:rFonts w:hint="eastAsia" w:ascii="宋体" w:hAnsi="宋体" w:eastAsia="宋体" w:cs="宋体"/>
          <w:kern w:val="0"/>
          <w:sz w:val="24"/>
          <w:szCs w:val="24"/>
          <w:highlight w:val="none"/>
          <w:lang w:val="en-US" w:eastAsia="zh-CN"/>
        </w:rPr>
        <w:t>23</w:t>
      </w:r>
      <w:r>
        <w:rPr>
          <w:rFonts w:hint="eastAsia" w:ascii="宋体" w:hAnsi="宋体" w:cs="宋体"/>
          <w:kern w:val="0"/>
          <w:sz w:val="24"/>
          <w:szCs w:val="24"/>
          <w:highlight w:val="none"/>
        </w:rPr>
        <w:t>.1投标人应按照招标文件“投标人须知前附表”的要求，在投标文件中提交证明其资格合格的文件。如果资格证明文件不全或不合格的，其投标按照无效投标处理。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kern w:val="0"/>
          <w:sz w:val="24"/>
          <w:szCs w:val="24"/>
          <w:highlight w:val="none"/>
        </w:rPr>
      </w:pPr>
      <w:r>
        <w:rPr>
          <w:rFonts w:hint="eastAsia" w:ascii="宋体" w:hAnsi="宋体" w:eastAsia="宋体" w:cs="宋体"/>
          <w:kern w:val="0"/>
          <w:sz w:val="24"/>
          <w:szCs w:val="24"/>
          <w:highlight w:val="none"/>
          <w:lang w:val="en-US" w:eastAsia="zh-CN"/>
        </w:rPr>
        <w:t>23</w:t>
      </w:r>
      <w:r>
        <w:rPr>
          <w:rFonts w:hint="eastAsia" w:ascii="宋体" w:hAnsi="宋体" w:cs="宋体"/>
          <w:kern w:val="0"/>
          <w:sz w:val="24"/>
          <w:szCs w:val="24"/>
          <w:highlight w:val="none"/>
        </w:rPr>
        <w:t>.2投标人还应按照招标文件“投标人附表”的要求，提交其他的证明其能力、信誉等的证明文件。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cs="宋体"/>
          <w:b/>
          <w:kern w:val="0"/>
          <w:sz w:val="24"/>
          <w:szCs w:val="24"/>
          <w:highlight w:val="none"/>
        </w:rPr>
      </w:pPr>
      <w:r>
        <w:rPr>
          <w:rFonts w:hint="eastAsia" w:ascii="宋体" w:hAnsi="宋体" w:eastAsia="宋体" w:cs="宋体"/>
          <w:b/>
          <w:kern w:val="0"/>
          <w:sz w:val="24"/>
          <w:szCs w:val="24"/>
          <w:highlight w:val="none"/>
          <w:lang w:val="en-US" w:eastAsia="zh-CN"/>
        </w:rPr>
        <w:t>24</w:t>
      </w:r>
      <w:r>
        <w:rPr>
          <w:rFonts w:hint="eastAsia" w:ascii="宋体" w:hAnsi="宋体" w:cs="宋体"/>
          <w:b/>
          <w:kern w:val="0"/>
          <w:sz w:val="24"/>
          <w:szCs w:val="24"/>
          <w:highlight w:val="none"/>
        </w:rPr>
        <w:t>.证明服务的合格性和符合招标文件规定的文件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24.1投标人投标文件中提交证明其所提供的服务满足招标文件要求并符合国家法律法规、行业管理部门要求的其他强制性标准的证明文件。缺少证明文件或证明文件不合格、或与招标文件要求有重大偏离、或不符合国家法律法规、行业管理部门要求的投标将按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24.2上述证明文件可以是文字资料、图片和数据，它包括：</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1）逐条对招标文件提出的服务方案、人员配备、服务保障及应急服务、业绩等的详细说明是否做出了实质性响应并提供支持文件。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cs="宋体"/>
          <w:b/>
          <w:kern w:val="0"/>
          <w:sz w:val="24"/>
          <w:szCs w:val="24"/>
          <w:highlight w:val="none"/>
        </w:rPr>
      </w:pPr>
      <w:r>
        <w:rPr>
          <w:rFonts w:hint="eastAsia" w:ascii="宋体" w:hAnsi="宋体" w:eastAsia="宋体" w:cs="宋体"/>
          <w:b/>
          <w:kern w:val="0"/>
          <w:sz w:val="24"/>
          <w:szCs w:val="24"/>
          <w:highlight w:val="none"/>
          <w:lang w:val="en-US" w:eastAsia="zh-CN"/>
        </w:rPr>
        <w:t>25</w:t>
      </w:r>
      <w:r>
        <w:rPr>
          <w:rFonts w:hint="eastAsia" w:ascii="宋体" w:hAnsi="宋体" w:cs="宋体"/>
          <w:b/>
          <w:kern w:val="0"/>
          <w:sz w:val="24"/>
          <w:szCs w:val="24"/>
          <w:highlight w:val="none"/>
        </w:rPr>
        <w:t>.投标保证金和履约保证金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25.1本项目不收取投标保证金。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25.2西安市政府采购信用担保及信用融资政策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为发挥政府采购促进中小企业发展的政策功能，西安市财政局制定了《西安市政府采购信用担保及信用融资工作实施方案（试行）》（市财发〔2014〕167号，以下简称《实施方案》），为参与西安市市级政府采购项目的投标人提供政府采购信用担保和融资服务。投标人在交纳投标保证金、履约保证金时可自愿选择通过担保函的形式交纳，投标人违约，开具担保函单位承担连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为保证工作质量，《实施方案》中确定了西安市政府采购信用担保和信用融资合作机构（试点）和保函格式（见《实施方案》中的附件一、附件二）。2017年，为发挥政府采购促进中小企业发展的政策功能，进一步做好政府采购信用担保及信用融资相关工作，西安市财政局对合作机构名单进行了调整，详见《2017年西安市政府采购信用担保及信用融资合作机构联系名单》（以下简称合作机构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《西安市政府采购信用担保及信用融资工作实施方案（试行）》链接：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http://xaczj.xa.gov.cn/zfcg/cgfg/5db90552fd850863a9e4594d.html</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《担保合作机构名单》链接：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http://xaczj.xa.gov.cn/zfcg/cgfg/5db9054565cbd804f69e97e0.html</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26.2.1交纳履约保证金(如有）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投标人应在领取成交通知书后5个工作日内及时交纳履约保证金，其数额为合同金额的5%（四舍五入至百元），履约保证金由采购人自行收退。</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26.2.1.1采用支票、汇票、本票、网上银行支付形式交纳时，应从其基本存款账户将履约保证金足额交纳至采购人账户；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26.2.1.2采用纸质履约保函形式交纳时，应将履约保函原件递交至采购人；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26.2.1.3采用履约保函（包括纸质保函和电子保函）形式时应注意以下事项：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1）履约保函的受益人为采购人，投标人合同规定履行其义务时，采购人有权从履约保证金中取得补偿。</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履约保函的内容包括但不限于保函申请人、项目名称（如分标段，还应写明所投标段）、担保金额、保函有效期（履约保函的有效期至少应覆盖至合同验收之日，履约保函有效期不足的，投标人约保函签发机构办理担保续期手续）；</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3）担保金额不少于招标文件中规定的履约保证金交纳金额；</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4）保函申请人须与投标人参加投标的，则由从交易平台中成功获取采购文件的一方作为保函申请人。</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cs="宋体"/>
          <w:b/>
          <w:kern w:val="0"/>
          <w:sz w:val="24"/>
          <w:szCs w:val="24"/>
          <w:highlight w:val="none"/>
        </w:rPr>
      </w:pPr>
      <w:r>
        <w:rPr>
          <w:rFonts w:hint="eastAsia" w:ascii="宋体" w:hAnsi="宋体" w:eastAsia="宋体" w:cs="宋体"/>
          <w:b/>
          <w:kern w:val="0"/>
          <w:sz w:val="24"/>
          <w:szCs w:val="24"/>
          <w:highlight w:val="none"/>
          <w:lang w:val="en-US" w:eastAsia="zh-CN"/>
        </w:rPr>
        <w:t>27</w:t>
      </w:r>
      <w:r>
        <w:rPr>
          <w:rFonts w:hint="eastAsia" w:ascii="宋体" w:hAnsi="宋体" w:cs="宋体"/>
          <w:b/>
          <w:kern w:val="0"/>
          <w:sz w:val="24"/>
          <w:szCs w:val="24"/>
          <w:highlight w:val="none"/>
        </w:rPr>
        <w:t>.投标有效期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投标有效期（含授权有效期）从递交投标文件的截止之日起90个日历天。投标有效期不满足招标文件要求的投标，将被视为非实质性响应性投标而予以拒绝，将按无效投标处理。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cs="宋体"/>
          <w:b/>
          <w:kern w:val="0"/>
          <w:sz w:val="24"/>
          <w:szCs w:val="24"/>
          <w:highlight w:val="none"/>
        </w:rPr>
      </w:pPr>
      <w:r>
        <w:rPr>
          <w:rFonts w:hint="eastAsia" w:ascii="宋体" w:hAnsi="宋体" w:eastAsia="宋体" w:cs="宋体"/>
          <w:b/>
          <w:kern w:val="0"/>
          <w:sz w:val="24"/>
          <w:szCs w:val="24"/>
          <w:highlight w:val="none"/>
          <w:lang w:val="en-US" w:eastAsia="zh-CN"/>
        </w:rPr>
        <w:t>28</w:t>
      </w:r>
      <w:r>
        <w:rPr>
          <w:rFonts w:hint="eastAsia" w:ascii="宋体" w:hAnsi="宋体" w:cs="宋体"/>
          <w:b/>
          <w:kern w:val="0"/>
          <w:sz w:val="24"/>
          <w:szCs w:val="24"/>
          <w:highlight w:val="none"/>
        </w:rPr>
        <w:t>.投标文件的式样和签署</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28.1投标文件需由投标人表或经法人代表正式授权的代表签字。授权代表须将按招标文件规定的格式出具的“法人代表授权书”附在投标文件中。</w:t>
      </w:r>
      <w:r>
        <w:rPr>
          <w:rFonts w:hint="eastAsia" w:ascii="宋体" w:hAnsi="宋体" w:eastAsia="宋体" w:cs="宋体"/>
          <w:kern w:val="0"/>
          <w:sz w:val="24"/>
          <w:szCs w:val="24"/>
          <w:highlight w:val="none"/>
          <w:lang w:val="zh-CN" w:eastAsia="zh-CN"/>
        </w:rPr>
        <w:t>电子投标文件制作过程中，需要法定代表人签字或盖章的地方，请使用“法人CA锁”进行签章；需要加盖投标人公章的地方，请使用“企业CA锁”进行签章。若导出的PDF文件里看不到签章，请尝试使用专用制作软件中的“查看投标文件工具”打开未加密的电子投标文件重新导出。在制作过程中，如有其他技术性问题，请先翻阅操作手册，或致电软件开发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28.2任何行间插字、涂改和增删，必须由投标文件的签字人在旁边签字才有效。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28.3因字迹潦草、表述不清或不按招标文件格式编制的投标文件，所引起的对投标人不利的后果，由投标人自行负责。</w:t>
      </w:r>
    </w:p>
    <w:p>
      <w:pPr>
        <w:spacing w:line="360" w:lineRule="auto"/>
        <w:jc w:val="center"/>
        <w:outlineLvl w:val="1"/>
        <w:rPr>
          <w:rFonts w:ascii="宋体" w:hAnsi="宋体" w:cs="宋体"/>
          <w:b/>
          <w:sz w:val="28"/>
          <w:szCs w:val="28"/>
          <w:highlight w:val="none"/>
        </w:rPr>
      </w:pPr>
      <w:bookmarkStart w:id="7" w:name="_Toc114588047"/>
      <w:bookmarkStart w:id="8" w:name="_Toc18740"/>
      <w:bookmarkStart w:id="9" w:name="_Toc114498901"/>
      <w:bookmarkStart w:id="10" w:name="_Toc114498309"/>
      <w:r>
        <w:rPr>
          <w:rFonts w:hint="eastAsia" w:ascii="宋体" w:hAnsi="宋体" w:eastAsia="宋体" w:cs="宋体"/>
          <w:b/>
          <w:sz w:val="28"/>
          <w:szCs w:val="28"/>
          <w:highlight w:val="none"/>
          <w:lang w:val="en-US" w:eastAsia="zh-CN"/>
        </w:rPr>
        <w:t>五</w:t>
      </w:r>
      <w:r>
        <w:rPr>
          <w:rFonts w:hint="eastAsia" w:ascii="宋体" w:hAnsi="宋体" w:cs="宋体"/>
          <w:b/>
          <w:sz w:val="28"/>
          <w:szCs w:val="28"/>
          <w:highlight w:val="none"/>
        </w:rPr>
        <w:t>、投标文件的递交</w:t>
      </w:r>
      <w:bookmarkEnd w:id="7"/>
      <w:bookmarkEnd w:id="8"/>
      <w:bookmarkEnd w:id="9"/>
      <w:bookmarkEnd w:id="10"/>
    </w:p>
    <w:p>
      <w:pPr>
        <w:spacing w:line="360" w:lineRule="auto"/>
        <w:rPr>
          <w:rFonts w:ascii="宋体" w:hAnsi="宋体" w:cs="宋体"/>
          <w:b/>
          <w:sz w:val="24"/>
          <w:szCs w:val="24"/>
          <w:highlight w:val="none"/>
        </w:rPr>
      </w:pPr>
      <w:r>
        <w:rPr>
          <w:rFonts w:hint="eastAsia" w:ascii="宋体" w:hAnsi="宋体" w:eastAsia="宋体" w:cs="宋体"/>
          <w:b/>
          <w:sz w:val="24"/>
          <w:szCs w:val="24"/>
          <w:highlight w:val="none"/>
          <w:lang w:val="en-US" w:eastAsia="zh-CN"/>
        </w:rPr>
        <w:t>29</w:t>
      </w:r>
      <w:r>
        <w:rPr>
          <w:rFonts w:hint="eastAsia" w:ascii="宋体" w:hAnsi="宋体" w:cs="宋体"/>
          <w:b/>
          <w:sz w:val="24"/>
          <w:szCs w:val="24"/>
          <w:highlight w:val="none"/>
        </w:rPr>
        <w:t>.投标文件的加密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29.1在生成电子投标文件时，需要使用CA锁对投标文件进行加密。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注意：加密投标文件和开标时解密投标文件应当使用同一CA，否则将会导致解密失败。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29.2电子投标文件可于提交投标文件截止时间前任意时段，登录西安市公共资源交易平台〖首页·〉电子交易平台·〉企业端〗，登录后切换到〖我的项目〗模块下，依次点选〖项目流程·〉项目管理·〉上传投标文件〗，上传加密后的电子投标文件（*.SXSTF）。上传成功后，西安市公共资源交易平台政府采购系统将予以记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29.3上传文件有误或需要重新提交的，可先撤销已经上传的文件，然后重新上传新文件。</w:t>
      </w:r>
    </w:p>
    <w:p>
      <w:pPr>
        <w:spacing w:line="360" w:lineRule="auto"/>
        <w:rPr>
          <w:rFonts w:ascii="宋体" w:hAnsi="宋体" w:cs="宋体"/>
          <w:b/>
          <w:sz w:val="24"/>
          <w:szCs w:val="24"/>
          <w:highlight w:val="none"/>
        </w:rPr>
      </w:pPr>
      <w:r>
        <w:rPr>
          <w:rFonts w:hint="eastAsia" w:ascii="宋体" w:hAnsi="宋体" w:eastAsia="宋体" w:cs="宋体"/>
          <w:b/>
          <w:sz w:val="24"/>
          <w:szCs w:val="24"/>
          <w:highlight w:val="none"/>
          <w:lang w:val="en-US" w:eastAsia="zh-CN"/>
        </w:rPr>
        <w:t>30</w:t>
      </w:r>
      <w:r>
        <w:rPr>
          <w:rFonts w:hint="eastAsia" w:ascii="宋体" w:hAnsi="宋体" w:cs="宋体"/>
          <w:b/>
          <w:sz w:val="24"/>
          <w:szCs w:val="24"/>
          <w:highlight w:val="none"/>
        </w:rPr>
        <w:t>．投标文件递交方式和投标截止时间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en-US" w:eastAsia="zh-CN"/>
        </w:rPr>
        <w:t>30.1</w:t>
      </w:r>
      <w:r>
        <w:rPr>
          <w:rFonts w:hint="eastAsia" w:ascii="宋体" w:hAnsi="宋体" w:eastAsia="宋体" w:cs="宋体"/>
          <w:kern w:val="0"/>
          <w:sz w:val="24"/>
          <w:szCs w:val="24"/>
          <w:highlight w:val="none"/>
          <w:lang w:val="zh-CN" w:eastAsia="zh-CN"/>
        </w:rPr>
        <w:t>投标人应在投标人须知前附表规定的提交投标文件截止时间前递交投标文件。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30.2</w:t>
      </w:r>
      <w:r>
        <w:rPr>
          <w:rFonts w:hint="eastAsia" w:ascii="宋体" w:hAnsi="宋体" w:eastAsia="宋体" w:cs="宋体"/>
          <w:kern w:val="0"/>
          <w:sz w:val="24"/>
          <w:szCs w:val="24"/>
          <w:highlight w:val="none"/>
          <w:lang w:val="zh-CN" w:eastAsia="zh-CN"/>
        </w:rPr>
        <w:t>投标人递交投标文件的地点：见投标人须知前附表。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30.3电子投标文件可于提交投标文件截止时间前任意时段，登录西安市公共资源交易平台〖首页·〉电子交易平台·〉企业端〗，登录后切换到〖我的项目〗模块下，依次点选〖项目流程·〉项目管理·〉上传投标文件〗，上传加密后的电子投标文件（*.SXSTF）。上传成功后，西安市公共资源交易平台政府采购系统将予以记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30.4上传文件有误或需要重新提交的，可先撤销已经上传的文件，然后重新上传新文件。</w:t>
      </w:r>
    </w:p>
    <w:p>
      <w:pPr>
        <w:spacing w:line="440" w:lineRule="exact"/>
        <w:rPr>
          <w:rFonts w:ascii="宋体" w:hAnsi="宋体" w:cs="宋体"/>
          <w:b/>
          <w:sz w:val="24"/>
          <w:szCs w:val="24"/>
          <w:highlight w:val="none"/>
        </w:rPr>
      </w:pPr>
      <w:r>
        <w:rPr>
          <w:rFonts w:hint="eastAsia" w:ascii="宋体" w:hAnsi="宋体" w:eastAsia="宋体" w:cs="宋体"/>
          <w:b/>
          <w:sz w:val="24"/>
          <w:szCs w:val="24"/>
          <w:highlight w:val="none"/>
          <w:lang w:val="en-US" w:eastAsia="zh-CN"/>
        </w:rPr>
        <w:t>31</w:t>
      </w:r>
      <w:r>
        <w:rPr>
          <w:rFonts w:hint="eastAsia" w:ascii="宋体" w:hAnsi="宋体" w:cs="宋体"/>
          <w:b/>
          <w:sz w:val="24"/>
          <w:szCs w:val="24"/>
          <w:highlight w:val="none"/>
        </w:rPr>
        <w:t>.投标文件的修改与撤回</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en-US" w:eastAsia="zh-CN"/>
        </w:rPr>
        <w:t>31.1投标人在提交投标文件截止时间前，可以对所提交的投标文件进行补充、修改或者撤回，并书面通知采购人、采购代理机构。补充、修改的内容作为投标文件的组</w:t>
      </w:r>
      <w:r>
        <w:rPr>
          <w:rFonts w:hint="eastAsia" w:ascii="宋体" w:hAnsi="宋体" w:eastAsia="宋体" w:cs="宋体"/>
          <w:kern w:val="0"/>
          <w:sz w:val="24"/>
          <w:szCs w:val="24"/>
          <w:highlight w:val="none"/>
          <w:lang w:val="zh-CN" w:eastAsia="zh-CN"/>
        </w:rPr>
        <w:t>成部分。补充、修改的内容与投标文件不一致的，以补充、修改的内容为准。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en-US" w:eastAsia="zh-CN"/>
        </w:rPr>
        <w:t>32</w:t>
      </w:r>
      <w:r>
        <w:rPr>
          <w:rFonts w:hint="eastAsia" w:ascii="宋体" w:hAnsi="宋体" w:eastAsia="宋体" w:cs="宋体"/>
          <w:kern w:val="0"/>
          <w:sz w:val="24"/>
          <w:szCs w:val="24"/>
          <w:highlight w:val="none"/>
          <w:lang w:val="zh-CN" w:eastAsia="zh-CN"/>
        </w:rPr>
        <w:t>.</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lang w:val="zh-CN" w:eastAsia="zh-CN"/>
        </w:rPr>
        <w:t>对已提交的电子投标文件进行补充、修改的，应先从电子交易平台上撤回旧文件，再重新提交新文件；中标后提交的纸质文件（备案用）应从专用制作软件中直接打印，与电子投标文件保持一致，不允许补充和修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en-US" w:eastAsia="zh-CN"/>
        </w:rPr>
        <w:t>32</w:t>
      </w:r>
      <w:r>
        <w:rPr>
          <w:rFonts w:hint="eastAsia" w:ascii="宋体" w:hAnsi="宋体" w:eastAsia="宋体" w:cs="宋体"/>
          <w:kern w:val="0"/>
          <w:sz w:val="24"/>
          <w:szCs w:val="24"/>
          <w:highlight w:val="none"/>
          <w:lang w:val="zh-CN" w:eastAsia="zh-CN"/>
        </w:rPr>
        <w:t>.</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lang w:val="zh-CN" w:eastAsia="zh-CN"/>
        </w:rPr>
        <w:t>投标文件被拒绝接收的情形：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1．误投的或采用旧版电子招标文件制作的；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2．逾期提交电子投标文件的。</w:t>
      </w:r>
    </w:p>
    <w:p>
      <w:pPr>
        <w:spacing w:line="360" w:lineRule="auto"/>
        <w:jc w:val="center"/>
        <w:outlineLvl w:val="1"/>
        <w:rPr>
          <w:rFonts w:ascii="宋体" w:hAnsi="宋体" w:cs="宋体"/>
          <w:b/>
          <w:sz w:val="28"/>
          <w:szCs w:val="28"/>
          <w:highlight w:val="none"/>
        </w:rPr>
      </w:pPr>
      <w:bookmarkStart w:id="11" w:name="_Toc114498310"/>
      <w:bookmarkStart w:id="12" w:name="_Toc114588048"/>
      <w:bookmarkStart w:id="13" w:name="_Toc19025"/>
      <w:bookmarkStart w:id="14" w:name="_Toc114498902"/>
      <w:r>
        <w:rPr>
          <w:rFonts w:hint="eastAsia" w:ascii="宋体" w:hAnsi="宋体" w:eastAsia="宋体" w:cs="宋体"/>
          <w:b/>
          <w:sz w:val="28"/>
          <w:szCs w:val="28"/>
          <w:highlight w:val="none"/>
          <w:lang w:val="en-US" w:eastAsia="zh-CN"/>
        </w:rPr>
        <w:t>六</w:t>
      </w:r>
      <w:r>
        <w:rPr>
          <w:rFonts w:hint="eastAsia" w:ascii="宋体" w:hAnsi="宋体" w:cs="宋体"/>
          <w:b/>
          <w:sz w:val="28"/>
          <w:szCs w:val="28"/>
          <w:highlight w:val="none"/>
        </w:rPr>
        <w:t>、开标与评标</w:t>
      </w:r>
      <w:bookmarkEnd w:id="11"/>
      <w:bookmarkEnd w:id="12"/>
      <w:bookmarkEnd w:id="13"/>
      <w:bookmarkEnd w:id="14"/>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bookmarkStart w:id="15" w:name="_Toc458617739"/>
      <w:bookmarkStart w:id="16" w:name="_Toc458617462"/>
      <w:bookmarkStart w:id="17" w:name="_Toc9217"/>
      <w:bookmarkStart w:id="18" w:name="_Toc75385967"/>
      <w:bookmarkStart w:id="19" w:name="_Toc458617790"/>
      <w:r>
        <w:rPr>
          <w:rFonts w:hint="eastAsia" w:ascii="宋体" w:hAnsi="宋体" w:eastAsia="宋体" w:cs="宋体"/>
          <w:kern w:val="0"/>
          <w:sz w:val="24"/>
          <w:szCs w:val="24"/>
          <w:highlight w:val="none"/>
          <w:lang w:val="en-US" w:eastAsia="zh-CN"/>
        </w:rPr>
        <w:t>33.1采购代理机构按招标文件规定的时间和地点组织开标。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33.2采购代理机构在规定的时间和地点组织公开招标，投标人法定代表人或被授权人可登录【全国公共资源交易平台（陕西省•西安市）】（sxggzyjy.xa.gov.cn）网站〖首页•〉不见面开标〗参加。（在线参加开标大会：开标当日，投标人法定代表人或其授权代表需提前登录“不见面开标”系统，收到主持人“开始解密”指令后，使用CA锁（必须与加密文件时的CA锁为同一把锁）在线对电子投标文件进行解密。采用“不见面开标”系统后，投标人无需到达开标现场，即可在线参与整个开标过程。相关技术问题，请咨询软件开发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33.3所有参会人员应电子签名报到，以证明其出席。投标人未在电子签到截止时间前电子签名报道的，视为默认参与本次项目。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33.4开标会议由采购代理机构主持。主持人宣读开标会议开始，宣读会场纪律，宣布参加会议的投标人名单。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34.唱价：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34.1采用电子招投标的：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1）投标人在采购代理机构主持人的指引下投标人应使用“加密电子投标文件时所用 CA 锁”在线自行解密电子投标文件。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采购代理机构对解密完成的电子投标文件进行导入并由系统进行电子唱价后进行记录。投标人确认无误后，由采购人及监标人签字确认唱标内容。如投标人对宣读的“报价一览表”上的内容有异议，应在获得主持人同意后当场提出，如属于宣读错误，经现场监督人员核实后，当场予以更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34.2在开标环节出现下列情况之一的，其电子投标文件视为无效文件：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34.2.1投标人拒绝对电子投标文件进行解密的；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34.2.2因投标人自身原因（如未带 CA 锁、或所带 CA 锁与制作电子投标文件使用的 CA 锁不一致、或沿用旧版招标文件编制投标文件等情形），导致在规定时间内无法解密投标文件的；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34.2.3上传的电子投标文件无法打开的；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34.2.4投标人之间投标文件文件制作机器码电脑特征信息是否一致、mac地址，硬盘序列号，cpu号、主板号等判断投标人电子化投标文件是否为同一电脑制作，若一致时，则判定投标人串通投标，其投标无效，并报送相关部门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34.2.5投标人文件创建标识码一致时，则表示不同投标人使用投标文件制作软件时，使用同一源工程文件，若一致时，则判定投标人串通投标，其投标无效，并报送相关部门处理。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34.2.6政府采购法律法规规定的其他无效情形。</w:t>
      </w:r>
    </w:p>
    <w:p>
      <w:pPr>
        <w:keepNext w:val="0"/>
        <w:keepLines w:val="0"/>
        <w:pageBreakBefore w:val="0"/>
        <w:kinsoku w:val="0"/>
        <w:wordWrap/>
        <w:overflowPunct/>
        <w:topLinePunct w:val="0"/>
        <w:autoSpaceDE w:val="0"/>
        <w:autoSpaceDN w:val="0"/>
        <w:bidi w:val="0"/>
        <w:adjustRightInd w:val="0"/>
        <w:snapToGrid w:val="0"/>
        <w:spacing w:line="360" w:lineRule="auto"/>
        <w:ind w:firstLine="471" w:firstLineChars="196"/>
        <w:textAlignment w:val="baseline"/>
        <w:rPr>
          <w:rFonts w:hint="eastAsia" w:ascii="宋体" w:hAnsi="宋体" w:eastAsia="宋体" w:cs="Times New Roman"/>
          <w:b/>
          <w:bCs/>
          <w:sz w:val="28"/>
          <w:szCs w:val="28"/>
          <w:highlight w:val="none"/>
          <w:lang w:val="en-US" w:eastAsia="zh-CN"/>
        </w:rPr>
      </w:pPr>
      <w:r>
        <w:rPr>
          <w:rFonts w:hint="eastAsia" w:cs="Times New Roman"/>
          <w:b/>
          <w:sz w:val="24"/>
          <w:szCs w:val="24"/>
          <w:highlight w:val="none"/>
        </w:rPr>
        <w:t>备注：投标人在开标会议过程中应保持在线，且及时在直播系统中在“互动交流”页面进行回复。以保证不见面开标的顺利举行。</w:t>
      </w:r>
    </w:p>
    <w:bookmarkEnd w:id="15"/>
    <w:bookmarkEnd w:id="16"/>
    <w:bookmarkEnd w:id="17"/>
    <w:bookmarkEnd w:id="18"/>
    <w:bookmarkEnd w:id="19"/>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宋体" w:hAnsi="宋体" w:eastAsia="宋体" w:cs="Times New Roman"/>
          <w:b/>
          <w:bCs/>
          <w:sz w:val="28"/>
          <w:szCs w:val="28"/>
          <w:highlight w:val="none"/>
          <w:lang w:val="en-US" w:eastAsia="zh-CN"/>
        </w:rPr>
      </w:pPr>
      <w:bookmarkStart w:id="20" w:name="_Toc2944"/>
      <w:bookmarkStart w:id="21" w:name="_Toc114588049"/>
      <w:bookmarkStart w:id="22" w:name="_Toc4831"/>
      <w:bookmarkStart w:id="23" w:name="_Toc114498903"/>
      <w:bookmarkStart w:id="24" w:name="_Toc15663"/>
      <w:bookmarkStart w:id="25" w:name="_Toc22072"/>
      <w:bookmarkStart w:id="26" w:name="_Toc114498311"/>
      <w:bookmarkStart w:id="27" w:name="_Toc20147"/>
      <w:r>
        <w:rPr>
          <w:rFonts w:hint="eastAsia" w:ascii="宋体" w:hAnsi="宋体" w:eastAsia="宋体" w:cs="Times New Roman"/>
          <w:b/>
          <w:bCs/>
          <w:sz w:val="28"/>
          <w:szCs w:val="28"/>
          <w:highlight w:val="none"/>
          <w:lang w:val="en-US" w:eastAsia="zh-CN"/>
        </w:rPr>
        <w:t>七、定标、中标通知与签约</w:t>
      </w:r>
      <w:bookmarkEnd w:id="20"/>
      <w:bookmarkEnd w:id="21"/>
      <w:bookmarkEnd w:id="22"/>
      <w:bookmarkEnd w:id="23"/>
      <w:bookmarkEnd w:id="24"/>
      <w:bookmarkEnd w:id="25"/>
      <w:bookmarkEnd w:id="26"/>
      <w:bookmarkEnd w:id="27"/>
    </w:p>
    <w:p>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b/>
          <w:bCs w:val="0"/>
          <w:kern w:val="0"/>
          <w:sz w:val="24"/>
          <w:szCs w:val="24"/>
          <w:highlight w:val="none"/>
        </w:rPr>
      </w:pPr>
      <w:r>
        <w:rPr>
          <w:rFonts w:hint="eastAsia" w:ascii="宋体" w:hAnsi="宋体" w:cs="宋体"/>
          <w:b/>
          <w:bCs w:val="0"/>
          <w:kern w:val="0"/>
          <w:sz w:val="24"/>
          <w:szCs w:val="24"/>
          <w:highlight w:val="none"/>
          <w:lang w:val="en-US" w:eastAsia="zh-CN"/>
        </w:rPr>
        <w:t>35</w:t>
      </w:r>
      <w:r>
        <w:rPr>
          <w:rFonts w:hint="eastAsia" w:ascii="宋体" w:hAnsi="宋体" w:cs="宋体"/>
          <w:b/>
          <w:bCs w:val="0"/>
          <w:kern w:val="0"/>
          <w:sz w:val="24"/>
          <w:szCs w:val="24"/>
          <w:highlight w:val="none"/>
        </w:rPr>
        <w:t>定标</w:t>
      </w:r>
    </w:p>
    <w:p>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b w:val="0"/>
          <w:bCs/>
          <w:sz w:val="24"/>
          <w:szCs w:val="24"/>
          <w:highlight w:val="none"/>
        </w:rPr>
      </w:pPr>
      <w:r>
        <w:rPr>
          <w:rFonts w:hint="eastAsia" w:ascii="宋体" w:hAnsi="宋体" w:cs="宋体"/>
          <w:b w:val="0"/>
          <w:bCs/>
          <w:sz w:val="24"/>
          <w:szCs w:val="24"/>
          <w:highlight w:val="none"/>
          <w:lang w:val="en-US" w:eastAsia="zh-CN"/>
        </w:rPr>
        <w:t>35.1</w:t>
      </w:r>
      <w:r>
        <w:rPr>
          <w:rFonts w:hint="eastAsia" w:ascii="宋体" w:hAnsi="宋体" w:cs="宋体"/>
          <w:b w:val="0"/>
          <w:bCs/>
          <w:sz w:val="24"/>
          <w:szCs w:val="24"/>
          <w:highlight w:val="none"/>
        </w:rPr>
        <w:t>评委会根据评标方法的规定对投标人进行评审排序，推荐3名中标候选人。</w:t>
      </w:r>
    </w:p>
    <w:p>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b w:val="0"/>
          <w:bCs/>
          <w:sz w:val="24"/>
          <w:szCs w:val="24"/>
          <w:highlight w:val="none"/>
        </w:rPr>
      </w:pPr>
      <w:r>
        <w:rPr>
          <w:rFonts w:hint="eastAsia" w:ascii="宋体" w:hAnsi="宋体" w:cs="宋体"/>
          <w:b w:val="0"/>
          <w:bCs/>
          <w:sz w:val="24"/>
          <w:szCs w:val="24"/>
          <w:highlight w:val="none"/>
          <w:lang w:val="en-US" w:eastAsia="zh-CN"/>
        </w:rPr>
        <w:t>35.2</w:t>
      </w:r>
      <w:r>
        <w:rPr>
          <w:rFonts w:hint="eastAsia" w:ascii="宋体" w:hAnsi="宋体" w:cs="宋体"/>
          <w:b w:val="0"/>
          <w:bCs/>
          <w:sz w:val="24"/>
          <w:szCs w:val="24"/>
          <w:highlight w:val="none"/>
        </w:rPr>
        <w:t>采购代理机构应当在评审结束后2个工作日内将评审报告送采购人确认。</w:t>
      </w:r>
    </w:p>
    <w:p>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b w:val="0"/>
          <w:bCs/>
          <w:sz w:val="24"/>
          <w:szCs w:val="24"/>
          <w:highlight w:val="none"/>
        </w:rPr>
      </w:pPr>
      <w:r>
        <w:rPr>
          <w:rFonts w:hint="eastAsia" w:ascii="宋体" w:hAnsi="宋体" w:cs="宋体"/>
          <w:b w:val="0"/>
          <w:bCs/>
          <w:sz w:val="24"/>
          <w:szCs w:val="24"/>
          <w:highlight w:val="none"/>
          <w:lang w:val="en-US" w:eastAsia="zh-CN"/>
        </w:rPr>
        <w:t>35.3</w:t>
      </w:r>
      <w:r>
        <w:rPr>
          <w:rFonts w:hint="eastAsia" w:ascii="宋体" w:hAnsi="宋体" w:cs="宋体"/>
          <w:b w:val="0"/>
          <w:bCs/>
          <w:spacing w:val="4"/>
          <w:kern w:val="0"/>
          <w:sz w:val="24"/>
          <w:szCs w:val="24"/>
          <w:highlight w:val="none"/>
          <w:lang w:val="zh-CN"/>
        </w:rPr>
        <w:t>采购人自收到评标报告之日起</w:t>
      </w:r>
      <w:r>
        <w:rPr>
          <w:rFonts w:hint="eastAsia" w:ascii="宋体" w:hAnsi="宋体" w:cs="宋体"/>
          <w:b w:val="0"/>
          <w:bCs/>
          <w:spacing w:val="4"/>
          <w:kern w:val="0"/>
          <w:sz w:val="24"/>
          <w:szCs w:val="24"/>
          <w:highlight w:val="none"/>
        </w:rPr>
        <w:t>5</w:t>
      </w:r>
      <w:r>
        <w:rPr>
          <w:rFonts w:hint="eastAsia" w:ascii="宋体" w:hAnsi="宋体" w:cs="宋体"/>
          <w:b w:val="0"/>
          <w:bCs/>
          <w:spacing w:val="4"/>
          <w:kern w:val="0"/>
          <w:sz w:val="24"/>
          <w:szCs w:val="24"/>
          <w:highlight w:val="none"/>
          <w:lang w:val="zh-CN"/>
        </w:rPr>
        <w:t>个工作日内，在评标报告确定的中标候选人名单中按顺序确定中标人，复函采购代理机构</w:t>
      </w:r>
      <w:r>
        <w:rPr>
          <w:rFonts w:hint="eastAsia" w:ascii="宋体" w:hAnsi="宋体" w:cs="宋体"/>
          <w:b w:val="0"/>
          <w:bCs/>
          <w:spacing w:val="4"/>
          <w:kern w:val="0"/>
          <w:sz w:val="24"/>
          <w:szCs w:val="24"/>
          <w:highlight w:val="none"/>
        </w:rPr>
        <w:t>。中标候选人并列的，由采购人采取随机抽取的方式确定。</w:t>
      </w:r>
    </w:p>
    <w:p>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b w:val="0"/>
          <w:bCs/>
          <w:sz w:val="24"/>
          <w:szCs w:val="24"/>
          <w:highlight w:val="none"/>
        </w:rPr>
      </w:pPr>
      <w:r>
        <w:rPr>
          <w:rFonts w:hint="eastAsia" w:ascii="宋体" w:hAnsi="宋体" w:cs="宋体"/>
          <w:b w:val="0"/>
          <w:bCs/>
          <w:sz w:val="24"/>
          <w:szCs w:val="24"/>
          <w:highlight w:val="none"/>
          <w:lang w:val="en-US" w:eastAsia="zh-CN"/>
        </w:rPr>
        <w:t>35.4</w:t>
      </w:r>
      <w:r>
        <w:rPr>
          <w:rFonts w:hint="eastAsia" w:ascii="宋体" w:hAnsi="宋体" w:cs="宋体"/>
          <w:b w:val="0"/>
          <w:bCs/>
          <w:sz w:val="24"/>
          <w:szCs w:val="24"/>
          <w:highlight w:val="none"/>
        </w:rPr>
        <w:t>采购代理机构应当自中标人确定之日起1个工作日内，在省级以上财政部门指定的媒体上公告中标结果，招标文件应当随中标结果同时公告。</w:t>
      </w:r>
    </w:p>
    <w:p>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b w:val="0"/>
          <w:bCs/>
          <w:sz w:val="24"/>
          <w:szCs w:val="24"/>
          <w:highlight w:val="none"/>
        </w:rPr>
      </w:pPr>
      <w:r>
        <w:rPr>
          <w:rFonts w:hint="eastAsia" w:ascii="宋体" w:hAnsi="宋体" w:cs="宋体"/>
          <w:b w:val="0"/>
          <w:bCs/>
          <w:sz w:val="24"/>
          <w:szCs w:val="24"/>
          <w:highlight w:val="none"/>
          <w:lang w:val="en-US" w:eastAsia="zh-CN"/>
        </w:rPr>
        <w:t>35.5</w:t>
      </w:r>
      <w:r>
        <w:rPr>
          <w:rFonts w:hint="eastAsia" w:ascii="宋体" w:hAnsi="宋体" w:cs="宋体"/>
          <w:b w:val="0"/>
          <w:bCs/>
          <w:sz w:val="24"/>
          <w:szCs w:val="24"/>
          <w:highlight w:val="none"/>
        </w:rPr>
        <w:t>中标人无正当理由拒绝与采购人签订合同的，采购人可以按照评审报告推荐的中标候选人名单排序，确定下一候选人为中标人，也可以重新开展政府采购活动。</w:t>
      </w:r>
    </w:p>
    <w:p>
      <w:pPr>
        <w:pageBreakBefore w:val="0"/>
        <w:kinsoku/>
        <w:wordWrap/>
        <w:overflowPunct/>
        <w:topLinePunct w:val="0"/>
        <w:autoSpaceDE/>
        <w:autoSpaceDN/>
        <w:bidi w:val="0"/>
        <w:adjustRightInd w:val="0"/>
        <w:snapToGrid w:val="0"/>
        <w:spacing w:line="360" w:lineRule="auto"/>
        <w:textAlignment w:val="auto"/>
        <w:rPr>
          <w:rFonts w:ascii="宋体" w:hAnsi="宋体" w:cs="宋体"/>
          <w:b/>
          <w:bCs w:val="0"/>
          <w:sz w:val="24"/>
          <w:szCs w:val="24"/>
          <w:highlight w:val="none"/>
        </w:rPr>
      </w:pPr>
      <w:r>
        <w:rPr>
          <w:rFonts w:hint="eastAsia" w:ascii="宋体" w:hAnsi="宋体" w:cs="宋体"/>
          <w:b/>
          <w:bCs w:val="0"/>
          <w:sz w:val="24"/>
          <w:szCs w:val="24"/>
          <w:highlight w:val="none"/>
          <w:lang w:val="en-US" w:eastAsia="zh-CN"/>
        </w:rPr>
        <w:t>36.</w:t>
      </w:r>
      <w:r>
        <w:rPr>
          <w:rFonts w:hint="eastAsia" w:ascii="宋体" w:hAnsi="宋体" w:cs="宋体"/>
          <w:b/>
          <w:bCs w:val="0"/>
          <w:sz w:val="24"/>
          <w:szCs w:val="24"/>
          <w:highlight w:val="none"/>
        </w:rPr>
        <w:t>中标通知</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ascii="宋体" w:hAnsi="宋体" w:cs="宋体"/>
          <w:b w:val="0"/>
          <w:bCs/>
          <w:sz w:val="24"/>
          <w:szCs w:val="24"/>
          <w:highlight w:val="none"/>
        </w:rPr>
      </w:pPr>
      <w:r>
        <w:rPr>
          <w:rFonts w:hint="eastAsia" w:ascii="宋体" w:hAnsi="宋体" w:cs="宋体"/>
          <w:b w:val="0"/>
          <w:bCs/>
          <w:sz w:val="24"/>
          <w:szCs w:val="24"/>
          <w:highlight w:val="none"/>
          <w:lang w:val="en-US" w:eastAsia="zh-CN"/>
        </w:rPr>
        <w:t>36.1</w:t>
      </w:r>
      <w:r>
        <w:rPr>
          <w:rFonts w:hint="eastAsia" w:ascii="宋体" w:hAnsi="宋体" w:cs="宋体"/>
          <w:b w:val="0"/>
          <w:bCs/>
          <w:sz w:val="24"/>
          <w:szCs w:val="24"/>
          <w:highlight w:val="none"/>
        </w:rPr>
        <w:t>中标人确定之后，采购代理机构</w:t>
      </w:r>
      <w:r>
        <w:rPr>
          <w:rFonts w:hint="eastAsia" w:ascii="宋体" w:hAnsi="宋体" w:cs="宋体"/>
          <w:b w:val="0"/>
          <w:bCs/>
          <w:sz w:val="24"/>
          <w:szCs w:val="24"/>
          <w:highlight w:val="none"/>
          <w:lang w:val="zh-CN"/>
        </w:rPr>
        <w:t>在线向中标单位发出中标通知书，投标人可登录【全国公共资源交易平台（陕西省•西安市）】网站〖首页〉电子交易平台〉企业端〗后，在〖我的项目/项目流程〗模块中点击下载“中标（成交）通知书”。</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ascii="宋体" w:hAnsi="宋体" w:cs="宋体"/>
          <w:b w:val="0"/>
          <w:bCs/>
          <w:sz w:val="24"/>
          <w:szCs w:val="24"/>
          <w:highlight w:val="none"/>
        </w:rPr>
      </w:pPr>
      <w:r>
        <w:rPr>
          <w:rFonts w:hint="eastAsia" w:ascii="宋体" w:hAnsi="宋体" w:cs="宋体"/>
          <w:b w:val="0"/>
          <w:bCs/>
          <w:sz w:val="24"/>
          <w:szCs w:val="24"/>
          <w:highlight w:val="none"/>
          <w:lang w:val="en-US" w:eastAsia="zh-CN"/>
        </w:rPr>
        <w:t>36.2</w:t>
      </w:r>
      <w:r>
        <w:rPr>
          <w:rFonts w:hint="eastAsia" w:ascii="宋体" w:hAnsi="宋体" w:cs="宋体"/>
          <w:b w:val="0"/>
          <w:bCs/>
          <w:sz w:val="24"/>
          <w:szCs w:val="24"/>
          <w:highlight w:val="none"/>
        </w:rPr>
        <w:t>中标通知书对采购人和中标人具有同等法律效力。中标通知书发出之后，采购人改变中标结果，或者中标人放弃中标，应当承担相应的法律责任。</w:t>
      </w:r>
    </w:p>
    <w:p>
      <w:pPr>
        <w:pageBreakBefore w:val="0"/>
        <w:kinsoku/>
        <w:wordWrap/>
        <w:overflowPunct/>
        <w:topLinePunct w:val="0"/>
        <w:autoSpaceDE/>
        <w:autoSpaceDN/>
        <w:bidi w:val="0"/>
        <w:adjustRightInd w:val="0"/>
        <w:snapToGrid w:val="0"/>
        <w:spacing w:line="360" w:lineRule="auto"/>
        <w:textAlignment w:val="auto"/>
        <w:rPr>
          <w:rFonts w:ascii="宋体" w:hAnsi="宋体" w:cs="宋体"/>
          <w:b/>
          <w:bCs w:val="0"/>
          <w:sz w:val="24"/>
          <w:szCs w:val="24"/>
          <w:highlight w:val="none"/>
        </w:rPr>
      </w:pPr>
      <w:r>
        <w:rPr>
          <w:rFonts w:hint="eastAsia" w:ascii="宋体" w:hAnsi="宋体" w:cs="宋体"/>
          <w:b/>
          <w:bCs w:val="0"/>
          <w:sz w:val="24"/>
          <w:szCs w:val="24"/>
          <w:highlight w:val="none"/>
          <w:lang w:val="en-US" w:eastAsia="zh-CN"/>
        </w:rPr>
        <w:t>37.</w:t>
      </w:r>
      <w:r>
        <w:rPr>
          <w:rFonts w:hint="eastAsia" w:ascii="宋体" w:hAnsi="宋体" w:cs="宋体"/>
          <w:b/>
          <w:bCs w:val="0"/>
          <w:sz w:val="24"/>
          <w:szCs w:val="24"/>
          <w:highlight w:val="none"/>
        </w:rPr>
        <w:t>中标合同的签订</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ascii="宋体" w:hAnsi="宋体" w:cs="宋体"/>
          <w:b w:val="0"/>
          <w:bCs/>
          <w:sz w:val="24"/>
          <w:szCs w:val="24"/>
          <w:highlight w:val="none"/>
        </w:rPr>
      </w:pPr>
      <w:r>
        <w:rPr>
          <w:rFonts w:hint="eastAsia" w:ascii="宋体" w:hAnsi="宋体" w:cs="宋体"/>
          <w:b w:val="0"/>
          <w:bCs/>
          <w:sz w:val="24"/>
          <w:szCs w:val="24"/>
          <w:highlight w:val="none"/>
          <w:lang w:val="en-US" w:eastAsia="zh-CN"/>
        </w:rPr>
        <w:t>37.1</w:t>
      </w:r>
      <w:r>
        <w:rPr>
          <w:rFonts w:hint="eastAsia" w:ascii="宋体" w:hAnsi="宋体" w:cs="宋体"/>
          <w:b w:val="0"/>
          <w:bCs/>
          <w:sz w:val="24"/>
          <w:szCs w:val="24"/>
          <w:highlight w:val="none"/>
        </w:rPr>
        <w:t>采购人应当自中标通知书发出之日起三十日内，按照招标文件和中标人投标文件的规定，与中标人签订书面合同。所签订的合同不得对招标文件确定的事项和中标人投标文件作实质性修改。</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ascii="宋体" w:hAnsi="宋体" w:cs="宋体"/>
          <w:b w:val="0"/>
          <w:bCs/>
          <w:sz w:val="24"/>
          <w:szCs w:val="24"/>
          <w:highlight w:val="none"/>
        </w:rPr>
      </w:pPr>
      <w:r>
        <w:rPr>
          <w:rFonts w:hint="eastAsia" w:ascii="宋体" w:hAnsi="宋体" w:cs="宋体"/>
          <w:b w:val="0"/>
          <w:bCs/>
          <w:sz w:val="24"/>
          <w:szCs w:val="24"/>
          <w:highlight w:val="none"/>
          <w:lang w:val="en-US" w:eastAsia="zh-CN"/>
        </w:rPr>
        <w:t>37.</w:t>
      </w:r>
      <w:r>
        <w:rPr>
          <w:rFonts w:hint="eastAsia" w:ascii="宋体" w:hAnsi="宋体" w:cs="宋体"/>
          <w:b w:val="0"/>
          <w:bCs/>
          <w:sz w:val="24"/>
          <w:szCs w:val="24"/>
          <w:highlight w:val="none"/>
        </w:rPr>
        <w:t>2中标通知书发出30天内，如果中标人不能按投标文件，包括补充文件（如澄清、承诺等）中承诺的条件履行签约行为，采购人有权取消其中标资格。</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ascii="宋体" w:hAnsi="宋体" w:cs="宋体"/>
          <w:b w:val="0"/>
          <w:bCs/>
          <w:sz w:val="24"/>
          <w:szCs w:val="24"/>
          <w:highlight w:val="none"/>
        </w:rPr>
      </w:pPr>
      <w:r>
        <w:rPr>
          <w:rFonts w:hint="eastAsia" w:ascii="宋体" w:hAnsi="宋体" w:cs="宋体"/>
          <w:b w:val="0"/>
          <w:bCs/>
          <w:sz w:val="24"/>
          <w:szCs w:val="24"/>
          <w:highlight w:val="none"/>
          <w:lang w:val="en-US" w:eastAsia="zh-CN"/>
        </w:rPr>
        <w:t>37.</w:t>
      </w:r>
      <w:r>
        <w:rPr>
          <w:rFonts w:hint="eastAsia" w:ascii="宋体" w:hAnsi="宋体" w:cs="宋体"/>
          <w:b w:val="0"/>
          <w:bCs/>
          <w:sz w:val="24"/>
          <w:szCs w:val="24"/>
          <w:highlight w:val="none"/>
        </w:rPr>
        <w:t>3中标单位如果因不可抗力或自身原因不能履行采购合同，采购人可与排位在中标单位之后第一位的中标人签订采购合同。</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ascii="宋体" w:hAnsi="宋体" w:cs="宋体"/>
          <w:b w:val="0"/>
          <w:bCs/>
          <w:sz w:val="24"/>
          <w:szCs w:val="24"/>
          <w:highlight w:val="none"/>
        </w:rPr>
      </w:pPr>
      <w:r>
        <w:rPr>
          <w:rFonts w:hint="eastAsia" w:ascii="宋体" w:hAnsi="宋体" w:cs="宋体"/>
          <w:b w:val="0"/>
          <w:bCs/>
          <w:sz w:val="24"/>
          <w:szCs w:val="24"/>
          <w:highlight w:val="none"/>
          <w:lang w:val="en-US" w:eastAsia="zh-CN"/>
        </w:rPr>
        <w:t>37.</w:t>
      </w:r>
      <w:r>
        <w:rPr>
          <w:rFonts w:hint="eastAsia" w:ascii="宋体" w:hAnsi="宋体" w:cs="宋体"/>
          <w:b w:val="0"/>
          <w:bCs/>
          <w:sz w:val="24"/>
          <w:szCs w:val="24"/>
          <w:highlight w:val="none"/>
        </w:rPr>
        <w:t>4采购人自政府采购合同签订之日起两个工作日内，将政府采购合同在省级以上人民政府财政部门指定的媒体上公告，但政府采购合同中涉及国家秘密、商业秘密的内容除外。</w:t>
      </w:r>
    </w:p>
    <w:p>
      <w:pPr>
        <w:pageBreakBefore w:val="0"/>
        <w:kinsoku/>
        <w:wordWrap/>
        <w:overflowPunct/>
        <w:topLinePunct w:val="0"/>
        <w:autoSpaceDE/>
        <w:autoSpaceDN/>
        <w:bidi w:val="0"/>
        <w:adjustRightInd w:val="0"/>
        <w:snapToGrid w:val="0"/>
        <w:spacing w:line="360" w:lineRule="auto"/>
        <w:textAlignment w:val="auto"/>
        <w:rPr>
          <w:rFonts w:ascii="宋体" w:hAnsi="宋体" w:cs="宋体"/>
          <w:b/>
          <w:bCs w:val="0"/>
          <w:sz w:val="24"/>
          <w:szCs w:val="24"/>
          <w:highlight w:val="none"/>
        </w:rPr>
      </w:pPr>
      <w:r>
        <w:rPr>
          <w:rFonts w:hint="eastAsia" w:ascii="宋体" w:hAnsi="宋体" w:cs="宋体"/>
          <w:b/>
          <w:bCs w:val="0"/>
          <w:sz w:val="24"/>
          <w:szCs w:val="24"/>
          <w:highlight w:val="none"/>
          <w:lang w:val="en-US" w:eastAsia="zh-CN"/>
        </w:rPr>
        <w:t>38</w:t>
      </w:r>
      <w:r>
        <w:rPr>
          <w:rFonts w:hint="eastAsia" w:ascii="宋体" w:hAnsi="宋体" w:cs="宋体"/>
          <w:b/>
          <w:bCs w:val="0"/>
          <w:sz w:val="24"/>
          <w:szCs w:val="24"/>
          <w:highlight w:val="none"/>
        </w:rPr>
        <w:t>．招标代理服务费</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ascii="宋体" w:hAnsi="宋体" w:cs="宋体"/>
          <w:b w:val="0"/>
          <w:bCs/>
          <w:kern w:val="0"/>
          <w:sz w:val="24"/>
          <w:szCs w:val="24"/>
          <w:highlight w:val="none"/>
        </w:rPr>
      </w:pPr>
      <w:r>
        <w:rPr>
          <w:rFonts w:hint="eastAsia" w:ascii="宋体" w:hAnsi="宋体" w:cs="宋体"/>
          <w:b w:val="0"/>
          <w:bCs/>
          <w:kern w:val="0"/>
          <w:sz w:val="24"/>
          <w:szCs w:val="24"/>
          <w:highlight w:val="none"/>
          <w:lang w:val="en-US" w:eastAsia="zh-CN"/>
        </w:rPr>
        <w:t>38.</w:t>
      </w:r>
      <w:r>
        <w:rPr>
          <w:rFonts w:hint="eastAsia" w:ascii="宋体" w:hAnsi="宋体" w:cs="宋体"/>
          <w:b w:val="0"/>
          <w:bCs/>
          <w:kern w:val="0"/>
          <w:sz w:val="24"/>
          <w:szCs w:val="24"/>
          <w:highlight w:val="none"/>
        </w:rPr>
        <w:t>1</w:t>
      </w:r>
      <w:r>
        <w:rPr>
          <w:rFonts w:hint="eastAsia" w:ascii="宋体" w:hAnsi="宋体" w:cs="宋体"/>
          <w:b w:val="0"/>
          <w:bCs/>
          <w:sz w:val="24"/>
          <w:szCs w:val="24"/>
          <w:highlight w:val="none"/>
        </w:rPr>
        <w:t>中标单位在领取中标通知书前，须向采购代理机构一次性支付代理服务费。</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cs="宋体"/>
          <w:b w:val="0"/>
          <w:bCs/>
          <w:kern w:val="0"/>
          <w:sz w:val="24"/>
          <w:szCs w:val="24"/>
          <w:highlight w:val="none"/>
          <w:lang w:eastAsia="zh-CN"/>
        </w:rPr>
      </w:pPr>
      <w:r>
        <w:rPr>
          <w:rFonts w:hint="eastAsia" w:ascii="宋体" w:hAnsi="宋体" w:eastAsia="宋体" w:cs="宋体"/>
          <w:b w:val="0"/>
          <w:bCs/>
          <w:kern w:val="0"/>
          <w:sz w:val="24"/>
          <w:szCs w:val="24"/>
          <w:highlight w:val="none"/>
          <w:lang w:val="en-US" w:eastAsia="zh-CN"/>
        </w:rPr>
        <w:t>38.</w:t>
      </w:r>
      <w:r>
        <w:rPr>
          <w:rFonts w:hint="eastAsia" w:ascii="宋体" w:hAnsi="宋体" w:cs="宋体"/>
          <w:b w:val="0"/>
          <w:bCs/>
          <w:kern w:val="0"/>
          <w:sz w:val="24"/>
          <w:szCs w:val="24"/>
          <w:highlight w:val="none"/>
        </w:rPr>
        <w:t>2参照国家计委颁发的《招标代理服务收费管理暂行办法》（计价格[2002]1980号）和国家发展改革委员会办公厅颁发的《关于招标代理服务收费有关问题的通知》（发改办价格[2003]857号）的有关规定</w:t>
      </w:r>
      <w:r>
        <w:rPr>
          <w:rFonts w:hint="eastAsia" w:ascii="宋体" w:hAnsi="宋体" w:cs="宋体"/>
          <w:b w:val="0"/>
          <w:bCs/>
          <w:kern w:val="0"/>
          <w:sz w:val="24"/>
          <w:szCs w:val="24"/>
          <w:highlight w:val="none"/>
          <w:lang w:val="en-US" w:eastAsia="zh-CN"/>
        </w:rPr>
        <w:t>收取。</w:t>
      </w:r>
    </w:p>
    <w:p>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开户名称：</w:t>
      </w:r>
      <w:r>
        <w:rPr>
          <w:rFonts w:hint="eastAsia" w:ascii="宋体" w:hAnsi="宋体" w:cs="宋体"/>
          <w:b w:val="0"/>
          <w:bCs/>
          <w:sz w:val="24"/>
          <w:szCs w:val="24"/>
          <w:highlight w:val="none"/>
          <w:lang w:val="zh-CN" w:eastAsia="zh-CN"/>
        </w:rPr>
        <w:t>陕西筑辉工程咨询有限公司</w:t>
      </w:r>
      <w:r>
        <w:rPr>
          <w:rFonts w:hint="eastAsia" w:ascii="宋体" w:hAnsi="宋体" w:cs="宋体"/>
          <w:b w:val="0"/>
          <w:bCs/>
          <w:sz w:val="24"/>
          <w:szCs w:val="24"/>
          <w:highlight w:val="none"/>
          <w:lang w:val="en-US" w:eastAsia="zh-CN"/>
        </w:rPr>
        <w:t xml:space="preserve"> </w:t>
      </w:r>
    </w:p>
    <w:p>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开户行名称：</w:t>
      </w:r>
      <w:r>
        <w:rPr>
          <w:rFonts w:hint="eastAsia" w:ascii="宋体" w:hAnsi="宋体" w:cs="宋体"/>
          <w:b w:val="0"/>
          <w:bCs/>
          <w:sz w:val="24"/>
          <w:szCs w:val="24"/>
          <w:highlight w:val="none"/>
          <w:lang w:val="zh-CN" w:eastAsia="zh-CN"/>
        </w:rPr>
        <w:t>北京银行股份有限公司西安经济技术开发区支行</w:t>
      </w:r>
      <w:r>
        <w:rPr>
          <w:rFonts w:hint="eastAsia" w:ascii="宋体" w:hAnsi="宋体" w:cs="宋体"/>
          <w:b w:val="0"/>
          <w:bCs/>
          <w:sz w:val="24"/>
          <w:szCs w:val="24"/>
          <w:highlight w:val="none"/>
          <w:lang w:val="en-US" w:eastAsia="zh-CN"/>
        </w:rPr>
        <w:t xml:space="preserve"> </w:t>
      </w:r>
    </w:p>
    <w:p>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 xml:space="preserve">账号：20000041418600030109571 </w:t>
      </w:r>
    </w:p>
    <w:p>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b w:val="0"/>
          <w:bCs/>
          <w:sz w:val="24"/>
          <w:szCs w:val="24"/>
          <w:highlight w:val="none"/>
        </w:rPr>
      </w:pPr>
      <w:r>
        <w:rPr>
          <w:rFonts w:hint="eastAsia" w:ascii="宋体" w:hAnsi="宋体" w:cs="宋体"/>
          <w:b w:val="0"/>
          <w:bCs/>
          <w:sz w:val="24"/>
          <w:szCs w:val="24"/>
          <w:highlight w:val="none"/>
        </w:rPr>
        <w:t>缴纳方式：银行转账</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ascii="宋体"/>
          <w:b w:val="0"/>
          <w:bCs/>
          <w:sz w:val="24"/>
          <w:szCs w:val="24"/>
          <w:highlight w:val="none"/>
        </w:rPr>
      </w:pPr>
      <w:r>
        <w:rPr>
          <w:rFonts w:hint="eastAsia" w:ascii="宋体" w:hAnsi="宋体" w:cs="宋体"/>
          <w:b w:val="0"/>
          <w:bCs/>
          <w:kern w:val="0"/>
          <w:sz w:val="24"/>
          <w:szCs w:val="24"/>
          <w:highlight w:val="none"/>
          <w:lang w:val="en-US" w:eastAsia="zh-CN"/>
        </w:rPr>
        <w:t>38.</w:t>
      </w:r>
      <w:r>
        <w:rPr>
          <w:rFonts w:ascii="宋体" w:hAnsi="宋体"/>
          <w:b w:val="0"/>
          <w:bCs/>
          <w:sz w:val="24"/>
          <w:szCs w:val="24"/>
          <w:highlight w:val="none"/>
        </w:rPr>
        <w:t>3</w:t>
      </w:r>
      <w:r>
        <w:rPr>
          <w:rFonts w:hint="eastAsia" w:ascii="宋体" w:hAnsi="宋体"/>
          <w:b w:val="0"/>
          <w:bCs/>
          <w:sz w:val="24"/>
          <w:szCs w:val="24"/>
          <w:highlight w:val="none"/>
        </w:rPr>
        <w:t>本项目代理服务费按</w:t>
      </w:r>
      <w:r>
        <w:rPr>
          <w:rFonts w:hint="eastAsia" w:ascii="宋体" w:hAnsi="宋体"/>
          <w:b w:val="0"/>
          <w:bCs/>
          <w:sz w:val="24"/>
          <w:szCs w:val="24"/>
          <w:highlight w:val="none"/>
          <w:lang w:val="en-US" w:eastAsia="zh-CN"/>
        </w:rPr>
        <w:t>服务</w:t>
      </w:r>
      <w:r>
        <w:rPr>
          <w:rFonts w:hint="eastAsia" w:ascii="宋体" w:hAnsi="宋体"/>
          <w:b w:val="0"/>
          <w:bCs/>
          <w:sz w:val="24"/>
          <w:szCs w:val="24"/>
          <w:highlight w:val="none"/>
        </w:rPr>
        <w:t>计取。</w:t>
      </w:r>
    </w:p>
    <w:tbl>
      <w:tblPr>
        <w:tblStyle w:val="22"/>
        <w:tblW w:w="8738" w:type="dxa"/>
        <w:tblInd w:w="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4"/>
        <w:gridCol w:w="1914"/>
        <w:gridCol w:w="2185"/>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454" w:type="dxa"/>
            <w:noWrap w:val="0"/>
            <w:vAlign w:val="center"/>
          </w:tcPr>
          <w:p>
            <w:pPr>
              <w:pStyle w:val="20"/>
              <w:keepNext w:val="0"/>
              <w:keepLines w:val="0"/>
              <w:pageBreakBefore w:val="0"/>
              <w:kinsoku/>
              <w:wordWrap/>
              <w:overflowPunct/>
              <w:topLinePunct w:val="0"/>
              <w:autoSpaceDE/>
              <w:autoSpaceDN/>
              <w:bidi w:val="0"/>
              <w:adjustRightInd w:val="0"/>
              <w:snapToGrid w:val="0"/>
              <w:spacing w:line="360" w:lineRule="auto"/>
              <w:jc w:val="center"/>
              <w:textAlignment w:val="auto"/>
              <w:rPr>
                <w:b w:val="0"/>
                <w:bCs/>
                <w:sz w:val="24"/>
                <w:szCs w:val="24"/>
                <w:highlight w:val="none"/>
              </w:rPr>
            </w:pPr>
            <w:r>
              <w:rPr>
                <w:rFonts w:hint="eastAsia"/>
                <w:b w:val="0"/>
                <w:bCs/>
                <w:sz w:val="24"/>
                <w:szCs w:val="24"/>
                <w:highlight w:val="none"/>
              </w:rPr>
              <w:t>成交金额（万元）</w:t>
            </w:r>
          </w:p>
        </w:tc>
        <w:tc>
          <w:tcPr>
            <w:tcW w:w="1914" w:type="dxa"/>
            <w:noWrap w:val="0"/>
            <w:vAlign w:val="center"/>
          </w:tcPr>
          <w:p>
            <w:pPr>
              <w:pStyle w:val="20"/>
              <w:keepNext w:val="0"/>
              <w:keepLines w:val="0"/>
              <w:pageBreakBefore w:val="0"/>
              <w:kinsoku/>
              <w:wordWrap/>
              <w:overflowPunct/>
              <w:topLinePunct w:val="0"/>
              <w:autoSpaceDE/>
              <w:autoSpaceDN/>
              <w:bidi w:val="0"/>
              <w:adjustRightInd w:val="0"/>
              <w:snapToGrid w:val="0"/>
              <w:spacing w:line="360" w:lineRule="auto"/>
              <w:jc w:val="left"/>
              <w:textAlignment w:val="auto"/>
              <w:rPr>
                <w:b w:val="0"/>
                <w:bCs/>
                <w:sz w:val="24"/>
                <w:szCs w:val="24"/>
                <w:highlight w:val="none"/>
              </w:rPr>
            </w:pPr>
            <w:r>
              <w:rPr>
                <w:rFonts w:hint="eastAsia"/>
                <w:b w:val="0"/>
                <w:bCs/>
                <w:sz w:val="24"/>
                <w:szCs w:val="24"/>
                <w:highlight w:val="none"/>
              </w:rPr>
              <w:t>货物招标</w:t>
            </w:r>
          </w:p>
        </w:tc>
        <w:tc>
          <w:tcPr>
            <w:tcW w:w="2185" w:type="dxa"/>
            <w:noWrap w:val="0"/>
            <w:vAlign w:val="center"/>
          </w:tcPr>
          <w:p>
            <w:pPr>
              <w:pStyle w:val="20"/>
              <w:keepNext w:val="0"/>
              <w:keepLines w:val="0"/>
              <w:pageBreakBefore w:val="0"/>
              <w:kinsoku/>
              <w:wordWrap/>
              <w:overflowPunct/>
              <w:topLinePunct w:val="0"/>
              <w:autoSpaceDE/>
              <w:autoSpaceDN/>
              <w:bidi w:val="0"/>
              <w:adjustRightInd w:val="0"/>
              <w:snapToGrid w:val="0"/>
              <w:spacing w:line="360" w:lineRule="auto"/>
              <w:jc w:val="left"/>
              <w:textAlignment w:val="auto"/>
              <w:rPr>
                <w:b w:val="0"/>
                <w:bCs/>
                <w:sz w:val="24"/>
                <w:szCs w:val="24"/>
                <w:highlight w:val="none"/>
              </w:rPr>
            </w:pPr>
            <w:r>
              <w:rPr>
                <w:rFonts w:hint="eastAsia"/>
                <w:b w:val="0"/>
                <w:bCs/>
                <w:sz w:val="24"/>
                <w:szCs w:val="24"/>
                <w:highlight w:val="none"/>
              </w:rPr>
              <w:t>服务招标</w:t>
            </w:r>
          </w:p>
        </w:tc>
        <w:tc>
          <w:tcPr>
            <w:tcW w:w="2185" w:type="dxa"/>
            <w:noWrap w:val="0"/>
            <w:vAlign w:val="center"/>
          </w:tcPr>
          <w:p>
            <w:pPr>
              <w:pStyle w:val="20"/>
              <w:keepNext w:val="0"/>
              <w:keepLines w:val="0"/>
              <w:pageBreakBefore w:val="0"/>
              <w:kinsoku/>
              <w:wordWrap/>
              <w:overflowPunct/>
              <w:topLinePunct w:val="0"/>
              <w:autoSpaceDE/>
              <w:autoSpaceDN/>
              <w:bidi w:val="0"/>
              <w:adjustRightInd w:val="0"/>
              <w:snapToGrid w:val="0"/>
              <w:spacing w:line="360" w:lineRule="auto"/>
              <w:jc w:val="left"/>
              <w:textAlignment w:val="auto"/>
              <w:rPr>
                <w:b w:val="0"/>
                <w:bCs/>
                <w:sz w:val="24"/>
                <w:szCs w:val="24"/>
                <w:highlight w:val="none"/>
              </w:rPr>
            </w:pPr>
            <w:r>
              <w:rPr>
                <w:rFonts w:hint="eastAsia"/>
                <w:b w:val="0"/>
                <w:bCs/>
                <w:sz w:val="24"/>
                <w:szCs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454" w:type="dxa"/>
            <w:noWrap w:val="0"/>
            <w:vAlign w:val="center"/>
          </w:tcPr>
          <w:p>
            <w:pPr>
              <w:pStyle w:val="20"/>
              <w:keepNext w:val="0"/>
              <w:keepLines w:val="0"/>
              <w:pageBreakBefore w:val="0"/>
              <w:kinsoku/>
              <w:wordWrap/>
              <w:overflowPunct/>
              <w:topLinePunct w:val="0"/>
              <w:autoSpaceDE/>
              <w:autoSpaceDN/>
              <w:bidi w:val="0"/>
              <w:adjustRightInd w:val="0"/>
              <w:snapToGrid w:val="0"/>
              <w:spacing w:line="360" w:lineRule="auto"/>
              <w:jc w:val="both"/>
              <w:textAlignment w:val="auto"/>
              <w:rPr>
                <w:rFonts w:ascii="宋体" w:cs="Arial"/>
                <w:b w:val="0"/>
                <w:bCs/>
                <w:sz w:val="24"/>
                <w:szCs w:val="24"/>
                <w:highlight w:val="none"/>
              </w:rPr>
            </w:pPr>
            <w:r>
              <w:rPr>
                <w:rFonts w:ascii="宋体" w:cs="Arial"/>
                <w:b w:val="0"/>
                <w:bCs/>
                <w:sz w:val="24"/>
                <w:szCs w:val="24"/>
                <w:highlight w:val="none"/>
              </w:rPr>
              <w:t>100</w:t>
            </w:r>
            <w:r>
              <w:rPr>
                <w:rFonts w:hint="default" w:ascii="宋体" w:cs="Arial"/>
                <w:b w:val="0"/>
                <w:bCs/>
                <w:sz w:val="24"/>
                <w:szCs w:val="24"/>
                <w:highlight w:val="none"/>
              </w:rPr>
              <w:t>以下</w:t>
            </w:r>
          </w:p>
        </w:tc>
        <w:tc>
          <w:tcPr>
            <w:tcW w:w="1914" w:type="dxa"/>
            <w:noWrap w:val="0"/>
            <w:vAlign w:val="center"/>
          </w:tcPr>
          <w:p>
            <w:pPr>
              <w:pStyle w:val="20"/>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cs="Arial"/>
                <w:b w:val="0"/>
                <w:bCs/>
                <w:sz w:val="24"/>
                <w:szCs w:val="24"/>
                <w:highlight w:val="none"/>
              </w:rPr>
            </w:pPr>
            <w:r>
              <w:rPr>
                <w:rFonts w:ascii="宋体" w:cs="Arial"/>
                <w:b w:val="0"/>
                <w:bCs/>
                <w:sz w:val="24"/>
                <w:szCs w:val="24"/>
                <w:highlight w:val="none"/>
              </w:rPr>
              <w:t>1.5%</w:t>
            </w:r>
          </w:p>
        </w:tc>
        <w:tc>
          <w:tcPr>
            <w:tcW w:w="2185" w:type="dxa"/>
            <w:noWrap w:val="0"/>
            <w:vAlign w:val="center"/>
          </w:tcPr>
          <w:p>
            <w:pPr>
              <w:pStyle w:val="20"/>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cs="Arial"/>
                <w:b w:val="0"/>
                <w:bCs/>
                <w:sz w:val="24"/>
                <w:szCs w:val="24"/>
                <w:highlight w:val="none"/>
              </w:rPr>
            </w:pPr>
            <w:r>
              <w:rPr>
                <w:rFonts w:ascii="宋体" w:cs="Arial"/>
                <w:b w:val="0"/>
                <w:bCs/>
                <w:sz w:val="24"/>
                <w:szCs w:val="24"/>
                <w:highlight w:val="none"/>
              </w:rPr>
              <w:t>1.5%</w:t>
            </w:r>
          </w:p>
        </w:tc>
        <w:tc>
          <w:tcPr>
            <w:tcW w:w="2185" w:type="dxa"/>
            <w:noWrap w:val="0"/>
            <w:vAlign w:val="center"/>
          </w:tcPr>
          <w:p>
            <w:pPr>
              <w:pStyle w:val="20"/>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cs="Arial"/>
                <w:b w:val="0"/>
                <w:bCs/>
                <w:sz w:val="24"/>
                <w:szCs w:val="24"/>
                <w:highlight w:val="none"/>
              </w:rPr>
            </w:pPr>
            <w:r>
              <w:rPr>
                <w:rFonts w:ascii="宋体" w:cs="Arial"/>
                <w:b w:val="0"/>
                <w:bCs/>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454" w:type="dxa"/>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ascii="宋体"/>
                <w:b w:val="0"/>
                <w:bCs/>
                <w:sz w:val="24"/>
                <w:szCs w:val="24"/>
                <w:highlight w:val="none"/>
              </w:rPr>
            </w:pPr>
            <w:r>
              <w:rPr>
                <w:rFonts w:ascii="宋体"/>
                <w:b w:val="0"/>
                <w:bCs/>
                <w:sz w:val="24"/>
                <w:szCs w:val="24"/>
                <w:highlight w:val="none"/>
              </w:rPr>
              <w:t>100-500</w:t>
            </w:r>
          </w:p>
        </w:tc>
        <w:tc>
          <w:tcPr>
            <w:tcW w:w="1914"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b w:val="0"/>
                <w:bCs/>
                <w:sz w:val="24"/>
                <w:szCs w:val="24"/>
                <w:highlight w:val="none"/>
              </w:rPr>
            </w:pPr>
            <w:r>
              <w:rPr>
                <w:rFonts w:ascii="宋体"/>
                <w:b w:val="0"/>
                <w:bCs/>
                <w:sz w:val="24"/>
                <w:szCs w:val="24"/>
                <w:highlight w:val="none"/>
              </w:rPr>
              <w:t>1.1%</w:t>
            </w:r>
          </w:p>
        </w:tc>
        <w:tc>
          <w:tcPr>
            <w:tcW w:w="2185"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b w:val="0"/>
                <w:bCs/>
                <w:sz w:val="24"/>
                <w:szCs w:val="24"/>
                <w:highlight w:val="none"/>
              </w:rPr>
            </w:pPr>
            <w:r>
              <w:rPr>
                <w:rFonts w:ascii="宋体"/>
                <w:b w:val="0"/>
                <w:bCs/>
                <w:sz w:val="24"/>
                <w:szCs w:val="24"/>
                <w:highlight w:val="none"/>
              </w:rPr>
              <w:t>0.8%</w:t>
            </w:r>
          </w:p>
        </w:tc>
        <w:tc>
          <w:tcPr>
            <w:tcW w:w="2185"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b w:val="0"/>
                <w:bCs/>
                <w:sz w:val="24"/>
                <w:szCs w:val="24"/>
                <w:highlight w:val="none"/>
              </w:rPr>
            </w:pPr>
            <w:r>
              <w:rPr>
                <w:rFonts w:ascii="宋体"/>
                <w:b w:val="0"/>
                <w:bCs/>
                <w:sz w:val="24"/>
                <w:szCs w:val="24"/>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454" w:type="dxa"/>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ascii="宋体"/>
                <w:b w:val="0"/>
                <w:bCs/>
                <w:sz w:val="24"/>
                <w:szCs w:val="24"/>
                <w:highlight w:val="none"/>
              </w:rPr>
            </w:pPr>
            <w:r>
              <w:rPr>
                <w:rFonts w:ascii="宋体"/>
                <w:b w:val="0"/>
                <w:bCs/>
                <w:sz w:val="24"/>
                <w:szCs w:val="24"/>
                <w:highlight w:val="none"/>
              </w:rPr>
              <w:t>500-1000</w:t>
            </w:r>
          </w:p>
        </w:tc>
        <w:tc>
          <w:tcPr>
            <w:tcW w:w="1914"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b w:val="0"/>
                <w:bCs/>
                <w:sz w:val="24"/>
                <w:szCs w:val="24"/>
                <w:highlight w:val="none"/>
              </w:rPr>
            </w:pPr>
            <w:r>
              <w:rPr>
                <w:rFonts w:ascii="宋体"/>
                <w:b w:val="0"/>
                <w:bCs/>
                <w:sz w:val="24"/>
                <w:szCs w:val="24"/>
                <w:highlight w:val="none"/>
              </w:rPr>
              <w:t>0.8%</w:t>
            </w:r>
          </w:p>
        </w:tc>
        <w:tc>
          <w:tcPr>
            <w:tcW w:w="2185"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b w:val="0"/>
                <w:bCs/>
                <w:sz w:val="24"/>
                <w:szCs w:val="24"/>
                <w:highlight w:val="none"/>
              </w:rPr>
            </w:pPr>
            <w:r>
              <w:rPr>
                <w:rFonts w:ascii="宋体"/>
                <w:b w:val="0"/>
                <w:bCs/>
                <w:sz w:val="24"/>
                <w:szCs w:val="24"/>
                <w:highlight w:val="none"/>
              </w:rPr>
              <w:t>0.45%</w:t>
            </w:r>
          </w:p>
        </w:tc>
        <w:tc>
          <w:tcPr>
            <w:tcW w:w="2185"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b w:val="0"/>
                <w:bCs/>
                <w:sz w:val="24"/>
                <w:szCs w:val="24"/>
                <w:highlight w:val="none"/>
              </w:rPr>
            </w:pPr>
            <w:r>
              <w:rPr>
                <w:rFonts w:ascii="宋体"/>
                <w:b w:val="0"/>
                <w:bCs/>
                <w:sz w:val="24"/>
                <w:szCs w:val="24"/>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454" w:type="dxa"/>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ascii="宋体"/>
                <w:b w:val="0"/>
                <w:bCs/>
                <w:sz w:val="24"/>
                <w:szCs w:val="24"/>
                <w:highlight w:val="none"/>
              </w:rPr>
            </w:pPr>
            <w:r>
              <w:rPr>
                <w:rFonts w:ascii="宋体"/>
                <w:b w:val="0"/>
                <w:bCs/>
                <w:sz w:val="24"/>
                <w:szCs w:val="24"/>
                <w:highlight w:val="none"/>
              </w:rPr>
              <w:t>1000-5000</w:t>
            </w:r>
          </w:p>
        </w:tc>
        <w:tc>
          <w:tcPr>
            <w:tcW w:w="1914"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b w:val="0"/>
                <w:bCs/>
                <w:sz w:val="24"/>
                <w:szCs w:val="24"/>
                <w:highlight w:val="none"/>
              </w:rPr>
            </w:pPr>
            <w:r>
              <w:rPr>
                <w:rFonts w:ascii="宋体"/>
                <w:b w:val="0"/>
                <w:bCs/>
                <w:sz w:val="24"/>
                <w:szCs w:val="24"/>
                <w:highlight w:val="none"/>
              </w:rPr>
              <w:t>0.5%</w:t>
            </w:r>
          </w:p>
        </w:tc>
        <w:tc>
          <w:tcPr>
            <w:tcW w:w="2185"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b w:val="0"/>
                <w:bCs/>
                <w:sz w:val="24"/>
                <w:szCs w:val="24"/>
                <w:highlight w:val="none"/>
              </w:rPr>
            </w:pPr>
            <w:r>
              <w:rPr>
                <w:rFonts w:ascii="宋体"/>
                <w:b w:val="0"/>
                <w:bCs/>
                <w:sz w:val="24"/>
                <w:szCs w:val="24"/>
                <w:highlight w:val="none"/>
              </w:rPr>
              <w:t>0.25%</w:t>
            </w:r>
          </w:p>
        </w:tc>
        <w:tc>
          <w:tcPr>
            <w:tcW w:w="2185"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b w:val="0"/>
                <w:bCs/>
                <w:sz w:val="24"/>
                <w:szCs w:val="24"/>
                <w:highlight w:val="none"/>
              </w:rPr>
            </w:pPr>
            <w:r>
              <w:rPr>
                <w:rFonts w:ascii="宋体"/>
                <w:b w:val="0"/>
                <w:bCs/>
                <w:sz w:val="24"/>
                <w:szCs w:val="24"/>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454" w:type="dxa"/>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ascii="宋体"/>
                <w:b w:val="0"/>
                <w:bCs/>
                <w:sz w:val="24"/>
                <w:szCs w:val="24"/>
                <w:highlight w:val="none"/>
              </w:rPr>
            </w:pPr>
            <w:r>
              <w:rPr>
                <w:rFonts w:ascii="宋体"/>
                <w:b w:val="0"/>
                <w:bCs/>
                <w:sz w:val="24"/>
                <w:szCs w:val="24"/>
                <w:highlight w:val="none"/>
              </w:rPr>
              <w:t>5000-10000</w:t>
            </w:r>
          </w:p>
        </w:tc>
        <w:tc>
          <w:tcPr>
            <w:tcW w:w="1914"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b w:val="0"/>
                <w:bCs/>
                <w:sz w:val="24"/>
                <w:szCs w:val="24"/>
                <w:highlight w:val="none"/>
              </w:rPr>
            </w:pPr>
            <w:r>
              <w:rPr>
                <w:rFonts w:ascii="宋体"/>
                <w:b w:val="0"/>
                <w:bCs/>
                <w:sz w:val="24"/>
                <w:szCs w:val="24"/>
                <w:highlight w:val="none"/>
              </w:rPr>
              <w:t>0.25%</w:t>
            </w:r>
          </w:p>
        </w:tc>
        <w:tc>
          <w:tcPr>
            <w:tcW w:w="2185"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b w:val="0"/>
                <w:bCs/>
                <w:sz w:val="24"/>
                <w:szCs w:val="24"/>
                <w:highlight w:val="none"/>
              </w:rPr>
            </w:pPr>
            <w:r>
              <w:rPr>
                <w:rFonts w:ascii="宋体"/>
                <w:b w:val="0"/>
                <w:bCs/>
                <w:sz w:val="24"/>
                <w:szCs w:val="24"/>
                <w:highlight w:val="none"/>
              </w:rPr>
              <w:t>0.1%</w:t>
            </w:r>
          </w:p>
        </w:tc>
        <w:tc>
          <w:tcPr>
            <w:tcW w:w="2185"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b w:val="0"/>
                <w:bCs/>
                <w:sz w:val="24"/>
                <w:szCs w:val="24"/>
                <w:highlight w:val="none"/>
              </w:rPr>
            </w:pPr>
            <w:r>
              <w:rPr>
                <w:rFonts w:ascii="宋体"/>
                <w:b w:val="0"/>
                <w:bCs/>
                <w:sz w:val="24"/>
                <w:szCs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454" w:type="dxa"/>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ascii="宋体"/>
                <w:b w:val="0"/>
                <w:bCs/>
                <w:sz w:val="24"/>
                <w:szCs w:val="24"/>
                <w:highlight w:val="none"/>
              </w:rPr>
            </w:pPr>
            <w:r>
              <w:rPr>
                <w:rFonts w:ascii="宋体"/>
                <w:b w:val="0"/>
                <w:bCs/>
                <w:sz w:val="24"/>
                <w:szCs w:val="24"/>
                <w:highlight w:val="none"/>
              </w:rPr>
              <w:t>10000-100000</w:t>
            </w:r>
          </w:p>
        </w:tc>
        <w:tc>
          <w:tcPr>
            <w:tcW w:w="1914"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b w:val="0"/>
                <w:bCs/>
                <w:sz w:val="24"/>
                <w:szCs w:val="24"/>
                <w:highlight w:val="none"/>
              </w:rPr>
            </w:pPr>
            <w:r>
              <w:rPr>
                <w:rFonts w:ascii="宋体"/>
                <w:b w:val="0"/>
                <w:bCs/>
                <w:sz w:val="24"/>
                <w:szCs w:val="24"/>
                <w:highlight w:val="none"/>
              </w:rPr>
              <w:t>0.05%</w:t>
            </w:r>
          </w:p>
        </w:tc>
        <w:tc>
          <w:tcPr>
            <w:tcW w:w="2185"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b w:val="0"/>
                <w:bCs/>
                <w:sz w:val="24"/>
                <w:szCs w:val="24"/>
                <w:highlight w:val="none"/>
              </w:rPr>
            </w:pPr>
            <w:r>
              <w:rPr>
                <w:rFonts w:ascii="宋体"/>
                <w:b w:val="0"/>
                <w:bCs/>
                <w:sz w:val="24"/>
                <w:szCs w:val="24"/>
                <w:highlight w:val="none"/>
              </w:rPr>
              <w:t>0.05%</w:t>
            </w:r>
          </w:p>
        </w:tc>
        <w:tc>
          <w:tcPr>
            <w:tcW w:w="2185"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b w:val="0"/>
                <w:bCs/>
                <w:sz w:val="24"/>
                <w:szCs w:val="24"/>
                <w:highlight w:val="none"/>
              </w:rPr>
            </w:pPr>
            <w:r>
              <w:rPr>
                <w:rFonts w:ascii="宋体"/>
                <w:b w:val="0"/>
                <w:bCs/>
                <w:sz w:val="24"/>
                <w:szCs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454" w:type="dxa"/>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ascii="宋体"/>
                <w:b w:val="0"/>
                <w:bCs/>
                <w:sz w:val="24"/>
                <w:szCs w:val="24"/>
                <w:highlight w:val="none"/>
              </w:rPr>
            </w:pPr>
            <w:r>
              <w:rPr>
                <w:rFonts w:ascii="宋体"/>
                <w:b w:val="0"/>
                <w:bCs/>
                <w:sz w:val="24"/>
                <w:szCs w:val="24"/>
                <w:highlight w:val="none"/>
              </w:rPr>
              <w:t>100000</w:t>
            </w:r>
            <w:r>
              <w:rPr>
                <w:rFonts w:hint="default" w:ascii="宋体"/>
                <w:b w:val="0"/>
                <w:bCs/>
                <w:sz w:val="24"/>
                <w:szCs w:val="24"/>
                <w:highlight w:val="none"/>
              </w:rPr>
              <w:t>以上</w:t>
            </w:r>
          </w:p>
        </w:tc>
        <w:tc>
          <w:tcPr>
            <w:tcW w:w="1914"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b w:val="0"/>
                <w:bCs/>
                <w:sz w:val="24"/>
                <w:szCs w:val="24"/>
                <w:highlight w:val="none"/>
              </w:rPr>
            </w:pPr>
            <w:r>
              <w:rPr>
                <w:rFonts w:ascii="宋体"/>
                <w:b w:val="0"/>
                <w:bCs/>
                <w:sz w:val="24"/>
                <w:szCs w:val="24"/>
                <w:highlight w:val="none"/>
              </w:rPr>
              <w:t>0.01%</w:t>
            </w:r>
          </w:p>
        </w:tc>
        <w:tc>
          <w:tcPr>
            <w:tcW w:w="2185"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b w:val="0"/>
                <w:bCs/>
                <w:sz w:val="24"/>
                <w:szCs w:val="24"/>
                <w:highlight w:val="none"/>
              </w:rPr>
            </w:pPr>
            <w:r>
              <w:rPr>
                <w:rFonts w:ascii="宋体"/>
                <w:b w:val="0"/>
                <w:bCs/>
                <w:sz w:val="24"/>
                <w:szCs w:val="24"/>
                <w:highlight w:val="none"/>
              </w:rPr>
              <w:t>0.01%</w:t>
            </w:r>
          </w:p>
        </w:tc>
        <w:tc>
          <w:tcPr>
            <w:tcW w:w="2185"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b w:val="0"/>
                <w:bCs/>
                <w:sz w:val="24"/>
                <w:szCs w:val="24"/>
                <w:highlight w:val="none"/>
              </w:rPr>
            </w:pPr>
            <w:r>
              <w:rPr>
                <w:rFonts w:ascii="宋体"/>
                <w:b w:val="0"/>
                <w:bCs/>
                <w:sz w:val="24"/>
                <w:szCs w:val="24"/>
                <w:highlight w:val="none"/>
              </w:rPr>
              <w:t>0.015%</w:t>
            </w:r>
          </w:p>
        </w:tc>
      </w:tr>
    </w:tbl>
    <w:p>
      <w:pPr>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b w:val="0"/>
          <w:bCs/>
          <w:sz w:val="24"/>
          <w:szCs w:val="24"/>
          <w:highlight w:val="none"/>
        </w:rPr>
      </w:pPr>
      <w:r>
        <w:rPr>
          <w:rFonts w:hint="eastAsia" w:ascii="宋体" w:hAnsi="宋体" w:eastAsia="宋体" w:cs="宋体"/>
          <w:b w:val="0"/>
          <w:bCs/>
          <w:sz w:val="24"/>
          <w:szCs w:val="24"/>
          <w:highlight w:val="none"/>
        </w:rPr>
        <w:t>招标代理服务收费按差额定率累进法计算。</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ascii="宋体" w:hAnsi="宋体" w:cs="宋体"/>
          <w:b w:val="0"/>
          <w:bCs/>
          <w:sz w:val="24"/>
          <w:szCs w:val="24"/>
          <w:highlight w:val="none"/>
        </w:rPr>
      </w:pPr>
      <w:r>
        <w:rPr>
          <w:rFonts w:hint="eastAsia" w:ascii="宋体" w:hAnsi="宋体" w:cs="宋体"/>
          <w:b w:val="0"/>
          <w:bCs/>
          <w:sz w:val="24"/>
          <w:szCs w:val="24"/>
          <w:highlight w:val="none"/>
          <w:lang w:val="en-US" w:eastAsia="zh-CN"/>
        </w:rPr>
        <w:t>38.4</w:t>
      </w:r>
      <w:r>
        <w:rPr>
          <w:rFonts w:hint="eastAsia" w:ascii="宋体" w:hAnsi="宋体" w:cs="宋体"/>
          <w:b w:val="0"/>
          <w:bCs/>
          <w:sz w:val="24"/>
          <w:szCs w:val="24"/>
          <w:highlight w:val="none"/>
        </w:rPr>
        <w:t>废标与采购方式的变更</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ascii="宋体" w:hAnsi="宋体" w:cs="宋体"/>
          <w:b w:val="0"/>
          <w:bCs/>
          <w:sz w:val="24"/>
          <w:szCs w:val="24"/>
          <w:highlight w:val="none"/>
        </w:rPr>
      </w:pPr>
      <w:r>
        <w:rPr>
          <w:rFonts w:hint="eastAsia" w:ascii="宋体" w:hAnsi="宋体" w:cs="宋体"/>
          <w:b w:val="0"/>
          <w:bCs/>
          <w:sz w:val="24"/>
          <w:szCs w:val="24"/>
          <w:highlight w:val="none"/>
          <w:lang w:val="en-US" w:eastAsia="zh-CN"/>
        </w:rPr>
        <w:t>38.4.</w:t>
      </w:r>
      <w:r>
        <w:rPr>
          <w:rFonts w:hint="eastAsia" w:ascii="宋体" w:hAnsi="宋体" w:cs="宋体"/>
          <w:b w:val="0"/>
          <w:bCs/>
          <w:sz w:val="24"/>
          <w:szCs w:val="24"/>
          <w:highlight w:val="none"/>
        </w:rPr>
        <w:t>1在招标采购中，出现下列情形之一的，应予废标：</w:t>
      </w:r>
    </w:p>
    <w:p>
      <w:pPr>
        <w:pageBreakBefore w:val="0"/>
        <w:kinsoku/>
        <w:wordWrap/>
        <w:overflowPunct/>
        <w:topLinePunct w:val="0"/>
        <w:autoSpaceDE/>
        <w:autoSpaceDN/>
        <w:bidi w:val="0"/>
        <w:adjustRightInd w:val="0"/>
        <w:snapToGrid w:val="0"/>
        <w:spacing w:line="360" w:lineRule="auto"/>
        <w:ind w:firstLine="360" w:firstLineChars="150"/>
        <w:textAlignment w:val="auto"/>
        <w:rPr>
          <w:rFonts w:ascii="宋体" w:hAnsi="宋体" w:cs="宋体"/>
          <w:b w:val="0"/>
          <w:bCs/>
          <w:sz w:val="24"/>
          <w:szCs w:val="24"/>
          <w:highlight w:val="none"/>
        </w:rPr>
      </w:pPr>
      <w:r>
        <w:rPr>
          <w:rFonts w:hint="eastAsia" w:ascii="宋体" w:hAnsi="宋体" w:cs="宋体"/>
          <w:b w:val="0"/>
          <w:bCs/>
          <w:sz w:val="24"/>
          <w:szCs w:val="24"/>
          <w:highlight w:val="none"/>
        </w:rPr>
        <w:t xml:space="preserve">（1）符合专业条件的或者对招标文件作实质响应的投标人不足三家的； </w:t>
      </w:r>
    </w:p>
    <w:p>
      <w:pPr>
        <w:pageBreakBefore w:val="0"/>
        <w:kinsoku/>
        <w:wordWrap/>
        <w:overflowPunct/>
        <w:topLinePunct w:val="0"/>
        <w:autoSpaceDE/>
        <w:autoSpaceDN/>
        <w:bidi w:val="0"/>
        <w:adjustRightInd w:val="0"/>
        <w:snapToGrid w:val="0"/>
        <w:spacing w:line="360" w:lineRule="auto"/>
        <w:ind w:firstLine="360" w:firstLineChars="150"/>
        <w:textAlignment w:val="auto"/>
        <w:rPr>
          <w:rFonts w:ascii="宋体" w:hAnsi="宋体" w:cs="宋体"/>
          <w:b w:val="0"/>
          <w:bCs/>
          <w:sz w:val="24"/>
          <w:szCs w:val="24"/>
          <w:highlight w:val="none"/>
        </w:rPr>
      </w:pPr>
      <w:r>
        <w:rPr>
          <w:rFonts w:hint="eastAsia" w:ascii="宋体" w:hAnsi="宋体" w:cs="宋体"/>
          <w:b w:val="0"/>
          <w:bCs/>
          <w:sz w:val="24"/>
          <w:szCs w:val="24"/>
          <w:highlight w:val="none"/>
        </w:rPr>
        <w:t xml:space="preserve">（2）出现影响采购公正的违法、违规行为的； </w:t>
      </w:r>
    </w:p>
    <w:p>
      <w:pPr>
        <w:pageBreakBefore w:val="0"/>
        <w:kinsoku/>
        <w:wordWrap/>
        <w:overflowPunct/>
        <w:topLinePunct w:val="0"/>
        <w:autoSpaceDE/>
        <w:autoSpaceDN/>
        <w:bidi w:val="0"/>
        <w:adjustRightInd w:val="0"/>
        <w:snapToGrid w:val="0"/>
        <w:spacing w:line="360" w:lineRule="auto"/>
        <w:ind w:firstLine="360" w:firstLineChars="150"/>
        <w:textAlignment w:val="auto"/>
        <w:rPr>
          <w:rFonts w:ascii="宋体" w:hAnsi="宋体" w:cs="宋体"/>
          <w:b w:val="0"/>
          <w:bCs/>
          <w:sz w:val="24"/>
          <w:szCs w:val="24"/>
          <w:highlight w:val="none"/>
        </w:rPr>
      </w:pPr>
      <w:r>
        <w:rPr>
          <w:rFonts w:hint="eastAsia" w:ascii="宋体" w:hAnsi="宋体" w:cs="宋体"/>
          <w:b w:val="0"/>
          <w:bCs/>
          <w:sz w:val="24"/>
          <w:szCs w:val="24"/>
          <w:highlight w:val="none"/>
        </w:rPr>
        <w:t>（3）投标人的报价均超过了最高限价，采购人不能支付的；</w:t>
      </w:r>
    </w:p>
    <w:p>
      <w:pPr>
        <w:pageBreakBefore w:val="0"/>
        <w:kinsoku/>
        <w:wordWrap/>
        <w:overflowPunct/>
        <w:topLinePunct w:val="0"/>
        <w:autoSpaceDE/>
        <w:autoSpaceDN/>
        <w:bidi w:val="0"/>
        <w:adjustRightInd w:val="0"/>
        <w:snapToGrid w:val="0"/>
        <w:spacing w:line="360" w:lineRule="auto"/>
        <w:ind w:firstLine="360" w:firstLineChars="150"/>
        <w:textAlignment w:val="auto"/>
        <w:rPr>
          <w:rFonts w:ascii="宋体" w:hAnsi="宋体" w:cs="宋体"/>
          <w:b w:val="0"/>
          <w:bCs/>
          <w:sz w:val="24"/>
          <w:szCs w:val="24"/>
          <w:highlight w:val="none"/>
        </w:rPr>
      </w:pPr>
      <w:r>
        <w:rPr>
          <w:rFonts w:hint="eastAsia" w:ascii="宋体" w:hAnsi="宋体" w:cs="宋体"/>
          <w:b w:val="0"/>
          <w:bCs/>
          <w:sz w:val="24"/>
          <w:szCs w:val="24"/>
          <w:highlight w:val="none"/>
        </w:rPr>
        <w:t xml:space="preserve">（4）因重大变故，采购任务取消的。 </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ascii="宋体" w:hAnsi="宋体" w:cs="宋体"/>
          <w:b w:val="0"/>
          <w:bCs/>
          <w:sz w:val="24"/>
          <w:szCs w:val="24"/>
          <w:highlight w:val="none"/>
        </w:rPr>
      </w:pPr>
      <w:r>
        <w:rPr>
          <w:rFonts w:hint="eastAsia" w:ascii="宋体" w:hAnsi="宋体" w:cs="宋体"/>
          <w:b w:val="0"/>
          <w:bCs/>
          <w:sz w:val="24"/>
          <w:szCs w:val="24"/>
          <w:highlight w:val="none"/>
          <w:lang w:val="en-US" w:eastAsia="zh-CN"/>
        </w:rPr>
        <w:t>38.4.</w:t>
      </w:r>
      <w:r>
        <w:rPr>
          <w:rFonts w:hint="eastAsia" w:ascii="宋体" w:hAnsi="宋体" w:eastAsia="宋体" w:cs="宋体"/>
          <w:b w:val="0"/>
          <w:bCs/>
          <w:sz w:val="24"/>
          <w:szCs w:val="24"/>
          <w:highlight w:val="none"/>
          <w:lang w:val="en-US" w:eastAsia="zh-CN"/>
        </w:rPr>
        <w:t>2</w:t>
      </w:r>
      <w:r>
        <w:rPr>
          <w:rFonts w:hint="eastAsia" w:ascii="宋体" w:hAnsi="宋体" w:cs="宋体"/>
          <w:b w:val="0"/>
          <w:bCs/>
          <w:sz w:val="24"/>
          <w:szCs w:val="24"/>
          <w:highlight w:val="none"/>
        </w:rPr>
        <w:t>废标后，除采购任务取消情形外，按照以下方式处理：</w:t>
      </w:r>
    </w:p>
    <w:p>
      <w:pPr>
        <w:pageBreakBefore w:val="0"/>
        <w:kinsoku/>
        <w:wordWrap/>
        <w:overflowPunct/>
        <w:topLinePunct w:val="0"/>
        <w:autoSpaceDE/>
        <w:autoSpaceDN/>
        <w:bidi w:val="0"/>
        <w:adjustRightInd w:val="0"/>
        <w:snapToGrid w:val="0"/>
        <w:spacing w:line="360" w:lineRule="auto"/>
        <w:ind w:firstLine="360" w:firstLineChars="150"/>
        <w:textAlignment w:val="auto"/>
        <w:rPr>
          <w:rFonts w:ascii="宋体" w:hAnsi="宋体" w:cs="宋体"/>
          <w:b w:val="0"/>
          <w:bCs/>
          <w:sz w:val="24"/>
          <w:szCs w:val="24"/>
          <w:highlight w:val="none"/>
        </w:rPr>
      </w:pPr>
      <w:r>
        <w:rPr>
          <w:rFonts w:hint="eastAsia" w:ascii="宋体" w:hAnsi="宋体" w:cs="宋体"/>
          <w:b w:val="0"/>
          <w:bCs/>
          <w:sz w:val="24"/>
          <w:szCs w:val="24"/>
          <w:highlight w:val="none"/>
        </w:rPr>
        <w:t>（1）招标文件存在不合理条款或者招标程序不符合规定的，采购人、采购代理机构改正后依法重新招标；</w:t>
      </w:r>
    </w:p>
    <w:p>
      <w:pPr>
        <w:pageBreakBefore w:val="0"/>
        <w:kinsoku/>
        <w:wordWrap/>
        <w:overflowPunct/>
        <w:topLinePunct w:val="0"/>
        <w:autoSpaceDE/>
        <w:autoSpaceDN/>
        <w:bidi w:val="0"/>
        <w:adjustRightInd w:val="0"/>
        <w:snapToGrid w:val="0"/>
        <w:spacing w:line="360" w:lineRule="auto"/>
        <w:ind w:firstLine="360" w:firstLineChars="150"/>
        <w:textAlignment w:val="auto"/>
        <w:rPr>
          <w:rFonts w:ascii="宋体" w:hAnsi="宋体" w:cs="宋体"/>
          <w:b w:val="0"/>
          <w:bCs/>
          <w:sz w:val="24"/>
          <w:szCs w:val="24"/>
          <w:highlight w:val="none"/>
        </w:rPr>
      </w:pPr>
      <w:r>
        <w:rPr>
          <w:rFonts w:hint="eastAsia" w:ascii="宋体" w:hAnsi="宋体" w:cs="宋体"/>
          <w:b w:val="0"/>
          <w:bCs/>
          <w:sz w:val="24"/>
          <w:szCs w:val="24"/>
          <w:highlight w:val="none"/>
        </w:rPr>
        <w:t>（2）招标文件没有不合理条款、招标程序符合规定，需要重新招标的，依法重新招标；需要采用其他采购方式采购的，采购人应当依法报财政部门批准。</w:t>
      </w:r>
    </w:p>
    <w:p>
      <w:pPr>
        <w:pStyle w:val="13"/>
        <w:pageBreakBefore w:val="0"/>
        <w:kinsoku/>
        <w:wordWrap/>
        <w:overflowPunct/>
        <w:topLinePunct w:val="0"/>
        <w:autoSpaceDE/>
        <w:autoSpaceDN/>
        <w:bidi w:val="0"/>
        <w:adjustRightInd w:val="0"/>
        <w:snapToGrid w:val="0"/>
        <w:spacing w:line="360" w:lineRule="auto"/>
        <w:textAlignment w:val="auto"/>
        <w:rPr>
          <w:rFonts w:hAnsi="宋体" w:cs="宋体"/>
          <w:b/>
          <w:bCs w:val="0"/>
          <w:sz w:val="24"/>
          <w:szCs w:val="24"/>
          <w:highlight w:val="none"/>
        </w:rPr>
      </w:pPr>
      <w:r>
        <w:rPr>
          <w:rFonts w:hint="eastAsia" w:hAnsi="宋体" w:cs="宋体"/>
          <w:b/>
          <w:bCs w:val="0"/>
          <w:sz w:val="24"/>
          <w:szCs w:val="24"/>
          <w:highlight w:val="none"/>
          <w:lang w:val="en-US" w:eastAsia="zh-CN"/>
        </w:rPr>
        <w:t>39.</w:t>
      </w:r>
      <w:r>
        <w:rPr>
          <w:rFonts w:hint="eastAsia" w:hAnsi="宋体" w:cs="宋体"/>
          <w:b/>
          <w:bCs w:val="0"/>
          <w:sz w:val="24"/>
          <w:szCs w:val="24"/>
          <w:highlight w:val="none"/>
        </w:rPr>
        <w:t>询问、质疑、投诉</w:t>
      </w:r>
    </w:p>
    <w:p>
      <w:pPr>
        <w:pStyle w:val="13"/>
        <w:pageBreakBefore w:val="0"/>
        <w:kinsoku/>
        <w:wordWrap/>
        <w:overflowPunct/>
        <w:topLinePunct w:val="0"/>
        <w:autoSpaceDE/>
        <w:autoSpaceDN/>
        <w:bidi w:val="0"/>
        <w:adjustRightInd w:val="0"/>
        <w:snapToGrid w:val="0"/>
        <w:spacing w:line="360" w:lineRule="auto"/>
        <w:ind w:firstLine="240" w:firstLineChars="100"/>
        <w:textAlignment w:val="auto"/>
        <w:rPr>
          <w:rFonts w:hAnsi="宋体" w:cs="宋体"/>
          <w:b w:val="0"/>
          <w:bCs/>
          <w:sz w:val="24"/>
          <w:szCs w:val="24"/>
          <w:highlight w:val="none"/>
        </w:rPr>
      </w:pPr>
      <w:r>
        <w:rPr>
          <w:rFonts w:hint="eastAsia" w:hAnsi="宋体" w:cs="宋体"/>
          <w:b w:val="0"/>
          <w:bCs/>
          <w:sz w:val="24"/>
          <w:szCs w:val="24"/>
          <w:highlight w:val="none"/>
          <w:lang w:val="en-US" w:eastAsia="zh-CN"/>
        </w:rPr>
        <w:t>39.</w:t>
      </w:r>
      <w:r>
        <w:rPr>
          <w:rFonts w:hint="eastAsia" w:hAnsi="宋体" w:cs="宋体"/>
          <w:b w:val="0"/>
          <w:bCs/>
          <w:sz w:val="24"/>
          <w:szCs w:val="24"/>
          <w:highlight w:val="none"/>
        </w:rPr>
        <w:t>1投标人对政府采购活动事项有疑问的，可以向采购人或采购代理机构提出询问（具体见投标须知）</w:t>
      </w:r>
    </w:p>
    <w:p>
      <w:pPr>
        <w:pStyle w:val="13"/>
        <w:pageBreakBefore w:val="0"/>
        <w:kinsoku/>
        <w:wordWrap/>
        <w:overflowPunct/>
        <w:topLinePunct w:val="0"/>
        <w:autoSpaceDE/>
        <w:autoSpaceDN/>
        <w:bidi w:val="0"/>
        <w:adjustRightInd w:val="0"/>
        <w:snapToGrid w:val="0"/>
        <w:spacing w:line="360" w:lineRule="auto"/>
        <w:ind w:firstLine="240" w:firstLineChars="100"/>
        <w:textAlignment w:val="auto"/>
        <w:rPr>
          <w:rFonts w:hAnsi="宋体" w:cs="宋体"/>
          <w:b w:val="0"/>
          <w:bCs/>
          <w:sz w:val="24"/>
          <w:szCs w:val="24"/>
          <w:highlight w:val="none"/>
        </w:rPr>
      </w:pPr>
      <w:r>
        <w:rPr>
          <w:rFonts w:hint="eastAsia" w:hAnsi="宋体" w:cs="宋体"/>
          <w:b w:val="0"/>
          <w:bCs/>
          <w:sz w:val="24"/>
          <w:szCs w:val="24"/>
          <w:highlight w:val="none"/>
          <w:lang w:val="en-US" w:eastAsia="zh-CN"/>
        </w:rPr>
        <w:t>39.</w:t>
      </w:r>
      <w:r>
        <w:rPr>
          <w:rFonts w:hint="eastAsia" w:hAnsi="宋体" w:cs="宋体"/>
          <w:b w:val="0"/>
          <w:bCs/>
          <w:sz w:val="24"/>
          <w:szCs w:val="24"/>
          <w:highlight w:val="none"/>
        </w:rPr>
        <w:t>2投标人认为招标文件、招标过程和中标结果使自己的权益受到损害的，可以在知道或者应知其权益受到损害之日起7个工作日内，以书面形式向采购人或采购代理机构提出质疑。</w:t>
      </w:r>
    </w:p>
    <w:p>
      <w:pPr>
        <w:pStyle w:val="13"/>
        <w:pageBreakBefore w:val="0"/>
        <w:kinsoku/>
        <w:wordWrap/>
        <w:overflowPunct/>
        <w:topLinePunct w:val="0"/>
        <w:autoSpaceDE/>
        <w:autoSpaceDN/>
        <w:bidi w:val="0"/>
        <w:adjustRightInd w:val="0"/>
        <w:snapToGrid w:val="0"/>
        <w:spacing w:line="360" w:lineRule="auto"/>
        <w:ind w:firstLine="240" w:firstLineChars="100"/>
        <w:textAlignment w:val="auto"/>
        <w:rPr>
          <w:rFonts w:hAnsi="宋体" w:cs="宋体"/>
          <w:b w:val="0"/>
          <w:bCs/>
          <w:sz w:val="24"/>
          <w:szCs w:val="24"/>
          <w:highlight w:val="none"/>
        </w:rPr>
      </w:pPr>
      <w:r>
        <w:rPr>
          <w:rFonts w:hint="eastAsia" w:hAnsi="宋体" w:cs="宋体"/>
          <w:b w:val="0"/>
          <w:bCs/>
          <w:sz w:val="24"/>
          <w:szCs w:val="24"/>
          <w:highlight w:val="none"/>
          <w:lang w:val="en-US" w:eastAsia="zh-CN"/>
        </w:rPr>
        <w:t>39.</w:t>
      </w:r>
      <w:r>
        <w:rPr>
          <w:rFonts w:hint="eastAsia" w:hAnsi="宋体" w:cs="宋体"/>
          <w:b w:val="0"/>
          <w:bCs/>
          <w:sz w:val="24"/>
          <w:szCs w:val="24"/>
          <w:highlight w:val="none"/>
        </w:rPr>
        <w:t>3投标人提出质疑的，应提供书面质疑函原件。</w:t>
      </w:r>
    </w:p>
    <w:p>
      <w:pPr>
        <w:pStyle w:val="13"/>
        <w:pageBreakBefore w:val="0"/>
        <w:kinsoku/>
        <w:wordWrap/>
        <w:overflowPunct/>
        <w:topLinePunct w:val="0"/>
        <w:autoSpaceDE/>
        <w:autoSpaceDN/>
        <w:bidi w:val="0"/>
        <w:adjustRightInd w:val="0"/>
        <w:snapToGrid w:val="0"/>
        <w:spacing w:line="360" w:lineRule="auto"/>
        <w:ind w:firstLine="240" w:firstLineChars="100"/>
        <w:textAlignment w:val="auto"/>
        <w:rPr>
          <w:rFonts w:hAnsi="宋体" w:cs="宋体"/>
          <w:b w:val="0"/>
          <w:bCs/>
          <w:sz w:val="24"/>
          <w:szCs w:val="24"/>
          <w:highlight w:val="none"/>
        </w:rPr>
      </w:pPr>
      <w:r>
        <w:rPr>
          <w:rFonts w:hint="eastAsia" w:hAnsi="宋体" w:cs="宋体"/>
          <w:b w:val="0"/>
          <w:bCs/>
          <w:sz w:val="24"/>
          <w:szCs w:val="24"/>
          <w:highlight w:val="none"/>
          <w:lang w:val="en-US" w:eastAsia="zh-CN"/>
        </w:rPr>
        <w:t>39</w:t>
      </w:r>
      <w:r>
        <w:rPr>
          <w:rFonts w:hint="eastAsia" w:hAnsi="宋体" w:cs="宋体"/>
          <w:b w:val="0"/>
          <w:bCs/>
          <w:sz w:val="24"/>
          <w:szCs w:val="24"/>
          <w:highlight w:val="none"/>
        </w:rPr>
        <w:t>.</w:t>
      </w:r>
      <w:r>
        <w:rPr>
          <w:rFonts w:hint="eastAsia" w:hAnsi="宋体" w:eastAsia="宋体" w:cs="宋体"/>
          <w:b w:val="0"/>
          <w:bCs/>
          <w:sz w:val="24"/>
          <w:szCs w:val="24"/>
          <w:highlight w:val="none"/>
          <w:lang w:val="en-US" w:eastAsia="zh-CN"/>
        </w:rPr>
        <w:t>4</w:t>
      </w:r>
      <w:r>
        <w:rPr>
          <w:rFonts w:hint="eastAsia" w:hAnsi="宋体" w:cs="宋体"/>
          <w:b w:val="0"/>
          <w:bCs/>
          <w:sz w:val="24"/>
          <w:szCs w:val="24"/>
          <w:highlight w:val="none"/>
        </w:rPr>
        <w:t>质疑函须按财政部《质疑函范本》给定的格式进行填写，范本下载详见【财政部国库司（gks.mof.gov.cn）】网站〖首页·政府采购管理〗栏目中的《政府采购投标人质疑函范本》。《政府采购投标人质疑函范本》链接地址：</w:t>
      </w:r>
    </w:p>
    <w:p>
      <w:pPr>
        <w:pStyle w:val="13"/>
        <w:pageBreakBefore w:val="0"/>
        <w:kinsoku/>
        <w:wordWrap/>
        <w:overflowPunct/>
        <w:topLinePunct w:val="0"/>
        <w:autoSpaceDE/>
        <w:autoSpaceDN/>
        <w:bidi w:val="0"/>
        <w:adjustRightInd w:val="0"/>
        <w:snapToGrid w:val="0"/>
        <w:spacing w:line="360" w:lineRule="auto"/>
        <w:ind w:firstLine="480" w:firstLineChars="200"/>
        <w:textAlignment w:val="auto"/>
        <w:rPr>
          <w:rFonts w:hAnsi="宋体" w:cs="宋体"/>
          <w:b w:val="0"/>
          <w:bCs/>
          <w:sz w:val="24"/>
          <w:szCs w:val="24"/>
          <w:highlight w:val="none"/>
        </w:rPr>
      </w:pPr>
      <w:r>
        <w:rPr>
          <w:b w:val="0"/>
          <w:bCs/>
          <w:sz w:val="24"/>
          <w:szCs w:val="24"/>
          <w:highlight w:val="none"/>
        </w:rPr>
        <w:fldChar w:fldCharType="begin"/>
      </w:r>
      <w:r>
        <w:rPr>
          <w:b w:val="0"/>
          <w:bCs/>
          <w:sz w:val="24"/>
          <w:szCs w:val="24"/>
          <w:highlight w:val="none"/>
        </w:rPr>
        <w:instrText xml:space="preserve"> HYPERLINK "http://www.mof.gov.cn/gp/xxgkml/gks/201802/t20180201_2804587.htm" </w:instrText>
      </w:r>
      <w:r>
        <w:rPr>
          <w:b w:val="0"/>
          <w:bCs/>
          <w:sz w:val="24"/>
          <w:szCs w:val="24"/>
          <w:highlight w:val="none"/>
        </w:rPr>
        <w:fldChar w:fldCharType="separate"/>
      </w:r>
      <w:r>
        <w:rPr>
          <w:rFonts w:hint="eastAsia" w:hAnsi="宋体" w:cs="宋体"/>
          <w:b w:val="0"/>
          <w:bCs/>
          <w:sz w:val="24"/>
          <w:szCs w:val="24"/>
          <w:highlight w:val="none"/>
        </w:rPr>
        <w:t>http://www.mof.gov.cn/gp/xxgkml/gks/201802/t20180201_2804587.htm</w:t>
      </w:r>
      <w:r>
        <w:rPr>
          <w:rFonts w:hint="eastAsia" w:hAnsi="宋体" w:cs="宋体"/>
          <w:b w:val="0"/>
          <w:bCs/>
          <w:sz w:val="24"/>
          <w:szCs w:val="24"/>
          <w:highlight w:val="none"/>
        </w:rPr>
        <w:fldChar w:fldCharType="end"/>
      </w:r>
    </w:p>
    <w:p>
      <w:pPr>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Arial" w:cs="宋体"/>
          <w:b w:val="0"/>
          <w:bCs/>
          <w:snapToGrid w:val="0"/>
          <w:color w:val="000000"/>
          <w:kern w:val="0"/>
          <w:sz w:val="24"/>
          <w:szCs w:val="24"/>
          <w:highlight w:val="none"/>
          <w:lang w:val="en-US" w:eastAsia="zh-CN"/>
        </w:rPr>
      </w:pPr>
      <w:r>
        <w:rPr>
          <w:rFonts w:hint="eastAsia" w:ascii="宋体" w:hAnsi="宋体" w:eastAsia="Arial" w:cs="宋体"/>
          <w:b w:val="0"/>
          <w:bCs/>
          <w:snapToGrid w:val="0"/>
          <w:color w:val="000000"/>
          <w:kern w:val="0"/>
          <w:sz w:val="24"/>
          <w:szCs w:val="24"/>
          <w:highlight w:val="none"/>
          <w:lang w:val="en-US" w:eastAsia="zh-CN"/>
        </w:rPr>
        <w:t>39.5投标人为自然人的，应当由本人签字；投标人为法人或者其他组织的，应当由法定代表人、主要负责人，或者其授权代表（附法人代表授权书）签字或者盖章（鲜章），并加盖公章（鲜章）。</w:t>
      </w:r>
    </w:p>
    <w:p>
      <w:pPr>
        <w:pStyle w:val="13"/>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Arial" w:cs="宋体"/>
          <w:b w:val="0"/>
          <w:bCs/>
          <w:snapToGrid w:val="0"/>
          <w:color w:val="000000"/>
          <w:kern w:val="0"/>
          <w:sz w:val="24"/>
          <w:szCs w:val="24"/>
          <w:highlight w:val="none"/>
          <w:lang w:val="en-US" w:eastAsia="zh-CN"/>
        </w:rPr>
      </w:pPr>
      <w:r>
        <w:rPr>
          <w:rFonts w:hint="eastAsia" w:hAnsi="宋体" w:cs="宋体"/>
          <w:b w:val="0"/>
          <w:bCs/>
          <w:sz w:val="24"/>
          <w:szCs w:val="24"/>
          <w:highlight w:val="none"/>
          <w:lang w:val="en-US" w:eastAsia="zh-CN"/>
        </w:rPr>
        <w:t>39</w:t>
      </w:r>
      <w:r>
        <w:rPr>
          <w:rFonts w:hint="eastAsia" w:ascii="宋体" w:hAnsi="宋体" w:eastAsia="Arial" w:cs="宋体"/>
          <w:b w:val="0"/>
          <w:bCs/>
          <w:snapToGrid w:val="0"/>
          <w:color w:val="000000"/>
          <w:kern w:val="0"/>
          <w:sz w:val="24"/>
          <w:szCs w:val="24"/>
          <w:highlight w:val="none"/>
          <w:lang w:val="en-US" w:eastAsia="zh-CN"/>
        </w:rPr>
        <w:t>.6投标人对采购人或采购代理机构的答复不满意，或采购人或采购代理机构未在规定的期限作出答复的，可在答复期满后15个工作日内，按政府采购法律法规规定及程序，向财政部提出投诉。</w:t>
      </w:r>
    </w:p>
    <w:p>
      <w:pPr>
        <w:pStyle w:val="13"/>
        <w:pageBreakBefore w:val="0"/>
        <w:kinsoku/>
        <w:wordWrap/>
        <w:overflowPunct/>
        <w:topLinePunct w:val="0"/>
        <w:autoSpaceDE/>
        <w:autoSpaceDN/>
        <w:bidi w:val="0"/>
        <w:adjustRightInd w:val="0"/>
        <w:snapToGrid w:val="0"/>
        <w:spacing w:line="360" w:lineRule="auto"/>
        <w:ind w:firstLine="240" w:firstLineChars="100"/>
        <w:textAlignment w:val="auto"/>
        <w:rPr>
          <w:rFonts w:hAnsi="宋体" w:cs="宋体"/>
          <w:b w:val="0"/>
          <w:bCs/>
          <w:sz w:val="24"/>
          <w:szCs w:val="24"/>
          <w:highlight w:val="none"/>
        </w:rPr>
      </w:pPr>
      <w:r>
        <w:rPr>
          <w:rFonts w:hint="eastAsia" w:hAnsi="宋体" w:cs="宋体"/>
          <w:b w:val="0"/>
          <w:bCs/>
          <w:sz w:val="24"/>
          <w:szCs w:val="24"/>
          <w:highlight w:val="none"/>
          <w:lang w:val="en-US" w:eastAsia="zh-CN"/>
        </w:rPr>
        <w:t>39.7</w:t>
      </w:r>
      <w:r>
        <w:rPr>
          <w:rFonts w:hint="eastAsia" w:hAnsi="宋体" w:cs="宋体"/>
          <w:b w:val="0"/>
          <w:bCs/>
          <w:sz w:val="24"/>
          <w:szCs w:val="24"/>
          <w:highlight w:val="none"/>
        </w:rPr>
        <w:t>发生下列情况之一，投标人将被列入不良记录名单，在1～3年内禁止参加政府采购活动，并予以公告：</w:t>
      </w:r>
    </w:p>
    <w:p>
      <w:pPr>
        <w:pStyle w:val="13"/>
        <w:pageBreakBefore w:val="0"/>
        <w:kinsoku/>
        <w:wordWrap/>
        <w:overflowPunct/>
        <w:topLinePunct w:val="0"/>
        <w:autoSpaceDE/>
        <w:autoSpaceDN/>
        <w:bidi w:val="0"/>
        <w:adjustRightInd w:val="0"/>
        <w:snapToGrid w:val="0"/>
        <w:spacing w:line="360" w:lineRule="auto"/>
        <w:ind w:firstLine="480" w:firstLineChars="200"/>
        <w:textAlignment w:val="auto"/>
        <w:rPr>
          <w:rFonts w:hAnsi="宋体" w:cs="宋体"/>
          <w:b w:val="0"/>
          <w:bCs/>
          <w:sz w:val="24"/>
          <w:szCs w:val="24"/>
          <w:highlight w:val="none"/>
        </w:rPr>
      </w:pPr>
      <w:r>
        <w:rPr>
          <w:rFonts w:hint="eastAsia" w:hAnsi="宋体" w:cs="宋体"/>
          <w:b w:val="0"/>
          <w:bCs/>
          <w:sz w:val="24"/>
          <w:szCs w:val="24"/>
          <w:highlight w:val="none"/>
        </w:rPr>
        <w:t>(1)开标后在投标有效期内，投标人撤回其投标；</w:t>
      </w:r>
    </w:p>
    <w:p>
      <w:pPr>
        <w:pStyle w:val="13"/>
        <w:pageBreakBefore w:val="0"/>
        <w:kinsoku/>
        <w:wordWrap/>
        <w:overflowPunct/>
        <w:topLinePunct w:val="0"/>
        <w:autoSpaceDE/>
        <w:autoSpaceDN/>
        <w:bidi w:val="0"/>
        <w:adjustRightInd w:val="0"/>
        <w:snapToGrid w:val="0"/>
        <w:spacing w:line="360" w:lineRule="auto"/>
        <w:ind w:firstLine="480" w:firstLineChars="200"/>
        <w:textAlignment w:val="auto"/>
        <w:rPr>
          <w:rFonts w:hAnsi="宋体" w:cs="宋体"/>
          <w:b w:val="0"/>
          <w:bCs/>
          <w:sz w:val="24"/>
          <w:szCs w:val="24"/>
          <w:highlight w:val="none"/>
        </w:rPr>
      </w:pPr>
      <w:r>
        <w:rPr>
          <w:rFonts w:hint="eastAsia" w:hAnsi="宋体" w:cs="宋体"/>
          <w:b w:val="0"/>
          <w:bCs/>
          <w:sz w:val="24"/>
          <w:szCs w:val="24"/>
          <w:highlight w:val="none"/>
        </w:rPr>
        <w:t>(2)中标后无正当理由不与采购人签订政府采购合同；</w:t>
      </w:r>
    </w:p>
    <w:p>
      <w:pPr>
        <w:pStyle w:val="13"/>
        <w:pageBreakBefore w:val="0"/>
        <w:kinsoku/>
        <w:wordWrap/>
        <w:overflowPunct/>
        <w:topLinePunct w:val="0"/>
        <w:autoSpaceDE/>
        <w:autoSpaceDN/>
        <w:bidi w:val="0"/>
        <w:adjustRightInd w:val="0"/>
        <w:snapToGrid w:val="0"/>
        <w:spacing w:line="360" w:lineRule="auto"/>
        <w:ind w:firstLine="480" w:firstLineChars="200"/>
        <w:textAlignment w:val="auto"/>
        <w:rPr>
          <w:rFonts w:hAnsi="宋体" w:cs="宋体"/>
          <w:b w:val="0"/>
          <w:bCs/>
          <w:sz w:val="24"/>
          <w:szCs w:val="24"/>
          <w:highlight w:val="none"/>
        </w:rPr>
      </w:pPr>
      <w:r>
        <w:rPr>
          <w:rFonts w:hint="eastAsia" w:hAnsi="宋体" w:cs="宋体"/>
          <w:b w:val="0"/>
          <w:bCs/>
          <w:sz w:val="24"/>
          <w:szCs w:val="24"/>
          <w:highlight w:val="none"/>
        </w:rPr>
        <w:t>(3)中标后未按照招标文件和中标单位的投标文件订立政府采购合同，或者与采购人另行订立背离合同实质性内容的协议的；</w:t>
      </w:r>
    </w:p>
    <w:p>
      <w:pPr>
        <w:pStyle w:val="13"/>
        <w:pageBreakBefore w:val="0"/>
        <w:kinsoku/>
        <w:wordWrap/>
        <w:overflowPunct/>
        <w:topLinePunct w:val="0"/>
        <w:autoSpaceDE/>
        <w:autoSpaceDN/>
        <w:bidi w:val="0"/>
        <w:adjustRightInd w:val="0"/>
        <w:snapToGrid w:val="0"/>
        <w:spacing w:line="360" w:lineRule="auto"/>
        <w:ind w:firstLine="480" w:firstLineChars="200"/>
        <w:textAlignment w:val="auto"/>
        <w:rPr>
          <w:rFonts w:hAnsi="宋体" w:cs="宋体"/>
          <w:b w:val="0"/>
          <w:bCs/>
          <w:sz w:val="24"/>
          <w:szCs w:val="24"/>
          <w:highlight w:val="none"/>
        </w:rPr>
      </w:pPr>
      <w:r>
        <w:rPr>
          <w:rFonts w:hint="eastAsia" w:hAnsi="宋体" w:cs="宋体"/>
          <w:b w:val="0"/>
          <w:bCs/>
          <w:sz w:val="24"/>
          <w:szCs w:val="24"/>
          <w:highlight w:val="none"/>
        </w:rPr>
        <w:t>(4)将中标项目转让给他人，或者在投标文件中未说明，且未经采购招标机构同意，将中标项目分包给他人；</w:t>
      </w:r>
    </w:p>
    <w:p>
      <w:pPr>
        <w:pStyle w:val="13"/>
        <w:pageBreakBefore w:val="0"/>
        <w:kinsoku/>
        <w:wordWrap/>
        <w:overflowPunct/>
        <w:topLinePunct w:val="0"/>
        <w:autoSpaceDE/>
        <w:autoSpaceDN/>
        <w:bidi w:val="0"/>
        <w:adjustRightInd w:val="0"/>
        <w:snapToGrid w:val="0"/>
        <w:spacing w:line="360" w:lineRule="auto"/>
        <w:ind w:firstLine="480" w:firstLineChars="200"/>
        <w:textAlignment w:val="auto"/>
        <w:rPr>
          <w:rFonts w:hAnsi="宋体" w:cs="宋体"/>
          <w:b w:val="0"/>
          <w:bCs/>
          <w:sz w:val="24"/>
          <w:szCs w:val="24"/>
          <w:highlight w:val="none"/>
        </w:rPr>
      </w:pPr>
      <w:r>
        <w:rPr>
          <w:rFonts w:hint="eastAsia" w:hAnsi="宋体" w:cs="宋体"/>
          <w:b w:val="0"/>
          <w:bCs/>
          <w:sz w:val="24"/>
          <w:szCs w:val="24"/>
          <w:highlight w:val="none"/>
        </w:rPr>
        <w:t>(5)拒绝履行合同义务的；</w:t>
      </w:r>
    </w:p>
    <w:p>
      <w:pPr>
        <w:pStyle w:val="13"/>
        <w:pageBreakBefore w:val="0"/>
        <w:kinsoku/>
        <w:wordWrap/>
        <w:overflowPunct/>
        <w:topLinePunct w:val="0"/>
        <w:autoSpaceDE/>
        <w:autoSpaceDN/>
        <w:bidi w:val="0"/>
        <w:adjustRightInd w:val="0"/>
        <w:snapToGrid w:val="0"/>
        <w:spacing w:line="360" w:lineRule="auto"/>
        <w:ind w:firstLine="480" w:firstLineChars="200"/>
        <w:textAlignment w:val="auto"/>
        <w:rPr>
          <w:rFonts w:hAnsi="宋体" w:cs="宋体"/>
          <w:b w:val="0"/>
          <w:bCs/>
          <w:sz w:val="24"/>
          <w:szCs w:val="24"/>
          <w:highlight w:val="none"/>
        </w:rPr>
      </w:pPr>
      <w:r>
        <w:rPr>
          <w:rFonts w:hint="eastAsia" w:hAnsi="宋体" w:cs="宋体"/>
          <w:b w:val="0"/>
          <w:bCs/>
          <w:sz w:val="24"/>
          <w:szCs w:val="24"/>
          <w:highlight w:val="none"/>
        </w:rPr>
        <w:t>(6)《政府采购法》第七十七条和《政府采购法实施条例》第七十二条规定的其他情形；</w:t>
      </w:r>
    </w:p>
    <w:p>
      <w:pPr>
        <w:pStyle w:val="13"/>
        <w:pageBreakBefore w:val="0"/>
        <w:kinsoku/>
        <w:wordWrap/>
        <w:overflowPunct/>
        <w:topLinePunct w:val="0"/>
        <w:autoSpaceDE/>
        <w:autoSpaceDN/>
        <w:bidi w:val="0"/>
        <w:adjustRightInd w:val="0"/>
        <w:snapToGrid w:val="0"/>
        <w:spacing w:line="360" w:lineRule="auto"/>
        <w:ind w:firstLine="480" w:firstLineChars="200"/>
        <w:textAlignment w:val="auto"/>
        <w:rPr>
          <w:rFonts w:hAnsi="宋体" w:cs="宋体"/>
          <w:b w:val="0"/>
          <w:bCs/>
          <w:sz w:val="24"/>
          <w:szCs w:val="24"/>
          <w:highlight w:val="none"/>
        </w:rPr>
      </w:pPr>
      <w:r>
        <w:rPr>
          <w:rFonts w:hint="eastAsia" w:hAnsi="宋体" w:cs="宋体"/>
          <w:b w:val="0"/>
          <w:bCs/>
          <w:sz w:val="24"/>
          <w:szCs w:val="24"/>
          <w:highlight w:val="none"/>
        </w:rPr>
        <w:t>(7)其他违反法律法规相关规定的情形。</w:t>
      </w:r>
    </w:p>
    <w:p>
      <w:pPr>
        <w:pStyle w:val="13"/>
        <w:pageBreakBefore w:val="0"/>
        <w:kinsoku/>
        <w:wordWrap/>
        <w:overflowPunct/>
        <w:topLinePunct w:val="0"/>
        <w:autoSpaceDE/>
        <w:autoSpaceDN/>
        <w:bidi w:val="0"/>
        <w:adjustRightInd w:val="0"/>
        <w:snapToGrid w:val="0"/>
        <w:spacing w:line="360" w:lineRule="auto"/>
        <w:textAlignment w:val="auto"/>
        <w:rPr>
          <w:rFonts w:hAnsi="宋体" w:cs="宋体"/>
          <w:b/>
          <w:bCs w:val="0"/>
          <w:sz w:val="24"/>
          <w:szCs w:val="24"/>
          <w:highlight w:val="none"/>
        </w:rPr>
      </w:pPr>
      <w:r>
        <w:rPr>
          <w:rFonts w:hint="eastAsia" w:hAnsi="宋体" w:cs="宋体"/>
          <w:b/>
          <w:bCs w:val="0"/>
          <w:sz w:val="24"/>
          <w:szCs w:val="24"/>
          <w:highlight w:val="none"/>
          <w:lang w:val="en-US" w:eastAsia="zh-CN"/>
        </w:rPr>
        <w:t>40</w:t>
      </w:r>
      <w:r>
        <w:rPr>
          <w:rFonts w:hint="eastAsia" w:hAnsi="宋体" w:cs="宋体"/>
          <w:b/>
          <w:bCs w:val="0"/>
          <w:sz w:val="24"/>
          <w:szCs w:val="24"/>
          <w:highlight w:val="none"/>
        </w:rPr>
        <w:t>其他规定。</w:t>
      </w:r>
    </w:p>
    <w:p>
      <w:pPr>
        <w:pStyle w:val="13"/>
        <w:pageBreakBefore w:val="0"/>
        <w:kinsoku/>
        <w:wordWrap/>
        <w:overflowPunct/>
        <w:topLinePunct w:val="0"/>
        <w:autoSpaceDE/>
        <w:autoSpaceDN/>
        <w:bidi w:val="0"/>
        <w:adjustRightInd w:val="0"/>
        <w:snapToGrid w:val="0"/>
        <w:spacing w:line="360" w:lineRule="auto"/>
        <w:ind w:firstLine="240" w:firstLineChars="100"/>
        <w:textAlignment w:val="auto"/>
        <w:rPr>
          <w:rFonts w:hAnsi="宋体" w:cs="宋体"/>
          <w:b w:val="0"/>
          <w:bCs/>
          <w:sz w:val="24"/>
          <w:szCs w:val="24"/>
          <w:highlight w:val="none"/>
        </w:rPr>
      </w:pPr>
      <w:r>
        <w:rPr>
          <w:rFonts w:hint="eastAsia" w:hAnsi="宋体" w:cs="宋体"/>
          <w:b w:val="0"/>
          <w:bCs/>
          <w:sz w:val="24"/>
          <w:szCs w:val="24"/>
          <w:highlight w:val="none"/>
          <w:lang w:val="en-US" w:eastAsia="zh-CN"/>
        </w:rPr>
        <w:t>40.1</w:t>
      </w:r>
      <w:r>
        <w:rPr>
          <w:rFonts w:hint="eastAsia" w:hAnsi="宋体" w:cs="宋体"/>
          <w:b w:val="0"/>
          <w:bCs/>
          <w:sz w:val="24"/>
          <w:szCs w:val="24"/>
          <w:highlight w:val="none"/>
        </w:rPr>
        <w:t>投标文件的其他规定见投标人须知前附表。</w:t>
      </w:r>
    </w:p>
    <w:p>
      <w:pPr>
        <w:pStyle w:val="13"/>
        <w:pageBreakBefore w:val="0"/>
        <w:kinsoku/>
        <w:wordWrap/>
        <w:overflowPunct/>
        <w:topLinePunct w:val="0"/>
        <w:autoSpaceDE/>
        <w:autoSpaceDN/>
        <w:bidi w:val="0"/>
        <w:adjustRightInd w:val="0"/>
        <w:snapToGrid w:val="0"/>
        <w:spacing w:line="360" w:lineRule="auto"/>
        <w:textAlignment w:val="auto"/>
        <w:rPr>
          <w:rFonts w:hAnsi="宋体" w:cs="宋体"/>
          <w:b/>
          <w:bCs w:val="0"/>
          <w:sz w:val="24"/>
          <w:szCs w:val="24"/>
          <w:highlight w:val="none"/>
        </w:rPr>
      </w:pPr>
      <w:r>
        <w:rPr>
          <w:rFonts w:hint="eastAsia" w:hAnsi="宋体" w:cs="宋体"/>
          <w:b/>
          <w:bCs w:val="0"/>
          <w:sz w:val="24"/>
          <w:szCs w:val="24"/>
          <w:highlight w:val="none"/>
          <w:lang w:val="en-US" w:eastAsia="zh-CN"/>
        </w:rPr>
        <w:t>41.</w:t>
      </w:r>
      <w:r>
        <w:rPr>
          <w:rFonts w:hint="eastAsia" w:hAnsi="宋体" w:cs="宋体"/>
          <w:b/>
          <w:bCs w:val="0"/>
          <w:sz w:val="24"/>
          <w:szCs w:val="24"/>
          <w:highlight w:val="none"/>
        </w:rPr>
        <w:t>未尽事宜</w:t>
      </w:r>
    </w:p>
    <w:p>
      <w:pPr>
        <w:pStyle w:val="13"/>
        <w:pageBreakBefore w:val="0"/>
        <w:kinsoku/>
        <w:wordWrap/>
        <w:overflowPunct/>
        <w:topLinePunct w:val="0"/>
        <w:autoSpaceDE/>
        <w:autoSpaceDN/>
        <w:bidi w:val="0"/>
        <w:adjustRightInd w:val="0"/>
        <w:snapToGrid w:val="0"/>
        <w:spacing w:line="360" w:lineRule="auto"/>
        <w:ind w:firstLine="240" w:firstLineChars="100"/>
        <w:textAlignment w:val="auto"/>
        <w:rPr>
          <w:rFonts w:hAnsi="宋体" w:cs="宋体"/>
          <w:b w:val="0"/>
          <w:bCs/>
          <w:sz w:val="24"/>
          <w:szCs w:val="24"/>
          <w:highlight w:val="none"/>
        </w:rPr>
      </w:pPr>
      <w:r>
        <w:rPr>
          <w:rFonts w:hint="eastAsia" w:hAnsi="宋体" w:eastAsia="宋体" w:cs="宋体"/>
          <w:b w:val="0"/>
          <w:bCs/>
          <w:sz w:val="24"/>
          <w:szCs w:val="24"/>
          <w:highlight w:val="none"/>
          <w:lang w:val="en-US" w:eastAsia="zh-CN"/>
        </w:rPr>
        <w:t>41.</w:t>
      </w:r>
      <w:r>
        <w:rPr>
          <w:rFonts w:hint="eastAsia" w:hAnsi="宋体" w:cs="宋体"/>
          <w:b w:val="0"/>
          <w:bCs/>
          <w:sz w:val="24"/>
          <w:szCs w:val="24"/>
          <w:highlight w:val="none"/>
        </w:rPr>
        <w:t>1其他未尽事宜按政府采购法律法规的规定执行。</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1"/>
        <w:rPr>
          <w:rFonts w:hint="eastAsia" w:ascii="宋体" w:hAnsi="宋体" w:eastAsia="宋体" w:cs="Times New Roman"/>
          <w:b/>
          <w:bCs/>
          <w:sz w:val="24"/>
          <w:szCs w:val="24"/>
          <w:highlight w:val="none"/>
          <w:lang w:val="en-US" w:eastAsia="zh-CN"/>
        </w:rPr>
      </w:pPr>
      <w:bookmarkStart w:id="28" w:name="_Toc114588050"/>
      <w:bookmarkStart w:id="29" w:name="_Toc6595"/>
      <w:bookmarkStart w:id="30" w:name="_Toc28020"/>
      <w:bookmarkStart w:id="31" w:name="_Toc114498904"/>
      <w:bookmarkStart w:id="32" w:name="_Toc22797"/>
      <w:bookmarkStart w:id="33" w:name="_Toc114498312"/>
      <w:bookmarkStart w:id="34" w:name="_Toc27560"/>
      <w:r>
        <w:rPr>
          <w:rFonts w:hint="eastAsia" w:ascii="宋体" w:hAnsi="宋体" w:eastAsia="宋体" w:cs="Times New Roman"/>
          <w:b/>
          <w:bCs/>
          <w:sz w:val="24"/>
          <w:szCs w:val="24"/>
          <w:highlight w:val="none"/>
          <w:lang w:val="en-US" w:eastAsia="zh-CN"/>
        </w:rPr>
        <w:t>八、需要落实的政府采购政策</w:t>
      </w:r>
      <w:bookmarkEnd w:id="28"/>
      <w:bookmarkEnd w:id="29"/>
      <w:bookmarkEnd w:id="30"/>
      <w:bookmarkEnd w:id="31"/>
      <w:bookmarkEnd w:id="32"/>
      <w:bookmarkEnd w:id="33"/>
      <w:bookmarkEnd w:id="34"/>
    </w:p>
    <w:p>
      <w:pPr>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Arial" w:cs="宋体"/>
          <w:b w:val="0"/>
          <w:bCs/>
          <w:snapToGrid w:val="0"/>
          <w:color w:val="000000"/>
          <w:kern w:val="0"/>
          <w:sz w:val="24"/>
          <w:szCs w:val="24"/>
          <w:highlight w:val="none"/>
          <w:lang w:val="en-US" w:eastAsia="zh-CN"/>
        </w:rPr>
      </w:pPr>
      <w:r>
        <w:rPr>
          <w:rFonts w:hint="eastAsia" w:ascii="宋体" w:hAnsi="宋体" w:eastAsia="Arial" w:cs="宋体"/>
          <w:b w:val="0"/>
          <w:bCs/>
          <w:snapToGrid w:val="0"/>
          <w:color w:val="000000"/>
          <w:kern w:val="0"/>
          <w:sz w:val="24"/>
          <w:szCs w:val="24"/>
          <w:highlight w:val="none"/>
          <w:lang w:val="en-US" w:eastAsia="zh-CN"/>
        </w:rPr>
        <w:t>42.1落实促进支持中小企业、监狱企业、残疾人福利性单位发展、脱贫攻坚工作的政策(如为专门面向中小企业的采购项目（或采购包），</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Arial" w:cs="宋体"/>
          <w:b w:val="0"/>
          <w:bCs/>
          <w:snapToGrid w:val="0"/>
          <w:color w:val="000000"/>
          <w:kern w:val="0"/>
          <w:sz w:val="24"/>
          <w:szCs w:val="24"/>
          <w:highlight w:val="none"/>
          <w:lang w:val="en-US" w:eastAsia="zh-CN"/>
        </w:rPr>
      </w:pPr>
      <w:r>
        <w:rPr>
          <w:rFonts w:hint="eastAsia" w:ascii="宋体" w:hAnsi="宋体" w:eastAsia="Arial" w:cs="宋体"/>
          <w:b w:val="0"/>
          <w:bCs/>
          <w:snapToGrid w:val="0"/>
          <w:color w:val="000000"/>
          <w:kern w:val="0"/>
          <w:sz w:val="24"/>
          <w:szCs w:val="24"/>
          <w:highlight w:val="none"/>
          <w:lang w:val="en-US" w:eastAsia="zh-CN"/>
        </w:rPr>
        <w:t>42.2《政府采购促进中小企业发展管理办法》（财库〔2020〕46号）</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Arial" w:cs="宋体"/>
          <w:b w:val="0"/>
          <w:bCs/>
          <w:snapToGrid w:val="0"/>
          <w:color w:val="000000"/>
          <w:kern w:val="0"/>
          <w:sz w:val="24"/>
          <w:szCs w:val="24"/>
          <w:highlight w:val="none"/>
          <w:lang w:val="en-US" w:eastAsia="zh-CN"/>
        </w:rPr>
      </w:pPr>
      <w:r>
        <w:rPr>
          <w:rFonts w:hint="eastAsia" w:ascii="宋体" w:hAnsi="宋体" w:eastAsia="Arial" w:cs="宋体"/>
          <w:b w:val="0"/>
          <w:bCs/>
          <w:snapToGrid w:val="0"/>
          <w:color w:val="000000"/>
          <w:kern w:val="0"/>
          <w:sz w:val="24"/>
          <w:szCs w:val="24"/>
          <w:highlight w:val="none"/>
          <w:lang w:val="en-US" w:eastAsia="zh-CN"/>
        </w:rPr>
        <w:t>在政府采购活动中，投标人提供的货物、工程或者服务符合下列情形的，享受《办法》规定的中小企业扶持政策:</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Arial" w:cs="宋体"/>
          <w:b w:val="0"/>
          <w:bCs/>
          <w:snapToGrid w:val="0"/>
          <w:color w:val="000000"/>
          <w:kern w:val="0"/>
          <w:sz w:val="24"/>
          <w:szCs w:val="24"/>
          <w:highlight w:val="none"/>
          <w:lang w:val="en-US" w:eastAsia="zh-CN"/>
        </w:rPr>
      </w:pPr>
      <w:r>
        <w:rPr>
          <w:rFonts w:hint="eastAsia" w:ascii="宋体" w:hAnsi="宋体" w:eastAsia="Arial" w:cs="宋体"/>
          <w:b w:val="0"/>
          <w:bCs/>
          <w:snapToGrid w:val="0"/>
          <w:color w:val="000000"/>
          <w:kern w:val="0"/>
          <w:sz w:val="24"/>
          <w:szCs w:val="24"/>
          <w:highlight w:val="none"/>
          <w:lang w:val="en-US" w:eastAsia="zh-CN"/>
        </w:rPr>
        <w:t>(1)在货物采购项目中，货物由中小企业制造，即货物由中小企业生产且使用该中小企业商号或者注册商标；</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Arial" w:cs="宋体"/>
          <w:b w:val="0"/>
          <w:bCs/>
          <w:snapToGrid w:val="0"/>
          <w:color w:val="000000"/>
          <w:kern w:val="0"/>
          <w:sz w:val="24"/>
          <w:szCs w:val="24"/>
          <w:highlight w:val="none"/>
          <w:lang w:val="en-US" w:eastAsia="zh-CN"/>
        </w:rPr>
      </w:pPr>
      <w:r>
        <w:rPr>
          <w:rFonts w:hint="eastAsia" w:ascii="宋体" w:hAnsi="宋体" w:eastAsia="Arial" w:cs="宋体"/>
          <w:b w:val="0"/>
          <w:bCs/>
          <w:snapToGrid w:val="0"/>
          <w:color w:val="000000"/>
          <w:kern w:val="0"/>
          <w:sz w:val="24"/>
          <w:szCs w:val="24"/>
          <w:highlight w:val="none"/>
          <w:lang w:val="en-US" w:eastAsia="zh-CN"/>
        </w:rPr>
        <w:t>(2)在工程采购项目中，工程由中小企业承建，即工程施工单位为中小企业；</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Arial" w:cs="宋体"/>
          <w:b w:val="0"/>
          <w:bCs/>
          <w:snapToGrid w:val="0"/>
          <w:color w:val="000000"/>
          <w:kern w:val="0"/>
          <w:sz w:val="24"/>
          <w:szCs w:val="24"/>
          <w:highlight w:val="none"/>
          <w:lang w:val="en-US" w:eastAsia="zh-CN"/>
        </w:rPr>
      </w:pPr>
      <w:r>
        <w:rPr>
          <w:rFonts w:hint="eastAsia" w:ascii="宋体" w:hAnsi="宋体" w:eastAsia="Arial" w:cs="宋体"/>
          <w:b w:val="0"/>
          <w:bCs/>
          <w:snapToGrid w:val="0"/>
          <w:color w:val="000000"/>
          <w:kern w:val="0"/>
          <w:sz w:val="24"/>
          <w:szCs w:val="24"/>
          <w:highlight w:val="none"/>
          <w:lang w:val="en-US" w:eastAsia="zh-CN"/>
        </w:rPr>
        <w:t>(3)在服务采购项目中，服务由中小企业承接，即提供服务的人员为中小企业依照《中华人民共和国劳动民法典》订立劳动合同的从业人员。</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Arial" w:cs="宋体"/>
          <w:b w:val="0"/>
          <w:bCs/>
          <w:snapToGrid w:val="0"/>
          <w:color w:val="000000"/>
          <w:kern w:val="0"/>
          <w:sz w:val="24"/>
          <w:szCs w:val="24"/>
          <w:highlight w:val="none"/>
          <w:lang w:val="en-US" w:eastAsia="zh-CN"/>
        </w:rPr>
      </w:pPr>
      <w:r>
        <w:rPr>
          <w:rFonts w:hint="eastAsia" w:ascii="宋体" w:hAnsi="宋体" w:eastAsia="Arial" w:cs="宋体"/>
          <w:b w:val="0"/>
          <w:bCs/>
          <w:snapToGrid w:val="0"/>
          <w:color w:val="000000"/>
          <w:kern w:val="0"/>
          <w:sz w:val="24"/>
          <w:szCs w:val="24"/>
          <w:highlight w:val="none"/>
          <w:lang w:val="en-US" w:eastAsia="zh-CN"/>
        </w:rPr>
        <w:t>在货物采购项目中，投标人提供的货物既有中小企业制造货物，也有大型企业制造货物的，不享受《办法》规定的中小企业扶持政策。</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Arial" w:cs="宋体"/>
          <w:b w:val="0"/>
          <w:bCs/>
          <w:snapToGrid w:val="0"/>
          <w:color w:val="000000"/>
          <w:kern w:val="0"/>
          <w:sz w:val="24"/>
          <w:szCs w:val="24"/>
          <w:highlight w:val="none"/>
          <w:lang w:val="en-US" w:eastAsia="zh-CN"/>
        </w:rPr>
      </w:pPr>
      <w:r>
        <w:rPr>
          <w:rFonts w:hint="eastAsia" w:ascii="宋体" w:hAnsi="宋体" w:eastAsia="Arial" w:cs="宋体"/>
          <w:b w:val="0"/>
          <w:bCs/>
          <w:snapToGrid w:val="0"/>
          <w:color w:val="000000"/>
          <w:kern w:val="0"/>
          <w:sz w:val="24"/>
          <w:szCs w:val="24"/>
          <w:highlight w:val="none"/>
          <w:lang w:val="en-US" w:eastAsia="zh-CN"/>
        </w:rPr>
        <w:t>以联合体形式参加政府采购活动，联合体各方均为中小企业的，联合体视同中小企业。其中，联合体各方均为小微企业的，联合体视同小微企业。</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Arial" w:cs="宋体"/>
          <w:b w:val="0"/>
          <w:bCs/>
          <w:snapToGrid w:val="0"/>
          <w:color w:val="000000"/>
          <w:kern w:val="0"/>
          <w:sz w:val="24"/>
          <w:szCs w:val="24"/>
          <w:highlight w:val="none"/>
          <w:lang w:val="en-US" w:eastAsia="zh-CN"/>
        </w:rPr>
      </w:pPr>
      <w:r>
        <w:rPr>
          <w:rFonts w:hint="eastAsia" w:ascii="宋体" w:hAnsi="宋体" w:eastAsia="Arial" w:cs="宋体"/>
          <w:b w:val="0"/>
          <w:bCs/>
          <w:snapToGrid w:val="0"/>
          <w:color w:val="000000"/>
          <w:kern w:val="0"/>
          <w:sz w:val="24"/>
          <w:szCs w:val="24"/>
          <w:highlight w:val="none"/>
          <w:lang w:val="en-US" w:eastAsia="zh-CN"/>
        </w:rPr>
        <w:t>依据《办法》规定享受扶持政策获得政府采购合同的，小微企业不得将合同分包给大中型企业，中型企业不得将合同分包给大型企业。</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Arial" w:cs="宋体"/>
          <w:b w:val="0"/>
          <w:bCs/>
          <w:snapToGrid w:val="0"/>
          <w:color w:val="000000"/>
          <w:kern w:val="0"/>
          <w:sz w:val="24"/>
          <w:szCs w:val="24"/>
          <w:highlight w:val="none"/>
          <w:lang w:val="en-US" w:eastAsia="zh-CN"/>
        </w:rPr>
      </w:pPr>
      <w:r>
        <w:rPr>
          <w:rFonts w:hint="eastAsia" w:ascii="宋体" w:hAnsi="宋体" w:eastAsia="Arial" w:cs="宋体"/>
          <w:b w:val="0"/>
          <w:bCs/>
          <w:snapToGrid w:val="0"/>
          <w:color w:val="000000"/>
          <w:kern w:val="0"/>
          <w:sz w:val="24"/>
          <w:szCs w:val="24"/>
          <w:highlight w:val="none"/>
          <w:lang w:val="en-US" w:eastAsia="zh-CN"/>
        </w:rPr>
        <w:t>根据《政府采购促进中小企业发展管理办法》的通知（财库〔2020〕46号）规定，参加政府采购活动的中小企业应当提供《中小企业声明函》。投标人提供的《中小企业声明函》原件必须真实，否则，按照有关规定予以处理。</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Arial" w:cs="宋体"/>
          <w:b w:val="0"/>
          <w:bCs/>
          <w:snapToGrid w:val="0"/>
          <w:color w:val="000000"/>
          <w:kern w:val="0"/>
          <w:sz w:val="24"/>
          <w:szCs w:val="24"/>
          <w:highlight w:val="none"/>
          <w:lang w:val="en-US" w:eastAsia="zh-CN"/>
        </w:rPr>
      </w:pPr>
      <w:r>
        <w:rPr>
          <w:rFonts w:hint="eastAsia" w:ascii="宋体" w:hAnsi="宋体" w:eastAsia="Arial" w:cs="宋体"/>
          <w:b w:val="0"/>
          <w:bCs/>
          <w:snapToGrid w:val="0"/>
          <w:color w:val="000000"/>
          <w:kern w:val="0"/>
          <w:sz w:val="24"/>
          <w:szCs w:val="24"/>
          <w:highlight w:val="none"/>
          <w:lang w:val="en-US" w:eastAsia="zh-CN"/>
        </w:rPr>
        <w:t>根据《政府采购促进中小企业发展管理办法》</w:t>
      </w:r>
      <w:r>
        <w:rPr>
          <w:rFonts w:hint="eastAsia" w:ascii="宋体" w:hAnsi="宋体" w:eastAsia="Arial" w:cs="宋体"/>
          <w:b w:val="0"/>
          <w:bCs/>
          <w:snapToGrid w:val="0"/>
          <w:color w:val="000000"/>
          <w:kern w:val="0"/>
          <w:sz w:val="24"/>
          <w:szCs w:val="24"/>
          <w:highlight w:val="none"/>
          <w:lang w:val="zh-CN" w:eastAsia="zh-CN"/>
        </w:rPr>
        <w:t>及《陕西省财政厅关于落实政府采购支持中小企业政策有关事项的通知》（陕财办采〔20</w:t>
      </w:r>
      <w:r>
        <w:rPr>
          <w:rFonts w:hint="eastAsia" w:ascii="宋体" w:hAnsi="宋体" w:eastAsia="Arial" w:cs="宋体"/>
          <w:b w:val="0"/>
          <w:bCs/>
          <w:snapToGrid w:val="0"/>
          <w:color w:val="000000"/>
          <w:kern w:val="0"/>
          <w:sz w:val="24"/>
          <w:szCs w:val="24"/>
          <w:highlight w:val="none"/>
          <w:lang w:val="en-US" w:eastAsia="zh-CN"/>
        </w:rPr>
        <w:t>22</w:t>
      </w:r>
      <w:r>
        <w:rPr>
          <w:rFonts w:hint="eastAsia" w:ascii="宋体" w:hAnsi="宋体" w:eastAsia="Arial" w:cs="宋体"/>
          <w:b w:val="0"/>
          <w:bCs/>
          <w:snapToGrid w:val="0"/>
          <w:color w:val="000000"/>
          <w:kern w:val="0"/>
          <w:sz w:val="24"/>
          <w:szCs w:val="24"/>
          <w:highlight w:val="none"/>
          <w:lang w:val="zh-CN" w:eastAsia="zh-CN"/>
        </w:rPr>
        <w:t>〕</w:t>
      </w:r>
      <w:r>
        <w:rPr>
          <w:rFonts w:hint="eastAsia" w:ascii="宋体" w:hAnsi="宋体" w:eastAsia="Arial" w:cs="宋体"/>
          <w:b w:val="0"/>
          <w:bCs/>
          <w:snapToGrid w:val="0"/>
          <w:color w:val="000000"/>
          <w:kern w:val="0"/>
          <w:sz w:val="24"/>
          <w:szCs w:val="24"/>
          <w:highlight w:val="none"/>
          <w:lang w:val="en-US" w:eastAsia="zh-CN"/>
        </w:rPr>
        <w:t>10</w:t>
      </w:r>
      <w:r>
        <w:rPr>
          <w:rFonts w:hint="eastAsia" w:ascii="宋体" w:hAnsi="宋体" w:eastAsia="Arial" w:cs="宋体"/>
          <w:b w:val="0"/>
          <w:bCs/>
          <w:snapToGrid w:val="0"/>
          <w:color w:val="000000"/>
          <w:kern w:val="0"/>
          <w:sz w:val="24"/>
          <w:szCs w:val="24"/>
          <w:highlight w:val="none"/>
          <w:lang w:val="zh-CN" w:eastAsia="zh-CN"/>
        </w:rPr>
        <w:t>号）</w:t>
      </w:r>
      <w:r>
        <w:rPr>
          <w:rFonts w:hint="eastAsia" w:ascii="宋体" w:hAnsi="宋体" w:eastAsia="Arial" w:cs="宋体"/>
          <w:b w:val="0"/>
          <w:bCs/>
          <w:snapToGrid w:val="0"/>
          <w:color w:val="000000"/>
          <w:kern w:val="0"/>
          <w:sz w:val="24"/>
          <w:szCs w:val="24"/>
          <w:highlight w:val="none"/>
          <w:lang w:val="en-US" w:eastAsia="zh-CN"/>
        </w:rPr>
        <w:t>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Arial" w:cs="宋体"/>
          <w:b w:val="0"/>
          <w:bCs/>
          <w:snapToGrid w:val="0"/>
          <w:color w:val="000000"/>
          <w:kern w:val="0"/>
          <w:sz w:val="24"/>
          <w:szCs w:val="24"/>
          <w:highlight w:val="none"/>
          <w:lang w:val="en-US" w:eastAsia="zh-CN"/>
        </w:rPr>
      </w:pPr>
      <w:r>
        <w:rPr>
          <w:rFonts w:hint="eastAsia" w:ascii="宋体" w:hAnsi="宋体" w:eastAsia="Arial" w:cs="宋体"/>
          <w:b w:val="0"/>
          <w:bCs/>
          <w:snapToGrid w:val="0"/>
          <w:color w:val="000000"/>
          <w:kern w:val="0"/>
          <w:sz w:val="24"/>
          <w:szCs w:val="24"/>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4-6%)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Arial" w:cs="宋体"/>
          <w:b w:val="0"/>
          <w:bCs/>
          <w:snapToGrid w:val="0"/>
          <w:color w:val="000000"/>
          <w:kern w:val="0"/>
          <w:sz w:val="24"/>
          <w:szCs w:val="24"/>
          <w:highlight w:val="none"/>
          <w:lang w:val="en-US" w:eastAsia="zh-CN"/>
        </w:rPr>
      </w:pPr>
      <w:r>
        <w:rPr>
          <w:rFonts w:hint="eastAsia" w:ascii="宋体" w:hAnsi="宋体" w:eastAsia="Arial" w:cs="宋体"/>
          <w:b w:val="0"/>
          <w:bCs/>
          <w:snapToGrid w:val="0"/>
          <w:color w:val="000000"/>
          <w:kern w:val="0"/>
          <w:sz w:val="24"/>
          <w:szCs w:val="24"/>
          <w:highlight w:val="none"/>
          <w:lang w:val="en-US" w:eastAsia="zh-CN"/>
        </w:rPr>
        <w:t>42.3 《财政部 司法部关于政府采购支持监狱企业发展有关问题的通知》（财库〔2014〕68号） 监狱企业参加政府采购活动时，应当提供由省级以上监狱管理局、戒毒管理局（含新疆生产建设兵团）出具的属于监狱企业的证明文件。在政府采购活动中，监狱企业视同小型、微型企业。</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Arial" w:cs="宋体"/>
          <w:b w:val="0"/>
          <w:bCs/>
          <w:snapToGrid w:val="0"/>
          <w:color w:val="000000"/>
          <w:kern w:val="0"/>
          <w:sz w:val="24"/>
          <w:szCs w:val="24"/>
          <w:highlight w:val="none"/>
          <w:lang w:val="en-US" w:eastAsia="zh-CN"/>
        </w:rPr>
      </w:pPr>
      <w:r>
        <w:rPr>
          <w:rFonts w:hint="eastAsia" w:ascii="宋体" w:hAnsi="宋体" w:eastAsia="Arial" w:cs="宋体"/>
          <w:b w:val="0"/>
          <w:bCs/>
          <w:snapToGrid w:val="0"/>
          <w:color w:val="000000"/>
          <w:kern w:val="0"/>
          <w:sz w:val="24"/>
          <w:szCs w:val="24"/>
          <w:highlight w:val="none"/>
          <w:lang w:val="en-US" w:eastAsia="zh-CN"/>
        </w:rPr>
        <w:t>42.4 《三部门联合发布关于促进残疾人就业政府采购政策的通知》（财库〔2017〕141号）；符合条件的残疾人福利性单位在参加政府采购活动时，应当提供本通知规定的《残疾人福利性单位声明函》，并对声明的真实性负责。在政府采购活动中，残疾人福利性单位视同小型、微型企业，享受预留份额。</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Arial" w:cs="宋体"/>
          <w:b w:val="0"/>
          <w:bCs/>
          <w:snapToGrid w:val="0"/>
          <w:color w:val="000000"/>
          <w:kern w:val="0"/>
          <w:sz w:val="24"/>
          <w:szCs w:val="24"/>
          <w:highlight w:val="none"/>
          <w:lang w:val="en-US" w:eastAsia="zh-CN"/>
        </w:rPr>
      </w:pPr>
      <w:r>
        <w:rPr>
          <w:rFonts w:hint="eastAsia" w:ascii="宋体" w:hAnsi="宋体" w:eastAsia="Arial" w:cs="宋体"/>
          <w:b w:val="0"/>
          <w:bCs/>
          <w:snapToGrid w:val="0"/>
          <w:color w:val="000000"/>
          <w:kern w:val="0"/>
          <w:sz w:val="24"/>
          <w:szCs w:val="24"/>
          <w:highlight w:val="none"/>
          <w:lang w:val="en-US" w:eastAsia="zh-CN"/>
        </w:rPr>
        <w:t>42.5.落实优先采购节能、环保产品的政策</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Arial" w:cs="宋体"/>
          <w:b w:val="0"/>
          <w:bCs/>
          <w:snapToGrid w:val="0"/>
          <w:color w:val="000000"/>
          <w:kern w:val="0"/>
          <w:sz w:val="24"/>
          <w:szCs w:val="24"/>
          <w:highlight w:val="none"/>
          <w:lang w:val="en-US" w:eastAsia="zh-CN"/>
        </w:rPr>
      </w:pPr>
      <w:r>
        <w:rPr>
          <w:rFonts w:hint="eastAsia" w:ascii="宋体" w:hAnsi="宋体" w:eastAsia="Arial" w:cs="宋体"/>
          <w:b w:val="0"/>
          <w:bCs/>
          <w:snapToGrid w:val="0"/>
          <w:color w:val="000000"/>
          <w:kern w:val="0"/>
          <w:sz w:val="24"/>
          <w:szCs w:val="24"/>
          <w:highlight w:val="none"/>
          <w:lang w:val="en-US" w:eastAsia="zh-CN"/>
        </w:rPr>
        <w:t>42.6 根据《财政部 国家发展改革委关于印发〈节能产品政府采购实施意见〉的通知》（财库〔2004〕185号）规定“政府采购属于节能产品品目清单的，在技术、服务等指标同等条件下，应当优先采购节能品目清单的节能产品。”</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Arial" w:cs="宋体"/>
          <w:b w:val="0"/>
          <w:bCs/>
          <w:snapToGrid w:val="0"/>
          <w:color w:val="000000"/>
          <w:kern w:val="0"/>
          <w:sz w:val="24"/>
          <w:szCs w:val="24"/>
          <w:highlight w:val="none"/>
          <w:lang w:val="en-US" w:eastAsia="zh-CN"/>
        </w:rPr>
      </w:pPr>
      <w:r>
        <w:rPr>
          <w:rFonts w:hint="eastAsia" w:ascii="宋体" w:hAnsi="宋体" w:eastAsia="Arial" w:cs="宋体"/>
          <w:b w:val="0"/>
          <w:bCs/>
          <w:snapToGrid w:val="0"/>
          <w:color w:val="000000"/>
          <w:kern w:val="0"/>
          <w:sz w:val="24"/>
          <w:szCs w:val="24"/>
          <w:highlight w:val="none"/>
          <w:lang w:val="en-US" w:eastAsia="zh-CN"/>
        </w:rPr>
        <w:t>42.7根据《财政部环保总局关于环境标志产品政府采购实施的意见》（财库〔2006〕90号）规定“采购人采购的产品属于环境标志产品政府采购清单中品目的，在性能、技术、服务等指标同等条件下，应当优先采购清单中的产品”。</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Arial" w:cs="宋体"/>
          <w:b w:val="0"/>
          <w:bCs/>
          <w:snapToGrid w:val="0"/>
          <w:color w:val="000000"/>
          <w:kern w:val="0"/>
          <w:sz w:val="24"/>
          <w:szCs w:val="24"/>
          <w:highlight w:val="none"/>
          <w:lang w:val="en-US" w:eastAsia="zh-CN"/>
        </w:rPr>
      </w:pPr>
      <w:r>
        <w:rPr>
          <w:rFonts w:hint="eastAsia" w:ascii="宋体" w:hAnsi="宋体" w:eastAsia="Arial" w:cs="宋体"/>
          <w:b w:val="0"/>
          <w:bCs/>
          <w:snapToGrid w:val="0"/>
          <w:color w:val="000000"/>
          <w:kern w:val="0"/>
          <w:sz w:val="24"/>
          <w:szCs w:val="24"/>
          <w:highlight w:val="none"/>
          <w:lang w:val="en-US" w:eastAsia="zh-CN"/>
        </w:rPr>
        <w:t>42.8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Arial" w:cs="宋体"/>
          <w:b w:val="0"/>
          <w:bCs/>
          <w:snapToGrid w:val="0"/>
          <w:color w:val="000000"/>
          <w:kern w:val="0"/>
          <w:sz w:val="24"/>
          <w:szCs w:val="24"/>
          <w:highlight w:val="none"/>
          <w:lang w:val="en-US" w:eastAsia="zh-CN"/>
        </w:rPr>
      </w:pPr>
      <w:r>
        <w:rPr>
          <w:rFonts w:hint="eastAsia" w:ascii="宋体" w:hAnsi="宋体" w:eastAsia="Arial" w:cs="宋体"/>
          <w:b w:val="0"/>
          <w:bCs/>
          <w:snapToGrid w:val="0"/>
          <w:color w:val="000000"/>
          <w:kern w:val="0"/>
          <w:sz w:val="24"/>
          <w:szCs w:val="24"/>
          <w:highlight w:val="none"/>
          <w:lang w:val="en-US" w:eastAsia="zh-CN"/>
        </w:rPr>
        <w:t>42.9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Arial" w:cs="宋体"/>
          <w:b w:val="0"/>
          <w:bCs/>
          <w:snapToGrid w:val="0"/>
          <w:color w:val="000000"/>
          <w:kern w:val="0"/>
          <w:sz w:val="24"/>
          <w:szCs w:val="24"/>
          <w:highlight w:val="none"/>
          <w:lang w:val="en-US" w:eastAsia="zh-CN"/>
        </w:rPr>
      </w:pPr>
      <w:r>
        <w:rPr>
          <w:rFonts w:hint="eastAsia" w:ascii="宋体" w:hAnsi="宋体" w:eastAsia="Arial" w:cs="宋体"/>
          <w:b w:val="0"/>
          <w:bCs/>
          <w:snapToGrid w:val="0"/>
          <w:color w:val="000000"/>
          <w:kern w:val="0"/>
          <w:sz w:val="24"/>
          <w:szCs w:val="24"/>
          <w:highlight w:val="none"/>
          <w:lang w:val="en-US" w:eastAsia="zh-CN"/>
        </w:rPr>
        <w:t>所有投标产品进入 “节能产品政府采购品目清单”的，应提供相关证书复印件，相关证书的颁发机构应来自《参与实施政府采购节能产品认证机构名录》。</w:t>
      </w:r>
    </w:p>
    <w:p>
      <w:pPr>
        <w:pageBreakBefore w:val="0"/>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Arial" w:cs="宋体"/>
          <w:b w:val="0"/>
          <w:bCs/>
          <w:snapToGrid w:val="0"/>
          <w:color w:val="000000"/>
          <w:kern w:val="0"/>
          <w:sz w:val="24"/>
          <w:szCs w:val="24"/>
          <w:highlight w:val="none"/>
          <w:lang w:val="en-US" w:eastAsia="zh-CN"/>
        </w:rPr>
      </w:pPr>
      <w:r>
        <w:rPr>
          <w:rFonts w:hint="eastAsia" w:ascii="宋体" w:hAnsi="宋体" w:eastAsia="Arial" w:cs="宋体"/>
          <w:b w:val="0"/>
          <w:bCs/>
          <w:snapToGrid w:val="0"/>
          <w:color w:val="000000"/>
          <w:kern w:val="0"/>
          <w:sz w:val="24"/>
          <w:szCs w:val="24"/>
          <w:highlight w:val="none"/>
          <w:lang w:val="en-US" w:eastAsia="zh-CN"/>
        </w:rPr>
        <w:t>所有投标产品进入“环境标志产品政府采购品目清单”的，应提供相关证书复印件，相关证书的颁发机构应来自《参与实施政府采购环境标志产品认证机构名录》。</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43.</w:t>
      </w:r>
      <w:r>
        <w:rPr>
          <w:rFonts w:hint="eastAsia" w:ascii="宋体" w:hAnsi="宋体" w:eastAsia="宋体" w:cs="宋体"/>
          <w:b/>
          <w:bCs/>
          <w:sz w:val="24"/>
          <w:szCs w:val="24"/>
          <w:highlight w:val="none"/>
        </w:rPr>
        <w:t>政府采购信用融资政策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（一）陕西省信用担保及信用融资政策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投标人在缴纳投标保证金及中标单位缴纳履约保证金时可自愿选择通过担保机构保函的形式缴纳；中标单位如果需要融资贷款服务的，可凭中标通知书、政府采购合同等相关资料，按照文件规定的程序申请办理，具体规定可登陆陕西省政府采购网(www.ccgp-shaanxi.gov.cn/)重要通知专栏中查询了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（二）西安市政府采购信用担保及信用融资政策（针对西安市本级项目）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为发挥政府采购促进中小企业发展的政策功能，西安市财政局制定了《西安市政府采购信用担保及信用融资工作实施方案（试行）》（市财发〔2014〕167），为参与西安市市级政府采购项目的投标人提供政府采购信用担保和融资服务，并按照程序确定了合作的担保机构和商业银行。投标人在缴纳投标保证金及中标单位缴纳履约保证金时可自愿选择通过担保机构保函的形式缴纳；中标单位如果需要融资贷款服务的，可凭中标通知书、政府采购合同等相关资料，按照实施方案规定的程序申请办理，具体规定可登陆西安政府采购网(www.xazfcg.gov.cn)重要通知专栏和西安市财政局网站(www.xaczj.gov.cn)政府采购专栏中查询了解。后附：西安市政府采购信用担保及信用融资合作机构联系名单</w:t>
      </w:r>
    </w:p>
    <w:tbl>
      <w:tblPr>
        <w:tblStyle w:val="22"/>
        <w:tblpPr w:leftFromText="180" w:rightFromText="180" w:vertAnchor="page" w:horzAnchor="page" w:tblpX="1654" w:tblpY="1655"/>
        <w:tblOverlap w:val="never"/>
        <w:tblW w:w="8697" w:type="dxa"/>
        <w:jc w:val="center"/>
        <w:tblLayout w:type="fixed"/>
        <w:tblCellMar>
          <w:top w:w="15" w:type="dxa"/>
          <w:left w:w="15" w:type="dxa"/>
          <w:bottom w:w="15" w:type="dxa"/>
          <w:right w:w="15" w:type="dxa"/>
        </w:tblCellMar>
      </w:tblPr>
      <w:tblGrid>
        <w:gridCol w:w="624"/>
        <w:gridCol w:w="1642"/>
        <w:gridCol w:w="1552"/>
        <w:gridCol w:w="938"/>
        <w:gridCol w:w="787"/>
        <w:gridCol w:w="2275"/>
        <w:gridCol w:w="879"/>
      </w:tblGrid>
      <w:tr>
        <w:tblPrEx>
          <w:tblCellMar>
            <w:top w:w="15" w:type="dxa"/>
            <w:left w:w="15" w:type="dxa"/>
            <w:bottom w:w="15" w:type="dxa"/>
            <w:right w:w="15" w:type="dxa"/>
          </w:tblCellMar>
        </w:tblPrEx>
        <w:trPr>
          <w:trHeight w:val="411"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Ansi="宋体" w:cs="宋体"/>
                <w:b/>
                <w:szCs w:val="21"/>
                <w:highlight w:val="none"/>
              </w:rPr>
            </w:pPr>
            <w:r>
              <w:rPr>
                <w:rFonts w:hint="eastAsia" w:hAnsi="宋体" w:cs="宋体"/>
                <w:b/>
                <w:szCs w:val="21"/>
                <w:highlight w:val="none"/>
                <w:lang w:bidi="ar"/>
              </w:rPr>
              <w:t>序号</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b/>
                <w:szCs w:val="21"/>
                <w:highlight w:val="none"/>
              </w:rPr>
            </w:pPr>
            <w:r>
              <w:rPr>
                <w:rFonts w:hint="eastAsia" w:hAnsi="宋体" w:cs="宋体"/>
                <w:b/>
                <w:szCs w:val="21"/>
                <w:highlight w:val="none"/>
                <w:lang w:bidi="ar"/>
              </w:rPr>
              <w:t>合作单位名称</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b/>
                <w:szCs w:val="21"/>
                <w:highlight w:val="none"/>
              </w:rPr>
            </w:pPr>
            <w:r>
              <w:rPr>
                <w:rFonts w:hint="eastAsia" w:hAnsi="宋体" w:cs="宋体"/>
                <w:b/>
                <w:szCs w:val="21"/>
                <w:highlight w:val="none"/>
                <w:lang w:bidi="ar"/>
              </w:rPr>
              <w:t>主办单位名称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b/>
                <w:szCs w:val="21"/>
                <w:highlight w:val="none"/>
              </w:rPr>
            </w:pPr>
            <w:r>
              <w:rPr>
                <w:rFonts w:hint="eastAsia" w:hAnsi="宋体" w:cs="宋体"/>
                <w:b/>
                <w:szCs w:val="21"/>
                <w:highlight w:val="none"/>
                <w:lang w:bidi="ar"/>
              </w:rPr>
              <w:t>联系部门</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b/>
                <w:szCs w:val="21"/>
                <w:highlight w:val="none"/>
              </w:rPr>
            </w:pPr>
            <w:r>
              <w:rPr>
                <w:rFonts w:hint="eastAsia" w:hAnsi="宋体" w:cs="宋体"/>
                <w:b/>
                <w:szCs w:val="21"/>
                <w:highlight w:val="none"/>
                <w:lang w:bidi="ar"/>
              </w:rPr>
              <w:t>联系人员</w:t>
            </w:r>
          </w:p>
        </w:tc>
        <w:tc>
          <w:tcPr>
            <w:tcW w:w="2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b/>
                <w:szCs w:val="21"/>
                <w:highlight w:val="none"/>
              </w:rPr>
            </w:pPr>
            <w:r>
              <w:rPr>
                <w:rFonts w:hint="eastAsia" w:hAnsi="宋体" w:cs="宋体"/>
                <w:b/>
                <w:szCs w:val="21"/>
                <w:highlight w:val="none"/>
                <w:lang w:bidi="ar"/>
              </w:rPr>
              <w:t>联系电话</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b/>
                <w:szCs w:val="21"/>
                <w:highlight w:val="none"/>
              </w:rPr>
            </w:pPr>
            <w:r>
              <w:rPr>
                <w:rFonts w:hint="eastAsia" w:hAnsi="宋体" w:cs="宋体"/>
                <w:b/>
                <w:szCs w:val="21"/>
                <w:highlight w:val="none"/>
                <w:lang w:bidi="ar"/>
              </w:rPr>
              <w:t>备注</w:t>
            </w:r>
          </w:p>
        </w:tc>
      </w:tr>
      <w:tr>
        <w:tblPrEx>
          <w:tblCellMar>
            <w:top w:w="15" w:type="dxa"/>
            <w:left w:w="15" w:type="dxa"/>
            <w:bottom w:w="15" w:type="dxa"/>
            <w:right w:w="15" w:type="dxa"/>
          </w:tblCellMar>
        </w:tblPrEx>
        <w:trPr>
          <w:trHeight w:val="605"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1</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西安投融资担保有限公司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西安投融资担保有限公司</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业务五部</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李晓</w:t>
            </w:r>
          </w:p>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何彦君</w:t>
            </w:r>
          </w:p>
          <w:p>
            <w:pPr>
              <w:widowControl/>
              <w:jc w:val="center"/>
              <w:textAlignment w:val="center"/>
              <w:rPr>
                <w:rFonts w:hAnsi="宋体" w:cs="宋体"/>
                <w:szCs w:val="21"/>
                <w:highlight w:val="none"/>
              </w:rPr>
            </w:pPr>
            <w:r>
              <w:rPr>
                <w:rFonts w:hint="eastAsia" w:hAnsi="宋体" w:cs="宋体"/>
                <w:szCs w:val="21"/>
                <w:highlight w:val="none"/>
                <w:lang w:bidi="ar"/>
              </w:rPr>
              <w:t>张华</w:t>
            </w:r>
          </w:p>
        </w:tc>
        <w:tc>
          <w:tcPr>
            <w:tcW w:w="2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88499422 13572821281</w:t>
            </w:r>
          </w:p>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88499422 13679255205</w:t>
            </w:r>
          </w:p>
          <w:p>
            <w:pPr>
              <w:widowControl/>
              <w:jc w:val="center"/>
              <w:textAlignment w:val="center"/>
              <w:rPr>
                <w:rFonts w:hAnsi="宋体" w:cs="宋体"/>
                <w:szCs w:val="21"/>
                <w:highlight w:val="none"/>
              </w:rPr>
            </w:pPr>
            <w:r>
              <w:rPr>
                <w:rFonts w:hint="eastAsia" w:hAnsi="宋体" w:cs="宋体"/>
                <w:szCs w:val="21"/>
                <w:highlight w:val="none"/>
                <w:lang w:bidi="ar"/>
              </w:rPr>
              <w:t>88499422 18220823060</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信用担保</w:t>
            </w:r>
          </w:p>
        </w:tc>
      </w:tr>
      <w:tr>
        <w:tblPrEx>
          <w:tblCellMar>
            <w:top w:w="15" w:type="dxa"/>
            <w:left w:w="15" w:type="dxa"/>
            <w:bottom w:w="15" w:type="dxa"/>
            <w:right w:w="15" w:type="dxa"/>
          </w:tblCellMar>
        </w:tblPrEx>
        <w:trPr>
          <w:trHeight w:val="605"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2</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陕西省信用再担保</w:t>
            </w:r>
          </w:p>
          <w:p>
            <w:pPr>
              <w:widowControl/>
              <w:jc w:val="center"/>
              <w:textAlignment w:val="center"/>
              <w:rPr>
                <w:rFonts w:hAnsi="宋体" w:cs="宋体"/>
                <w:szCs w:val="21"/>
                <w:highlight w:val="none"/>
              </w:rPr>
            </w:pPr>
            <w:r>
              <w:rPr>
                <w:rFonts w:hint="eastAsia" w:hAnsi="宋体" w:cs="宋体"/>
                <w:szCs w:val="21"/>
                <w:highlight w:val="none"/>
                <w:lang w:bidi="ar"/>
              </w:rPr>
              <w:t>有限责任公司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陕西省信用再担保</w:t>
            </w:r>
          </w:p>
          <w:p>
            <w:pPr>
              <w:widowControl/>
              <w:jc w:val="center"/>
              <w:textAlignment w:val="center"/>
              <w:rPr>
                <w:rFonts w:hAnsi="宋体" w:cs="宋体"/>
                <w:szCs w:val="21"/>
                <w:highlight w:val="none"/>
              </w:rPr>
            </w:pPr>
            <w:r>
              <w:rPr>
                <w:rFonts w:hint="eastAsia" w:hAnsi="宋体" w:cs="宋体"/>
                <w:szCs w:val="21"/>
                <w:highlight w:val="none"/>
                <w:lang w:bidi="ar"/>
              </w:rPr>
              <w:t>有限责任公司</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业务三部</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夏靖颜</w:t>
            </w:r>
          </w:p>
          <w:p>
            <w:pPr>
              <w:widowControl/>
              <w:jc w:val="center"/>
              <w:textAlignment w:val="center"/>
              <w:rPr>
                <w:rFonts w:hAnsi="宋体" w:cs="宋体"/>
                <w:szCs w:val="21"/>
                <w:highlight w:val="none"/>
              </w:rPr>
            </w:pPr>
            <w:r>
              <w:rPr>
                <w:rFonts w:hint="eastAsia" w:hAnsi="宋体" w:cs="宋体"/>
                <w:szCs w:val="21"/>
                <w:highlight w:val="none"/>
                <w:lang w:bidi="ar"/>
              </w:rPr>
              <w:t>朱筠祥</w:t>
            </w:r>
          </w:p>
        </w:tc>
        <w:tc>
          <w:tcPr>
            <w:tcW w:w="2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88606038-6027</w:t>
            </w:r>
          </w:p>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18591406320</w:t>
            </w:r>
          </w:p>
          <w:p>
            <w:pPr>
              <w:widowControl/>
              <w:jc w:val="center"/>
              <w:textAlignment w:val="center"/>
              <w:rPr>
                <w:rFonts w:hAnsi="宋体" w:cs="宋体"/>
                <w:szCs w:val="21"/>
                <w:highlight w:val="none"/>
              </w:rPr>
            </w:pPr>
            <w:r>
              <w:rPr>
                <w:rFonts w:hint="eastAsia" w:hAnsi="宋体" w:cs="宋体"/>
                <w:szCs w:val="21"/>
                <w:highlight w:val="none"/>
                <w:lang w:bidi="ar"/>
              </w:rPr>
              <w:t>18629282228</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信用担保</w:t>
            </w:r>
          </w:p>
        </w:tc>
      </w:tr>
      <w:tr>
        <w:tblPrEx>
          <w:tblCellMar>
            <w:top w:w="15" w:type="dxa"/>
            <w:left w:w="15" w:type="dxa"/>
            <w:bottom w:w="15" w:type="dxa"/>
            <w:right w:w="15" w:type="dxa"/>
          </w:tblCellMar>
        </w:tblPrEx>
        <w:trPr>
          <w:trHeight w:val="411"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3</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中国银行股份有限公司陕西省分行</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中国银行西安二环世纪星支行</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公司业务部</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 xml:space="preserve">胡涛 </w:t>
            </w:r>
          </w:p>
          <w:p>
            <w:pPr>
              <w:widowControl/>
              <w:jc w:val="center"/>
              <w:textAlignment w:val="center"/>
              <w:rPr>
                <w:rFonts w:hAnsi="宋体" w:cs="宋体"/>
                <w:szCs w:val="21"/>
                <w:highlight w:val="none"/>
              </w:rPr>
            </w:pPr>
            <w:r>
              <w:rPr>
                <w:rFonts w:hint="eastAsia" w:hAnsi="宋体" w:cs="宋体"/>
                <w:szCs w:val="21"/>
                <w:highlight w:val="none"/>
                <w:lang w:bidi="ar"/>
              </w:rPr>
              <w:t>叶楚沙</w:t>
            </w:r>
          </w:p>
        </w:tc>
        <w:tc>
          <w:tcPr>
            <w:tcW w:w="2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88360743 18629048822</w:t>
            </w:r>
          </w:p>
          <w:p>
            <w:pPr>
              <w:widowControl/>
              <w:jc w:val="center"/>
              <w:textAlignment w:val="center"/>
              <w:rPr>
                <w:rFonts w:hAnsi="宋体" w:cs="宋体"/>
                <w:szCs w:val="21"/>
                <w:highlight w:val="none"/>
              </w:rPr>
            </w:pPr>
            <w:r>
              <w:rPr>
                <w:rFonts w:hint="eastAsia" w:hAnsi="宋体" w:cs="宋体"/>
                <w:szCs w:val="21"/>
                <w:highlight w:val="none"/>
                <w:lang w:bidi="ar"/>
              </w:rPr>
              <w:t>88360749 13772153612</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信用融资</w:t>
            </w:r>
          </w:p>
        </w:tc>
      </w:tr>
      <w:tr>
        <w:tblPrEx>
          <w:tblCellMar>
            <w:top w:w="15" w:type="dxa"/>
            <w:left w:w="15" w:type="dxa"/>
            <w:bottom w:w="15" w:type="dxa"/>
            <w:right w:w="15" w:type="dxa"/>
          </w:tblCellMar>
        </w:tblPrEx>
        <w:trPr>
          <w:trHeight w:val="605"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4</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中国建设银行股份有限公司陕西省分行</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建设银行西安市南大街支行</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公司部</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杨向晖</w:t>
            </w:r>
          </w:p>
        </w:tc>
        <w:tc>
          <w:tcPr>
            <w:tcW w:w="2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87281468</w:t>
            </w:r>
          </w:p>
          <w:p>
            <w:pPr>
              <w:widowControl/>
              <w:jc w:val="center"/>
              <w:textAlignment w:val="center"/>
              <w:rPr>
                <w:rFonts w:hAnsi="宋体" w:cs="宋体"/>
                <w:szCs w:val="21"/>
                <w:highlight w:val="none"/>
              </w:rPr>
            </w:pPr>
            <w:r>
              <w:rPr>
                <w:rFonts w:hint="eastAsia" w:hAnsi="宋体" w:cs="宋体"/>
                <w:szCs w:val="21"/>
                <w:highlight w:val="none"/>
                <w:lang w:bidi="ar"/>
              </w:rPr>
              <w:t>13379229383</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信用融资</w:t>
            </w:r>
          </w:p>
        </w:tc>
      </w:tr>
      <w:tr>
        <w:tblPrEx>
          <w:tblCellMar>
            <w:top w:w="15" w:type="dxa"/>
            <w:left w:w="15" w:type="dxa"/>
            <w:bottom w:w="15" w:type="dxa"/>
            <w:right w:w="15" w:type="dxa"/>
          </w:tblCellMar>
        </w:tblPrEx>
        <w:trPr>
          <w:trHeight w:val="605"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5</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中国工商银行股份有限公司陕西省分行营业部</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工商银行陕西分行营业部</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小企业金融业务部</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牛国群</w:t>
            </w:r>
          </w:p>
          <w:p>
            <w:pPr>
              <w:widowControl/>
              <w:jc w:val="center"/>
              <w:textAlignment w:val="center"/>
              <w:rPr>
                <w:rFonts w:hAnsi="宋体" w:cs="宋体"/>
                <w:szCs w:val="21"/>
                <w:highlight w:val="none"/>
              </w:rPr>
            </w:pPr>
            <w:r>
              <w:rPr>
                <w:rFonts w:hint="eastAsia" w:hAnsi="宋体" w:cs="宋体"/>
                <w:szCs w:val="21"/>
                <w:highlight w:val="none"/>
                <w:lang w:bidi="ar"/>
              </w:rPr>
              <w:t>张航</w:t>
            </w:r>
          </w:p>
        </w:tc>
        <w:tc>
          <w:tcPr>
            <w:tcW w:w="2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87609569 18992851811</w:t>
            </w:r>
          </w:p>
          <w:p>
            <w:pPr>
              <w:widowControl/>
              <w:jc w:val="center"/>
              <w:textAlignment w:val="center"/>
              <w:rPr>
                <w:rFonts w:hAnsi="宋体" w:cs="宋体"/>
                <w:szCs w:val="21"/>
                <w:highlight w:val="none"/>
              </w:rPr>
            </w:pPr>
            <w:r>
              <w:rPr>
                <w:rFonts w:hint="eastAsia" w:hAnsi="宋体" w:cs="宋体"/>
                <w:szCs w:val="21"/>
                <w:highlight w:val="none"/>
                <w:lang w:bidi="ar"/>
              </w:rPr>
              <w:t>87609761 13891883334</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信用融资</w:t>
            </w:r>
          </w:p>
        </w:tc>
      </w:tr>
      <w:tr>
        <w:tblPrEx>
          <w:tblCellMar>
            <w:top w:w="15" w:type="dxa"/>
            <w:left w:w="15" w:type="dxa"/>
            <w:bottom w:w="15" w:type="dxa"/>
            <w:right w:w="15" w:type="dxa"/>
          </w:tblCellMar>
        </w:tblPrEx>
        <w:trPr>
          <w:trHeight w:val="605"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6</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中国农业银行股份有限公司陕西省分行营业部</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农业银行西安西大街支行</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公司业务部</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贾珊</w:t>
            </w:r>
          </w:p>
          <w:p>
            <w:pPr>
              <w:widowControl/>
              <w:jc w:val="center"/>
              <w:textAlignment w:val="center"/>
              <w:rPr>
                <w:rFonts w:hAnsi="宋体" w:cs="宋体"/>
                <w:szCs w:val="21"/>
                <w:highlight w:val="none"/>
              </w:rPr>
            </w:pPr>
            <w:r>
              <w:rPr>
                <w:rFonts w:hint="eastAsia" w:hAnsi="宋体" w:cs="宋体"/>
                <w:szCs w:val="21"/>
                <w:highlight w:val="none"/>
                <w:lang w:bidi="ar"/>
              </w:rPr>
              <w:t>高雅</w:t>
            </w:r>
          </w:p>
        </w:tc>
        <w:tc>
          <w:tcPr>
            <w:tcW w:w="2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87617245 13891957123</w:t>
            </w:r>
          </w:p>
          <w:p>
            <w:pPr>
              <w:widowControl/>
              <w:jc w:val="center"/>
              <w:textAlignment w:val="center"/>
              <w:rPr>
                <w:rFonts w:hAnsi="宋体" w:cs="宋体"/>
                <w:szCs w:val="21"/>
                <w:highlight w:val="none"/>
              </w:rPr>
            </w:pPr>
            <w:r>
              <w:rPr>
                <w:rFonts w:hint="eastAsia" w:hAnsi="宋体" w:cs="宋体"/>
                <w:szCs w:val="21"/>
                <w:highlight w:val="none"/>
                <w:lang w:bidi="ar"/>
              </w:rPr>
              <w:t>87613444 13659192425</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信用融资</w:t>
            </w:r>
          </w:p>
        </w:tc>
      </w:tr>
      <w:tr>
        <w:tblPrEx>
          <w:tblCellMar>
            <w:top w:w="15" w:type="dxa"/>
            <w:left w:w="15" w:type="dxa"/>
            <w:bottom w:w="15" w:type="dxa"/>
            <w:right w:w="15" w:type="dxa"/>
          </w:tblCellMar>
        </w:tblPrEx>
        <w:trPr>
          <w:trHeight w:val="411"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7</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交通银行股份有限公司陕西省分行</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交通银行西安西五路支行</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个人贷款中心</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李卫公</w:t>
            </w:r>
          </w:p>
          <w:p>
            <w:pPr>
              <w:widowControl/>
              <w:jc w:val="center"/>
              <w:textAlignment w:val="center"/>
              <w:rPr>
                <w:rFonts w:hAnsi="宋体" w:cs="宋体"/>
                <w:szCs w:val="21"/>
                <w:highlight w:val="none"/>
              </w:rPr>
            </w:pPr>
            <w:r>
              <w:rPr>
                <w:rFonts w:hint="eastAsia" w:hAnsi="宋体" w:cs="宋体"/>
                <w:szCs w:val="21"/>
                <w:highlight w:val="none"/>
                <w:lang w:bidi="ar"/>
              </w:rPr>
              <w:t>雷强</w:t>
            </w:r>
          </w:p>
        </w:tc>
        <w:tc>
          <w:tcPr>
            <w:tcW w:w="2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87297632 13991290525</w:t>
            </w:r>
          </w:p>
          <w:p>
            <w:pPr>
              <w:widowControl/>
              <w:jc w:val="center"/>
              <w:textAlignment w:val="center"/>
              <w:rPr>
                <w:rFonts w:hAnsi="宋体" w:cs="宋体"/>
                <w:szCs w:val="21"/>
                <w:highlight w:val="none"/>
              </w:rPr>
            </w:pPr>
            <w:r>
              <w:rPr>
                <w:rFonts w:hint="eastAsia" w:hAnsi="宋体" w:cs="宋体"/>
                <w:szCs w:val="21"/>
                <w:highlight w:val="none"/>
                <w:lang w:bidi="ar"/>
              </w:rPr>
              <w:t>87272444 18629362690</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信用融资</w:t>
            </w:r>
          </w:p>
        </w:tc>
      </w:tr>
      <w:tr>
        <w:tblPrEx>
          <w:tblCellMar>
            <w:top w:w="15" w:type="dxa"/>
            <w:left w:w="15" w:type="dxa"/>
            <w:bottom w:w="15" w:type="dxa"/>
            <w:right w:w="15" w:type="dxa"/>
          </w:tblCellMar>
        </w:tblPrEx>
        <w:trPr>
          <w:trHeight w:val="411"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8</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招商银行股份有限公司西安分行</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招商银行西安未央路支行</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公司银行部</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杨皓</w:t>
            </w:r>
          </w:p>
          <w:p>
            <w:pPr>
              <w:widowControl/>
              <w:jc w:val="center"/>
              <w:textAlignment w:val="center"/>
              <w:rPr>
                <w:rFonts w:hAnsi="宋体" w:cs="宋体"/>
                <w:szCs w:val="21"/>
                <w:highlight w:val="none"/>
              </w:rPr>
            </w:pPr>
            <w:r>
              <w:rPr>
                <w:rFonts w:hint="eastAsia" w:hAnsi="宋体" w:cs="宋体"/>
                <w:szCs w:val="21"/>
                <w:highlight w:val="none"/>
                <w:lang w:bidi="ar"/>
              </w:rPr>
              <w:t>马秦香</w:t>
            </w:r>
          </w:p>
        </w:tc>
        <w:tc>
          <w:tcPr>
            <w:tcW w:w="2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62811553 15002905553</w:t>
            </w:r>
          </w:p>
          <w:p>
            <w:pPr>
              <w:widowControl/>
              <w:jc w:val="center"/>
              <w:textAlignment w:val="center"/>
              <w:rPr>
                <w:rFonts w:hAnsi="宋体" w:cs="宋体"/>
                <w:szCs w:val="21"/>
                <w:highlight w:val="none"/>
              </w:rPr>
            </w:pPr>
            <w:r>
              <w:rPr>
                <w:rFonts w:hint="eastAsia" w:hAnsi="宋体" w:cs="宋体"/>
                <w:szCs w:val="21"/>
                <w:highlight w:val="none"/>
                <w:lang w:bidi="ar"/>
              </w:rPr>
              <w:t>62811553 13609183259</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信用融资</w:t>
            </w:r>
          </w:p>
        </w:tc>
      </w:tr>
      <w:tr>
        <w:tblPrEx>
          <w:tblCellMar>
            <w:top w:w="15" w:type="dxa"/>
            <w:left w:w="15" w:type="dxa"/>
            <w:bottom w:w="15" w:type="dxa"/>
            <w:right w:w="15" w:type="dxa"/>
          </w:tblCellMar>
        </w:tblPrEx>
        <w:trPr>
          <w:trHeight w:val="411"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9</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中国民生银行股份有限公司西安分行</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民生银行西安分行</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城建金融部</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李楠</w:t>
            </w:r>
          </w:p>
        </w:tc>
        <w:tc>
          <w:tcPr>
            <w:tcW w:w="2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88266088-8450</w:t>
            </w:r>
          </w:p>
          <w:p>
            <w:pPr>
              <w:widowControl/>
              <w:jc w:val="center"/>
              <w:textAlignment w:val="center"/>
              <w:rPr>
                <w:rFonts w:hAnsi="宋体" w:cs="宋体"/>
                <w:szCs w:val="21"/>
                <w:highlight w:val="none"/>
              </w:rPr>
            </w:pPr>
            <w:r>
              <w:rPr>
                <w:rFonts w:hint="eastAsia" w:hAnsi="宋体" w:cs="宋体"/>
                <w:szCs w:val="21"/>
                <w:highlight w:val="none"/>
                <w:lang w:bidi="ar"/>
              </w:rPr>
              <w:t>13572058213</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信用融资</w:t>
            </w:r>
          </w:p>
        </w:tc>
      </w:tr>
      <w:tr>
        <w:tblPrEx>
          <w:tblCellMar>
            <w:top w:w="15" w:type="dxa"/>
            <w:left w:w="15" w:type="dxa"/>
            <w:bottom w:w="15" w:type="dxa"/>
            <w:right w:w="15" w:type="dxa"/>
          </w:tblCellMar>
        </w:tblPrEx>
        <w:trPr>
          <w:trHeight w:val="411"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10</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中国光大银行股份有限公司西安分行</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光大银行经济技术开发区支行</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对公客户经理部</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高艺瑄</w:t>
            </w:r>
          </w:p>
        </w:tc>
        <w:tc>
          <w:tcPr>
            <w:tcW w:w="2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15619006186</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信用融资</w:t>
            </w:r>
          </w:p>
        </w:tc>
      </w:tr>
      <w:tr>
        <w:tblPrEx>
          <w:tblCellMar>
            <w:top w:w="15" w:type="dxa"/>
            <w:left w:w="15" w:type="dxa"/>
            <w:bottom w:w="15" w:type="dxa"/>
            <w:right w:w="15" w:type="dxa"/>
          </w:tblCellMar>
        </w:tblPrEx>
        <w:trPr>
          <w:trHeight w:val="411"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11</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昆仑银行股份有限公司西安分行</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昆仑银行西安分行</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机构投行部</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韩天清</w:t>
            </w:r>
          </w:p>
        </w:tc>
        <w:tc>
          <w:tcPr>
            <w:tcW w:w="2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86978975</w:t>
            </w:r>
          </w:p>
          <w:p>
            <w:pPr>
              <w:widowControl/>
              <w:jc w:val="center"/>
              <w:textAlignment w:val="center"/>
              <w:rPr>
                <w:rFonts w:hAnsi="宋体" w:cs="宋体"/>
                <w:szCs w:val="21"/>
                <w:highlight w:val="none"/>
              </w:rPr>
            </w:pPr>
            <w:r>
              <w:rPr>
                <w:rFonts w:hint="eastAsia" w:hAnsi="宋体" w:cs="宋体"/>
                <w:szCs w:val="21"/>
                <w:highlight w:val="none"/>
                <w:lang w:bidi="ar"/>
              </w:rPr>
              <w:t>15609108028</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信用融资</w:t>
            </w:r>
          </w:p>
        </w:tc>
      </w:tr>
      <w:tr>
        <w:tblPrEx>
          <w:tblCellMar>
            <w:top w:w="15" w:type="dxa"/>
            <w:left w:w="15" w:type="dxa"/>
            <w:bottom w:w="15" w:type="dxa"/>
            <w:right w:w="15" w:type="dxa"/>
          </w:tblCellMar>
        </w:tblPrEx>
        <w:trPr>
          <w:trHeight w:val="411"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12</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平安银行股份有限公司西安分行</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平安银行西安分行</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业务发展七部</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祝捷</w:t>
            </w:r>
          </w:p>
          <w:p>
            <w:pPr>
              <w:widowControl/>
              <w:jc w:val="center"/>
              <w:textAlignment w:val="center"/>
              <w:rPr>
                <w:rFonts w:hAnsi="宋体" w:cs="宋体"/>
                <w:szCs w:val="21"/>
                <w:highlight w:val="none"/>
              </w:rPr>
            </w:pPr>
            <w:r>
              <w:rPr>
                <w:rFonts w:hint="eastAsia" w:hAnsi="宋体" w:cs="宋体"/>
                <w:szCs w:val="21"/>
                <w:highlight w:val="none"/>
                <w:lang w:bidi="ar"/>
              </w:rPr>
              <w:t>王尧</w:t>
            </w:r>
          </w:p>
        </w:tc>
        <w:tc>
          <w:tcPr>
            <w:tcW w:w="2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18629505188</w:t>
            </w:r>
          </w:p>
          <w:p>
            <w:pPr>
              <w:widowControl/>
              <w:jc w:val="center"/>
              <w:textAlignment w:val="center"/>
              <w:rPr>
                <w:rFonts w:hAnsi="宋体" w:cs="宋体"/>
                <w:szCs w:val="21"/>
                <w:highlight w:val="none"/>
              </w:rPr>
            </w:pPr>
            <w:r>
              <w:rPr>
                <w:rFonts w:hint="eastAsia" w:hAnsi="宋体" w:cs="宋体"/>
                <w:szCs w:val="21"/>
                <w:highlight w:val="none"/>
                <w:lang w:bidi="ar"/>
              </w:rPr>
              <w:t>18591767577</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信用融资</w:t>
            </w:r>
          </w:p>
        </w:tc>
      </w:tr>
      <w:tr>
        <w:tblPrEx>
          <w:tblCellMar>
            <w:top w:w="15" w:type="dxa"/>
            <w:left w:w="15" w:type="dxa"/>
            <w:bottom w:w="15" w:type="dxa"/>
            <w:right w:w="15" w:type="dxa"/>
          </w:tblCellMar>
        </w:tblPrEx>
        <w:trPr>
          <w:trHeight w:val="411"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13</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北京银行股份有限公司西安分行</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北京银行西安分行</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营业部</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范诗阳</w:t>
            </w:r>
          </w:p>
          <w:p>
            <w:pPr>
              <w:widowControl/>
              <w:jc w:val="center"/>
              <w:textAlignment w:val="center"/>
              <w:rPr>
                <w:rFonts w:hAnsi="宋体" w:cs="宋体"/>
                <w:szCs w:val="21"/>
                <w:highlight w:val="none"/>
              </w:rPr>
            </w:pPr>
            <w:r>
              <w:rPr>
                <w:rFonts w:hint="eastAsia" w:hAnsi="宋体" w:cs="宋体"/>
                <w:szCs w:val="21"/>
                <w:highlight w:val="none"/>
                <w:lang w:bidi="ar"/>
              </w:rPr>
              <w:t>曹英</w:t>
            </w:r>
          </w:p>
        </w:tc>
        <w:tc>
          <w:tcPr>
            <w:tcW w:w="2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13991945764</w:t>
            </w:r>
          </w:p>
          <w:p>
            <w:pPr>
              <w:widowControl/>
              <w:jc w:val="center"/>
              <w:textAlignment w:val="center"/>
              <w:rPr>
                <w:rFonts w:hAnsi="宋体" w:cs="宋体"/>
                <w:szCs w:val="21"/>
                <w:highlight w:val="none"/>
              </w:rPr>
            </w:pPr>
            <w:r>
              <w:rPr>
                <w:rFonts w:hint="eastAsia" w:hAnsi="宋体" w:cs="宋体"/>
                <w:szCs w:val="21"/>
                <w:highlight w:val="none"/>
                <w:lang w:bidi="ar"/>
              </w:rPr>
              <w:t>18691892195</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信用融资</w:t>
            </w:r>
          </w:p>
        </w:tc>
      </w:tr>
      <w:tr>
        <w:tblPrEx>
          <w:tblCellMar>
            <w:top w:w="15" w:type="dxa"/>
            <w:left w:w="15" w:type="dxa"/>
            <w:bottom w:w="15" w:type="dxa"/>
            <w:right w:w="15" w:type="dxa"/>
          </w:tblCellMar>
        </w:tblPrEx>
        <w:trPr>
          <w:trHeight w:val="417"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14</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兴业银行股份有限公司西安分行</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兴业银行西安分行</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新城业务总部</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徐常磊</w:t>
            </w:r>
          </w:p>
          <w:p>
            <w:pPr>
              <w:widowControl/>
              <w:jc w:val="center"/>
              <w:textAlignment w:val="center"/>
              <w:rPr>
                <w:rFonts w:hAnsi="宋体" w:cs="宋体"/>
                <w:szCs w:val="21"/>
                <w:highlight w:val="none"/>
              </w:rPr>
            </w:pPr>
            <w:r>
              <w:rPr>
                <w:rFonts w:hint="eastAsia" w:hAnsi="宋体" w:cs="宋体"/>
                <w:szCs w:val="21"/>
                <w:highlight w:val="none"/>
                <w:lang w:bidi="ar"/>
              </w:rPr>
              <w:t>鲁旸</w:t>
            </w:r>
          </w:p>
        </w:tc>
        <w:tc>
          <w:tcPr>
            <w:tcW w:w="2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eastAsia="宋体" w:cs="宋体"/>
                <w:szCs w:val="21"/>
                <w:highlight w:val="none"/>
                <w:lang w:eastAsia="zh-CN" w:bidi="ar"/>
              </w:rPr>
            </w:pPr>
            <w:r>
              <w:rPr>
                <w:rFonts w:hint="eastAsia" w:hAnsi="宋体" w:cs="宋体"/>
                <w:szCs w:val="21"/>
                <w:highlight w:val="none"/>
                <w:lang w:bidi="ar"/>
              </w:rPr>
              <w:t>15991623666</w:t>
            </w:r>
          </w:p>
          <w:p>
            <w:pPr>
              <w:widowControl/>
              <w:jc w:val="center"/>
              <w:textAlignment w:val="center"/>
              <w:rPr>
                <w:rFonts w:hAnsi="宋体" w:cs="宋体"/>
                <w:szCs w:val="21"/>
                <w:highlight w:val="none"/>
              </w:rPr>
            </w:pPr>
            <w:r>
              <w:rPr>
                <w:rFonts w:hint="eastAsia" w:hAnsi="宋体" w:cs="宋体"/>
                <w:szCs w:val="21"/>
                <w:highlight w:val="none"/>
                <w:lang w:bidi="ar"/>
              </w:rPr>
              <w:t>15389081886</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Ansi="宋体" w:cs="宋体"/>
                <w:szCs w:val="21"/>
                <w:highlight w:val="none"/>
              </w:rPr>
            </w:pPr>
            <w:r>
              <w:rPr>
                <w:rFonts w:hint="eastAsia" w:hAnsi="宋体" w:cs="宋体"/>
                <w:szCs w:val="21"/>
                <w:highlight w:val="none"/>
                <w:lang w:bidi="ar"/>
              </w:rPr>
              <w:t>信用融资</w:t>
            </w: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sz w:val="24"/>
          <w:szCs w:val="24"/>
          <w:highlight w:val="none"/>
        </w:rPr>
      </w:pPr>
    </w:p>
    <w:p>
      <w:pPr>
        <w:rPr>
          <w:highlight w:val="none"/>
        </w:rPr>
      </w:pPr>
    </w:p>
    <w:p>
      <w:pPr>
        <w:jc w:val="center"/>
        <w:outlineLvl w:val="0"/>
        <w:rPr>
          <w:rFonts w:cs="Times New Roman"/>
          <w:b/>
          <w:sz w:val="36"/>
          <w:szCs w:val="36"/>
          <w:highlight w:val="none"/>
        </w:rPr>
      </w:pPr>
      <w:bookmarkStart w:id="35" w:name="_bookmark3"/>
      <w:bookmarkEnd w:id="35"/>
      <w:bookmarkStart w:id="36" w:name="_Toc23460"/>
      <w:bookmarkStart w:id="37" w:name="_Toc6983"/>
      <w:bookmarkStart w:id="38" w:name="_Toc15509"/>
      <w:bookmarkStart w:id="39" w:name="_Toc5286"/>
      <w:bookmarkStart w:id="40" w:name="_Toc12787"/>
      <w:r>
        <w:rPr>
          <w:rFonts w:cs="Times New Roman"/>
          <w:b/>
          <w:sz w:val="36"/>
          <w:szCs w:val="36"/>
          <w:highlight w:val="none"/>
        </w:rPr>
        <w:t>第三</w:t>
      </w:r>
      <w:r>
        <w:rPr>
          <w:rFonts w:hint="eastAsia" w:eastAsia="宋体" w:cs="Times New Roman"/>
          <w:b/>
          <w:sz w:val="36"/>
          <w:szCs w:val="36"/>
          <w:highlight w:val="none"/>
          <w:lang w:val="en-US" w:eastAsia="zh-CN"/>
        </w:rPr>
        <w:t>章</w:t>
      </w:r>
      <w:r>
        <w:rPr>
          <w:rFonts w:cs="Times New Roman"/>
          <w:b/>
          <w:sz w:val="36"/>
          <w:szCs w:val="36"/>
          <w:highlight w:val="none"/>
        </w:rPr>
        <w:t xml:space="preserve">  评标办法</w:t>
      </w:r>
      <w:bookmarkEnd w:id="36"/>
      <w:bookmarkEnd w:id="37"/>
      <w:bookmarkEnd w:id="38"/>
      <w:bookmarkEnd w:id="39"/>
      <w:bookmarkEnd w:id="40"/>
    </w:p>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1"/>
        <w:rPr>
          <w:rFonts w:hint="eastAsia" w:cs="Times New Roman"/>
          <w:b/>
          <w:sz w:val="28"/>
          <w:szCs w:val="28"/>
          <w:highlight w:val="none"/>
          <w:lang w:val="en-US" w:eastAsia="zh-CN"/>
        </w:rPr>
      </w:pPr>
      <w:bookmarkStart w:id="41" w:name="_Toc7395"/>
      <w:bookmarkStart w:id="42" w:name="_Toc4989"/>
      <w:bookmarkStart w:id="43" w:name="_Toc106701067"/>
      <w:bookmarkStart w:id="44" w:name="_Toc75385976"/>
      <w:bookmarkStart w:id="45" w:name="_Toc27845"/>
    </w:p>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1"/>
        <w:rPr>
          <w:rFonts w:cs="Times New Roman"/>
          <w:b/>
          <w:sz w:val="28"/>
          <w:szCs w:val="28"/>
          <w:highlight w:val="none"/>
        </w:rPr>
      </w:pPr>
      <w:r>
        <w:rPr>
          <w:rFonts w:hint="eastAsia" w:cs="Times New Roman"/>
          <w:b/>
          <w:sz w:val="28"/>
          <w:szCs w:val="28"/>
          <w:highlight w:val="none"/>
          <w:lang w:val="en-US" w:eastAsia="zh-CN"/>
        </w:rPr>
        <w:t>一、</w:t>
      </w:r>
      <w:r>
        <w:rPr>
          <w:rFonts w:cs="Times New Roman"/>
          <w:b/>
          <w:sz w:val="28"/>
          <w:szCs w:val="28"/>
          <w:highlight w:val="none"/>
        </w:rPr>
        <w:t>评标方法</w:t>
      </w:r>
      <w:bookmarkEnd w:id="41"/>
      <w:bookmarkEnd w:id="42"/>
      <w:bookmarkEnd w:id="43"/>
      <w:bookmarkEnd w:id="44"/>
      <w:bookmarkEnd w:id="45"/>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cs="Times New Roman"/>
          <w:sz w:val="24"/>
          <w:szCs w:val="24"/>
          <w:highlight w:val="none"/>
        </w:rPr>
      </w:pPr>
      <w:r>
        <w:rPr>
          <w:rFonts w:hint="eastAsia" w:eastAsia="宋体" w:cs="Times New Roman"/>
          <w:sz w:val="24"/>
          <w:szCs w:val="24"/>
          <w:highlight w:val="none"/>
          <w:lang w:val="en-US" w:eastAsia="zh-CN"/>
        </w:rPr>
        <w:t>1.1</w:t>
      </w:r>
      <w:r>
        <w:rPr>
          <w:rFonts w:cs="Times New Roman"/>
          <w:sz w:val="24"/>
          <w:szCs w:val="24"/>
          <w:highlight w:val="none"/>
        </w:rPr>
        <w:t>按照《中华人民共和国政府采购法》、中华人民共和国2015年第658号国务院令--《中华人民共和国政府采购法实施条例》和中华人民共和国财政部2017年第87号部长令--《政府采购货物和服务招标投标管理办法》的规定，本次评标</w:t>
      </w:r>
      <w:r>
        <w:rPr>
          <w:rFonts w:cs="Times New Roman"/>
          <w:b/>
          <w:bCs/>
          <w:sz w:val="24"/>
          <w:szCs w:val="24"/>
          <w:highlight w:val="none"/>
        </w:rPr>
        <w:t>采用综合评分法</w:t>
      </w:r>
      <w:r>
        <w:rPr>
          <w:rFonts w:cs="Times New Roman"/>
          <w:sz w:val="24"/>
          <w:szCs w:val="24"/>
          <w:highlight w:val="none"/>
        </w:rPr>
        <w:t>，即在最大限度地满足招标文件实质性要求前提下，按照招标文件中规定的各项因素和相应的权重分值进行综合评审后，</w:t>
      </w:r>
      <w:bookmarkStart w:id="46" w:name="_Hlk55477152"/>
      <w:r>
        <w:rPr>
          <w:rFonts w:hint="eastAsia" w:cs="Times New Roman"/>
          <w:sz w:val="24"/>
          <w:szCs w:val="24"/>
          <w:highlight w:val="none"/>
        </w:rPr>
        <w:t>推荐</w:t>
      </w:r>
      <w:r>
        <w:rPr>
          <w:rFonts w:cs="Times New Roman"/>
          <w:sz w:val="24"/>
          <w:szCs w:val="24"/>
          <w:highlight w:val="none"/>
        </w:rPr>
        <w:t>以总得分</w:t>
      </w:r>
      <w:r>
        <w:rPr>
          <w:rFonts w:hint="eastAsia" w:cs="Times New Roman"/>
          <w:sz w:val="24"/>
          <w:szCs w:val="24"/>
          <w:highlight w:val="none"/>
        </w:rPr>
        <w:t>前三的投标人作为</w:t>
      </w:r>
      <w:r>
        <w:rPr>
          <w:rFonts w:cs="Times New Roman"/>
          <w:sz w:val="24"/>
          <w:szCs w:val="24"/>
          <w:highlight w:val="none"/>
        </w:rPr>
        <w:t>中标候选人</w:t>
      </w:r>
      <w:r>
        <w:rPr>
          <w:rFonts w:hint="eastAsia" w:cs="Times New Roman"/>
          <w:sz w:val="24"/>
          <w:szCs w:val="24"/>
          <w:highlight w:val="none"/>
        </w:rPr>
        <w:t>名单。</w:t>
      </w:r>
      <w:bookmarkEnd w:id="46"/>
    </w:p>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1"/>
        <w:rPr>
          <w:rFonts w:cs="Times New Roman"/>
          <w:b/>
          <w:sz w:val="28"/>
          <w:szCs w:val="28"/>
          <w:highlight w:val="none"/>
        </w:rPr>
      </w:pPr>
      <w:bookmarkStart w:id="47" w:name="_Toc32045"/>
      <w:bookmarkStart w:id="48" w:name="_Toc106701068"/>
      <w:bookmarkStart w:id="49" w:name="_Toc75385977"/>
      <w:bookmarkStart w:id="50" w:name="_Toc2891"/>
      <w:bookmarkStart w:id="51" w:name="_Toc22420"/>
      <w:r>
        <w:rPr>
          <w:rFonts w:hint="eastAsia" w:cs="Times New Roman"/>
          <w:b/>
          <w:sz w:val="28"/>
          <w:szCs w:val="28"/>
          <w:highlight w:val="none"/>
          <w:lang w:val="en-US" w:eastAsia="zh-CN"/>
        </w:rPr>
        <w:t>二</w:t>
      </w:r>
      <w:r>
        <w:rPr>
          <w:rFonts w:hint="eastAsia" w:eastAsia="宋体" w:cs="Times New Roman"/>
          <w:b/>
          <w:sz w:val="28"/>
          <w:szCs w:val="28"/>
          <w:highlight w:val="none"/>
          <w:lang w:eastAsia="zh-CN"/>
        </w:rPr>
        <w:t>、</w:t>
      </w:r>
      <w:r>
        <w:rPr>
          <w:rFonts w:cs="Times New Roman"/>
          <w:b/>
          <w:sz w:val="28"/>
          <w:szCs w:val="28"/>
          <w:highlight w:val="none"/>
        </w:rPr>
        <w:t>评标程序</w:t>
      </w:r>
      <w:bookmarkEnd w:id="47"/>
      <w:bookmarkEnd w:id="48"/>
      <w:bookmarkEnd w:id="49"/>
      <w:bookmarkEnd w:id="50"/>
      <w:bookmarkEnd w:id="51"/>
    </w:p>
    <w:p>
      <w:pPr>
        <w:keepNext w:val="0"/>
        <w:keepLines w:val="0"/>
        <w:pageBreakBefore w:val="0"/>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2.评标</w:t>
      </w:r>
    </w:p>
    <w:p>
      <w:pPr>
        <w:keepNext w:val="0"/>
        <w:keepLines w:val="0"/>
        <w:pageBreakBefore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2.1评标委员会</w:t>
      </w:r>
    </w:p>
    <w:p>
      <w:pPr>
        <w:keepNext w:val="0"/>
        <w:keepLines w:val="0"/>
        <w:pageBreakBefore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（1）采购代理机构根据《中华人民共和国政府采购法》</w:t>
      </w:r>
      <w:r>
        <w:rPr>
          <w:rFonts w:hint="eastAsia" w:cs="宋体"/>
          <w:bCs/>
          <w:sz w:val="24"/>
          <w:szCs w:val="24"/>
          <w:highlight w:val="none"/>
          <w:lang w:eastAsia="zh-CN"/>
        </w:rPr>
        <w:t>、</w:t>
      </w:r>
      <w:r>
        <w:rPr>
          <w:rFonts w:hint="eastAsia" w:ascii="宋体" w:hAnsi="宋体" w:eastAsia="宋体" w:cs="宋体"/>
          <w:bCs/>
          <w:sz w:val="24"/>
          <w:szCs w:val="24"/>
          <w:highlight w:val="none"/>
        </w:rPr>
        <w:t>中华人民共和国2015年第658号国务院令--《中华人民共和国政府采购法实施条例》和中华人民共和国财政部令第87号--《政府采购货物和服务招标投标管理办法》等相关法律规定，依法组建评标委员会。评标委员会由采购人代表和评审专家组成，成员人数应当为</w:t>
      </w:r>
      <w:r>
        <w:rPr>
          <w:rFonts w:hint="eastAsia" w:cs="宋体"/>
          <w:bCs/>
          <w:sz w:val="24"/>
          <w:szCs w:val="24"/>
          <w:highlight w:val="none"/>
          <w:lang w:val="en-US" w:eastAsia="zh-CN"/>
        </w:rPr>
        <w:t>5</w:t>
      </w:r>
      <w:r>
        <w:rPr>
          <w:rFonts w:hint="eastAsia" w:ascii="宋体" w:hAnsi="宋体" w:eastAsia="宋体" w:cs="宋体"/>
          <w:bCs/>
          <w:sz w:val="24"/>
          <w:szCs w:val="24"/>
          <w:highlight w:val="none"/>
        </w:rPr>
        <w:t>人及以上单数，其中评审专家不得少于成员总数的三分之二。其中采购人代表须持有评审授权书。评标委员会应当按照招标文件中规定的评标方法和标准，对符合性审查合格的投标文件进行综合评价。</w:t>
      </w:r>
    </w:p>
    <w:p>
      <w:pPr>
        <w:keepNext w:val="0"/>
        <w:keepLines w:val="0"/>
        <w:pageBreakBefore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（2）采购人派代表进入评标委员会时，须出具授权函。</w:t>
      </w:r>
    </w:p>
    <w:p>
      <w:pPr>
        <w:keepNext w:val="0"/>
        <w:keepLines w:val="0"/>
        <w:pageBreakBefore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在符合性审查与详细评审时</w:t>
      </w:r>
      <w:r>
        <w:rPr>
          <w:rFonts w:hint="eastAsia" w:ascii="宋体" w:hAnsi="宋体" w:eastAsia="宋体" w:cs="宋体"/>
          <w:bCs/>
          <w:sz w:val="24"/>
          <w:szCs w:val="24"/>
          <w:highlight w:val="none"/>
        </w:rPr>
        <w:t>评标委员会应推荐一名评审专家担任评审组长，并由评审组长牵头组织该项目评审工作，采购人代表不得担任评审组长。</w:t>
      </w:r>
    </w:p>
    <w:p>
      <w:pPr>
        <w:keepNext w:val="0"/>
        <w:keepLines w:val="0"/>
        <w:pageBreakBefore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（4）评标委员会成员不得参加开标活动。</w:t>
      </w:r>
    </w:p>
    <w:p>
      <w:pPr>
        <w:keepNext w:val="0"/>
        <w:keepLines w:val="0"/>
        <w:pageBreakBefore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（5）评标委员会成员应当遵守并履行下列职责义务：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2招标文件和</w:t>
      </w:r>
      <w:r>
        <w:rPr>
          <w:rFonts w:hint="eastAsia" w:ascii="宋体" w:hAnsi="宋体" w:eastAsia="宋体" w:cs="宋体"/>
          <w:kern w:val="0"/>
          <w:sz w:val="24"/>
          <w:szCs w:val="24"/>
          <w:highlight w:val="none"/>
          <w:lang w:val="en-US" w:eastAsia="zh-CN"/>
        </w:rPr>
        <w:t>电子</w:t>
      </w:r>
      <w:r>
        <w:rPr>
          <w:rFonts w:hint="eastAsia" w:ascii="宋体" w:hAnsi="宋体" w:eastAsia="宋体" w:cs="宋体"/>
          <w:kern w:val="0"/>
          <w:sz w:val="24"/>
          <w:szCs w:val="24"/>
          <w:highlight w:val="none"/>
        </w:rPr>
        <w:t>投标文件是评标的依据。在评标中，不得改变招标文件中规定的评标标准、方法和中标条件。投标人不得在开标后使用任何方式对</w:t>
      </w:r>
      <w:r>
        <w:rPr>
          <w:rFonts w:hint="eastAsia" w:ascii="宋体" w:hAnsi="宋体" w:eastAsia="宋体" w:cs="宋体"/>
          <w:kern w:val="0"/>
          <w:sz w:val="24"/>
          <w:szCs w:val="24"/>
          <w:highlight w:val="none"/>
          <w:lang w:val="en-US" w:eastAsia="zh-CN"/>
        </w:rPr>
        <w:t>电子</w:t>
      </w:r>
      <w:r>
        <w:rPr>
          <w:rFonts w:hint="eastAsia" w:ascii="宋体" w:hAnsi="宋体" w:eastAsia="宋体" w:cs="宋体"/>
          <w:kern w:val="0"/>
          <w:sz w:val="24"/>
          <w:szCs w:val="24"/>
          <w:highlight w:val="none"/>
        </w:rPr>
        <w:t>投标文件的实质性内容做任何更改。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2.3在评标期间，对投标文件中含义不明确、同类问题表述不一致或者有明显文字和计算错误的内容，评标委员会可以书面形式（由评标委员会专家签字）要求投标人作出必要的澄清、说明或者纠正。投标人的澄清、说明或者补正应当采用书面形式，由其授权的代表签字，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2.4如果投标人在澄清规定期限内，未能答复或拒绝答复评委会提出的澄清要求，将由评委会根据其投标文件按最大风险进行评标。</w:t>
      </w:r>
    </w:p>
    <w:p>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宋体"/>
          <w:b/>
          <w:spacing w:val="4"/>
          <w:sz w:val="24"/>
          <w:szCs w:val="24"/>
          <w:highlight w:val="none"/>
        </w:rPr>
      </w:pPr>
      <w:r>
        <w:rPr>
          <w:rFonts w:hint="eastAsia" w:ascii="宋体" w:hAnsi="宋体" w:cs="宋体"/>
          <w:b/>
          <w:spacing w:val="4"/>
          <w:sz w:val="24"/>
          <w:szCs w:val="24"/>
          <w:highlight w:val="none"/>
        </w:rPr>
        <w:t>投标人有下列情形之一的，视为投标人串通投标，其投标无效：</w:t>
      </w:r>
    </w:p>
    <w:p>
      <w:pPr>
        <w:keepNext w:val="0"/>
        <w:keepLines w:val="0"/>
        <w:pageBreakBefore w:val="0"/>
        <w:kinsoku/>
        <w:wordWrap/>
        <w:overflowPunct/>
        <w:topLinePunct w:val="0"/>
        <w:autoSpaceDE/>
        <w:autoSpaceDN/>
        <w:bidi w:val="0"/>
        <w:adjustRightInd w:val="0"/>
        <w:snapToGrid w:val="0"/>
        <w:spacing w:line="360" w:lineRule="auto"/>
        <w:ind w:firstLine="496" w:firstLineChars="200"/>
        <w:textAlignment w:val="auto"/>
        <w:rPr>
          <w:rFonts w:ascii="宋体" w:hAnsi="宋体" w:cs="宋体"/>
          <w:spacing w:val="4"/>
          <w:sz w:val="24"/>
          <w:szCs w:val="24"/>
          <w:highlight w:val="none"/>
        </w:rPr>
      </w:pPr>
      <w:r>
        <w:rPr>
          <w:rFonts w:hint="eastAsia" w:ascii="宋体" w:hAnsi="宋体" w:cs="宋体"/>
          <w:spacing w:val="4"/>
          <w:sz w:val="24"/>
          <w:szCs w:val="24"/>
          <w:highlight w:val="none"/>
        </w:rPr>
        <w:t>（1）不同</w:t>
      </w:r>
      <w:r>
        <w:rPr>
          <w:rFonts w:hint="eastAsia" w:hAnsi="宋体" w:cs="宋体"/>
          <w:sz w:val="24"/>
          <w:szCs w:val="24"/>
          <w:highlight w:val="none"/>
        </w:rPr>
        <w:t>投标人</w:t>
      </w:r>
      <w:r>
        <w:rPr>
          <w:rFonts w:hint="eastAsia" w:ascii="宋体" w:hAnsi="宋体" w:cs="宋体"/>
          <w:spacing w:val="4"/>
          <w:sz w:val="24"/>
          <w:szCs w:val="24"/>
          <w:highlight w:val="none"/>
        </w:rPr>
        <w:t>的投标文件由同一单位或者个人编制；</w:t>
      </w:r>
    </w:p>
    <w:p>
      <w:pPr>
        <w:keepNext w:val="0"/>
        <w:keepLines w:val="0"/>
        <w:pageBreakBefore w:val="0"/>
        <w:kinsoku/>
        <w:wordWrap/>
        <w:overflowPunct/>
        <w:topLinePunct w:val="0"/>
        <w:autoSpaceDE/>
        <w:autoSpaceDN/>
        <w:bidi w:val="0"/>
        <w:adjustRightInd w:val="0"/>
        <w:snapToGrid w:val="0"/>
        <w:spacing w:line="360" w:lineRule="auto"/>
        <w:ind w:firstLine="496" w:firstLineChars="200"/>
        <w:textAlignment w:val="auto"/>
        <w:rPr>
          <w:rFonts w:ascii="宋体" w:hAnsi="宋体" w:cs="宋体"/>
          <w:spacing w:val="4"/>
          <w:sz w:val="24"/>
          <w:szCs w:val="24"/>
          <w:highlight w:val="none"/>
        </w:rPr>
      </w:pPr>
      <w:r>
        <w:rPr>
          <w:rFonts w:hint="eastAsia" w:ascii="宋体" w:hAnsi="宋体" w:cs="宋体"/>
          <w:spacing w:val="4"/>
          <w:sz w:val="24"/>
          <w:szCs w:val="24"/>
          <w:highlight w:val="none"/>
        </w:rPr>
        <w:t>（2）不同</w:t>
      </w:r>
      <w:r>
        <w:rPr>
          <w:rFonts w:hint="eastAsia" w:hAnsi="宋体" w:cs="宋体"/>
          <w:sz w:val="24"/>
          <w:szCs w:val="24"/>
          <w:highlight w:val="none"/>
        </w:rPr>
        <w:t>投标人</w:t>
      </w:r>
      <w:r>
        <w:rPr>
          <w:rFonts w:hint="eastAsia" w:ascii="宋体" w:hAnsi="宋体" w:cs="宋体"/>
          <w:spacing w:val="4"/>
          <w:sz w:val="24"/>
          <w:szCs w:val="24"/>
          <w:highlight w:val="none"/>
        </w:rPr>
        <w:t>委托同一单位或者个人办理投标事宜；</w:t>
      </w:r>
    </w:p>
    <w:p>
      <w:pPr>
        <w:keepNext w:val="0"/>
        <w:keepLines w:val="0"/>
        <w:pageBreakBefore w:val="0"/>
        <w:kinsoku/>
        <w:wordWrap/>
        <w:overflowPunct/>
        <w:topLinePunct w:val="0"/>
        <w:autoSpaceDE/>
        <w:autoSpaceDN/>
        <w:bidi w:val="0"/>
        <w:adjustRightInd w:val="0"/>
        <w:snapToGrid w:val="0"/>
        <w:spacing w:line="360" w:lineRule="auto"/>
        <w:ind w:firstLine="496" w:firstLineChars="200"/>
        <w:textAlignment w:val="auto"/>
        <w:rPr>
          <w:rFonts w:ascii="宋体" w:hAnsi="宋体" w:cs="宋体"/>
          <w:spacing w:val="4"/>
          <w:sz w:val="24"/>
          <w:szCs w:val="24"/>
          <w:highlight w:val="none"/>
        </w:rPr>
      </w:pPr>
      <w:r>
        <w:rPr>
          <w:rFonts w:hint="eastAsia" w:ascii="宋体" w:hAnsi="宋体" w:cs="宋体"/>
          <w:spacing w:val="4"/>
          <w:sz w:val="24"/>
          <w:szCs w:val="24"/>
          <w:highlight w:val="none"/>
        </w:rPr>
        <w:t>（3）不同</w:t>
      </w:r>
      <w:r>
        <w:rPr>
          <w:rFonts w:hint="eastAsia" w:hAnsi="宋体" w:cs="宋体"/>
          <w:sz w:val="24"/>
          <w:szCs w:val="24"/>
          <w:highlight w:val="none"/>
        </w:rPr>
        <w:t>投标人</w:t>
      </w:r>
      <w:r>
        <w:rPr>
          <w:rFonts w:hint="eastAsia" w:ascii="宋体" w:hAnsi="宋体" w:cs="宋体"/>
          <w:spacing w:val="4"/>
          <w:sz w:val="24"/>
          <w:szCs w:val="24"/>
          <w:highlight w:val="none"/>
        </w:rPr>
        <w:t>的投标文件载明的项目管理成员或者联系人员为同一人；</w:t>
      </w:r>
    </w:p>
    <w:p>
      <w:pPr>
        <w:keepNext w:val="0"/>
        <w:keepLines w:val="0"/>
        <w:pageBreakBefore w:val="0"/>
        <w:kinsoku/>
        <w:wordWrap/>
        <w:overflowPunct/>
        <w:topLinePunct w:val="0"/>
        <w:autoSpaceDE/>
        <w:autoSpaceDN/>
        <w:bidi w:val="0"/>
        <w:adjustRightInd w:val="0"/>
        <w:snapToGrid w:val="0"/>
        <w:spacing w:line="360" w:lineRule="auto"/>
        <w:ind w:firstLine="496" w:firstLineChars="200"/>
        <w:textAlignment w:val="auto"/>
        <w:rPr>
          <w:rFonts w:ascii="宋体" w:hAnsi="宋体" w:cs="宋体"/>
          <w:spacing w:val="4"/>
          <w:sz w:val="24"/>
          <w:szCs w:val="24"/>
          <w:highlight w:val="none"/>
        </w:rPr>
      </w:pPr>
      <w:r>
        <w:rPr>
          <w:rFonts w:hint="eastAsia" w:ascii="宋体" w:hAnsi="宋体" w:cs="宋体"/>
          <w:spacing w:val="4"/>
          <w:sz w:val="24"/>
          <w:szCs w:val="24"/>
          <w:highlight w:val="none"/>
        </w:rPr>
        <w:t>（4）不同</w:t>
      </w:r>
      <w:r>
        <w:rPr>
          <w:rFonts w:hint="eastAsia" w:hAnsi="宋体" w:cs="宋体"/>
          <w:sz w:val="24"/>
          <w:szCs w:val="24"/>
          <w:highlight w:val="none"/>
        </w:rPr>
        <w:t>投标人</w:t>
      </w:r>
      <w:r>
        <w:rPr>
          <w:rFonts w:hint="eastAsia" w:ascii="宋体" w:hAnsi="宋体" w:cs="宋体"/>
          <w:spacing w:val="4"/>
          <w:sz w:val="24"/>
          <w:szCs w:val="24"/>
          <w:highlight w:val="none"/>
        </w:rPr>
        <w:t>的投标文件异常一致或者投标报价呈规律性差异；</w:t>
      </w:r>
    </w:p>
    <w:p>
      <w:pPr>
        <w:keepNext w:val="0"/>
        <w:keepLines w:val="0"/>
        <w:pageBreakBefore w:val="0"/>
        <w:kinsoku/>
        <w:wordWrap/>
        <w:overflowPunct/>
        <w:topLinePunct w:val="0"/>
        <w:autoSpaceDE/>
        <w:autoSpaceDN/>
        <w:bidi w:val="0"/>
        <w:adjustRightInd w:val="0"/>
        <w:snapToGrid w:val="0"/>
        <w:spacing w:line="360" w:lineRule="auto"/>
        <w:ind w:firstLine="496" w:firstLineChars="200"/>
        <w:textAlignment w:val="auto"/>
        <w:rPr>
          <w:rFonts w:ascii="宋体" w:hAnsi="宋体" w:cs="宋体"/>
          <w:spacing w:val="4"/>
          <w:sz w:val="24"/>
          <w:szCs w:val="24"/>
          <w:highlight w:val="none"/>
        </w:rPr>
      </w:pPr>
      <w:r>
        <w:rPr>
          <w:rFonts w:hint="eastAsia" w:ascii="宋体" w:hAnsi="宋体" w:cs="宋体"/>
          <w:spacing w:val="4"/>
          <w:sz w:val="24"/>
          <w:szCs w:val="24"/>
          <w:highlight w:val="none"/>
        </w:rPr>
        <w:t>（5）不同</w:t>
      </w:r>
      <w:r>
        <w:rPr>
          <w:rFonts w:hint="eastAsia" w:hAnsi="宋体" w:cs="宋体"/>
          <w:sz w:val="24"/>
          <w:szCs w:val="24"/>
          <w:highlight w:val="none"/>
        </w:rPr>
        <w:t>投标人</w:t>
      </w:r>
      <w:r>
        <w:rPr>
          <w:rFonts w:hint="eastAsia" w:ascii="宋体" w:hAnsi="宋体" w:cs="宋体"/>
          <w:spacing w:val="4"/>
          <w:sz w:val="24"/>
          <w:szCs w:val="24"/>
          <w:highlight w:val="none"/>
        </w:rPr>
        <w:t>的投标文件相互混装；</w:t>
      </w:r>
    </w:p>
    <w:p>
      <w:pPr>
        <w:keepNext w:val="0"/>
        <w:keepLines w:val="0"/>
        <w:pageBreakBefore w:val="0"/>
        <w:kinsoku/>
        <w:wordWrap/>
        <w:overflowPunct/>
        <w:topLinePunct w:val="0"/>
        <w:autoSpaceDE/>
        <w:autoSpaceDN/>
        <w:bidi w:val="0"/>
        <w:adjustRightInd w:val="0"/>
        <w:snapToGrid w:val="0"/>
        <w:spacing w:line="360" w:lineRule="auto"/>
        <w:ind w:firstLine="496" w:firstLineChars="200"/>
        <w:textAlignment w:val="auto"/>
        <w:rPr>
          <w:rFonts w:ascii="宋体" w:hAnsi="宋体" w:cs="宋体"/>
          <w:spacing w:val="4"/>
          <w:sz w:val="24"/>
          <w:szCs w:val="24"/>
          <w:highlight w:val="none"/>
        </w:rPr>
      </w:pPr>
      <w:r>
        <w:rPr>
          <w:rFonts w:hint="eastAsia" w:ascii="宋体" w:hAnsi="宋体" w:cs="宋体"/>
          <w:spacing w:val="4"/>
          <w:sz w:val="24"/>
          <w:szCs w:val="24"/>
          <w:highlight w:val="none"/>
        </w:rPr>
        <w:t>（6）不同</w:t>
      </w:r>
      <w:r>
        <w:rPr>
          <w:rFonts w:hint="eastAsia" w:hAnsi="宋体" w:cs="宋体"/>
          <w:sz w:val="24"/>
          <w:szCs w:val="24"/>
          <w:highlight w:val="none"/>
        </w:rPr>
        <w:t>投标人</w:t>
      </w:r>
      <w:r>
        <w:rPr>
          <w:rFonts w:hint="eastAsia" w:ascii="宋体" w:hAnsi="宋体" w:cs="宋体"/>
          <w:spacing w:val="4"/>
          <w:sz w:val="24"/>
          <w:szCs w:val="24"/>
          <w:highlight w:val="none"/>
        </w:rPr>
        <w:t>的投标保证金从同一单位或者个人的账户转出。</w:t>
      </w:r>
    </w:p>
    <w:p>
      <w:pPr>
        <w:keepNext w:val="0"/>
        <w:keepLines w:val="0"/>
        <w:pageBreakBefore w:val="0"/>
        <w:kinsoku/>
        <w:wordWrap/>
        <w:overflowPunct/>
        <w:topLinePunct w:val="0"/>
        <w:autoSpaceDE/>
        <w:autoSpaceDN/>
        <w:bidi w:val="0"/>
        <w:adjustRightInd w:val="0"/>
        <w:snapToGrid w:val="0"/>
        <w:spacing w:line="360" w:lineRule="auto"/>
        <w:ind w:firstLine="496" w:firstLineChars="200"/>
        <w:textAlignment w:val="auto"/>
        <w:rPr>
          <w:highlight w:val="none"/>
        </w:rPr>
      </w:pPr>
      <w:r>
        <w:rPr>
          <w:rFonts w:hint="eastAsia" w:ascii="宋体" w:hAnsi="宋体" w:cs="宋体"/>
          <w:spacing w:val="4"/>
          <w:sz w:val="24"/>
          <w:szCs w:val="24"/>
          <w:highlight w:val="none"/>
        </w:rPr>
        <w:t>（7）法律、法规规定的其它情形。</w:t>
      </w:r>
    </w:p>
    <w:p>
      <w:pPr>
        <w:keepNext w:val="0"/>
        <w:keepLines w:val="0"/>
        <w:pageBreakBefore w:val="0"/>
        <w:widowControl w:val="0"/>
        <w:kinsoku/>
        <w:wordWrap/>
        <w:overflowPunct/>
        <w:topLinePunct w:val="0"/>
        <w:autoSpaceDE/>
        <w:autoSpaceDN/>
        <w:bidi w:val="0"/>
        <w:adjustRightInd w:val="0"/>
        <w:snapToGrid w:val="0"/>
        <w:spacing w:line="360" w:lineRule="auto"/>
        <w:ind w:firstLine="498" w:firstLineChars="200"/>
        <w:jc w:val="both"/>
        <w:textAlignment w:val="auto"/>
        <w:rPr>
          <w:rFonts w:ascii="宋体" w:hAnsi="宋体" w:eastAsia="宋体" w:cs="宋体"/>
          <w:b/>
          <w:spacing w:val="4"/>
          <w:kern w:val="2"/>
          <w:sz w:val="24"/>
          <w:szCs w:val="24"/>
          <w:highlight w:val="none"/>
        </w:rPr>
      </w:pPr>
      <w:r>
        <w:rPr>
          <w:rFonts w:hint="eastAsia" w:ascii="宋体" w:hAnsi="宋体" w:eastAsia="宋体" w:cs="宋体"/>
          <w:b/>
          <w:spacing w:val="4"/>
          <w:kern w:val="2"/>
          <w:sz w:val="24"/>
          <w:szCs w:val="24"/>
          <w:highlight w:val="none"/>
          <w:lang w:val="en-US" w:eastAsia="zh-CN"/>
        </w:rPr>
        <w:t>2.5</w:t>
      </w:r>
      <w:r>
        <w:rPr>
          <w:rFonts w:hint="eastAsia" w:ascii="宋体" w:hAnsi="宋体" w:eastAsia="宋体" w:cs="宋体"/>
          <w:b/>
          <w:spacing w:val="4"/>
          <w:kern w:val="2"/>
          <w:sz w:val="24"/>
          <w:szCs w:val="24"/>
          <w:highlight w:val="none"/>
        </w:rPr>
        <w:t>.评标程序</w:t>
      </w:r>
    </w:p>
    <w:p>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jc w:val="both"/>
        <w:textAlignment w:val="auto"/>
        <w:rPr>
          <w:rFonts w:hint="eastAsia" w:ascii="宋体" w:hAnsi="宋体" w:eastAsia="宋体" w:cs="宋体"/>
          <w:spacing w:val="4"/>
          <w:kern w:val="2"/>
          <w:sz w:val="24"/>
          <w:szCs w:val="24"/>
          <w:highlight w:val="none"/>
          <w:lang w:val="en-US" w:eastAsia="zh-CN"/>
        </w:rPr>
      </w:pPr>
      <w:r>
        <w:rPr>
          <w:rFonts w:hint="eastAsia" w:ascii="宋体" w:hAnsi="宋体" w:eastAsia="宋体" w:cs="宋体"/>
          <w:spacing w:val="4"/>
          <w:kern w:val="2"/>
          <w:sz w:val="24"/>
          <w:szCs w:val="24"/>
          <w:highlight w:val="none"/>
          <w:lang w:val="en-US" w:eastAsia="zh-CN"/>
        </w:rPr>
        <w:t>开标结束后，由</w:t>
      </w:r>
      <w:r>
        <w:rPr>
          <w:rFonts w:hint="eastAsia" w:ascii="宋体" w:hAnsi="宋体" w:eastAsia="宋体" w:cs="宋体"/>
          <w:spacing w:val="4"/>
          <w:kern w:val="2"/>
          <w:sz w:val="24"/>
          <w:szCs w:val="24"/>
          <w:highlight w:val="none"/>
          <w:lang w:val="zh-CN"/>
        </w:rPr>
        <w:t>资格性审查</w:t>
      </w:r>
      <w:r>
        <w:rPr>
          <w:rFonts w:hint="eastAsia" w:ascii="宋体" w:hAnsi="宋体" w:eastAsia="宋体" w:cs="宋体"/>
          <w:spacing w:val="4"/>
          <w:kern w:val="2"/>
          <w:sz w:val="24"/>
          <w:szCs w:val="24"/>
          <w:highlight w:val="none"/>
          <w:lang w:val="zh-CN" w:eastAsia="zh-CN"/>
        </w:rPr>
        <w:t>→</w:t>
      </w:r>
      <w:r>
        <w:rPr>
          <w:rFonts w:hint="eastAsia" w:ascii="宋体" w:hAnsi="宋体" w:eastAsia="宋体" w:cs="宋体"/>
          <w:spacing w:val="4"/>
          <w:kern w:val="2"/>
          <w:sz w:val="24"/>
          <w:szCs w:val="24"/>
          <w:highlight w:val="none"/>
          <w:lang w:val="en-US" w:eastAsia="zh-CN"/>
        </w:rPr>
        <w:t>符合性审查</w:t>
      </w:r>
      <w:r>
        <w:rPr>
          <w:rFonts w:hint="eastAsia" w:ascii="宋体" w:hAnsi="宋体" w:eastAsia="宋体" w:cs="宋体"/>
          <w:spacing w:val="4"/>
          <w:kern w:val="2"/>
          <w:sz w:val="24"/>
          <w:szCs w:val="24"/>
          <w:highlight w:val="none"/>
          <w:lang w:val="zh-CN" w:eastAsia="zh-CN"/>
        </w:rPr>
        <w:t>→</w:t>
      </w:r>
      <w:r>
        <w:rPr>
          <w:rFonts w:hint="eastAsia" w:ascii="宋体" w:hAnsi="宋体" w:eastAsia="宋体" w:cs="宋体"/>
          <w:spacing w:val="4"/>
          <w:kern w:val="2"/>
          <w:sz w:val="24"/>
          <w:szCs w:val="24"/>
          <w:highlight w:val="none"/>
          <w:lang w:val="en-US" w:eastAsia="zh-CN"/>
        </w:rPr>
        <w:t>详细评审进行综合比较与评价汇总</w:t>
      </w:r>
    </w:p>
    <w:p>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jc w:val="both"/>
        <w:textAlignment w:val="auto"/>
        <w:rPr>
          <w:rFonts w:hint="eastAsia" w:ascii="宋体" w:hAnsi="宋体" w:eastAsia="宋体" w:cs="宋体"/>
          <w:spacing w:val="4"/>
          <w:kern w:val="2"/>
          <w:sz w:val="24"/>
          <w:szCs w:val="24"/>
          <w:highlight w:val="none"/>
          <w:lang w:val="zh-CN"/>
        </w:rPr>
      </w:pPr>
      <w:r>
        <w:rPr>
          <w:rFonts w:hint="eastAsia" w:ascii="宋体" w:hAnsi="宋体" w:eastAsia="宋体" w:cs="宋体"/>
          <w:spacing w:val="4"/>
          <w:kern w:val="2"/>
          <w:sz w:val="24"/>
          <w:szCs w:val="24"/>
          <w:highlight w:val="none"/>
          <w:lang w:val="en-US" w:eastAsia="zh-CN"/>
        </w:rPr>
        <w:t>得出评标结果由此</w:t>
      </w:r>
      <w:r>
        <w:rPr>
          <w:rFonts w:hint="eastAsia" w:ascii="宋体" w:hAnsi="宋体" w:eastAsia="宋体" w:cs="宋体"/>
          <w:spacing w:val="4"/>
          <w:kern w:val="2"/>
          <w:sz w:val="24"/>
          <w:szCs w:val="24"/>
          <w:highlight w:val="none"/>
          <w:lang w:val="zh-CN"/>
        </w:rPr>
        <w:t>推荐中标候选人名单程序。在上一步评审中投标人被按无效投标处理，不进入下一步的评审。</w:t>
      </w:r>
    </w:p>
    <w:p>
      <w:pPr>
        <w:keepNext w:val="0"/>
        <w:keepLines w:val="0"/>
        <w:pageBreakBefore w:val="0"/>
        <w:widowControl w:val="0"/>
        <w:kinsoku/>
        <w:wordWrap/>
        <w:overflowPunct/>
        <w:topLinePunct w:val="0"/>
        <w:autoSpaceDE/>
        <w:autoSpaceDN/>
        <w:bidi w:val="0"/>
        <w:adjustRightInd w:val="0"/>
        <w:snapToGrid w:val="0"/>
        <w:spacing w:line="360" w:lineRule="auto"/>
        <w:ind w:firstLine="498" w:firstLineChars="200"/>
        <w:jc w:val="both"/>
        <w:textAlignment w:val="auto"/>
        <w:rPr>
          <w:rFonts w:hint="eastAsia" w:ascii="宋体" w:hAnsi="宋体" w:eastAsia="宋体" w:cs="宋体"/>
          <w:b/>
          <w:spacing w:val="4"/>
          <w:kern w:val="2"/>
          <w:sz w:val="24"/>
          <w:szCs w:val="24"/>
          <w:highlight w:val="none"/>
          <w:lang w:eastAsia="zh-CN"/>
        </w:rPr>
      </w:pPr>
      <w:r>
        <w:rPr>
          <w:rFonts w:hint="eastAsia" w:ascii="宋体" w:hAnsi="宋体" w:eastAsia="宋体" w:cs="宋体"/>
          <w:b/>
          <w:spacing w:val="4"/>
          <w:kern w:val="2"/>
          <w:sz w:val="24"/>
          <w:szCs w:val="24"/>
          <w:highlight w:val="none"/>
          <w:lang w:val="en-US" w:eastAsia="zh-CN"/>
        </w:rPr>
        <w:t>2.6</w:t>
      </w:r>
      <w:r>
        <w:rPr>
          <w:rFonts w:hint="eastAsia" w:ascii="宋体" w:hAnsi="宋体" w:eastAsia="宋体" w:cs="宋体"/>
          <w:b/>
          <w:spacing w:val="4"/>
          <w:kern w:val="2"/>
          <w:sz w:val="24"/>
          <w:szCs w:val="24"/>
          <w:highlight w:val="none"/>
        </w:rPr>
        <w:t>资格</w:t>
      </w:r>
      <w:r>
        <w:rPr>
          <w:rFonts w:hint="eastAsia" w:ascii="宋体" w:hAnsi="宋体" w:eastAsia="宋体" w:cs="宋体"/>
          <w:b/>
          <w:spacing w:val="4"/>
          <w:kern w:val="2"/>
          <w:sz w:val="24"/>
          <w:szCs w:val="24"/>
          <w:highlight w:val="none"/>
          <w:lang w:val="en-US" w:eastAsia="zh-CN"/>
        </w:rPr>
        <w:t>审查</w:t>
      </w:r>
    </w:p>
    <w:p>
      <w:pPr>
        <w:widowControl w:val="0"/>
        <w:autoSpaceDE w:val="0"/>
        <w:autoSpaceDN w:val="0"/>
        <w:adjustRightInd w:val="0"/>
        <w:snapToGrid w:val="0"/>
        <w:spacing w:line="360" w:lineRule="auto"/>
        <w:jc w:val="center"/>
        <w:rPr>
          <w:rFonts w:hint="eastAsia" w:ascii="宋体" w:hAnsi="宋体" w:eastAsia="宋体" w:cs="宋体"/>
          <w:bCs/>
          <w:spacing w:val="4"/>
          <w:kern w:val="2"/>
          <w:sz w:val="24"/>
          <w:szCs w:val="24"/>
          <w:highlight w:val="none"/>
          <w:lang w:val="zh-CN"/>
        </w:rPr>
      </w:pPr>
      <w:r>
        <w:rPr>
          <w:rFonts w:hint="eastAsia" w:ascii="宋体" w:hAnsi="宋体" w:eastAsia="宋体" w:cs="宋体"/>
          <w:bCs/>
          <w:spacing w:val="4"/>
          <w:kern w:val="2"/>
          <w:sz w:val="24"/>
          <w:szCs w:val="24"/>
          <w:highlight w:val="none"/>
          <w:lang w:val="zh-CN"/>
        </w:rPr>
        <w:t>由采购人委派的资格审查小组按照《政府采购货物和服务招标投标管理办法》（财政部第87号令）有关规定，对投标文件中的投标人资格证明文件进行审查，并对投标人信用记录进行核查。资格审查小组由3人以上单数组成，采购人应出具书面授权函。</w:t>
      </w:r>
    </w:p>
    <w:p>
      <w:pPr>
        <w:widowControl w:val="0"/>
        <w:autoSpaceDE w:val="0"/>
        <w:autoSpaceDN w:val="0"/>
        <w:adjustRightInd w:val="0"/>
        <w:snapToGrid w:val="0"/>
        <w:spacing w:line="360" w:lineRule="auto"/>
        <w:jc w:val="center"/>
        <w:rPr>
          <w:rFonts w:ascii="宋体" w:hAnsi="宋体" w:eastAsia="宋体" w:cs="Times New Roman"/>
          <w:kern w:val="2"/>
          <w:sz w:val="28"/>
          <w:szCs w:val="28"/>
          <w:highlight w:val="none"/>
          <w:lang w:val="zh-CN"/>
        </w:rPr>
      </w:pPr>
      <w:r>
        <w:rPr>
          <w:rFonts w:hint="eastAsia" w:ascii="宋体" w:hAnsi="宋体" w:eastAsia="宋体" w:cs="Times New Roman"/>
          <w:kern w:val="2"/>
          <w:sz w:val="28"/>
          <w:szCs w:val="28"/>
          <w:highlight w:val="none"/>
          <w:lang w:val="zh-CN"/>
        </w:rPr>
        <w:t>【资格审查表】</w:t>
      </w:r>
    </w:p>
    <w:tbl>
      <w:tblPr>
        <w:tblStyle w:val="22"/>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961"/>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cs="Times New Roman"/>
                <w:b/>
                <w:kern w:val="2"/>
                <w:sz w:val="24"/>
                <w:szCs w:val="24"/>
                <w:highlight w:val="none"/>
              </w:rPr>
            </w:pPr>
            <w:r>
              <w:rPr>
                <w:rFonts w:ascii="宋体" w:hAnsi="宋体" w:eastAsia="宋体" w:cs="Times New Roman"/>
                <w:b/>
                <w:kern w:val="2"/>
                <w:sz w:val="24"/>
                <w:szCs w:val="24"/>
                <w:highlight w:val="none"/>
              </w:rPr>
              <w:t>序号</w:t>
            </w:r>
          </w:p>
        </w:tc>
        <w:tc>
          <w:tcPr>
            <w:tcW w:w="19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cs="Times New Roman"/>
                <w:b/>
                <w:kern w:val="2"/>
                <w:sz w:val="24"/>
                <w:szCs w:val="24"/>
                <w:highlight w:val="none"/>
              </w:rPr>
            </w:pPr>
            <w:r>
              <w:rPr>
                <w:rFonts w:hint="eastAsia" w:ascii="宋体" w:hAnsi="宋体" w:eastAsia="宋体" w:cs="Times New Roman"/>
                <w:b/>
                <w:kern w:val="2"/>
                <w:sz w:val="24"/>
                <w:szCs w:val="24"/>
                <w:highlight w:val="none"/>
              </w:rPr>
              <w:t>审查因素</w:t>
            </w:r>
          </w:p>
        </w:tc>
        <w:tc>
          <w:tcPr>
            <w:tcW w:w="67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cs="Times New Roman"/>
                <w:b/>
                <w:kern w:val="2"/>
                <w:sz w:val="24"/>
                <w:szCs w:val="24"/>
                <w:highlight w:val="none"/>
              </w:rPr>
            </w:pPr>
            <w:r>
              <w:rPr>
                <w:rFonts w:hint="eastAsia" w:ascii="宋体" w:hAnsi="宋体" w:eastAsia="宋体" w:cs="Times New Roman"/>
                <w:b/>
                <w:kern w:val="2"/>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1" w:type="dxa"/>
            <w:noWrap w:val="0"/>
            <w:vAlign w:val="center"/>
          </w:tcPr>
          <w:p>
            <w:pPr>
              <w:keepNext w:val="0"/>
              <w:keepLines w:val="0"/>
              <w:pageBreakBefore w:val="0"/>
              <w:widowControl w:val="0"/>
              <w:tabs>
                <w:tab w:val="left" w:pos="1180"/>
              </w:tabs>
              <w:kinsoku/>
              <w:wordWrap/>
              <w:overflowPunct/>
              <w:topLinePunct w:val="0"/>
              <w:autoSpaceDE/>
              <w:autoSpaceDN/>
              <w:bidi w:val="0"/>
              <w:adjustRightInd w:val="0"/>
              <w:snapToGrid w:val="0"/>
              <w:spacing w:line="360" w:lineRule="auto"/>
              <w:jc w:val="center"/>
              <w:textAlignment w:val="auto"/>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一</w:t>
            </w:r>
          </w:p>
        </w:tc>
        <w:tc>
          <w:tcPr>
            <w:tcW w:w="8697" w:type="dxa"/>
            <w:gridSpan w:val="2"/>
            <w:noWrap w:val="0"/>
            <w:vAlign w:val="center"/>
          </w:tcPr>
          <w:p>
            <w:pPr>
              <w:keepNext w:val="0"/>
              <w:keepLines w:val="0"/>
              <w:pageBreakBefore w:val="0"/>
              <w:widowControl w:val="0"/>
              <w:tabs>
                <w:tab w:val="left" w:pos="1180"/>
              </w:tabs>
              <w:kinsoku/>
              <w:wordWrap/>
              <w:overflowPunct/>
              <w:topLinePunct w:val="0"/>
              <w:autoSpaceDE/>
              <w:autoSpaceDN/>
              <w:bidi w:val="0"/>
              <w:adjustRightInd w:val="0"/>
              <w:snapToGrid w:val="0"/>
              <w:spacing w:line="360" w:lineRule="auto"/>
              <w:jc w:val="center"/>
              <w:textAlignment w:val="auto"/>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基本资格要求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01" w:type="dxa"/>
            <w:noWrap w:val="0"/>
            <w:vAlign w:val="center"/>
          </w:tcPr>
          <w:p>
            <w:pPr>
              <w:keepNext w:val="0"/>
              <w:keepLines w:val="0"/>
              <w:pageBreakBefore w:val="0"/>
              <w:widowControl w:val="0"/>
              <w:tabs>
                <w:tab w:val="left" w:pos="6635"/>
              </w:tabs>
              <w:kinsoku/>
              <w:wordWrap/>
              <w:overflowPunct/>
              <w:topLinePunct w:val="0"/>
              <w:autoSpaceDE/>
              <w:autoSpaceDN/>
              <w:bidi w:val="0"/>
              <w:adjustRightInd w:val="0"/>
              <w:snapToGrid w:val="0"/>
              <w:spacing w:line="360" w:lineRule="auto"/>
              <w:jc w:val="center"/>
              <w:textAlignment w:val="auto"/>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1.1</w:t>
            </w:r>
          </w:p>
        </w:tc>
        <w:tc>
          <w:tcPr>
            <w:tcW w:w="19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cs="Times New Roman"/>
                <w:kern w:val="2"/>
                <w:sz w:val="24"/>
                <w:szCs w:val="24"/>
                <w:highlight w:val="none"/>
              </w:rPr>
            </w:pPr>
            <w:r>
              <w:rPr>
                <w:rFonts w:hint="eastAsia" w:ascii="Times New Roman" w:hAnsi="宋体" w:eastAsia="宋体" w:cs="宋体"/>
                <w:bCs/>
                <w:kern w:val="2"/>
                <w:sz w:val="24"/>
                <w:szCs w:val="24"/>
                <w:highlight w:val="none"/>
              </w:rPr>
              <w:t>营业执照等主体资格证明文件</w:t>
            </w:r>
          </w:p>
        </w:tc>
        <w:tc>
          <w:tcPr>
            <w:tcW w:w="6736" w:type="dxa"/>
            <w:noWrap w:val="0"/>
            <w:vAlign w:val="center"/>
          </w:tcPr>
          <w:p>
            <w:pPr>
              <w:keepNext w:val="0"/>
              <w:keepLines w:val="0"/>
              <w:pageBreakBefore w:val="0"/>
              <w:widowControl w:val="0"/>
              <w:tabs>
                <w:tab w:val="left" w:pos="1180"/>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提供合格有效的法人或者其他组织的营业执照等证明文件，自然人的身份证明；投标人是法人或其他组织的应提供营业执照等证明文件，投标人是自然人的应提供有效的自然人身份证明。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01" w:type="dxa"/>
            <w:noWrap w:val="0"/>
            <w:vAlign w:val="center"/>
          </w:tcPr>
          <w:p>
            <w:pPr>
              <w:keepNext w:val="0"/>
              <w:keepLines w:val="0"/>
              <w:pageBreakBefore w:val="0"/>
              <w:widowControl w:val="0"/>
              <w:tabs>
                <w:tab w:val="left" w:pos="6635"/>
              </w:tabs>
              <w:kinsoku/>
              <w:wordWrap/>
              <w:overflowPunct/>
              <w:topLinePunct w:val="0"/>
              <w:autoSpaceDE/>
              <w:autoSpaceDN/>
              <w:bidi w:val="0"/>
              <w:adjustRightInd w:val="0"/>
              <w:snapToGrid w:val="0"/>
              <w:spacing w:line="360" w:lineRule="auto"/>
              <w:jc w:val="center"/>
              <w:textAlignment w:val="auto"/>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1.2</w:t>
            </w:r>
          </w:p>
        </w:tc>
        <w:tc>
          <w:tcPr>
            <w:tcW w:w="1961" w:type="dxa"/>
            <w:noWrap w:val="0"/>
            <w:vAlign w:val="center"/>
          </w:tcPr>
          <w:p>
            <w:pPr>
              <w:keepNext w:val="0"/>
              <w:keepLines w:val="0"/>
              <w:pageBreakBefore w:val="0"/>
              <w:widowControl w:val="0"/>
              <w:tabs>
                <w:tab w:val="left" w:pos="1180"/>
              </w:tabs>
              <w:kinsoku/>
              <w:wordWrap/>
              <w:overflowPunct/>
              <w:topLinePunct w:val="0"/>
              <w:autoSpaceDE/>
              <w:autoSpaceDN/>
              <w:bidi w:val="0"/>
              <w:adjustRightInd w:val="0"/>
              <w:snapToGrid w:val="0"/>
              <w:spacing w:line="360" w:lineRule="auto"/>
              <w:jc w:val="center"/>
              <w:textAlignment w:val="auto"/>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财务状况报告</w:t>
            </w:r>
          </w:p>
        </w:tc>
        <w:tc>
          <w:tcPr>
            <w:tcW w:w="6736" w:type="dxa"/>
            <w:noWrap w:val="0"/>
            <w:vAlign w:val="center"/>
          </w:tcPr>
          <w:p>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2021年度经审计的财务报告（成立时间至提交投标文件截止时间不足一年的可提供成立后任意时段的资产负债表），或其基本存款账户开户银行出具的资信证明及基本存款账户开户许可证（基本账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1" w:type="dxa"/>
            <w:noWrap w:val="0"/>
            <w:vAlign w:val="center"/>
          </w:tcPr>
          <w:p>
            <w:pPr>
              <w:keepNext w:val="0"/>
              <w:keepLines w:val="0"/>
              <w:pageBreakBefore w:val="0"/>
              <w:widowControl w:val="0"/>
              <w:tabs>
                <w:tab w:val="left" w:pos="66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Times New Roman"/>
                <w:kern w:val="2"/>
                <w:sz w:val="24"/>
                <w:szCs w:val="24"/>
                <w:highlight w:val="none"/>
                <w:lang w:val="en-US" w:eastAsia="zh-CN"/>
              </w:rPr>
            </w:pPr>
            <w:r>
              <w:rPr>
                <w:rFonts w:hint="eastAsia" w:ascii="宋体" w:hAnsi="宋体" w:eastAsia="宋体" w:cs="Times New Roman"/>
                <w:kern w:val="2"/>
                <w:sz w:val="24"/>
                <w:szCs w:val="24"/>
                <w:highlight w:val="none"/>
                <w:lang w:val="en-US" w:eastAsia="zh-CN"/>
              </w:rPr>
              <w:t>1.2</w:t>
            </w:r>
          </w:p>
        </w:tc>
        <w:tc>
          <w:tcPr>
            <w:tcW w:w="1961" w:type="dxa"/>
            <w:noWrap w:val="0"/>
            <w:vAlign w:val="center"/>
          </w:tcPr>
          <w:p>
            <w:pPr>
              <w:keepNext w:val="0"/>
              <w:keepLines w:val="0"/>
              <w:pageBreakBefore w:val="0"/>
              <w:widowControl w:val="0"/>
              <w:tabs>
                <w:tab w:val="left" w:pos="118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snapToGrid w:val="0"/>
                <w:color w:val="000000"/>
                <w:kern w:val="2"/>
                <w:sz w:val="24"/>
                <w:szCs w:val="24"/>
                <w:highlight w:val="none"/>
                <w:lang w:val="en-US" w:eastAsia="zh-CN"/>
              </w:rPr>
            </w:pPr>
            <w:r>
              <w:rPr>
                <w:rFonts w:hint="eastAsia" w:ascii="宋体" w:hAnsi="宋体" w:eastAsia="宋体" w:cs="Times New Roman"/>
                <w:kern w:val="2"/>
                <w:sz w:val="24"/>
                <w:szCs w:val="24"/>
                <w:highlight w:val="none"/>
                <w:lang w:val="en-US" w:eastAsia="zh-CN"/>
              </w:rPr>
              <w:t>承诺</w:t>
            </w:r>
          </w:p>
        </w:tc>
        <w:tc>
          <w:tcPr>
            <w:tcW w:w="6736" w:type="dxa"/>
            <w:noWrap w:val="0"/>
            <w:vAlign w:val="center"/>
          </w:tcPr>
          <w:p>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jc w:val="left"/>
              <w:textAlignment w:val="auto"/>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z w:val="24"/>
                <w:szCs w:val="24"/>
                <w:highlight w:val="none"/>
              </w:rPr>
              <w:t>提供具有履行合同所必需的设备和专业技术能力的承诺；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01" w:type="dxa"/>
            <w:noWrap w:val="0"/>
            <w:vAlign w:val="center"/>
          </w:tcPr>
          <w:p>
            <w:pPr>
              <w:keepNext w:val="0"/>
              <w:keepLines w:val="0"/>
              <w:pageBreakBefore w:val="0"/>
              <w:widowControl w:val="0"/>
              <w:tabs>
                <w:tab w:val="left" w:pos="66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Times New Roman"/>
                <w:kern w:val="2"/>
                <w:sz w:val="24"/>
                <w:szCs w:val="24"/>
                <w:highlight w:val="none"/>
                <w:lang w:val="en-US" w:eastAsia="zh-CN"/>
              </w:rPr>
            </w:pPr>
            <w:r>
              <w:rPr>
                <w:rFonts w:hint="eastAsia" w:ascii="宋体" w:hAnsi="宋体" w:eastAsia="宋体" w:cs="Times New Roman"/>
                <w:kern w:val="2"/>
                <w:sz w:val="24"/>
                <w:szCs w:val="24"/>
                <w:highlight w:val="none"/>
                <w:lang w:val="en-US" w:eastAsia="zh-CN"/>
              </w:rPr>
              <w:t>1.3</w:t>
            </w:r>
          </w:p>
        </w:tc>
        <w:tc>
          <w:tcPr>
            <w:tcW w:w="19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税收缴纳证明</w:t>
            </w:r>
          </w:p>
        </w:tc>
        <w:tc>
          <w:tcPr>
            <w:tcW w:w="6736" w:type="dxa"/>
            <w:noWrap w:val="0"/>
            <w:vAlign w:val="center"/>
          </w:tcPr>
          <w:p>
            <w:pPr>
              <w:keepNext w:val="0"/>
              <w:keepLines w:val="0"/>
              <w:pageBreakBefore w:val="0"/>
              <w:widowControl w:val="0"/>
              <w:tabs>
                <w:tab w:val="left" w:pos="1180"/>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rPr>
              <w:t>提供投标截止日前一年内已缴纳的至少一个月的纳税证明或完税证明，依法免税的单位应提供相关证明材料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01" w:type="dxa"/>
            <w:noWrap w:val="0"/>
            <w:vAlign w:val="center"/>
          </w:tcPr>
          <w:p>
            <w:pPr>
              <w:keepNext w:val="0"/>
              <w:keepLines w:val="0"/>
              <w:pageBreakBefore w:val="0"/>
              <w:widowControl w:val="0"/>
              <w:tabs>
                <w:tab w:val="left" w:pos="66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Times New Roman"/>
                <w:kern w:val="2"/>
                <w:sz w:val="24"/>
                <w:szCs w:val="24"/>
                <w:highlight w:val="none"/>
                <w:lang w:val="en-US" w:eastAsia="zh-CN"/>
              </w:rPr>
            </w:pPr>
            <w:r>
              <w:rPr>
                <w:rFonts w:hint="eastAsia" w:ascii="宋体" w:hAnsi="宋体" w:eastAsia="宋体" w:cs="Times New Roman"/>
                <w:kern w:val="2"/>
                <w:sz w:val="24"/>
                <w:szCs w:val="24"/>
                <w:highlight w:val="none"/>
                <w:lang w:val="en-US" w:eastAsia="zh-CN"/>
              </w:rPr>
              <w:t>1.4</w:t>
            </w:r>
          </w:p>
        </w:tc>
        <w:tc>
          <w:tcPr>
            <w:tcW w:w="19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社会保障资金缴纳证明</w:t>
            </w:r>
          </w:p>
        </w:tc>
        <w:tc>
          <w:tcPr>
            <w:tcW w:w="6736" w:type="dxa"/>
            <w:noWrap w:val="0"/>
            <w:vAlign w:val="center"/>
          </w:tcPr>
          <w:p>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lang w:val="en-US" w:eastAsia="zh-CN" w:bidi="ar-SA"/>
              </w:rPr>
              <w:t>提供投标截止日前一年内已缴存的至少一个月的社会保障资金缴存单据或社保机构开具的社会保险参保缴费情况证明，依法不需要缴纳社会保障资金的单位应提供相关证明材料；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01" w:type="dxa"/>
            <w:noWrap w:val="0"/>
            <w:vAlign w:val="center"/>
          </w:tcPr>
          <w:p>
            <w:pPr>
              <w:keepNext w:val="0"/>
              <w:keepLines w:val="0"/>
              <w:pageBreakBefore w:val="0"/>
              <w:widowControl w:val="0"/>
              <w:tabs>
                <w:tab w:val="left" w:pos="6635"/>
              </w:tabs>
              <w:kinsoku/>
              <w:wordWrap/>
              <w:overflowPunct/>
              <w:topLinePunct w:val="0"/>
              <w:autoSpaceDE/>
              <w:autoSpaceDN/>
              <w:bidi w:val="0"/>
              <w:adjustRightInd w:val="0"/>
              <w:snapToGrid w:val="0"/>
              <w:spacing w:line="360" w:lineRule="auto"/>
              <w:jc w:val="center"/>
              <w:textAlignment w:val="auto"/>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1.6</w:t>
            </w:r>
          </w:p>
        </w:tc>
        <w:tc>
          <w:tcPr>
            <w:tcW w:w="1961"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jc w:val="center"/>
              <w:textAlignment w:val="auto"/>
              <w:rPr>
                <w:rFonts w:ascii="宋体" w:hAnsi="宋体" w:eastAsia="宋体" w:cs="Times New Roman"/>
                <w:kern w:val="2"/>
                <w:sz w:val="24"/>
                <w:szCs w:val="24"/>
                <w:highlight w:val="none"/>
              </w:rPr>
            </w:pPr>
            <w:r>
              <w:rPr>
                <w:rFonts w:hint="eastAsia" w:ascii="Times New Roman" w:hAnsi="宋体" w:eastAsia="宋体" w:cs="宋体"/>
                <w:bCs/>
                <w:kern w:val="2"/>
                <w:sz w:val="24"/>
                <w:szCs w:val="24"/>
                <w:highlight w:val="none"/>
              </w:rPr>
              <w:t>书面声明</w:t>
            </w:r>
          </w:p>
        </w:tc>
        <w:tc>
          <w:tcPr>
            <w:tcW w:w="6736" w:type="dxa"/>
            <w:noWrap w:val="0"/>
            <w:vAlign w:val="center"/>
          </w:tcPr>
          <w:p>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jc w:val="left"/>
              <w:textAlignment w:val="auto"/>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参加政府采购活动前三年内，在经营活动中没有重大违法记录的书面声明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01" w:type="dxa"/>
            <w:noWrap w:val="0"/>
            <w:vAlign w:val="center"/>
          </w:tcPr>
          <w:p>
            <w:pPr>
              <w:keepNext w:val="0"/>
              <w:keepLines w:val="0"/>
              <w:pageBreakBefore w:val="0"/>
              <w:widowControl w:val="0"/>
              <w:tabs>
                <w:tab w:val="left" w:pos="66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kern w:val="2"/>
                <w:sz w:val="24"/>
                <w:szCs w:val="24"/>
                <w:highlight w:val="none"/>
                <w:lang w:val="en-US" w:eastAsia="zh-CN"/>
              </w:rPr>
            </w:pPr>
            <w:r>
              <w:rPr>
                <w:rFonts w:hint="eastAsia" w:ascii="宋体" w:hAnsi="宋体" w:eastAsia="宋体" w:cs="Times New Roman"/>
                <w:kern w:val="2"/>
                <w:sz w:val="24"/>
                <w:szCs w:val="24"/>
                <w:highlight w:val="none"/>
                <w:lang w:val="en-US" w:eastAsia="zh-CN"/>
              </w:rPr>
              <w:t>二</w:t>
            </w:r>
          </w:p>
        </w:tc>
        <w:tc>
          <w:tcPr>
            <w:tcW w:w="1961" w:type="dxa"/>
            <w:noWrap w:val="0"/>
            <w:vAlign w:val="center"/>
          </w:tcPr>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imes New Roman" w:hAnsi="宋体" w:eastAsia="宋体" w:cs="宋体"/>
                <w:bCs/>
                <w:kern w:val="2"/>
                <w:sz w:val="24"/>
                <w:szCs w:val="24"/>
                <w:highlight w:val="none"/>
              </w:rPr>
            </w:pPr>
            <w:r>
              <w:rPr>
                <w:rFonts w:hint="eastAsia" w:ascii="宋体" w:hAnsi="宋体" w:eastAsia="宋体" w:cs="宋体"/>
                <w:kern w:val="0"/>
                <w:sz w:val="24"/>
                <w:szCs w:val="24"/>
                <w:highlight w:val="none"/>
                <w:shd w:val="clear" w:color="auto" w:fill="FFFFFF"/>
                <w:lang w:eastAsia="zh-CN"/>
              </w:rPr>
              <w:t>落实政府采购政策需满足的资格要求如下:</w:t>
            </w:r>
          </w:p>
        </w:tc>
        <w:tc>
          <w:tcPr>
            <w:tcW w:w="6736" w:type="dxa"/>
            <w:noWrap w:val="0"/>
            <w:vAlign w:val="center"/>
          </w:tcPr>
          <w:p>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eastAsia="zh-CN"/>
              </w:rPr>
              <w:t>本项目专门面向中小企业采购；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01" w:type="dxa"/>
            <w:noWrap w:val="0"/>
            <w:vAlign w:val="center"/>
          </w:tcPr>
          <w:p>
            <w:pPr>
              <w:keepNext w:val="0"/>
              <w:keepLines w:val="0"/>
              <w:pageBreakBefore w:val="0"/>
              <w:widowControl w:val="0"/>
              <w:tabs>
                <w:tab w:val="left" w:pos="118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kern w:val="2"/>
                <w:sz w:val="24"/>
                <w:szCs w:val="24"/>
                <w:highlight w:val="none"/>
                <w:lang w:eastAsia="zh-CN"/>
              </w:rPr>
            </w:pPr>
            <w:r>
              <w:rPr>
                <w:rFonts w:hint="eastAsia" w:ascii="宋体" w:hAnsi="宋体" w:eastAsia="宋体" w:cs="Times New Roman"/>
                <w:kern w:val="2"/>
                <w:sz w:val="24"/>
                <w:szCs w:val="24"/>
                <w:highlight w:val="none"/>
                <w:lang w:val="en-US" w:eastAsia="zh-CN"/>
              </w:rPr>
              <w:t>三</w:t>
            </w:r>
          </w:p>
        </w:tc>
        <w:tc>
          <w:tcPr>
            <w:tcW w:w="8697" w:type="dxa"/>
            <w:gridSpan w:val="2"/>
            <w:noWrap w:val="0"/>
            <w:vAlign w:val="center"/>
          </w:tcPr>
          <w:p>
            <w:pPr>
              <w:keepNext w:val="0"/>
              <w:keepLines w:val="0"/>
              <w:pageBreakBefore w:val="0"/>
              <w:widowControl w:val="0"/>
              <w:tabs>
                <w:tab w:val="left" w:pos="1180"/>
              </w:tabs>
              <w:kinsoku/>
              <w:wordWrap/>
              <w:overflowPunct/>
              <w:topLinePunct w:val="0"/>
              <w:autoSpaceDE/>
              <w:autoSpaceDN/>
              <w:bidi w:val="0"/>
              <w:adjustRightInd w:val="0"/>
              <w:snapToGrid w:val="0"/>
              <w:spacing w:line="360" w:lineRule="auto"/>
              <w:jc w:val="center"/>
              <w:textAlignment w:val="auto"/>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01" w:type="dxa"/>
            <w:noWrap w:val="0"/>
            <w:vAlign w:val="center"/>
          </w:tcPr>
          <w:p>
            <w:pPr>
              <w:keepNext w:val="0"/>
              <w:keepLines w:val="0"/>
              <w:pageBreakBefore w:val="0"/>
              <w:widowControl w:val="0"/>
              <w:tabs>
                <w:tab w:val="left" w:pos="6635"/>
              </w:tabs>
              <w:kinsoku/>
              <w:wordWrap/>
              <w:overflowPunct/>
              <w:topLinePunct w:val="0"/>
              <w:autoSpaceDE/>
              <w:autoSpaceDN/>
              <w:bidi w:val="0"/>
              <w:adjustRightInd w:val="0"/>
              <w:snapToGrid w:val="0"/>
              <w:spacing w:line="360" w:lineRule="auto"/>
              <w:jc w:val="center"/>
              <w:textAlignment w:val="auto"/>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rPr>
              <w:t>3</w:t>
            </w:r>
            <w:r>
              <w:rPr>
                <w:rFonts w:hint="eastAsia" w:ascii="宋体" w:hAnsi="宋体" w:eastAsia="宋体" w:cs="Times New Roman"/>
                <w:kern w:val="2"/>
                <w:sz w:val="24"/>
                <w:szCs w:val="24"/>
                <w:highlight w:val="none"/>
              </w:rPr>
              <w:t>.1</w:t>
            </w:r>
          </w:p>
        </w:tc>
        <w:tc>
          <w:tcPr>
            <w:tcW w:w="19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cs="Times New Roman"/>
                <w:kern w:val="2"/>
                <w:sz w:val="24"/>
                <w:szCs w:val="24"/>
                <w:highlight w:val="none"/>
              </w:rPr>
            </w:pPr>
            <w:r>
              <w:rPr>
                <w:rFonts w:hint="eastAsia" w:ascii="宋体" w:hAnsi="宋体" w:eastAsia="宋体" w:cs="Times New Roman"/>
                <w:kern w:val="2"/>
                <w:sz w:val="24"/>
                <w:szCs w:val="24"/>
                <w:highlight w:val="none"/>
              </w:rPr>
              <w:t>法定代表人授权</w:t>
            </w:r>
          </w:p>
        </w:tc>
        <w:tc>
          <w:tcPr>
            <w:tcW w:w="6736" w:type="dxa"/>
            <w:noWrap w:val="0"/>
            <w:vAlign w:val="center"/>
          </w:tcPr>
          <w:p>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beforeAutospacing="0" w:after="0" w:afterAutospacing="0" w:line="336" w:lineRule="auto"/>
              <w:jc w:val="left"/>
              <w:textAlignment w:val="baseline"/>
              <w:rPr>
                <w:rFonts w:ascii="宋体" w:hAnsi="宋体" w:eastAsia="宋体" w:cs="宋体"/>
                <w:kern w:val="0"/>
                <w:sz w:val="24"/>
                <w:szCs w:val="24"/>
                <w:highlight w:val="none"/>
                <w:lang w:val="en-US" w:eastAsia="zh-CN" w:bidi="ar-SA"/>
              </w:rPr>
            </w:pPr>
            <w:r>
              <w:rPr>
                <w:rFonts w:hint="eastAsia" w:ascii="宋体" w:hAnsi="宋体" w:eastAsia="宋体" w:cs="宋体"/>
                <w:spacing w:val="10"/>
                <w:sz w:val="24"/>
                <w:szCs w:val="24"/>
                <w:highlight w:val="none"/>
                <w:lang w:val="en-US" w:eastAsia="zh-CN"/>
              </w:rPr>
              <w:t>法定代表人授权书及被授权人身份证复印件（法定代表人直接参加投标，须提供法定代表人身份证明及身份证复印件）；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01" w:type="dxa"/>
            <w:noWrap w:val="0"/>
            <w:vAlign w:val="center"/>
          </w:tcPr>
          <w:p>
            <w:pPr>
              <w:keepNext w:val="0"/>
              <w:keepLines w:val="0"/>
              <w:pageBreakBefore w:val="0"/>
              <w:widowControl w:val="0"/>
              <w:tabs>
                <w:tab w:val="left" w:pos="66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Times New Roman"/>
                <w:kern w:val="2"/>
                <w:sz w:val="24"/>
                <w:szCs w:val="24"/>
                <w:highlight w:val="none"/>
                <w:lang w:val="en-US" w:eastAsia="zh-CN"/>
              </w:rPr>
            </w:pPr>
            <w:r>
              <w:rPr>
                <w:rFonts w:hint="eastAsia" w:ascii="宋体" w:hAnsi="宋体" w:eastAsia="宋体" w:cs="Times New Roman"/>
                <w:kern w:val="2"/>
                <w:sz w:val="24"/>
                <w:szCs w:val="24"/>
                <w:highlight w:val="none"/>
                <w:lang w:val="en-US" w:eastAsia="zh-CN"/>
              </w:rPr>
              <w:t>3.2</w:t>
            </w:r>
          </w:p>
        </w:tc>
        <w:tc>
          <w:tcPr>
            <w:tcW w:w="19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Times New Roman"/>
                <w:kern w:val="2"/>
                <w:sz w:val="24"/>
                <w:szCs w:val="24"/>
                <w:highlight w:val="none"/>
                <w:lang w:val="en-US" w:eastAsia="zh-CN"/>
              </w:rPr>
            </w:pPr>
            <w:r>
              <w:rPr>
                <w:rFonts w:hint="eastAsia" w:ascii="宋体" w:hAnsi="宋体" w:eastAsia="宋体" w:cs="Times New Roman"/>
                <w:kern w:val="2"/>
                <w:sz w:val="24"/>
                <w:szCs w:val="24"/>
                <w:highlight w:val="none"/>
                <w:lang w:val="en-US" w:eastAsia="zh-CN"/>
              </w:rPr>
              <w:t>资质等级</w:t>
            </w:r>
          </w:p>
        </w:tc>
        <w:tc>
          <w:tcPr>
            <w:tcW w:w="6736" w:type="dxa"/>
            <w:noWrap w:val="0"/>
            <w:vAlign w:val="center"/>
          </w:tcPr>
          <w:p>
            <w:pPr>
              <w:keepNext w:val="0"/>
              <w:keepLines w:val="0"/>
              <w:pageBreakBefore w:val="0"/>
              <w:widowControl/>
              <w:numPr>
                <w:ilvl w:val="-1"/>
                <w:numId w:val="0"/>
              </w:numPr>
              <w:kinsoku w:val="0"/>
              <w:wordWrap/>
              <w:overflowPunct/>
              <w:topLinePunct w:val="0"/>
              <w:autoSpaceDE w:val="0"/>
              <w:autoSpaceDN w:val="0"/>
              <w:bidi w:val="0"/>
              <w:adjustRightInd w:val="0"/>
              <w:snapToGrid w:val="0"/>
              <w:spacing w:before="0" w:beforeAutospacing="0" w:after="0" w:afterAutospacing="0" w:line="336" w:lineRule="auto"/>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spacing w:val="10"/>
                <w:sz w:val="24"/>
                <w:szCs w:val="24"/>
                <w:highlight w:val="none"/>
                <w:lang w:val="en-US" w:eastAsia="zh-CN"/>
              </w:rPr>
              <w:t>投标人须具有建设行政主管部门颁发的工程监理综合资质或市政公用工程监理乙级及以上资质；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01" w:type="dxa"/>
            <w:noWrap w:val="0"/>
            <w:vAlign w:val="center"/>
          </w:tcPr>
          <w:p>
            <w:pPr>
              <w:keepNext w:val="0"/>
              <w:keepLines w:val="0"/>
              <w:pageBreakBefore w:val="0"/>
              <w:widowControl w:val="0"/>
              <w:tabs>
                <w:tab w:val="left" w:pos="66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Times New Roman"/>
                <w:kern w:val="2"/>
                <w:sz w:val="24"/>
                <w:szCs w:val="24"/>
                <w:highlight w:val="none"/>
                <w:lang w:val="en-US" w:eastAsia="zh-CN"/>
              </w:rPr>
            </w:pPr>
            <w:r>
              <w:rPr>
                <w:rFonts w:hint="eastAsia" w:ascii="宋体" w:hAnsi="宋体" w:eastAsia="宋体" w:cs="Times New Roman"/>
                <w:kern w:val="2"/>
                <w:sz w:val="24"/>
                <w:szCs w:val="24"/>
                <w:highlight w:val="none"/>
                <w:lang w:val="en-US" w:eastAsia="zh-CN"/>
              </w:rPr>
              <w:t>3.3</w:t>
            </w:r>
          </w:p>
        </w:tc>
        <w:tc>
          <w:tcPr>
            <w:tcW w:w="19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Times New Roman"/>
                <w:kern w:val="2"/>
                <w:sz w:val="24"/>
                <w:szCs w:val="24"/>
                <w:highlight w:val="none"/>
                <w:lang w:val="en-US" w:eastAsia="zh-CN"/>
              </w:rPr>
            </w:pPr>
            <w:r>
              <w:rPr>
                <w:rFonts w:hint="eastAsia" w:ascii="宋体" w:hAnsi="宋体" w:eastAsia="宋体" w:cs="Times New Roman"/>
                <w:kern w:val="2"/>
                <w:sz w:val="24"/>
                <w:szCs w:val="24"/>
                <w:highlight w:val="none"/>
                <w:lang w:val="en-US" w:eastAsia="zh-CN"/>
              </w:rPr>
              <w:t>总监理工程师</w:t>
            </w:r>
          </w:p>
        </w:tc>
        <w:tc>
          <w:tcPr>
            <w:tcW w:w="6736" w:type="dxa"/>
            <w:noWrap w:val="0"/>
            <w:vAlign w:val="center"/>
          </w:tcPr>
          <w:p>
            <w:pPr>
              <w:keepNext w:val="0"/>
              <w:keepLines w:val="0"/>
              <w:pageBreakBefore w:val="0"/>
              <w:widowControl/>
              <w:numPr>
                <w:ilvl w:val="-1"/>
                <w:numId w:val="0"/>
              </w:numPr>
              <w:kinsoku w:val="0"/>
              <w:wordWrap/>
              <w:overflowPunct/>
              <w:topLinePunct w:val="0"/>
              <w:autoSpaceDE w:val="0"/>
              <w:autoSpaceDN w:val="0"/>
              <w:bidi w:val="0"/>
              <w:adjustRightInd w:val="0"/>
              <w:snapToGrid w:val="0"/>
              <w:spacing w:before="0" w:beforeAutospacing="0" w:after="0" w:afterAutospacing="0" w:line="336" w:lineRule="auto"/>
              <w:jc w:val="left"/>
              <w:textAlignment w:val="baseline"/>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拟派总监理工程师具有市政公用工程专业国家级注册监理工程师资质且在本单位注册，拟派总监理工程师如有担任其他在监工程的总监理工程师，则在监工程不得超过2个（含2个），同时需提供在监项目建设单位的同意意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801" w:type="dxa"/>
            <w:noWrap w:val="0"/>
            <w:vAlign w:val="center"/>
          </w:tcPr>
          <w:p>
            <w:pPr>
              <w:keepNext w:val="0"/>
              <w:keepLines w:val="0"/>
              <w:pageBreakBefore w:val="0"/>
              <w:widowControl w:val="0"/>
              <w:tabs>
                <w:tab w:val="left" w:pos="66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Times New Roman"/>
                <w:kern w:val="2"/>
                <w:sz w:val="24"/>
                <w:szCs w:val="24"/>
                <w:highlight w:val="none"/>
                <w:lang w:val="en-US" w:eastAsia="zh-CN"/>
              </w:rPr>
            </w:pPr>
            <w:r>
              <w:rPr>
                <w:rFonts w:hint="eastAsia" w:ascii="宋体" w:hAnsi="宋体" w:eastAsia="宋体" w:cs="Times New Roman"/>
                <w:kern w:val="2"/>
                <w:sz w:val="24"/>
                <w:szCs w:val="24"/>
                <w:highlight w:val="none"/>
                <w:lang w:val="en-US" w:eastAsia="zh-CN"/>
              </w:rPr>
              <w:t>3.4</w:t>
            </w:r>
          </w:p>
        </w:tc>
        <w:tc>
          <w:tcPr>
            <w:tcW w:w="19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Times New Roman"/>
                <w:kern w:val="2"/>
                <w:sz w:val="24"/>
                <w:szCs w:val="24"/>
                <w:highlight w:val="none"/>
                <w:lang w:val="en-US" w:eastAsia="zh-CN"/>
              </w:rPr>
            </w:pPr>
            <w:r>
              <w:rPr>
                <w:rFonts w:hint="eastAsia" w:ascii="宋体" w:hAnsi="宋体" w:eastAsia="宋体" w:cs="Times New Roman"/>
                <w:kern w:val="2"/>
                <w:sz w:val="24"/>
                <w:szCs w:val="24"/>
                <w:highlight w:val="none"/>
                <w:lang w:val="en-US" w:eastAsia="zh-CN"/>
              </w:rPr>
              <w:t>平台查询记录</w:t>
            </w:r>
          </w:p>
        </w:tc>
        <w:tc>
          <w:tcPr>
            <w:tcW w:w="6736" w:type="dxa"/>
            <w:noWrap w:val="0"/>
            <w:vAlign w:val="center"/>
          </w:tcPr>
          <w:p>
            <w:pPr>
              <w:keepNext w:val="0"/>
              <w:keepLines w:val="0"/>
              <w:pageBreakBefore w:val="0"/>
              <w:widowControl/>
              <w:numPr>
                <w:ilvl w:val="-1"/>
                <w:numId w:val="0"/>
              </w:numPr>
              <w:kinsoku w:val="0"/>
              <w:wordWrap/>
              <w:overflowPunct/>
              <w:topLinePunct w:val="0"/>
              <w:autoSpaceDE w:val="0"/>
              <w:autoSpaceDN w:val="0"/>
              <w:bidi w:val="0"/>
              <w:adjustRightInd w:val="0"/>
              <w:snapToGrid w:val="0"/>
              <w:spacing w:before="0" w:beforeAutospacing="0" w:after="0" w:afterAutospacing="0" w:line="336" w:lineRule="auto"/>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spacing w:val="10"/>
                <w:sz w:val="24"/>
                <w:szCs w:val="24"/>
                <w:highlight w:val="none"/>
                <w:lang w:val="en-US" w:eastAsia="zh-CN"/>
              </w:rPr>
              <w:t>投标人</w:t>
            </w:r>
            <w:r>
              <w:rPr>
                <w:rFonts w:hint="eastAsia" w:ascii="宋体" w:hAnsi="宋体" w:eastAsia="宋体" w:cs="宋体"/>
                <w:spacing w:val="10"/>
                <w:sz w:val="24"/>
                <w:szCs w:val="24"/>
                <w:highlight w:val="none"/>
              </w:rPr>
              <w:fldChar w:fldCharType="begin"/>
            </w:r>
            <w:r>
              <w:rPr>
                <w:rFonts w:hint="eastAsia" w:ascii="宋体" w:hAnsi="宋体" w:eastAsia="宋体" w:cs="宋体"/>
                <w:spacing w:val="10"/>
                <w:sz w:val="24"/>
                <w:szCs w:val="24"/>
                <w:highlight w:val="none"/>
              </w:rPr>
              <w:instrText xml:space="preserve"> HYPERLINK "http://www.creditchina.gov.cn/" </w:instrText>
            </w:r>
            <w:r>
              <w:rPr>
                <w:rFonts w:hint="eastAsia" w:ascii="宋体" w:hAnsi="宋体" w:eastAsia="宋体" w:cs="宋体"/>
                <w:spacing w:val="10"/>
                <w:sz w:val="24"/>
                <w:szCs w:val="24"/>
                <w:highlight w:val="none"/>
              </w:rPr>
              <w:fldChar w:fldCharType="separate"/>
            </w:r>
            <w:r>
              <w:rPr>
                <w:rFonts w:hint="eastAsia" w:ascii="宋体" w:hAnsi="宋体" w:eastAsia="宋体" w:cs="宋体"/>
                <w:spacing w:val="10"/>
                <w:sz w:val="24"/>
                <w:szCs w:val="24"/>
                <w:highlight w:val="none"/>
              </w:rPr>
              <w:t>未被“信用中国”网站(www.creditchina.gov.cn</w:t>
            </w:r>
            <w:r>
              <w:rPr>
                <w:rFonts w:hint="eastAsia" w:ascii="宋体" w:hAnsi="宋体" w:eastAsia="宋体" w:cs="宋体"/>
                <w:spacing w:val="10"/>
                <w:sz w:val="24"/>
                <w:szCs w:val="24"/>
                <w:highlight w:val="none"/>
              </w:rPr>
              <w:fldChar w:fldCharType="end"/>
            </w:r>
            <w:r>
              <w:rPr>
                <w:rFonts w:hint="eastAsia" w:ascii="宋体" w:hAnsi="宋体" w:eastAsia="宋体" w:cs="宋体"/>
                <w:spacing w:val="10"/>
                <w:sz w:val="24"/>
                <w:szCs w:val="24"/>
                <w:highlight w:val="none"/>
              </w:rPr>
              <w:t>) 列入失信被执行人和重大税收违法失信主体，未被中国政府采购网 (</w:t>
            </w:r>
            <w:r>
              <w:rPr>
                <w:rFonts w:hint="eastAsia" w:ascii="宋体" w:hAnsi="宋体" w:eastAsia="宋体" w:cs="宋体"/>
                <w:spacing w:val="10"/>
                <w:sz w:val="24"/>
                <w:szCs w:val="24"/>
                <w:highlight w:val="none"/>
              </w:rPr>
              <w:fldChar w:fldCharType="begin"/>
            </w:r>
            <w:r>
              <w:rPr>
                <w:rFonts w:hint="eastAsia" w:ascii="宋体" w:hAnsi="宋体" w:eastAsia="宋体" w:cs="宋体"/>
                <w:spacing w:val="10"/>
                <w:sz w:val="24"/>
                <w:szCs w:val="24"/>
                <w:highlight w:val="none"/>
              </w:rPr>
              <w:instrText xml:space="preserve"> HYPERLINK "http://www.ccgp.gov.cn/" </w:instrText>
            </w:r>
            <w:r>
              <w:rPr>
                <w:rFonts w:hint="eastAsia" w:ascii="宋体" w:hAnsi="宋体" w:eastAsia="宋体" w:cs="宋体"/>
                <w:spacing w:val="10"/>
                <w:sz w:val="24"/>
                <w:szCs w:val="24"/>
                <w:highlight w:val="none"/>
              </w:rPr>
              <w:fldChar w:fldCharType="separate"/>
            </w:r>
            <w:r>
              <w:rPr>
                <w:rFonts w:hint="eastAsia" w:ascii="宋体" w:hAnsi="宋体" w:eastAsia="宋体" w:cs="宋体"/>
                <w:spacing w:val="10"/>
                <w:sz w:val="24"/>
                <w:szCs w:val="24"/>
                <w:highlight w:val="none"/>
              </w:rPr>
              <w:t>www.ccgp.gov.cn</w:t>
            </w:r>
            <w:r>
              <w:rPr>
                <w:rFonts w:hint="eastAsia" w:ascii="宋体" w:hAnsi="宋体" w:eastAsia="宋体" w:cs="宋体"/>
                <w:spacing w:val="10"/>
                <w:sz w:val="24"/>
                <w:szCs w:val="24"/>
                <w:highlight w:val="none"/>
              </w:rPr>
              <w:fldChar w:fldCharType="end"/>
            </w:r>
            <w:r>
              <w:rPr>
                <w:rFonts w:hint="eastAsia" w:ascii="宋体" w:hAnsi="宋体" w:eastAsia="宋体" w:cs="宋体"/>
                <w:spacing w:val="10"/>
                <w:sz w:val="24"/>
                <w:szCs w:val="24"/>
                <w:highlight w:val="none"/>
              </w:rPr>
              <w:t>) 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01" w:type="dxa"/>
            <w:noWrap w:val="0"/>
            <w:vAlign w:val="center"/>
          </w:tcPr>
          <w:p>
            <w:pPr>
              <w:keepNext w:val="0"/>
              <w:keepLines w:val="0"/>
              <w:pageBreakBefore w:val="0"/>
              <w:widowControl w:val="0"/>
              <w:tabs>
                <w:tab w:val="left" w:pos="66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Times New Roman"/>
                <w:kern w:val="2"/>
                <w:sz w:val="24"/>
                <w:szCs w:val="24"/>
                <w:highlight w:val="none"/>
                <w:lang w:val="en-US" w:eastAsia="zh-CN"/>
              </w:rPr>
            </w:pPr>
            <w:r>
              <w:rPr>
                <w:rFonts w:hint="eastAsia" w:ascii="宋体" w:hAnsi="宋体" w:eastAsia="宋体" w:cs="Times New Roman"/>
                <w:kern w:val="2"/>
                <w:sz w:val="24"/>
                <w:szCs w:val="24"/>
                <w:highlight w:val="none"/>
                <w:lang w:val="en-US" w:eastAsia="zh-CN"/>
              </w:rPr>
              <w:t>3.5</w:t>
            </w:r>
          </w:p>
        </w:tc>
        <w:tc>
          <w:tcPr>
            <w:tcW w:w="19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宋体" w:eastAsia="宋体" w:cs="宋体"/>
                <w:bCs/>
                <w:kern w:val="2"/>
                <w:sz w:val="24"/>
                <w:szCs w:val="24"/>
                <w:highlight w:val="none"/>
                <w:lang w:val="en-US" w:eastAsia="zh-CN"/>
              </w:rPr>
            </w:pPr>
            <w:r>
              <w:rPr>
                <w:rFonts w:hint="eastAsia" w:ascii="Times New Roman" w:hAnsi="宋体" w:eastAsia="宋体" w:cs="宋体"/>
                <w:bCs/>
                <w:kern w:val="2"/>
                <w:sz w:val="24"/>
                <w:szCs w:val="24"/>
                <w:highlight w:val="none"/>
                <w:lang w:val="en-US" w:eastAsia="zh-CN"/>
              </w:rPr>
              <w:t>联合体</w:t>
            </w:r>
          </w:p>
        </w:tc>
        <w:tc>
          <w:tcPr>
            <w:tcW w:w="6736" w:type="dxa"/>
            <w:noWrap w:val="0"/>
            <w:vAlign w:val="center"/>
          </w:tcPr>
          <w:p>
            <w:pPr>
              <w:keepNext w:val="0"/>
              <w:keepLines w:val="0"/>
              <w:pageBreakBefore w:val="0"/>
              <w:widowControl w:val="0"/>
              <w:tabs>
                <w:tab w:val="left" w:pos="1180"/>
              </w:tabs>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2"/>
                <w:sz w:val="24"/>
                <w:szCs w:val="24"/>
                <w:highlight w:val="none"/>
                <w:shd w:val="clear" w:color="auto" w:fill="FFFFFF"/>
              </w:rPr>
            </w:pPr>
            <w:r>
              <w:rPr>
                <w:rFonts w:hint="eastAsia" w:ascii="宋体" w:hAnsi="宋体" w:eastAsia="宋体" w:cs="宋体"/>
                <w:spacing w:val="10"/>
                <w:sz w:val="24"/>
                <w:szCs w:val="24"/>
                <w:highlight w:val="none"/>
                <w:lang w:val="en-US" w:eastAsia="zh-CN"/>
              </w:rPr>
              <w:t>本项目不接受联合体投标。</w:t>
            </w:r>
          </w:p>
        </w:tc>
      </w:tr>
    </w:tbl>
    <w:p>
      <w:pPr>
        <w:widowControl w:val="0"/>
        <w:spacing w:line="420" w:lineRule="exact"/>
        <w:ind w:firstLine="436" w:firstLineChars="200"/>
        <w:jc w:val="both"/>
        <w:rPr>
          <w:rFonts w:ascii="宋体" w:hAnsi="宋体" w:eastAsia="宋体" w:cs="宋体"/>
          <w:spacing w:val="-11"/>
          <w:kern w:val="2"/>
          <w:sz w:val="24"/>
          <w:szCs w:val="24"/>
          <w:highlight w:val="none"/>
          <w:lang w:val="zh-CN"/>
        </w:rPr>
      </w:pPr>
      <w:r>
        <w:rPr>
          <w:rFonts w:hint="eastAsia" w:ascii="宋体" w:hAnsi="宋体" w:eastAsia="宋体" w:cs="宋体"/>
          <w:bCs/>
          <w:spacing w:val="-11"/>
          <w:kern w:val="2"/>
          <w:sz w:val="24"/>
          <w:szCs w:val="24"/>
          <w:highlight w:val="none"/>
          <w:lang w:val="zh-CN"/>
        </w:rPr>
        <w:t>投标人提供的资格证明文件缺少任何一项或有任何一项不满足，都将被视为无</w:t>
      </w:r>
      <w:r>
        <w:rPr>
          <w:rFonts w:hint="eastAsia" w:ascii="宋体" w:hAnsi="宋体" w:eastAsia="宋体" w:cs="宋体"/>
          <w:spacing w:val="-11"/>
          <w:kern w:val="2"/>
          <w:sz w:val="24"/>
          <w:szCs w:val="24"/>
          <w:highlight w:val="none"/>
          <w:lang w:val="zh-CN"/>
        </w:rPr>
        <w:t>效投标，投标人所提供的资格证明文件应图文清晰、易于辨识，否则由此带来的不利后果由投标人自行承担。</w:t>
      </w:r>
      <w:r>
        <w:rPr>
          <w:rFonts w:hint="eastAsia" w:ascii="宋体" w:hAnsi="宋体" w:eastAsia="宋体" w:cs="宋体"/>
          <w:spacing w:val="-11"/>
          <w:kern w:val="2"/>
          <w:sz w:val="24"/>
          <w:szCs w:val="24"/>
          <w:highlight w:val="none"/>
        </w:rPr>
        <w:t>在</w:t>
      </w:r>
      <w:r>
        <w:rPr>
          <w:rFonts w:hint="eastAsia" w:ascii="宋体" w:hAnsi="宋体" w:eastAsia="宋体" w:cs="宋体"/>
          <w:spacing w:val="-11"/>
          <w:kern w:val="2"/>
          <w:sz w:val="24"/>
          <w:szCs w:val="24"/>
          <w:highlight w:val="none"/>
          <w:lang w:val="en-US" w:eastAsia="zh-CN"/>
        </w:rPr>
        <w:t>资格审查</w:t>
      </w:r>
      <w:r>
        <w:rPr>
          <w:rFonts w:hint="eastAsia" w:ascii="宋体" w:hAnsi="宋体" w:eastAsia="宋体" w:cs="宋体"/>
          <w:spacing w:val="-11"/>
          <w:kern w:val="2"/>
          <w:sz w:val="24"/>
          <w:szCs w:val="24"/>
          <w:highlight w:val="none"/>
        </w:rPr>
        <w:t>时，审查未通过的，不得进入后续评审环节。</w:t>
      </w:r>
      <w:r>
        <w:rPr>
          <w:rFonts w:hint="eastAsia" w:ascii="宋体" w:hAnsi="宋体" w:eastAsia="宋体" w:cs="宋体"/>
          <w:bCs/>
          <w:spacing w:val="-11"/>
          <w:kern w:val="2"/>
          <w:sz w:val="24"/>
          <w:szCs w:val="24"/>
          <w:highlight w:val="none"/>
          <w:lang w:val="zh-CN"/>
        </w:rPr>
        <w:t>合格投标人不足3家的，不得评标。</w:t>
      </w:r>
    </w:p>
    <w:p>
      <w:pPr>
        <w:widowControl w:val="0"/>
        <w:spacing w:line="440" w:lineRule="exact"/>
        <w:ind w:firstLine="436" w:firstLineChars="200"/>
        <w:jc w:val="both"/>
        <w:rPr>
          <w:rFonts w:ascii="宋体" w:hAnsi="宋体" w:eastAsia="宋体" w:cs="宋体"/>
          <w:spacing w:val="-11"/>
          <w:kern w:val="2"/>
          <w:sz w:val="24"/>
          <w:szCs w:val="24"/>
          <w:highlight w:val="none"/>
          <w:lang w:val="zh-CN"/>
        </w:rPr>
      </w:pPr>
      <w:r>
        <w:rPr>
          <w:rFonts w:hint="eastAsia" w:ascii="宋体" w:hAnsi="宋体" w:eastAsia="宋体" w:cs="宋体"/>
          <w:spacing w:val="-11"/>
          <w:kern w:val="2"/>
          <w:sz w:val="24"/>
          <w:szCs w:val="24"/>
          <w:highlight w:val="none"/>
          <w:lang w:val="zh-CN"/>
        </w:rPr>
        <w:t>资格审查结束后，资格审查小组成员应当对审查结果进行签字确认；对未通过资格审查的投标人，资格审查小组应当场告知其未通过的原因。</w:t>
      </w:r>
    </w:p>
    <w:p>
      <w:pPr>
        <w:widowControl w:val="0"/>
        <w:spacing w:line="440" w:lineRule="exact"/>
        <w:ind w:firstLine="219" w:firstLineChars="100"/>
        <w:jc w:val="both"/>
        <w:rPr>
          <w:rFonts w:hint="eastAsia" w:ascii="宋体" w:hAnsi="宋体" w:eastAsia="宋体" w:cs="宋体"/>
          <w:b/>
          <w:bCs/>
          <w:spacing w:val="-11"/>
          <w:kern w:val="2"/>
          <w:sz w:val="24"/>
          <w:szCs w:val="24"/>
          <w:highlight w:val="none"/>
          <w:lang w:val="en-US" w:eastAsia="zh-CN"/>
        </w:rPr>
      </w:pPr>
      <w:r>
        <w:rPr>
          <w:rFonts w:hint="eastAsia" w:ascii="宋体" w:hAnsi="宋体" w:eastAsia="宋体" w:cs="宋体"/>
          <w:b/>
          <w:bCs/>
          <w:spacing w:val="-11"/>
          <w:kern w:val="2"/>
          <w:sz w:val="24"/>
          <w:szCs w:val="24"/>
          <w:highlight w:val="none"/>
          <w:lang w:val="en-US" w:eastAsia="zh-CN"/>
        </w:rPr>
        <w:t>2.7组织评标及符合性评审</w:t>
      </w:r>
    </w:p>
    <w:p>
      <w:pPr>
        <w:widowControl w:val="0"/>
        <w:spacing w:line="440" w:lineRule="exact"/>
        <w:ind w:firstLine="218" w:firstLineChars="100"/>
        <w:jc w:val="both"/>
        <w:rPr>
          <w:rFonts w:hint="eastAsia" w:ascii="宋体" w:hAnsi="宋体" w:eastAsia="宋体" w:cs="宋体"/>
          <w:spacing w:val="-11"/>
          <w:kern w:val="2"/>
          <w:sz w:val="24"/>
          <w:szCs w:val="24"/>
          <w:highlight w:val="none"/>
          <w:lang w:val="en-US" w:eastAsia="zh-CN"/>
        </w:rPr>
      </w:pPr>
      <w:r>
        <w:rPr>
          <w:rFonts w:hint="eastAsia" w:ascii="宋体" w:hAnsi="宋体" w:eastAsia="宋体" w:cs="宋体"/>
          <w:spacing w:val="-11"/>
          <w:kern w:val="2"/>
          <w:sz w:val="24"/>
          <w:szCs w:val="24"/>
          <w:highlight w:val="none"/>
          <w:lang w:val="en-US" w:eastAsia="zh-CN"/>
        </w:rPr>
        <w:t>2.7.1按照《中华人民共和国政府采购法》、中华人民共和国2015年第658号国务院令--《中华人民共和国政府采购法实施条例》和中华人民共和国财政部令第87号 --《政府采购货物和服务招标投标管理办法》等相关法律规定，依法组建评标委员会组织评标。组织评标及符合性评审的评标委员会由采购人代表和评审专家组成，成员人数应当为5人及以上单数，其中评审专家不得少于成员总数的三分之二。其中采购人代表须持有评审授权书。评标委员会应当按照招标文件中规定的评标方法和标准，对组织评标及符合性评审和投标文件进行评审。</w:t>
      </w:r>
    </w:p>
    <w:p>
      <w:pPr>
        <w:widowControl w:val="0"/>
        <w:spacing w:line="440" w:lineRule="exact"/>
        <w:ind w:firstLine="218" w:firstLineChars="100"/>
        <w:jc w:val="both"/>
        <w:rPr>
          <w:rFonts w:hint="eastAsia" w:ascii="宋体" w:hAnsi="宋体" w:eastAsia="宋体" w:cs="宋体"/>
          <w:spacing w:val="-11"/>
          <w:kern w:val="2"/>
          <w:sz w:val="24"/>
          <w:szCs w:val="24"/>
          <w:highlight w:val="none"/>
          <w:lang w:val="en-US" w:eastAsia="zh-CN"/>
        </w:rPr>
      </w:pPr>
      <w:r>
        <w:rPr>
          <w:rFonts w:hint="eastAsia" w:ascii="宋体" w:hAnsi="宋体" w:eastAsia="宋体" w:cs="宋体"/>
          <w:spacing w:val="-11"/>
          <w:kern w:val="2"/>
          <w:sz w:val="24"/>
          <w:szCs w:val="24"/>
          <w:highlight w:val="none"/>
          <w:lang w:val="en-US" w:eastAsia="zh-CN"/>
        </w:rPr>
        <w:t>4.2.2评标委员会从投标文件的有效性、完整性和对投标文件的响应程度进行评审程序符合性评审，以确定其是否对投标文件实质性内容作出响应（采购人可根据具体项目的情况对实质性要求作特别的具体规定）。符合性评审按下表进行：</w:t>
      </w:r>
    </w:p>
    <w:tbl>
      <w:tblPr>
        <w:tblStyle w:val="22"/>
        <w:tblW w:w="8719" w:type="dxa"/>
        <w:tblInd w:w="108" w:type="dxa"/>
        <w:tblLayout w:type="fixed"/>
        <w:tblCellMar>
          <w:top w:w="0" w:type="dxa"/>
          <w:left w:w="10" w:type="dxa"/>
          <w:bottom w:w="0" w:type="dxa"/>
          <w:right w:w="10" w:type="dxa"/>
        </w:tblCellMar>
      </w:tblPr>
      <w:tblGrid>
        <w:gridCol w:w="655"/>
        <w:gridCol w:w="2817"/>
        <w:gridCol w:w="5247"/>
      </w:tblGrid>
      <w:tr>
        <w:tblPrEx>
          <w:tblCellMar>
            <w:top w:w="0" w:type="dxa"/>
            <w:left w:w="10" w:type="dxa"/>
            <w:bottom w:w="0" w:type="dxa"/>
            <w:right w:w="10" w:type="dxa"/>
          </w:tblCellMar>
        </w:tblPrEx>
        <w:trPr>
          <w:trHeight w:val="663" w:hRule="atLeast"/>
        </w:trPr>
        <w:tc>
          <w:tcPr>
            <w:tcW w:w="655"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pPr>
              <w:widowControl w:val="0"/>
              <w:spacing w:line="360" w:lineRule="auto"/>
              <w:jc w:val="center"/>
              <w:rPr>
                <w:rFonts w:ascii="宋体" w:hAnsi="宋体" w:eastAsia="宋体" w:cs="宋体"/>
                <w:b/>
                <w:bCs/>
                <w:spacing w:val="-11"/>
                <w:kern w:val="2"/>
                <w:sz w:val="24"/>
                <w:szCs w:val="24"/>
                <w:highlight w:val="none"/>
              </w:rPr>
            </w:pPr>
            <w:r>
              <w:rPr>
                <w:rFonts w:hint="eastAsia" w:ascii="宋体" w:hAnsi="宋体" w:eastAsia="宋体" w:cs="宋体"/>
                <w:b/>
                <w:bCs/>
                <w:spacing w:val="-11"/>
                <w:kern w:val="2"/>
                <w:sz w:val="24"/>
                <w:szCs w:val="24"/>
                <w:highlight w:val="none"/>
              </w:rPr>
              <w:t>序号</w:t>
            </w:r>
          </w:p>
        </w:tc>
        <w:tc>
          <w:tcPr>
            <w:tcW w:w="2817"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pPr>
              <w:widowControl w:val="0"/>
              <w:spacing w:line="360" w:lineRule="auto"/>
              <w:jc w:val="center"/>
              <w:rPr>
                <w:rFonts w:ascii="宋体" w:hAnsi="宋体" w:eastAsia="宋体" w:cs="宋体"/>
                <w:b/>
                <w:bCs/>
                <w:spacing w:val="-11"/>
                <w:kern w:val="2"/>
                <w:sz w:val="24"/>
                <w:szCs w:val="24"/>
                <w:highlight w:val="none"/>
              </w:rPr>
            </w:pPr>
            <w:r>
              <w:rPr>
                <w:rFonts w:hint="eastAsia" w:ascii="宋体" w:hAnsi="宋体" w:eastAsia="宋体" w:cs="宋体"/>
                <w:b/>
                <w:bCs/>
                <w:spacing w:val="-11"/>
                <w:kern w:val="2"/>
                <w:sz w:val="24"/>
                <w:szCs w:val="24"/>
                <w:highlight w:val="none"/>
              </w:rPr>
              <w:t>评审内容</w:t>
            </w:r>
          </w:p>
        </w:tc>
        <w:tc>
          <w:tcPr>
            <w:tcW w:w="5247"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pPr>
              <w:widowControl w:val="0"/>
              <w:spacing w:line="360" w:lineRule="auto"/>
              <w:jc w:val="center"/>
              <w:rPr>
                <w:rFonts w:ascii="宋体" w:hAnsi="宋体" w:eastAsia="宋体" w:cs="宋体"/>
                <w:b/>
                <w:bCs/>
                <w:spacing w:val="-11"/>
                <w:kern w:val="2"/>
                <w:sz w:val="24"/>
                <w:szCs w:val="24"/>
                <w:highlight w:val="none"/>
              </w:rPr>
            </w:pPr>
            <w:r>
              <w:rPr>
                <w:rFonts w:hint="eastAsia" w:ascii="宋体" w:hAnsi="宋体" w:eastAsia="宋体" w:cs="宋体"/>
                <w:b/>
                <w:bCs/>
                <w:spacing w:val="-11"/>
                <w:kern w:val="2"/>
                <w:sz w:val="24"/>
                <w:szCs w:val="24"/>
                <w:highlight w:val="none"/>
              </w:rPr>
              <w:t>评审标准</w:t>
            </w:r>
          </w:p>
        </w:tc>
      </w:tr>
      <w:tr>
        <w:tblPrEx>
          <w:tblCellMar>
            <w:top w:w="0" w:type="dxa"/>
            <w:left w:w="10" w:type="dxa"/>
            <w:bottom w:w="0" w:type="dxa"/>
            <w:right w:w="10" w:type="dxa"/>
          </w:tblCellMar>
        </w:tblPrEx>
        <w:trPr>
          <w:trHeight w:val="663" w:hRule="atLeast"/>
        </w:trPr>
        <w:tc>
          <w:tcPr>
            <w:tcW w:w="655"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pPr>
              <w:widowControl w:val="0"/>
              <w:spacing w:line="360" w:lineRule="auto"/>
              <w:jc w:val="center"/>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rPr>
              <w:t>1</w:t>
            </w:r>
          </w:p>
        </w:tc>
        <w:tc>
          <w:tcPr>
            <w:tcW w:w="2817"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pPr>
              <w:widowControl w:val="0"/>
              <w:spacing w:line="360" w:lineRule="auto"/>
              <w:jc w:val="center"/>
              <w:rPr>
                <w:rFonts w:ascii="宋体" w:hAnsi="宋体" w:eastAsia="宋体" w:cs="宋体"/>
                <w:spacing w:val="-11"/>
                <w:kern w:val="2"/>
                <w:sz w:val="24"/>
                <w:szCs w:val="24"/>
                <w:highlight w:val="none"/>
              </w:rPr>
            </w:pPr>
            <w:r>
              <w:rPr>
                <w:rFonts w:hint="eastAsia" w:ascii="Times New Roman" w:hAnsi="宋体" w:eastAsia="宋体" w:cs="宋体"/>
                <w:spacing w:val="-11"/>
                <w:kern w:val="2"/>
                <w:sz w:val="24"/>
                <w:szCs w:val="24"/>
                <w:highlight w:val="none"/>
              </w:rPr>
              <w:t>投标人</w:t>
            </w:r>
            <w:r>
              <w:rPr>
                <w:rFonts w:hint="eastAsia" w:ascii="宋体" w:hAnsi="宋体" w:eastAsia="宋体" w:cs="宋体"/>
                <w:spacing w:val="-11"/>
                <w:kern w:val="2"/>
                <w:sz w:val="24"/>
                <w:szCs w:val="24"/>
                <w:highlight w:val="none"/>
              </w:rPr>
              <w:t>名称</w:t>
            </w:r>
          </w:p>
        </w:tc>
        <w:tc>
          <w:tcPr>
            <w:tcW w:w="5247"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pPr>
              <w:widowControl w:val="0"/>
              <w:spacing w:line="360" w:lineRule="auto"/>
              <w:jc w:val="both"/>
              <w:rPr>
                <w:rFonts w:ascii="宋体" w:hAnsi="宋体" w:eastAsia="宋体" w:cs="宋体"/>
                <w:spacing w:val="-11"/>
                <w:kern w:val="2"/>
                <w:sz w:val="24"/>
                <w:szCs w:val="24"/>
                <w:highlight w:val="none"/>
              </w:rPr>
            </w:pPr>
            <w:r>
              <w:rPr>
                <w:rFonts w:hint="eastAsia" w:ascii="Times New Roman" w:hAnsi="宋体" w:eastAsia="宋体" w:cs="宋体"/>
                <w:spacing w:val="-11"/>
                <w:kern w:val="2"/>
                <w:sz w:val="24"/>
                <w:szCs w:val="24"/>
                <w:highlight w:val="none"/>
              </w:rPr>
              <w:t>投标人</w:t>
            </w:r>
            <w:r>
              <w:rPr>
                <w:rFonts w:hint="eastAsia" w:ascii="宋体" w:hAnsi="宋体" w:eastAsia="宋体" w:cs="宋体"/>
                <w:spacing w:val="-11"/>
                <w:kern w:val="2"/>
                <w:sz w:val="24"/>
                <w:szCs w:val="24"/>
                <w:highlight w:val="none"/>
              </w:rPr>
              <w:t>名称和公章、营业执照一致。</w:t>
            </w:r>
          </w:p>
        </w:tc>
      </w:tr>
      <w:tr>
        <w:tblPrEx>
          <w:tblCellMar>
            <w:top w:w="0" w:type="dxa"/>
            <w:left w:w="10" w:type="dxa"/>
            <w:bottom w:w="0" w:type="dxa"/>
            <w:right w:w="10" w:type="dxa"/>
          </w:tblCellMar>
        </w:tblPrEx>
        <w:trPr>
          <w:trHeight w:val="761" w:hRule="atLeast"/>
        </w:trPr>
        <w:tc>
          <w:tcPr>
            <w:tcW w:w="655"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pPr>
              <w:widowControl w:val="0"/>
              <w:spacing w:line="360" w:lineRule="auto"/>
              <w:jc w:val="center"/>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rPr>
              <w:t>2</w:t>
            </w:r>
          </w:p>
        </w:tc>
        <w:tc>
          <w:tcPr>
            <w:tcW w:w="2817"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pPr>
              <w:widowControl w:val="0"/>
              <w:spacing w:line="360" w:lineRule="auto"/>
              <w:jc w:val="center"/>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rPr>
              <w:t>投标报价</w:t>
            </w:r>
          </w:p>
        </w:tc>
        <w:tc>
          <w:tcPr>
            <w:tcW w:w="5247"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pPr>
              <w:widowControl w:val="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rPr>
              <w:t>完整无缺项，未超过最高限价，无选择性报价。</w:t>
            </w:r>
          </w:p>
        </w:tc>
      </w:tr>
      <w:tr>
        <w:tblPrEx>
          <w:tblCellMar>
            <w:top w:w="0" w:type="dxa"/>
            <w:left w:w="10" w:type="dxa"/>
            <w:bottom w:w="0" w:type="dxa"/>
            <w:right w:w="10" w:type="dxa"/>
          </w:tblCellMar>
        </w:tblPrEx>
        <w:trPr>
          <w:trHeight w:val="663" w:hRule="atLeast"/>
        </w:trPr>
        <w:tc>
          <w:tcPr>
            <w:tcW w:w="655"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pPr>
              <w:widowControl w:val="0"/>
              <w:spacing w:line="360" w:lineRule="auto"/>
              <w:jc w:val="center"/>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rPr>
              <w:t>3</w:t>
            </w:r>
          </w:p>
        </w:tc>
        <w:tc>
          <w:tcPr>
            <w:tcW w:w="2817"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pPr>
              <w:widowControl w:val="0"/>
              <w:spacing w:line="360" w:lineRule="auto"/>
              <w:jc w:val="center"/>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rPr>
              <w:t>投标文件的有效期</w:t>
            </w:r>
          </w:p>
        </w:tc>
        <w:tc>
          <w:tcPr>
            <w:tcW w:w="5247"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pPr>
              <w:widowControl w:val="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rPr>
              <w:t>自投标文件递交截止之日起90个</w:t>
            </w:r>
            <w:r>
              <w:rPr>
                <w:rFonts w:hint="eastAsia" w:ascii="宋体" w:hAnsi="宋体" w:eastAsia="宋体" w:cs="宋体"/>
                <w:spacing w:val="-11"/>
                <w:kern w:val="2"/>
                <w:sz w:val="24"/>
                <w:szCs w:val="24"/>
                <w:highlight w:val="none"/>
                <w:lang w:eastAsia="zh-CN"/>
              </w:rPr>
              <w:t>日历天</w:t>
            </w:r>
            <w:r>
              <w:rPr>
                <w:rFonts w:hint="eastAsia" w:ascii="宋体" w:hAnsi="宋体" w:eastAsia="宋体" w:cs="宋体"/>
                <w:spacing w:val="-11"/>
                <w:kern w:val="2"/>
                <w:sz w:val="24"/>
                <w:szCs w:val="24"/>
                <w:highlight w:val="none"/>
              </w:rPr>
              <w:t>。</w:t>
            </w:r>
          </w:p>
        </w:tc>
      </w:tr>
      <w:tr>
        <w:tblPrEx>
          <w:tblCellMar>
            <w:top w:w="0" w:type="dxa"/>
            <w:left w:w="10" w:type="dxa"/>
            <w:bottom w:w="0" w:type="dxa"/>
            <w:right w:w="10" w:type="dxa"/>
          </w:tblCellMar>
        </w:tblPrEx>
        <w:trPr>
          <w:trHeight w:val="663" w:hRule="atLeast"/>
        </w:trPr>
        <w:tc>
          <w:tcPr>
            <w:tcW w:w="655"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pPr>
              <w:widowControl w:val="0"/>
              <w:spacing w:line="360" w:lineRule="auto"/>
              <w:jc w:val="center"/>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rPr>
              <w:t>4</w:t>
            </w:r>
          </w:p>
        </w:tc>
        <w:tc>
          <w:tcPr>
            <w:tcW w:w="2817"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pPr>
              <w:widowControl w:val="0"/>
              <w:spacing w:line="360" w:lineRule="auto"/>
              <w:jc w:val="center"/>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rPr>
              <w:t>投标文件签字、盖章</w:t>
            </w:r>
          </w:p>
        </w:tc>
        <w:tc>
          <w:tcPr>
            <w:tcW w:w="5247"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pPr>
              <w:widowControl w:val="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rPr>
              <w:t>投标文件的签字、盖章合格有效。</w:t>
            </w:r>
          </w:p>
        </w:tc>
      </w:tr>
      <w:tr>
        <w:tblPrEx>
          <w:tblCellMar>
            <w:top w:w="0" w:type="dxa"/>
            <w:left w:w="10" w:type="dxa"/>
            <w:bottom w:w="0" w:type="dxa"/>
            <w:right w:w="10" w:type="dxa"/>
          </w:tblCellMar>
        </w:tblPrEx>
        <w:trPr>
          <w:trHeight w:val="674" w:hRule="atLeast"/>
        </w:trPr>
        <w:tc>
          <w:tcPr>
            <w:tcW w:w="655"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pPr>
              <w:widowControl w:val="0"/>
              <w:spacing w:line="360" w:lineRule="auto"/>
              <w:jc w:val="center"/>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rPr>
              <w:t>5</w:t>
            </w:r>
          </w:p>
        </w:tc>
        <w:tc>
          <w:tcPr>
            <w:tcW w:w="2817"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pPr>
              <w:widowControl w:val="0"/>
              <w:spacing w:line="360" w:lineRule="auto"/>
              <w:jc w:val="center"/>
              <w:rPr>
                <w:rFonts w:hint="default" w:ascii="宋体" w:hAnsi="宋体" w:eastAsia="宋体" w:cs="宋体"/>
                <w:spacing w:val="-11"/>
                <w:kern w:val="2"/>
                <w:sz w:val="24"/>
                <w:szCs w:val="24"/>
                <w:highlight w:val="none"/>
                <w:lang w:val="en-US" w:eastAsia="zh-CN"/>
              </w:rPr>
            </w:pPr>
            <w:r>
              <w:rPr>
                <w:rFonts w:hint="eastAsia" w:ascii="宋体" w:hAnsi="宋体" w:eastAsia="宋体" w:cs="宋体"/>
                <w:spacing w:val="-11"/>
                <w:kern w:val="2"/>
                <w:sz w:val="24"/>
                <w:szCs w:val="24"/>
                <w:highlight w:val="none"/>
                <w:lang w:val="en-US" w:eastAsia="zh-CN"/>
              </w:rPr>
              <w:t>服务期限</w:t>
            </w:r>
          </w:p>
        </w:tc>
        <w:tc>
          <w:tcPr>
            <w:tcW w:w="5247"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pPr>
              <w:widowControl w:val="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rPr>
              <w:t>满足招标文件要求。</w:t>
            </w:r>
          </w:p>
        </w:tc>
      </w:tr>
      <w:tr>
        <w:tblPrEx>
          <w:tblCellMar>
            <w:top w:w="0" w:type="dxa"/>
            <w:left w:w="10" w:type="dxa"/>
            <w:bottom w:w="0" w:type="dxa"/>
            <w:right w:w="10" w:type="dxa"/>
          </w:tblCellMar>
        </w:tblPrEx>
        <w:trPr>
          <w:trHeight w:val="681" w:hRule="atLeast"/>
        </w:trPr>
        <w:tc>
          <w:tcPr>
            <w:tcW w:w="655"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pPr>
              <w:widowControl w:val="0"/>
              <w:spacing w:line="360" w:lineRule="auto"/>
              <w:jc w:val="center"/>
              <w:rPr>
                <w:rFonts w:hint="eastAsia" w:ascii="宋体" w:hAnsi="宋体" w:eastAsia="宋体" w:cs="宋体"/>
                <w:spacing w:val="-11"/>
                <w:kern w:val="2"/>
                <w:sz w:val="24"/>
                <w:szCs w:val="24"/>
                <w:highlight w:val="none"/>
                <w:lang w:val="en-US" w:eastAsia="zh-CN"/>
              </w:rPr>
            </w:pPr>
            <w:r>
              <w:rPr>
                <w:rFonts w:hint="eastAsia" w:ascii="宋体" w:hAnsi="宋体" w:eastAsia="宋体" w:cs="宋体"/>
                <w:spacing w:val="-11"/>
                <w:kern w:val="2"/>
                <w:sz w:val="24"/>
                <w:szCs w:val="24"/>
                <w:highlight w:val="none"/>
                <w:lang w:val="en-US" w:eastAsia="zh-CN"/>
              </w:rPr>
              <w:t>6</w:t>
            </w:r>
          </w:p>
        </w:tc>
        <w:tc>
          <w:tcPr>
            <w:tcW w:w="2817"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pPr>
              <w:widowControl w:val="0"/>
              <w:spacing w:line="360" w:lineRule="auto"/>
              <w:jc w:val="center"/>
              <w:rPr>
                <w:rFonts w:hint="default" w:ascii="宋体" w:hAnsi="宋体" w:eastAsia="宋体" w:cs="宋体"/>
                <w:spacing w:val="-11"/>
                <w:kern w:val="2"/>
                <w:sz w:val="24"/>
                <w:szCs w:val="24"/>
                <w:highlight w:val="none"/>
                <w:lang w:val="en-US" w:eastAsia="zh-CN"/>
              </w:rPr>
            </w:pPr>
            <w:r>
              <w:rPr>
                <w:rFonts w:hint="eastAsia" w:ascii="宋体" w:hAnsi="宋体" w:eastAsia="宋体" w:cs="宋体"/>
                <w:spacing w:val="-11"/>
                <w:kern w:val="2"/>
                <w:sz w:val="24"/>
                <w:szCs w:val="24"/>
                <w:highlight w:val="none"/>
                <w:lang w:val="en-US" w:eastAsia="zh-CN"/>
              </w:rPr>
              <w:t>质量标准</w:t>
            </w:r>
          </w:p>
        </w:tc>
        <w:tc>
          <w:tcPr>
            <w:tcW w:w="5247" w:type="dxa"/>
            <w:tcBorders>
              <w:top w:val="single" w:color="000000" w:sz="4" w:space="0"/>
              <w:left w:val="single" w:color="000000" w:sz="4" w:space="0"/>
              <w:bottom w:val="single" w:color="000000" w:sz="4" w:space="0"/>
              <w:right w:val="single" w:color="000000" w:sz="4" w:space="0"/>
            </w:tcBorders>
            <w:noWrap w:val="0"/>
            <w:tcMar>
              <w:left w:w="80" w:type="dxa"/>
              <w:right w:w="80" w:type="dxa"/>
            </w:tcMar>
            <w:vAlign w:val="center"/>
          </w:tcPr>
          <w:p>
            <w:pPr>
              <w:widowControl w:val="0"/>
              <w:jc w:val="both"/>
              <w:rPr>
                <w:rFonts w:hint="eastAsia"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rPr>
              <w:t>满足招标文件要求。</w:t>
            </w:r>
          </w:p>
        </w:tc>
      </w:tr>
    </w:tbl>
    <w:p>
      <w:pPr>
        <w:widowControl w:val="0"/>
        <w:spacing w:line="420" w:lineRule="exact"/>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rPr>
        <w:t>说明：以上各项有1项不合格，评审不予通过，作为未实质性响应投标文件。</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rPr>
        <w:t>在</w:t>
      </w:r>
      <w:r>
        <w:rPr>
          <w:rFonts w:hint="eastAsia" w:ascii="宋体" w:hAnsi="宋体" w:eastAsia="宋体" w:cs="宋体"/>
          <w:spacing w:val="-11"/>
          <w:kern w:val="2"/>
          <w:sz w:val="24"/>
          <w:szCs w:val="24"/>
          <w:highlight w:val="none"/>
          <w:lang w:val="en-US" w:eastAsia="zh-CN"/>
        </w:rPr>
        <w:t>符合性评审</w:t>
      </w:r>
      <w:r>
        <w:rPr>
          <w:rFonts w:hint="eastAsia" w:ascii="宋体" w:hAnsi="宋体" w:eastAsia="宋体" w:cs="宋体"/>
          <w:spacing w:val="-11"/>
          <w:kern w:val="2"/>
          <w:sz w:val="24"/>
          <w:szCs w:val="24"/>
          <w:highlight w:val="none"/>
        </w:rPr>
        <w:t>时，审查未通过的，不得进入后续评审环节。</w:t>
      </w:r>
      <w:r>
        <w:rPr>
          <w:rFonts w:hint="eastAsia" w:ascii="宋体" w:hAnsi="宋体" w:eastAsia="宋体" w:cs="宋体"/>
          <w:bCs/>
          <w:spacing w:val="-11"/>
          <w:kern w:val="2"/>
          <w:sz w:val="24"/>
          <w:szCs w:val="24"/>
          <w:highlight w:val="none"/>
          <w:lang w:val="zh-CN"/>
        </w:rPr>
        <w:t>合格投标人不足3家的，不得评标。</w:t>
      </w:r>
    </w:p>
    <w:p>
      <w:pPr>
        <w:widowControl w:val="0"/>
        <w:spacing w:line="440" w:lineRule="exact"/>
        <w:jc w:val="both"/>
        <w:rPr>
          <w:rFonts w:ascii="宋体" w:hAnsi="宋体" w:eastAsia="宋体" w:cs="宋体"/>
          <w:b/>
          <w:bCs/>
          <w:spacing w:val="-11"/>
          <w:kern w:val="0"/>
          <w:sz w:val="24"/>
          <w:szCs w:val="24"/>
          <w:highlight w:val="none"/>
        </w:rPr>
      </w:pPr>
      <w:r>
        <w:rPr>
          <w:rFonts w:hint="eastAsia" w:ascii="宋体" w:hAnsi="宋体" w:eastAsia="宋体" w:cs="宋体"/>
          <w:b/>
          <w:bCs/>
          <w:spacing w:val="-11"/>
          <w:kern w:val="2"/>
          <w:sz w:val="24"/>
          <w:szCs w:val="24"/>
          <w:highlight w:val="none"/>
          <w:lang w:val="en-US" w:eastAsia="zh-CN"/>
        </w:rPr>
        <w:t>2.7</w:t>
      </w:r>
      <w:r>
        <w:rPr>
          <w:rFonts w:hint="eastAsia" w:ascii="宋体" w:hAnsi="宋体" w:eastAsia="宋体" w:cs="宋体"/>
          <w:b/>
          <w:bCs/>
          <w:spacing w:val="-11"/>
          <w:kern w:val="2"/>
          <w:sz w:val="24"/>
          <w:szCs w:val="24"/>
          <w:highlight w:val="none"/>
        </w:rPr>
        <w:t>.</w:t>
      </w:r>
      <w:r>
        <w:rPr>
          <w:rFonts w:hint="eastAsia" w:ascii="宋体" w:hAnsi="宋体" w:eastAsia="宋体" w:cs="宋体"/>
          <w:b/>
          <w:bCs/>
          <w:spacing w:val="-11"/>
          <w:kern w:val="2"/>
          <w:sz w:val="24"/>
          <w:szCs w:val="24"/>
          <w:highlight w:val="none"/>
          <w:lang w:val="en-US" w:eastAsia="zh-CN"/>
        </w:rPr>
        <w:t>2</w:t>
      </w:r>
      <w:r>
        <w:rPr>
          <w:rFonts w:hint="eastAsia" w:ascii="宋体" w:hAnsi="宋体" w:eastAsia="宋体" w:cs="宋体"/>
          <w:b/>
          <w:bCs/>
          <w:spacing w:val="-11"/>
          <w:kern w:val="2"/>
          <w:sz w:val="24"/>
          <w:szCs w:val="24"/>
          <w:highlight w:val="none"/>
        </w:rPr>
        <w:t>出现下列情况之一者（但不限于），评标委员会应按无效投标文件处理：</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lang w:val="en-US" w:eastAsia="zh-CN"/>
        </w:rPr>
        <w:t>1</w:t>
      </w: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rPr>
        <w:t>投标单位超出经营范围进行经营的（特许经营）；</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lang w:val="en-US" w:eastAsia="zh-CN"/>
        </w:rPr>
        <w:t>2</w:t>
      </w: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rPr>
        <w:t>投标单位的投标报价超过最高限价的；</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lang w:val="en-US" w:eastAsia="zh-CN"/>
        </w:rPr>
        <w:t>3</w:t>
      </w: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rPr>
        <w:t>投标单位未经过正常渠道购买招标文件，或投标单位名称与购买招标文件时登记的投标单位名称不符的；</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lang w:val="en-US" w:eastAsia="zh-CN"/>
        </w:rPr>
        <w:t>4</w:t>
      </w: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rPr>
        <w:t>投标单位不具备资格条件的；</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lang w:val="en-US" w:eastAsia="zh-CN"/>
        </w:rPr>
        <w:t>5</w:t>
      </w: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rPr>
        <w:t>实质性内容不满足或未响应的（包括但不限于：</w:t>
      </w:r>
      <w:r>
        <w:rPr>
          <w:rFonts w:hint="eastAsia" w:ascii="宋体" w:hAnsi="宋体" w:eastAsia="宋体" w:cs="宋体"/>
          <w:spacing w:val="-11"/>
          <w:kern w:val="2"/>
          <w:sz w:val="24"/>
          <w:szCs w:val="24"/>
          <w:highlight w:val="none"/>
          <w:lang w:eastAsia="zh-CN"/>
        </w:rPr>
        <w:t>服务期限</w:t>
      </w:r>
      <w:r>
        <w:rPr>
          <w:rFonts w:hint="eastAsia" w:ascii="宋体" w:hAnsi="宋体" w:eastAsia="宋体" w:cs="宋体"/>
          <w:spacing w:val="-11"/>
          <w:kern w:val="2"/>
          <w:sz w:val="24"/>
          <w:szCs w:val="24"/>
          <w:highlight w:val="none"/>
        </w:rPr>
        <w:t>、</w:t>
      </w:r>
      <w:r>
        <w:rPr>
          <w:rFonts w:hint="eastAsia" w:ascii="宋体" w:hAnsi="宋体" w:eastAsia="宋体" w:cs="宋体"/>
          <w:spacing w:val="-11"/>
          <w:kern w:val="2"/>
          <w:sz w:val="24"/>
          <w:szCs w:val="24"/>
          <w:highlight w:val="none"/>
          <w:lang w:val="en-US" w:eastAsia="zh-CN"/>
        </w:rPr>
        <w:t>采购需求</w:t>
      </w:r>
      <w:r>
        <w:rPr>
          <w:rFonts w:hint="eastAsia" w:ascii="宋体" w:hAnsi="宋体" w:eastAsia="宋体" w:cs="宋体"/>
          <w:spacing w:val="-11"/>
          <w:kern w:val="2"/>
          <w:sz w:val="24"/>
          <w:szCs w:val="24"/>
          <w:highlight w:val="none"/>
        </w:rPr>
        <w:t>等）；</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lang w:val="en-US" w:eastAsia="zh-CN"/>
        </w:rPr>
        <w:t>6</w:t>
      </w: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rPr>
        <w:t>投标文件的有效性和符合性不符合要求的；</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lang w:val="en-US" w:eastAsia="zh-CN"/>
        </w:rPr>
        <w:t>7</w:t>
      </w:r>
      <w:r>
        <w:rPr>
          <w:rFonts w:hint="eastAsia" w:ascii="宋体" w:hAnsi="宋体" w:eastAsia="宋体" w:cs="宋体"/>
          <w:spacing w:val="-11"/>
          <w:kern w:val="2"/>
          <w:sz w:val="24"/>
          <w:szCs w:val="24"/>
          <w:highlight w:val="none"/>
          <w:lang w:eastAsia="zh-CN"/>
        </w:rPr>
        <w:t>）</w:t>
      </w:r>
      <w:r>
        <w:rPr>
          <w:rFonts w:hint="eastAsia" w:ascii="Times New Roman" w:hAnsi="宋体" w:eastAsia="宋体" w:cs="宋体"/>
          <w:spacing w:val="-11"/>
          <w:kern w:val="2"/>
          <w:sz w:val="24"/>
          <w:szCs w:val="24"/>
          <w:highlight w:val="none"/>
        </w:rPr>
        <w:t>投标人</w:t>
      </w:r>
      <w:r>
        <w:rPr>
          <w:rFonts w:hint="eastAsia" w:ascii="宋体" w:hAnsi="宋体" w:eastAsia="宋体" w:cs="宋体"/>
          <w:spacing w:val="-11"/>
          <w:kern w:val="2"/>
          <w:sz w:val="24"/>
          <w:szCs w:val="24"/>
          <w:highlight w:val="none"/>
        </w:rPr>
        <w:t>未按招标文件要求的封装、签字、加盖公章的；</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lang w:val="en-US" w:eastAsia="zh-CN"/>
        </w:rPr>
        <w:t>8</w:t>
      </w: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rPr>
        <w:t>投标文件有涂改，涂改处未按招标文件要求签字的；</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lang w:val="en-US" w:eastAsia="zh-CN"/>
        </w:rPr>
        <w:t>9</w:t>
      </w: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rPr>
        <w:t>无投标有效期或有效期不符合招标文件要求的；</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lang w:val="en-US" w:eastAsia="zh-CN"/>
        </w:rPr>
        <w:t>10</w:t>
      </w:r>
      <w:r>
        <w:rPr>
          <w:rFonts w:hint="eastAsia" w:ascii="宋体" w:hAnsi="宋体" w:eastAsia="宋体" w:cs="宋体"/>
          <w:spacing w:val="-11"/>
          <w:kern w:val="2"/>
          <w:sz w:val="24"/>
          <w:szCs w:val="24"/>
          <w:highlight w:val="none"/>
          <w:lang w:eastAsia="zh-CN"/>
        </w:rPr>
        <w:t>）</w:t>
      </w:r>
      <w:r>
        <w:rPr>
          <w:rFonts w:hint="eastAsia" w:ascii="Times New Roman" w:hAnsi="宋体" w:eastAsia="宋体" w:cs="宋体"/>
          <w:spacing w:val="-11"/>
          <w:kern w:val="2"/>
          <w:sz w:val="24"/>
          <w:szCs w:val="24"/>
          <w:highlight w:val="none"/>
        </w:rPr>
        <w:t>投标人</w:t>
      </w:r>
      <w:r>
        <w:rPr>
          <w:rFonts w:hint="eastAsia" w:ascii="宋体" w:hAnsi="宋体" w:eastAsia="宋体" w:cs="宋体"/>
          <w:spacing w:val="-11"/>
          <w:kern w:val="2"/>
          <w:sz w:val="24"/>
          <w:szCs w:val="24"/>
          <w:highlight w:val="none"/>
        </w:rPr>
        <w:t>针对同一项目递交两份或多份内容不同的投标文件，未书面声明哪一份是有效的或出现选择性报价的；</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lang w:val="en-US" w:eastAsia="zh-CN"/>
        </w:rPr>
        <w:t>11</w:t>
      </w: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rPr>
        <w:t>提供虚假资质、虚假证明（包括第三方提供的虚假证明）、出现虚假应答的，除按无效投标文件处理外，还将按照政府采购的有关规定进行处罚；</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lang w:val="en-US" w:eastAsia="zh-CN"/>
        </w:rPr>
        <w:t>12</w:t>
      </w: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rPr>
        <w:t>投标文件附加了采购人难以接受的条件或条款的；</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lang w:val="en-US" w:eastAsia="zh-CN"/>
        </w:rPr>
        <w:t>13</w:t>
      </w: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rPr>
        <w:t>投标单位前期参与了本次项目方案设计的；</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lang w:val="en-US" w:eastAsia="zh-CN"/>
        </w:rPr>
        <w:t>14</w:t>
      </w: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rPr>
        <w:t>在政府采购或其它重大项目履约过程中有不良记录，未能按期履约的；</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lang w:val="en-US" w:eastAsia="zh-CN"/>
        </w:rPr>
        <w:t>15</w:t>
      </w: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rPr>
        <w:t>投标报价与市场价格偏离较大、低于成本、评标委员会认为形成不正当竞争的，且在规定时间内无法提供有效书面证明；</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lang w:val="en-US" w:eastAsia="zh-CN"/>
        </w:rPr>
        <w:t>16</w:t>
      </w: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rPr>
        <w:t>报价子目出现漏项或报价数量与招标文件要求不符的；</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lang w:val="en-US" w:eastAsia="zh-CN"/>
        </w:rPr>
        <w:t>17</w:t>
      </w: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rPr>
        <w:t>投标项目的技术参数与招标文件要求出现重大负偏差的或技术指标有漏项的；</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lang w:val="en-US" w:eastAsia="zh-CN"/>
        </w:rPr>
        <w:t>18</w:t>
      </w: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rPr>
        <w:t>提供虚假技术参数；</w:t>
      </w:r>
    </w:p>
    <w:p>
      <w:pPr>
        <w:widowControl w:val="0"/>
        <w:spacing w:line="440" w:lineRule="exact"/>
        <w:ind w:firstLine="436" w:firstLineChars="200"/>
        <w:jc w:val="both"/>
        <w:rPr>
          <w:rFonts w:hint="eastAsia"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lang w:val="en-US" w:eastAsia="zh-CN"/>
        </w:rPr>
        <w:t>19</w:t>
      </w:r>
      <w:r>
        <w:rPr>
          <w:rFonts w:hint="eastAsia" w:ascii="宋体" w:hAnsi="宋体" w:eastAsia="宋体" w:cs="宋体"/>
          <w:spacing w:val="-11"/>
          <w:kern w:val="2"/>
          <w:sz w:val="24"/>
          <w:szCs w:val="24"/>
          <w:highlight w:val="none"/>
          <w:lang w:eastAsia="zh-CN"/>
        </w:rPr>
        <w:t>）</w:t>
      </w:r>
      <w:r>
        <w:rPr>
          <w:rFonts w:hint="eastAsia" w:ascii="宋体" w:hAnsi="宋体" w:eastAsia="宋体" w:cs="宋体"/>
          <w:spacing w:val="-11"/>
          <w:kern w:val="2"/>
          <w:sz w:val="24"/>
          <w:szCs w:val="24"/>
          <w:highlight w:val="none"/>
        </w:rPr>
        <w:t>不符合法律、法规和招标文件中规定的其他无效情形。</w:t>
      </w:r>
    </w:p>
    <w:p>
      <w:pPr>
        <w:spacing w:line="440" w:lineRule="exact"/>
        <w:ind w:firstLine="429" w:firstLineChars="196"/>
        <w:rPr>
          <w:rFonts w:hint="eastAsia" w:ascii="宋体" w:hAnsi="宋体" w:eastAsia="宋体" w:cs="宋体"/>
          <w:b/>
          <w:bCs/>
          <w:spacing w:val="-11"/>
          <w:sz w:val="24"/>
          <w:szCs w:val="24"/>
          <w:highlight w:val="none"/>
        </w:rPr>
      </w:pPr>
      <w:r>
        <w:rPr>
          <w:rFonts w:hint="eastAsia" w:ascii="宋体" w:hAnsi="宋体" w:eastAsia="宋体" w:cs="宋体"/>
          <w:b/>
          <w:spacing w:val="-11"/>
          <w:sz w:val="24"/>
          <w:szCs w:val="24"/>
          <w:highlight w:val="none"/>
          <w:lang w:val="en-US" w:eastAsia="zh-CN"/>
        </w:rPr>
        <w:t>2.8</w:t>
      </w:r>
      <w:r>
        <w:rPr>
          <w:rFonts w:hint="eastAsia" w:ascii="宋体" w:hAnsi="宋体" w:eastAsia="宋体" w:cs="宋体"/>
          <w:b/>
          <w:bCs/>
          <w:spacing w:val="-11"/>
          <w:sz w:val="24"/>
          <w:szCs w:val="24"/>
          <w:highlight w:val="none"/>
        </w:rPr>
        <w:t>参与评审的报价若有缺漏视为得0分。</w:t>
      </w:r>
    </w:p>
    <w:p>
      <w:pPr>
        <w:spacing w:line="440" w:lineRule="exact"/>
        <w:ind w:firstLine="427" w:firstLineChars="196"/>
        <w:rPr>
          <w:rFonts w:hint="eastAsia" w:ascii="宋体" w:hAnsi="宋体" w:eastAsia="宋体" w:cs="宋体"/>
          <w:bCs/>
          <w:spacing w:val="-11"/>
          <w:sz w:val="24"/>
          <w:szCs w:val="24"/>
          <w:highlight w:val="none"/>
        </w:rPr>
      </w:pPr>
      <w:r>
        <w:rPr>
          <w:rFonts w:hint="eastAsia" w:ascii="宋体" w:hAnsi="宋体" w:eastAsia="宋体" w:cs="宋体"/>
          <w:bCs/>
          <w:spacing w:val="-11"/>
          <w:sz w:val="24"/>
          <w:szCs w:val="24"/>
          <w:highlight w:val="none"/>
          <w:lang w:val="en-US" w:eastAsia="zh-CN"/>
        </w:rPr>
        <w:t>2.8.1</w:t>
      </w:r>
      <w:r>
        <w:rPr>
          <w:rFonts w:hint="eastAsia" w:ascii="宋体" w:hAnsi="宋体" w:eastAsia="宋体" w:cs="宋体"/>
          <w:bCs/>
          <w:spacing w:val="-11"/>
          <w:sz w:val="24"/>
          <w:szCs w:val="24"/>
          <w:highlight w:val="none"/>
        </w:rPr>
        <w:t>投标文件的澄清：</w:t>
      </w:r>
    </w:p>
    <w:p>
      <w:pPr>
        <w:spacing w:line="440" w:lineRule="exact"/>
        <w:ind w:firstLine="427" w:firstLineChars="196"/>
        <w:rPr>
          <w:rFonts w:hint="eastAsia" w:ascii="宋体" w:hAnsi="宋体" w:eastAsia="宋体" w:cs="宋体"/>
          <w:bCs/>
          <w:spacing w:val="-11"/>
          <w:sz w:val="24"/>
          <w:szCs w:val="24"/>
          <w:highlight w:val="none"/>
        </w:rPr>
      </w:pPr>
      <w:r>
        <w:rPr>
          <w:rFonts w:hint="eastAsia" w:ascii="宋体" w:hAnsi="宋体" w:eastAsia="宋体" w:cs="宋体"/>
          <w:bCs/>
          <w:spacing w:val="-11"/>
          <w:sz w:val="24"/>
          <w:szCs w:val="24"/>
          <w:highlight w:val="none"/>
        </w:rPr>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spacing w:line="440" w:lineRule="exact"/>
        <w:ind w:firstLine="427" w:firstLineChars="196"/>
        <w:rPr>
          <w:rFonts w:hint="eastAsia" w:ascii="宋体" w:hAnsi="宋体" w:eastAsia="宋体" w:cs="宋体"/>
          <w:bCs/>
          <w:spacing w:val="-11"/>
          <w:sz w:val="24"/>
          <w:szCs w:val="24"/>
          <w:highlight w:val="none"/>
        </w:rPr>
      </w:pPr>
      <w:r>
        <w:rPr>
          <w:rFonts w:hint="eastAsia" w:ascii="宋体" w:hAnsi="宋体" w:eastAsia="宋体" w:cs="宋体"/>
          <w:bCs/>
          <w:spacing w:val="-11"/>
          <w:sz w:val="24"/>
          <w:szCs w:val="24"/>
          <w:highlight w:val="none"/>
        </w:rPr>
        <w:t>（2）书写错误的评审标准：</w:t>
      </w:r>
    </w:p>
    <w:p>
      <w:pPr>
        <w:spacing w:line="440" w:lineRule="exact"/>
        <w:ind w:firstLine="427" w:firstLineChars="196"/>
        <w:rPr>
          <w:rFonts w:hint="eastAsia" w:ascii="宋体" w:hAnsi="宋体" w:eastAsia="宋体" w:cs="宋体"/>
          <w:bCs/>
          <w:spacing w:val="-11"/>
          <w:sz w:val="24"/>
          <w:szCs w:val="24"/>
          <w:highlight w:val="none"/>
        </w:rPr>
      </w:pPr>
      <w:r>
        <w:rPr>
          <w:rFonts w:hint="eastAsia" w:ascii="宋体" w:hAnsi="宋体" w:eastAsia="宋体" w:cs="宋体"/>
          <w:bCs/>
          <w:spacing w:val="-11"/>
          <w:sz w:val="24"/>
          <w:szCs w:val="24"/>
          <w:highlight w:val="none"/>
        </w:rPr>
        <w:t>评标委员会在评标过程中，发现投标文件出现下列情况之一者，按以下原则修正：</w:t>
      </w:r>
    </w:p>
    <w:p>
      <w:pPr>
        <w:spacing w:line="440" w:lineRule="exact"/>
        <w:ind w:firstLine="427" w:firstLineChars="196"/>
        <w:rPr>
          <w:rFonts w:hint="eastAsia" w:ascii="宋体" w:hAnsi="宋体" w:eastAsia="宋体" w:cs="宋体"/>
          <w:bCs/>
          <w:spacing w:val="-11"/>
          <w:sz w:val="24"/>
          <w:szCs w:val="24"/>
          <w:highlight w:val="none"/>
        </w:rPr>
      </w:pPr>
      <w:r>
        <w:rPr>
          <w:rFonts w:hint="eastAsia" w:ascii="宋体" w:hAnsi="宋体" w:eastAsia="宋体" w:cs="宋体"/>
          <w:bCs/>
          <w:spacing w:val="-11"/>
          <w:sz w:val="24"/>
          <w:szCs w:val="24"/>
          <w:highlight w:val="none"/>
        </w:rPr>
        <w:t>a、投标文件有关内容与“开标一览表”不一致的，以“开标一览表”为准；</w:t>
      </w:r>
    </w:p>
    <w:p>
      <w:pPr>
        <w:spacing w:line="440" w:lineRule="exact"/>
        <w:ind w:firstLine="427" w:firstLineChars="196"/>
        <w:rPr>
          <w:rFonts w:hint="eastAsia" w:ascii="宋体" w:hAnsi="宋体" w:eastAsia="宋体" w:cs="宋体"/>
          <w:bCs/>
          <w:spacing w:val="-11"/>
          <w:sz w:val="24"/>
          <w:szCs w:val="24"/>
          <w:highlight w:val="none"/>
        </w:rPr>
      </w:pPr>
      <w:r>
        <w:rPr>
          <w:rFonts w:hint="eastAsia" w:ascii="宋体" w:hAnsi="宋体" w:eastAsia="宋体" w:cs="宋体"/>
          <w:bCs/>
          <w:spacing w:val="-11"/>
          <w:sz w:val="24"/>
          <w:szCs w:val="24"/>
          <w:highlight w:val="none"/>
        </w:rPr>
        <w:t>b、大写金额与小写金额不一致的，以大写金额为准；</w:t>
      </w:r>
    </w:p>
    <w:p>
      <w:pPr>
        <w:spacing w:line="440" w:lineRule="exact"/>
        <w:ind w:firstLine="427" w:firstLineChars="196"/>
        <w:rPr>
          <w:rFonts w:hint="eastAsia" w:ascii="宋体" w:hAnsi="宋体" w:eastAsia="宋体" w:cs="宋体"/>
          <w:bCs/>
          <w:spacing w:val="-11"/>
          <w:sz w:val="24"/>
          <w:szCs w:val="24"/>
          <w:highlight w:val="none"/>
        </w:rPr>
      </w:pPr>
      <w:r>
        <w:rPr>
          <w:rFonts w:hint="eastAsia" w:ascii="宋体" w:hAnsi="宋体" w:eastAsia="宋体" w:cs="宋体"/>
          <w:bCs/>
          <w:spacing w:val="-11"/>
          <w:sz w:val="24"/>
          <w:szCs w:val="24"/>
          <w:highlight w:val="none"/>
        </w:rPr>
        <w:t>c、单价金额小数点或者百分比有明显错位的，以“开标一览表”的总价为准，并修改单价；</w:t>
      </w:r>
    </w:p>
    <w:p>
      <w:pPr>
        <w:spacing w:line="440" w:lineRule="exact"/>
        <w:ind w:firstLine="427" w:firstLineChars="196"/>
        <w:rPr>
          <w:rFonts w:hint="eastAsia" w:ascii="宋体" w:hAnsi="宋体" w:eastAsia="宋体" w:cs="宋体"/>
          <w:bCs/>
          <w:spacing w:val="-11"/>
          <w:sz w:val="24"/>
          <w:szCs w:val="24"/>
          <w:highlight w:val="none"/>
        </w:rPr>
      </w:pPr>
      <w:r>
        <w:rPr>
          <w:rFonts w:hint="eastAsia" w:ascii="宋体" w:hAnsi="宋体" w:eastAsia="宋体" w:cs="宋体"/>
          <w:bCs/>
          <w:spacing w:val="-11"/>
          <w:sz w:val="24"/>
          <w:szCs w:val="24"/>
          <w:highlight w:val="none"/>
        </w:rPr>
        <w:t>d、总价金额与按单价汇总金额不一致的，以单价乘以数量的计算结果为准；</w:t>
      </w:r>
    </w:p>
    <w:p>
      <w:pPr>
        <w:spacing w:line="440" w:lineRule="exact"/>
        <w:ind w:firstLine="427" w:firstLineChars="196"/>
        <w:rPr>
          <w:rFonts w:hint="eastAsia" w:ascii="宋体" w:hAnsi="宋体" w:eastAsia="宋体" w:cs="宋体"/>
          <w:bCs/>
          <w:spacing w:val="-11"/>
          <w:sz w:val="24"/>
          <w:szCs w:val="24"/>
          <w:highlight w:val="none"/>
        </w:rPr>
      </w:pPr>
      <w:r>
        <w:rPr>
          <w:rFonts w:hint="eastAsia" w:ascii="宋体" w:hAnsi="宋体" w:eastAsia="宋体" w:cs="宋体"/>
          <w:bCs/>
          <w:spacing w:val="-11"/>
          <w:sz w:val="24"/>
          <w:szCs w:val="24"/>
          <w:highlight w:val="none"/>
        </w:rPr>
        <w:t>e、投标文件图表与文字不符时，以文字为准；</w:t>
      </w:r>
    </w:p>
    <w:p>
      <w:pPr>
        <w:spacing w:line="440" w:lineRule="exact"/>
        <w:ind w:firstLine="427" w:firstLineChars="196"/>
        <w:rPr>
          <w:rFonts w:hint="eastAsia" w:ascii="宋体" w:hAnsi="宋体" w:eastAsia="宋体" w:cs="宋体"/>
          <w:bCs/>
          <w:spacing w:val="-11"/>
          <w:sz w:val="24"/>
          <w:szCs w:val="24"/>
          <w:highlight w:val="none"/>
        </w:rPr>
      </w:pPr>
      <w:r>
        <w:rPr>
          <w:rFonts w:hint="eastAsia" w:ascii="宋体" w:hAnsi="宋体" w:eastAsia="宋体" w:cs="宋体"/>
          <w:bCs/>
          <w:spacing w:val="-11"/>
          <w:sz w:val="24"/>
          <w:szCs w:val="24"/>
          <w:highlight w:val="none"/>
        </w:rPr>
        <w:t>f、投标文件正本与副本不符时，以正本为准；</w:t>
      </w:r>
    </w:p>
    <w:p>
      <w:pPr>
        <w:spacing w:line="440" w:lineRule="exact"/>
        <w:ind w:firstLine="427" w:firstLineChars="196"/>
        <w:rPr>
          <w:rFonts w:hint="eastAsia" w:ascii="宋体" w:hAnsi="宋体" w:eastAsia="宋体" w:cs="宋体"/>
          <w:bCs/>
          <w:spacing w:val="-11"/>
          <w:sz w:val="24"/>
          <w:szCs w:val="24"/>
          <w:highlight w:val="none"/>
        </w:rPr>
      </w:pPr>
      <w:r>
        <w:rPr>
          <w:rFonts w:hint="eastAsia" w:ascii="宋体" w:hAnsi="宋体" w:eastAsia="宋体" w:cs="宋体"/>
          <w:bCs/>
          <w:spacing w:val="-11"/>
          <w:sz w:val="24"/>
          <w:szCs w:val="24"/>
          <w:highlight w:val="none"/>
        </w:rPr>
        <w:t>g、对不同文字文本投标文件的解释发生异议的，以中文文本为准；</w:t>
      </w:r>
    </w:p>
    <w:p>
      <w:pPr>
        <w:spacing w:line="440" w:lineRule="exact"/>
        <w:ind w:firstLine="427" w:firstLineChars="196"/>
        <w:rPr>
          <w:rFonts w:hint="eastAsia" w:ascii="宋体" w:hAnsi="宋体" w:eastAsia="宋体" w:cs="宋体"/>
          <w:bCs/>
          <w:spacing w:val="-11"/>
          <w:sz w:val="24"/>
          <w:szCs w:val="24"/>
          <w:highlight w:val="none"/>
        </w:rPr>
      </w:pPr>
      <w:r>
        <w:rPr>
          <w:rFonts w:hint="eastAsia" w:ascii="宋体" w:hAnsi="宋体" w:eastAsia="宋体" w:cs="宋体"/>
          <w:bCs/>
          <w:spacing w:val="-11"/>
          <w:sz w:val="24"/>
          <w:szCs w:val="24"/>
          <w:highlight w:val="none"/>
        </w:rPr>
        <w:t>h、多处内容交叉不符时，以评标委员会评审结果为准。</w:t>
      </w:r>
    </w:p>
    <w:p>
      <w:pPr>
        <w:spacing w:line="440" w:lineRule="exact"/>
        <w:ind w:firstLine="429" w:firstLineChars="196"/>
        <w:rPr>
          <w:spacing w:val="-11"/>
          <w:highlight w:val="none"/>
        </w:rPr>
      </w:pPr>
      <w:r>
        <w:rPr>
          <w:rFonts w:hint="eastAsia" w:ascii="宋体" w:hAnsi="宋体" w:eastAsia="宋体" w:cs="宋体"/>
          <w:b/>
          <w:bCs/>
          <w:spacing w:val="-11"/>
          <w:sz w:val="24"/>
          <w:szCs w:val="24"/>
          <w:highlight w:val="none"/>
        </w:rPr>
        <w:t>注：按上述方法修正的内容（其中，同时出现上述a至d两种以上不一致的，按上述规定的顺序修正），经投标人确认后产生约束力，投标人不确认的，其投标无效。</w:t>
      </w:r>
    </w:p>
    <w:p>
      <w:pPr>
        <w:widowControl w:val="0"/>
        <w:spacing w:line="440" w:lineRule="exact"/>
        <w:jc w:val="left"/>
        <w:rPr>
          <w:rFonts w:ascii="宋体" w:hAnsi="宋体" w:eastAsia="宋体" w:cs="宋体"/>
          <w:b/>
          <w:bCs/>
          <w:spacing w:val="-11"/>
          <w:kern w:val="2"/>
          <w:sz w:val="24"/>
          <w:szCs w:val="24"/>
          <w:highlight w:val="none"/>
        </w:rPr>
      </w:pPr>
      <w:r>
        <w:rPr>
          <w:rFonts w:hint="eastAsia" w:ascii="宋体" w:hAnsi="宋体" w:eastAsia="宋体" w:cs="宋体"/>
          <w:b/>
          <w:bCs/>
          <w:spacing w:val="-11"/>
          <w:kern w:val="2"/>
          <w:sz w:val="24"/>
          <w:szCs w:val="24"/>
          <w:highlight w:val="none"/>
          <w:lang w:val="en-US" w:eastAsia="zh-CN"/>
        </w:rPr>
        <w:t>2.9</w:t>
      </w:r>
      <w:r>
        <w:rPr>
          <w:rFonts w:hint="eastAsia" w:ascii="宋体" w:hAnsi="宋体" w:eastAsia="宋体" w:cs="宋体"/>
          <w:b/>
          <w:bCs/>
          <w:spacing w:val="-11"/>
          <w:kern w:val="2"/>
          <w:sz w:val="24"/>
          <w:szCs w:val="24"/>
          <w:highlight w:val="none"/>
        </w:rPr>
        <w:t>投标文件澄清</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val="en-US" w:eastAsia="zh-CN"/>
        </w:rPr>
        <w:t>2.9.</w:t>
      </w:r>
      <w:r>
        <w:rPr>
          <w:rFonts w:hint="eastAsia" w:ascii="宋体" w:hAnsi="宋体" w:eastAsia="宋体" w:cs="宋体"/>
          <w:spacing w:val="-11"/>
          <w:kern w:val="2"/>
          <w:sz w:val="24"/>
          <w:szCs w:val="24"/>
          <w:highlight w:val="none"/>
        </w:rPr>
        <w:t>1对于投标文件中含义不明确、同类问题表述不一致或者有明显文字和计算错误的内容，评标委员会应当以书面形式要求</w:t>
      </w:r>
      <w:r>
        <w:rPr>
          <w:rFonts w:hint="eastAsia" w:ascii="Times New Roman" w:hAnsi="宋体" w:eastAsia="宋体" w:cs="宋体"/>
          <w:spacing w:val="-11"/>
          <w:kern w:val="2"/>
          <w:sz w:val="24"/>
          <w:szCs w:val="24"/>
          <w:highlight w:val="none"/>
        </w:rPr>
        <w:t>投标人</w:t>
      </w:r>
      <w:r>
        <w:rPr>
          <w:rFonts w:hint="eastAsia" w:ascii="宋体" w:hAnsi="宋体" w:eastAsia="宋体" w:cs="宋体"/>
          <w:spacing w:val="-11"/>
          <w:kern w:val="2"/>
          <w:sz w:val="24"/>
          <w:szCs w:val="24"/>
          <w:highlight w:val="none"/>
        </w:rPr>
        <w:t>作出必要的澄清、说明或者补正。</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val="en-US" w:eastAsia="zh-CN"/>
        </w:rPr>
        <w:t>2.9.</w:t>
      </w:r>
      <w:r>
        <w:rPr>
          <w:rFonts w:hint="eastAsia" w:ascii="宋体" w:hAnsi="宋体" w:eastAsia="宋体" w:cs="宋体"/>
          <w:spacing w:val="-11"/>
          <w:kern w:val="2"/>
          <w:sz w:val="24"/>
          <w:szCs w:val="24"/>
          <w:highlight w:val="none"/>
        </w:rPr>
        <w:t>2</w:t>
      </w:r>
      <w:r>
        <w:rPr>
          <w:rFonts w:hint="eastAsia" w:ascii="Times New Roman" w:hAnsi="宋体" w:eastAsia="宋体" w:cs="宋体"/>
          <w:spacing w:val="-11"/>
          <w:kern w:val="2"/>
          <w:sz w:val="24"/>
          <w:szCs w:val="24"/>
          <w:highlight w:val="none"/>
        </w:rPr>
        <w:t>投标人</w:t>
      </w:r>
      <w:r>
        <w:rPr>
          <w:rFonts w:hint="eastAsia" w:ascii="宋体" w:hAnsi="宋体" w:eastAsia="宋体" w:cs="宋体"/>
          <w:spacing w:val="-11"/>
          <w:kern w:val="2"/>
          <w:sz w:val="24"/>
          <w:szCs w:val="24"/>
          <w:highlight w:val="none"/>
        </w:rPr>
        <w:t>的澄清、说明或者补正应当采用书面形式，并加盖公章，或者由法定代表人或其授权的代表签字。</w:t>
      </w:r>
      <w:r>
        <w:rPr>
          <w:rFonts w:hint="eastAsia" w:ascii="Times New Roman" w:hAnsi="宋体" w:eastAsia="宋体" w:cs="宋体"/>
          <w:spacing w:val="-11"/>
          <w:kern w:val="2"/>
          <w:sz w:val="24"/>
          <w:szCs w:val="24"/>
          <w:highlight w:val="none"/>
        </w:rPr>
        <w:t>投标人</w:t>
      </w:r>
      <w:r>
        <w:rPr>
          <w:rFonts w:hint="eastAsia" w:ascii="宋体" w:hAnsi="宋体" w:eastAsia="宋体" w:cs="宋体"/>
          <w:spacing w:val="-11"/>
          <w:kern w:val="2"/>
          <w:sz w:val="24"/>
          <w:szCs w:val="24"/>
          <w:highlight w:val="none"/>
        </w:rPr>
        <w:t>的澄清、说明或者补正不得超出投标文件的范围或者改变投标文件的实质性内容。</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val="en-US" w:eastAsia="zh-CN"/>
        </w:rPr>
        <w:t>2.9.</w:t>
      </w:r>
      <w:r>
        <w:rPr>
          <w:rFonts w:hint="eastAsia" w:ascii="宋体" w:hAnsi="宋体" w:eastAsia="宋体" w:cs="宋体"/>
          <w:spacing w:val="-11"/>
          <w:kern w:val="2"/>
          <w:sz w:val="24"/>
          <w:szCs w:val="24"/>
          <w:highlight w:val="none"/>
        </w:rPr>
        <w:t>3评标委员会不接受</w:t>
      </w:r>
      <w:r>
        <w:rPr>
          <w:rFonts w:hint="eastAsia" w:ascii="Times New Roman" w:hAnsi="宋体" w:eastAsia="宋体" w:cs="宋体"/>
          <w:spacing w:val="-11"/>
          <w:kern w:val="2"/>
          <w:sz w:val="24"/>
          <w:szCs w:val="24"/>
          <w:highlight w:val="none"/>
        </w:rPr>
        <w:t>投标人</w:t>
      </w:r>
      <w:r>
        <w:rPr>
          <w:rFonts w:hint="eastAsia" w:ascii="宋体" w:hAnsi="宋体" w:eastAsia="宋体" w:cs="宋体"/>
          <w:spacing w:val="-11"/>
          <w:kern w:val="2"/>
          <w:sz w:val="24"/>
          <w:szCs w:val="24"/>
          <w:highlight w:val="none"/>
        </w:rPr>
        <w:t>主动提出的澄清、说明。</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val="en-US" w:eastAsia="zh-CN"/>
        </w:rPr>
        <w:t>2.9.</w:t>
      </w:r>
      <w:r>
        <w:rPr>
          <w:rFonts w:hint="eastAsia" w:ascii="宋体" w:hAnsi="宋体" w:eastAsia="宋体" w:cs="宋体"/>
          <w:spacing w:val="-11"/>
          <w:kern w:val="2"/>
          <w:sz w:val="24"/>
          <w:szCs w:val="24"/>
          <w:highlight w:val="none"/>
        </w:rPr>
        <w:t>4有效的书面澄清材料，是投标文件的补充材料，成为投标文件的组成部分。</w:t>
      </w:r>
    </w:p>
    <w:p>
      <w:pPr>
        <w:widowControl w:val="0"/>
        <w:spacing w:line="440" w:lineRule="exact"/>
        <w:jc w:val="left"/>
        <w:rPr>
          <w:rFonts w:ascii="宋体" w:hAnsi="宋体" w:eastAsia="宋体" w:cs="宋体"/>
          <w:b/>
          <w:bCs/>
          <w:spacing w:val="-11"/>
          <w:kern w:val="2"/>
          <w:sz w:val="24"/>
          <w:szCs w:val="24"/>
          <w:highlight w:val="none"/>
        </w:rPr>
      </w:pPr>
      <w:r>
        <w:rPr>
          <w:rFonts w:hint="eastAsia" w:ascii="宋体" w:hAnsi="宋体" w:eastAsia="宋体" w:cs="宋体"/>
          <w:b/>
          <w:bCs/>
          <w:spacing w:val="-11"/>
          <w:kern w:val="2"/>
          <w:sz w:val="24"/>
          <w:szCs w:val="24"/>
          <w:highlight w:val="none"/>
          <w:lang w:val="en-US" w:eastAsia="zh-CN"/>
        </w:rPr>
        <w:t>2.10综合比较与评价</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val="en-US" w:eastAsia="zh-CN"/>
        </w:rPr>
        <w:t>（1）</w:t>
      </w:r>
      <w:r>
        <w:rPr>
          <w:rFonts w:hint="eastAsia" w:ascii="宋体" w:hAnsi="宋体" w:eastAsia="宋体" w:cs="宋体"/>
          <w:spacing w:val="-11"/>
          <w:kern w:val="2"/>
          <w:sz w:val="24"/>
          <w:szCs w:val="24"/>
          <w:highlight w:val="none"/>
        </w:rPr>
        <w:t>评标委员会应当按照招标文件中规定的评标方法和标准，对符合性审查合格的投标文件进行评估，综合比较与评价。</w:t>
      </w:r>
    </w:p>
    <w:p>
      <w:pPr>
        <w:widowControl w:val="0"/>
        <w:spacing w:line="440" w:lineRule="exact"/>
        <w:ind w:firstLine="436" w:firstLineChars="200"/>
        <w:jc w:val="both"/>
        <w:rPr>
          <w:rFonts w:hint="eastAsia" w:ascii="宋体" w:hAnsi="宋体" w:eastAsia="宋体" w:cs="宋体"/>
          <w:spacing w:val="-11"/>
          <w:kern w:val="2"/>
          <w:sz w:val="24"/>
          <w:szCs w:val="24"/>
          <w:highlight w:val="none"/>
          <w:lang w:eastAsia="zh-CN"/>
        </w:rPr>
      </w:pPr>
      <w:r>
        <w:rPr>
          <w:rFonts w:hint="eastAsia" w:ascii="宋体" w:hAnsi="宋体" w:eastAsia="宋体" w:cs="宋体"/>
          <w:spacing w:val="-11"/>
          <w:kern w:val="2"/>
          <w:sz w:val="24"/>
          <w:szCs w:val="24"/>
          <w:highlight w:val="none"/>
          <w:lang w:val="en-US" w:eastAsia="zh-CN"/>
        </w:rPr>
        <w:t>（2）</w:t>
      </w:r>
      <w:r>
        <w:rPr>
          <w:rFonts w:hint="eastAsia" w:ascii="宋体" w:hAnsi="宋体" w:eastAsia="宋体" w:cs="宋体"/>
          <w:spacing w:val="-11"/>
          <w:kern w:val="2"/>
          <w:sz w:val="24"/>
          <w:szCs w:val="24"/>
          <w:highlight w:val="none"/>
        </w:rPr>
        <w:t>评标委员会认为</w:t>
      </w:r>
      <w:r>
        <w:rPr>
          <w:rFonts w:hint="eastAsia" w:ascii="Times New Roman" w:hAnsi="宋体" w:eastAsia="宋体" w:cs="宋体"/>
          <w:spacing w:val="-11"/>
          <w:kern w:val="2"/>
          <w:sz w:val="24"/>
          <w:szCs w:val="24"/>
          <w:highlight w:val="none"/>
        </w:rPr>
        <w:t>投标人</w:t>
      </w:r>
      <w:r>
        <w:rPr>
          <w:rFonts w:hint="eastAsia" w:ascii="宋体" w:hAnsi="宋体" w:eastAsia="宋体" w:cs="宋体"/>
          <w:spacing w:val="-11"/>
          <w:kern w:val="2"/>
          <w:sz w:val="24"/>
          <w:szCs w:val="24"/>
          <w:highlight w:val="none"/>
        </w:rPr>
        <w:t>报价明显低于其他通过符合性审查</w:t>
      </w:r>
      <w:r>
        <w:rPr>
          <w:rFonts w:hint="eastAsia" w:ascii="Times New Roman" w:hAnsi="宋体" w:eastAsia="宋体" w:cs="宋体"/>
          <w:spacing w:val="-11"/>
          <w:kern w:val="2"/>
          <w:sz w:val="24"/>
          <w:szCs w:val="24"/>
          <w:highlight w:val="none"/>
        </w:rPr>
        <w:t>投标人</w:t>
      </w:r>
      <w:r>
        <w:rPr>
          <w:rFonts w:hint="eastAsia" w:ascii="宋体" w:hAnsi="宋体" w:eastAsia="宋体" w:cs="宋体"/>
          <w:spacing w:val="-11"/>
          <w:kern w:val="2"/>
          <w:sz w:val="24"/>
          <w:szCs w:val="24"/>
          <w:highlight w:val="none"/>
        </w:rPr>
        <w:t>的报价，有可能影响产品质量或者不能诚信履约的，应当要求其在评标现场合理的时间内提供书面说明，必要时提交相关证明材料；</w:t>
      </w:r>
      <w:r>
        <w:rPr>
          <w:rFonts w:hint="eastAsia" w:ascii="Times New Roman" w:hAnsi="宋体" w:eastAsia="宋体" w:cs="宋体"/>
          <w:spacing w:val="-11"/>
          <w:kern w:val="2"/>
          <w:sz w:val="24"/>
          <w:szCs w:val="24"/>
          <w:highlight w:val="none"/>
        </w:rPr>
        <w:t>投标人</w:t>
      </w:r>
      <w:r>
        <w:rPr>
          <w:rFonts w:hint="eastAsia" w:ascii="宋体" w:hAnsi="宋体" w:eastAsia="宋体" w:cs="宋体"/>
          <w:spacing w:val="-11"/>
          <w:kern w:val="2"/>
          <w:sz w:val="24"/>
          <w:szCs w:val="24"/>
          <w:highlight w:val="none"/>
        </w:rPr>
        <w:t>不能证明其报价合理性的，评标委员会应当将其作为无效投标处理</w:t>
      </w:r>
      <w:r>
        <w:rPr>
          <w:rFonts w:hint="eastAsia" w:ascii="宋体" w:hAnsi="宋体" w:eastAsia="宋体" w:cs="宋体"/>
          <w:spacing w:val="-11"/>
          <w:kern w:val="2"/>
          <w:sz w:val="24"/>
          <w:szCs w:val="24"/>
          <w:highlight w:val="none"/>
          <w:lang w:eastAsia="zh-CN"/>
        </w:rPr>
        <w:t>。</w:t>
      </w:r>
    </w:p>
    <w:p>
      <w:pPr>
        <w:widowControl w:val="0"/>
        <w:spacing w:line="440" w:lineRule="exact"/>
        <w:jc w:val="left"/>
        <w:rPr>
          <w:rFonts w:ascii="宋体" w:hAnsi="宋体" w:eastAsia="宋体" w:cs="宋体"/>
          <w:b/>
          <w:bCs/>
          <w:spacing w:val="-11"/>
          <w:kern w:val="2"/>
          <w:sz w:val="24"/>
          <w:szCs w:val="24"/>
          <w:highlight w:val="none"/>
        </w:rPr>
      </w:pPr>
      <w:r>
        <w:rPr>
          <w:rFonts w:hint="eastAsia" w:ascii="宋体" w:hAnsi="宋体" w:eastAsia="宋体" w:cs="宋体"/>
          <w:b/>
          <w:bCs/>
          <w:spacing w:val="-11"/>
          <w:kern w:val="2"/>
          <w:sz w:val="24"/>
          <w:szCs w:val="24"/>
          <w:highlight w:val="none"/>
          <w:lang w:val="en-US" w:eastAsia="zh-CN"/>
        </w:rPr>
        <w:t>2.11</w:t>
      </w:r>
      <w:r>
        <w:rPr>
          <w:rFonts w:hint="eastAsia" w:ascii="宋体" w:hAnsi="宋体" w:eastAsia="宋体" w:cs="宋体"/>
          <w:b/>
          <w:bCs/>
          <w:spacing w:val="-11"/>
          <w:kern w:val="2"/>
          <w:sz w:val="24"/>
          <w:szCs w:val="24"/>
          <w:highlight w:val="none"/>
        </w:rPr>
        <w:t>评审方法及内容</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val="en-US" w:eastAsia="zh-CN"/>
        </w:rPr>
        <w:t>（1）</w:t>
      </w:r>
      <w:r>
        <w:rPr>
          <w:rFonts w:hint="eastAsia" w:ascii="宋体" w:hAnsi="宋体" w:eastAsia="宋体" w:cs="宋体"/>
          <w:spacing w:val="-11"/>
          <w:kern w:val="2"/>
          <w:sz w:val="24"/>
          <w:szCs w:val="24"/>
          <w:highlight w:val="none"/>
        </w:rPr>
        <w:t>采用综合评分法</w:t>
      </w:r>
    </w:p>
    <w:p>
      <w:pPr>
        <w:widowControl w:val="0"/>
        <w:spacing w:line="440" w:lineRule="exact"/>
        <w:ind w:firstLine="436" w:firstLineChars="200"/>
        <w:jc w:val="both"/>
        <w:rPr>
          <w:rFonts w:ascii="宋体" w:hAnsi="宋体" w:eastAsia="宋体" w:cs="宋体"/>
          <w:spacing w:val="-11"/>
          <w:kern w:val="2"/>
          <w:sz w:val="24"/>
          <w:szCs w:val="24"/>
          <w:highlight w:val="none"/>
        </w:rPr>
      </w:pPr>
      <w:r>
        <w:rPr>
          <w:rFonts w:hint="eastAsia" w:ascii="宋体" w:hAnsi="宋体" w:eastAsia="宋体" w:cs="宋体"/>
          <w:spacing w:val="-11"/>
          <w:kern w:val="2"/>
          <w:sz w:val="24"/>
          <w:szCs w:val="24"/>
          <w:highlight w:val="none"/>
          <w:lang w:val="en-US" w:eastAsia="zh-CN"/>
        </w:rPr>
        <w:t>（2）</w:t>
      </w:r>
      <w:r>
        <w:rPr>
          <w:rFonts w:hint="eastAsia" w:ascii="宋体" w:hAnsi="宋体" w:eastAsia="宋体" w:cs="宋体"/>
          <w:spacing w:val="-11"/>
          <w:kern w:val="2"/>
          <w:sz w:val="24"/>
          <w:szCs w:val="24"/>
          <w:highlight w:val="none"/>
        </w:rPr>
        <w:t>评审指标分值构成（总计100分）</w:t>
      </w:r>
    </w:p>
    <w:p>
      <w:pPr>
        <w:jc w:val="center"/>
        <w:outlineLvl w:val="1"/>
        <w:rPr>
          <w:rFonts w:cs="Times New Roman"/>
          <w:sz w:val="28"/>
          <w:szCs w:val="28"/>
          <w:highlight w:val="none"/>
        </w:rPr>
      </w:pPr>
      <w:bookmarkStart w:id="52" w:name="_Toc75385978"/>
      <w:bookmarkStart w:id="53" w:name="_Toc106701069"/>
      <w:r>
        <w:rPr>
          <w:rFonts w:hint="eastAsia" w:cs="Times New Roman"/>
          <w:b/>
          <w:sz w:val="28"/>
          <w:szCs w:val="28"/>
          <w:highlight w:val="none"/>
        </w:rPr>
        <w:br w:type="page"/>
      </w:r>
      <w:bookmarkStart w:id="54" w:name="_Toc1598"/>
      <w:bookmarkStart w:id="55" w:name="_Toc32605"/>
      <w:bookmarkStart w:id="56" w:name="_Toc9259"/>
      <w:r>
        <w:rPr>
          <w:rFonts w:hint="eastAsia" w:cs="Times New Roman"/>
          <w:b/>
          <w:sz w:val="28"/>
          <w:szCs w:val="28"/>
          <w:highlight w:val="none"/>
          <w:lang w:val="en-US" w:eastAsia="zh-CN"/>
        </w:rPr>
        <w:t>三</w:t>
      </w:r>
      <w:r>
        <w:rPr>
          <w:rFonts w:cs="Times New Roman"/>
          <w:b/>
          <w:sz w:val="28"/>
          <w:szCs w:val="28"/>
          <w:highlight w:val="none"/>
        </w:rPr>
        <w:t>.评分标准</w:t>
      </w:r>
      <w:bookmarkEnd w:id="52"/>
      <w:bookmarkEnd w:id="53"/>
      <w:bookmarkEnd w:id="54"/>
      <w:bookmarkEnd w:id="55"/>
      <w:bookmarkEnd w:id="56"/>
    </w:p>
    <w:tbl>
      <w:tblPr>
        <w:tblStyle w:val="2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669"/>
        <w:gridCol w:w="999"/>
        <w:gridCol w:w="5931"/>
        <w:gridCol w:w="817"/>
        <w:gridCol w:w="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blHeader/>
          <w:jc w:val="center"/>
        </w:trPr>
        <w:tc>
          <w:tcPr>
            <w:tcW w:w="484" w:type="dxa"/>
            <w:vAlign w:val="center"/>
          </w:tcPr>
          <w:p>
            <w:pPr>
              <w:pStyle w:val="14"/>
              <w:spacing w:line="0" w:lineRule="atLeast"/>
              <w:jc w:val="center"/>
              <w:rPr>
                <w:rFonts w:hint="eastAsia" w:ascii="宋体" w:hAnsi="宋体" w:eastAsia="宋体" w:cs="宋体"/>
                <w:b/>
                <w:bCs/>
                <w:color w:val="auto"/>
                <w:kern w:val="0"/>
                <w:sz w:val="21"/>
                <w:szCs w:val="21"/>
                <w:highlight w:val="none"/>
              </w:rPr>
            </w:pPr>
            <w:bookmarkStart w:id="57" w:name="_Hlk13141879"/>
            <w:r>
              <w:rPr>
                <w:rFonts w:hint="eastAsia" w:ascii="宋体" w:hAnsi="宋体" w:eastAsia="宋体" w:cs="宋体"/>
                <w:b/>
                <w:bCs/>
                <w:color w:val="auto"/>
                <w:kern w:val="0"/>
                <w:sz w:val="21"/>
                <w:szCs w:val="21"/>
                <w:highlight w:val="none"/>
              </w:rPr>
              <w:t>类别</w:t>
            </w:r>
          </w:p>
        </w:tc>
        <w:tc>
          <w:tcPr>
            <w:tcW w:w="669" w:type="dxa"/>
            <w:vAlign w:val="center"/>
          </w:tcPr>
          <w:p>
            <w:pPr>
              <w:spacing w:line="0" w:lineRule="atLeas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分值</w:t>
            </w:r>
          </w:p>
        </w:tc>
        <w:tc>
          <w:tcPr>
            <w:tcW w:w="6930" w:type="dxa"/>
            <w:gridSpan w:val="2"/>
            <w:vAlign w:val="center"/>
          </w:tcPr>
          <w:p>
            <w:pPr>
              <w:spacing w:line="0" w:lineRule="atLeas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评标因素</w:t>
            </w:r>
          </w:p>
        </w:tc>
        <w:tc>
          <w:tcPr>
            <w:tcW w:w="817" w:type="dxa"/>
            <w:vAlign w:val="center"/>
          </w:tcPr>
          <w:p>
            <w:pPr>
              <w:spacing w:line="0" w:lineRule="atLeas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最高</w:t>
            </w:r>
          </w:p>
          <w:p>
            <w:pPr>
              <w:spacing w:line="0" w:lineRule="atLeas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得分</w:t>
            </w:r>
          </w:p>
        </w:tc>
        <w:tc>
          <w:tcPr>
            <w:tcW w:w="571" w:type="dxa"/>
            <w:vAlign w:val="center"/>
          </w:tcPr>
          <w:p>
            <w:pPr>
              <w:spacing w:line="0" w:lineRule="atLeas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4" w:type="dxa"/>
            <w:vAlign w:val="center"/>
          </w:tcPr>
          <w:p>
            <w:pPr>
              <w:spacing w:line="0" w:lineRule="atLeast"/>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价格评审</w:t>
            </w:r>
          </w:p>
        </w:tc>
        <w:tc>
          <w:tcPr>
            <w:tcW w:w="669" w:type="dxa"/>
            <w:vAlign w:val="center"/>
          </w:tcPr>
          <w:p>
            <w:pPr>
              <w:spacing w:line="0" w:lineRule="atLeas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分</w:t>
            </w:r>
          </w:p>
        </w:tc>
        <w:tc>
          <w:tcPr>
            <w:tcW w:w="6930" w:type="dxa"/>
            <w:gridSpan w:val="2"/>
            <w:vAlign w:val="center"/>
          </w:tcPr>
          <w:p>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line="0" w:lineRule="atLeast"/>
              <w:jc w:val="both"/>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经资格评审、符合性评审均合格的投标文件，其投标报价为有效的投标报价。</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0" w:lineRule="atLeast"/>
              <w:jc w:val="both"/>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2.有效最低总报价为基准价得10分。</w:t>
            </w:r>
          </w:p>
          <w:p>
            <w:pPr>
              <w:keepNext w:val="0"/>
              <w:keepLines w:val="0"/>
              <w:pageBreakBefore w:val="0"/>
              <w:widowControl w:val="0"/>
              <w:kinsoku w:val="0"/>
              <w:wordWrap/>
              <w:overflowPunct/>
              <w:topLinePunct w:val="0"/>
              <w:autoSpaceDE w:val="0"/>
              <w:autoSpaceDN w:val="0"/>
              <w:bidi w:val="0"/>
              <w:adjustRightInd w:val="0"/>
              <w:snapToGrid w:val="0"/>
              <w:spacing w:line="0" w:lineRule="atLeast"/>
              <w:jc w:val="both"/>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3.按（有效最低总报价/有效投标总报价）×10的公式计算其得分。</w:t>
            </w:r>
          </w:p>
          <w:p>
            <w:pPr>
              <w:keepNext w:val="0"/>
              <w:keepLines w:val="0"/>
              <w:pageBreakBefore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Cs w:val="21"/>
                <w:highlight w:val="none"/>
              </w:rPr>
            </w:pPr>
            <w:r>
              <w:rPr>
                <w:rFonts w:hint="eastAsia" w:ascii="宋体" w:hAnsi="宋体" w:eastAsia="宋体" w:cs="宋体"/>
                <w:sz w:val="21"/>
                <w:szCs w:val="21"/>
                <w:highlight w:val="none"/>
                <w:lang w:val="en-US" w:eastAsia="zh-CN"/>
              </w:rPr>
              <w:t>4.投标总报价不完整的，不进入评标基准价的计算，本项得0分。</w:t>
            </w:r>
          </w:p>
        </w:tc>
        <w:tc>
          <w:tcPr>
            <w:tcW w:w="817" w:type="dxa"/>
            <w:vAlign w:val="center"/>
          </w:tcPr>
          <w:p>
            <w:pPr>
              <w:spacing w:line="0" w:lineRule="atLeast"/>
              <w:jc w:val="center"/>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571" w:type="dxa"/>
            <w:vMerge w:val="restart"/>
            <w:vAlign w:val="center"/>
          </w:tcPr>
          <w:p>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w:t>
            </w:r>
          </w:p>
          <w:p>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w:t>
            </w:r>
          </w:p>
          <w:p>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w:t>
            </w:r>
          </w:p>
          <w:p>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件</w:t>
            </w:r>
          </w:p>
          <w:p>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的</w:t>
            </w:r>
          </w:p>
          <w:p>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w:t>
            </w:r>
          </w:p>
          <w:p>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w:t>
            </w:r>
          </w:p>
          <w:p>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程</w:t>
            </w:r>
          </w:p>
          <w:p>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度</w:t>
            </w:r>
          </w:p>
          <w:p>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w:t>
            </w:r>
          </w:p>
          <w:p>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差</w:t>
            </w:r>
          </w:p>
          <w:p>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别</w:t>
            </w:r>
          </w:p>
          <w:p>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w:t>
            </w:r>
          </w:p>
          <w:p>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w:t>
            </w:r>
          </w:p>
          <w:p>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48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技术评审</w:t>
            </w:r>
          </w:p>
        </w:tc>
        <w:tc>
          <w:tcPr>
            <w:tcW w:w="669" w:type="dxa"/>
            <w:vMerge w:val="restart"/>
            <w:vAlign w:val="center"/>
          </w:tcPr>
          <w:p>
            <w:pPr>
              <w:spacing w:line="0" w:lineRule="atLeas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70</w:t>
            </w:r>
            <w:r>
              <w:rPr>
                <w:rFonts w:hint="eastAsia" w:ascii="宋体" w:hAnsi="宋体" w:eastAsia="宋体" w:cs="宋体"/>
                <w:b/>
                <w:bCs/>
                <w:color w:val="auto"/>
                <w:szCs w:val="21"/>
                <w:highlight w:val="none"/>
              </w:rPr>
              <w:t>分</w:t>
            </w:r>
          </w:p>
        </w:tc>
        <w:tc>
          <w:tcPr>
            <w:tcW w:w="999" w:type="dxa"/>
            <w:vAlign w:val="center"/>
          </w:tcPr>
          <w:p>
            <w:pPr>
              <w:spacing w:line="0" w:lineRule="atLeast"/>
              <w:ind w:left="10" w:leftChars="5"/>
              <w:jc w:val="center"/>
              <w:rPr>
                <w:rFonts w:hint="eastAsia" w:ascii="宋体" w:hAnsi="宋体" w:eastAsia="宋体" w:cs="宋体"/>
                <w:color w:val="auto"/>
                <w:szCs w:val="21"/>
                <w:highlight w:val="none"/>
                <w:lang w:val="en-US" w:eastAsia="zh-CN"/>
              </w:rPr>
            </w:pPr>
            <w:r>
              <w:rPr>
                <w:rFonts w:hint="eastAsia" w:ascii="宋体" w:hAnsi="宋体" w:eastAsia="宋体" w:cs="宋体"/>
                <w:szCs w:val="21"/>
                <w:highlight w:val="none"/>
              </w:rPr>
              <w:t>质量控制管理措施</w:t>
            </w:r>
          </w:p>
        </w:tc>
        <w:tc>
          <w:tcPr>
            <w:tcW w:w="5931" w:type="dxa"/>
            <w:vAlign w:val="center"/>
          </w:tcPr>
          <w:p>
            <w:pPr>
              <w:tabs>
                <w:tab w:val="left" w:pos="0"/>
              </w:tabs>
              <w:spacing w:line="0" w:lineRule="atLeast"/>
              <w:ind w:firstLine="420" w:firstLineChars="200"/>
              <w:rPr>
                <w:rFonts w:hint="eastAsia" w:ascii="宋体" w:hAnsi="宋体" w:eastAsia="宋体" w:cs="宋体"/>
                <w:color w:val="auto"/>
                <w:szCs w:val="21"/>
                <w:highlight w:val="none"/>
              </w:rPr>
            </w:pPr>
            <w:r>
              <w:rPr>
                <w:rFonts w:hint="eastAsia" w:ascii="宋体" w:hAnsi="宋体" w:eastAsia="宋体" w:cs="宋体"/>
                <w:szCs w:val="21"/>
                <w:highlight w:val="none"/>
                <w:lang w:val="en-US" w:eastAsia="zh-CN"/>
              </w:rPr>
              <w:t>根据各供应商的投标文件</w:t>
            </w:r>
            <w:r>
              <w:rPr>
                <w:rFonts w:hint="eastAsia" w:ascii="宋体" w:hAnsi="宋体" w:eastAsia="宋体" w:cs="宋体"/>
                <w:szCs w:val="21"/>
                <w:highlight w:val="none"/>
              </w:rPr>
              <w:t>质量控制管理措施</w:t>
            </w:r>
            <w:r>
              <w:rPr>
                <w:rFonts w:hint="eastAsia" w:ascii="宋体" w:hAnsi="宋体" w:eastAsia="宋体" w:cs="宋体"/>
                <w:szCs w:val="21"/>
                <w:highlight w:val="none"/>
                <w:lang w:val="en-US" w:eastAsia="zh-CN"/>
              </w:rPr>
              <w:t>进行评分，</w:t>
            </w:r>
            <w:r>
              <w:rPr>
                <w:rFonts w:hint="eastAsia" w:ascii="宋体" w:hAnsi="宋体" w:eastAsia="宋体" w:cs="宋体"/>
                <w:szCs w:val="21"/>
                <w:highlight w:val="none"/>
              </w:rPr>
              <w:t>管理保证措施方案完善、科学、合理可行，得7</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-10分；管理保证措施方案较为完善、合理可行，得4</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分；管理保证措施方案简单，可行性一般，得</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分，未提供得0分。</w:t>
            </w:r>
          </w:p>
        </w:tc>
        <w:tc>
          <w:tcPr>
            <w:tcW w:w="817" w:type="dxa"/>
            <w:vAlign w:val="center"/>
          </w:tcPr>
          <w:p>
            <w:pPr>
              <w:spacing w:line="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571" w:type="dxa"/>
            <w:vMerge w:val="continue"/>
            <w:vAlign w:val="center"/>
          </w:tcPr>
          <w:p>
            <w:pPr>
              <w:spacing w:line="0" w:lineRule="atLeast"/>
              <w:ind w:left="-94" w:leftChars="-45" w:firstLine="105" w:firstLineChars="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484" w:type="dxa"/>
            <w:vMerge w:val="continue"/>
            <w:vAlign w:val="center"/>
          </w:tcPr>
          <w:p>
            <w:pPr>
              <w:spacing w:line="0" w:lineRule="atLeast"/>
              <w:ind w:left="-94" w:leftChars="-45" w:firstLine="105" w:firstLineChars="50"/>
              <w:rPr>
                <w:rFonts w:hint="eastAsia" w:ascii="宋体" w:hAnsi="宋体" w:eastAsia="宋体" w:cs="宋体"/>
                <w:color w:val="auto"/>
                <w:szCs w:val="21"/>
                <w:highlight w:val="none"/>
              </w:rPr>
            </w:pPr>
          </w:p>
        </w:tc>
        <w:tc>
          <w:tcPr>
            <w:tcW w:w="669" w:type="dxa"/>
            <w:vMerge w:val="continue"/>
            <w:vAlign w:val="center"/>
          </w:tcPr>
          <w:p>
            <w:pPr>
              <w:spacing w:line="0" w:lineRule="atLeast"/>
              <w:ind w:left="-94" w:leftChars="-45" w:firstLine="105" w:firstLineChars="50"/>
              <w:rPr>
                <w:rFonts w:hint="eastAsia" w:ascii="宋体" w:hAnsi="宋体" w:eastAsia="宋体" w:cs="宋体"/>
                <w:color w:val="auto"/>
                <w:szCs w:val="21"/>
                <w:highlight w:val="none"/>
              </w:rPr>
            </w:pPr>
          </w:p>
        </w:tc>
        <w:tc>
          <w:tcPr>
            <w:tcW w:w="999" w:type="dxa"/>
            <w:vAlign w:val="center"/>
          </w:tcPr>
          <w:p>
            <w:pPr>
              <w:spacing w:line="0" w:lineRule="atLeast"/>
              <w:ind w:left="10" w:leftChars="5"/>
              <w:jc w:val="center"/>
              <w:rPr>
                <w:rFonts w:hint="eastAsia" w:ascii="宋体" w:hAnsi="宋体" w:eastAsia="宋体" w:cs="宋体"/>
                <w:color w:val="auto"/>
                <w:szCs w:val="21"/>
                <w:highlight w:val="none"/>
                <w:lang w:val="en-US" w:eastAsia="zh-CN"/>
              </w:rPr>
            </w:pPr>
            <w:r>
              <w:rPr>
                <w:rFonts w:hint="eastAsia" w:ascii="宋体" w:hAnsi="宋体" w:eastAsia="宋体" w:cs="宋体"/>
                <w:szCs w:val="21"/>
                <w:highlight w:val="none"/>
              </w:rPr>
              <w:t>进度控制管理措施</w:t>
            </w:r>
          </w:p>
        </w:tc>
        <w:tc>
          <w:tcPr>
            <w:tcW w:w="5931" w:type="dxa"/>
            <w:vAlign w:val="center"/>
          </w:tcPr>
          <w:p>
            <w:pPr>
              <w:spacing w:line="0" w:lineRule="atLeas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szCs w:val="21"/>
                <w:highlight w:val="none"/>
                <w:lang w:val="en-US" w:eastAsia="zh-CN"/>
              </w:rPr>
              <w:t>根据各供应商的投标文件</w:t>
            </w:r>
            <w:r>
              <w:rPr>
                <w:rFonts w:hint="eastAsia" w:ascii="宋体" w:hAnsi="宋体" w:eastAsia="宋体" w:cs="宋体"/>
                <w:szCs w:val="21"/>
                <w:highlight w:val="none"/>
              </w:rPr>
              <w:t>进度控制管理措施</w:t>
            </w:r>
            <w:r>
              <w:rPr>
                <w:rFonts w:hint="eastAsia" w:ascii="宋体" w:hAnsi="宋体" w:eastAsia="宋体" w:cs="宋体"/>
                <w:szCs w:val="21"/>
                <w:highlight w:val="none"/>
                <w:lang w:val="en-US" w:eastAsia="zh-CN"/>
              </w:rPr>
              <w:t>进行评分，</w:t>
            </w:r>
            <w:r>
              <w:rPr>
                <w:rFonts w:hint="eastAsia" w:ascii="宋体" w:hAnsi="宋体" w:eastAsia="宋体" w:cs="宋体"/>
                <w:szCs w:val="21"/>
                <w:highlight w:val="none"/>
              </w:rPr>
              <w:t>管理保证措施方案完善、科学、合理可行，得7</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-10分；管理保证措施方案较为完善、合理可行，得4</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分；管理保证措施方案简单，可行性一般，得</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分，未提供得0分。</w:t>
            </w:r>
          </w:p>
        </w:tc>
        <w:tc>
          <w:tcPr>
            <w:tcW w:w="817" w:type="dxa"/>
            <w:vAlign w:val="center"/>
          </w:tcPr>
          <w:p>
            <w:pPr>
              <w:spacing w:line="0" w:lineRule="atLeas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10分</w:t>
            </w:r>
          </w:p>
        </w:tc>
        <w:tc>
          <w:tcPr>
            <w:tcW w:w="571" w:type="dxa"/>
            <w:vMerge w:val="continue"/>
            <w:vAlign w:val="center"/>
          </w:tcPr>
          <w:p>
            <w:pPr>
              <w:spacing w:line="0" w:lineRule="atLeast"/>
              <w:ind w:left="-94" w:leftChars="-45" w:firstLine="105" w:firstLineChars="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484" w:type="dxa"/>
            <w:vMerge w:val="continue"/>
            <w:vAlign w:val="center"/>
          </w:tcPr>
          <w:p>
            <w:pPr>
              <w:spacing w:line="0" w:lineRule="atLeast"/>
              <w:rPr>
                <w:rFonts w:hint="eastAsia" w:ascii="宋体" w:hAnsi="宋体" w:eastAsia="宋体" w:cs="宋体"/>
                <w:color w:val="auto"/>
                <w:highlight w:val="none"/>
              </w:rPr>
            </w:pPr>
          </w:p>
        </w:tc>
        <w:tc>
          <w:tcPr>
            <w:tcW w:w="669" w:type="dxa"/>
            <w:vMerge w:val="continue"/>
            <w:vAlign w:val="center"/>
          </w:tcPr>
          <w:p>
            <w:pPr>
              <w:spacing w:line="0" w:lineRule="atLeast"/>
              <w:rPr>
                <w:rFonts w:hint="eastAsia" w:ascii="宋体" w:hAnsi="宋体" w:eastAsia="宋体" w:cs="宋体"/>
                <w:color w:val="auto"/>
                <w:highlight w:val="none"/>
              </w:rPr>
            </w:pPr>
          </w:p>
        </w:tc>
        <w:tc>
          <w:tcPr>
            <w:tcW w:w="999" w:type="dxa"/>
            <w:vAlign w:val="center"/>
          </w:tcPr>
          <w:p>
            <w:pPr>
              <w:widowControl/>
              <w:spacing w:before="78" w:beforeLines="25" w:after="78" w:afterLines="25" w:line="0" w:lineRule="atLeast"/>
              <w:jc w:val="center"/>
              <w:rPr>
                <w:rFonts w:hint="eastAsia" w:ascii="宋体" w:hAnsi="宋体" w:eastAsia="宋体" w:cs="宋体"/>
                <w:color w:val="auto"/>
                <w:szCs w:val="21"/>
                <w:highlight w:val="none"/>
                <w:lang w:val="en-US" w:eastAsia="zh-CN"/>
              </w:rPr>
            </w:pPr>
            <w:r>
              <w:rPr>
                <w:rFonts w:hint="eastAsia" w:ascii="宋体" w:hAnsi="宋体" w:eastAsia="宋体" w:cs="宋体"/>
                <w:szCs w:val="21"/>
                <w:highlight w:val="none"/>
              </w:rPr>
              <w:t>安全监督管理措施</w:t>
            </w:r>
          </w:p>
        </w:tc>
        <w:tc>
          <w:tcPr>
            <w:tcW w:w="5931" w:type="dxa"/>
            <w:vAlign w:val="center"/>
          </w:tcPr>
          <w:p>
            <w:pPr>
              <w:spacing w:line="0" w:lineRule="atLeast"/>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szCs w:val="21"/>
                <w:highlight w:val="none"/>
                <w:lang w:val="en-US" w:eastAsia="zh-CN"/>
              </w:rPr>
              <w:t>根据各供应商的投标文件</w:t>
            </w:r>
            <w:r>
              <w:rPr>
                <w:rFonts w:hint="eastAsia" w:ascii="宋体" w:hAnsi="宋体" w:eastAsia="宋体" w:cs="宋体"/>
                <w:szCs w:val="21"/>
                <w:highlight w:val="none"/>
              </w:rPr>
              <w:t>安全监督管理措施</w:t>
            </w:r>
            <w:r>
              <w:rPr>
                <w:rFonts w:hint="eastAsia" w:ascii="宋体" w:hAnsi="宋体" w:eastAsia="宋体" w:cs="宋体"/>
                <w:szCs w:val="21"/>
                <w:highlight w:val="none"/>
                <w:lang w:val="en-US" w:eastAsia="zh-CN"/>
              </w:rPr>
              <w:t>进行评分，</w:t>
            </w:r>
            <w:r>
              <w:rPr>
                <w:rFonts w:hint="eastAsia" w:ascii="宋体" w:hAnsi="宋体" w:eastAsia="宋体" w:cs="宋体"/>
                <w:szCs w:val="21"/>
                <w:highlight w:val="none"/>
              </w:rPr>
              <w:t>管理保证措施方案完善、科学、合理可行，得7</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-10分；管理保证措施方案较为完善、合理可行，得4</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分；管理保证措施方案简单，可行性一般，得</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分，未提供得0分。</w:t>
            </w:r>
          </w:p>
        </w:tc>
        <w:tc>
          <w:tcPr>
            <w:tcW w:w="817" w:type="dxa"/>
            <w:vAlign w:val="center"/>
          </w:tcPr>
          <w:p>
            <w:pPr>
              <w:spacing w:line="0" w:lineRule="atLeas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10分</w:t>
            </w:r>
          </w:p>
        </w:tc>
        <w:tc>
          <w:tcPr>
            <w:tcW w:w="571" w:type="dxa"/>
            <w:vMerge w:val="continue"/>
            <w:vAlign w:val="center"/>
          </w:tcPr>
          <w:p>
            <w:pPr>
              <w:spacing w:line="0" w:lineRule="atLeast"/>
              <w:rPr>
                <w:rFonts w:hint="eastAsia" w:ascii="宋体" w:hAnsi="宋体" w:eastAsia="宋体" w:cs="宋体"/>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4" w:type="dxa"/>
            <w:vMerge w:val="continue"/>
            <w:vAlign w:val="center"/>
          </w:tcPr>
          <w:p>
            <w:pPr>
              <w:spacing w:line="0" w:lineRule="atLeast"/>
              <w:rPr>
                <w:rFonts w:hint="eastAsia" w:ascii="宋体" w:hAnsi="宋体" w:eastAsia="宋体" w:cs="宋体"/>
                <w:color w:val="auto"/>
                <w:highlight w:val="none"/>
              </w:rPr>
            </w:pPr>
          </w:p>
        </w:tc>
        <w:tc>
          <w:tcPr>
            <w:tcW w:w="669" w:type="dxa"/>
            <w:vMerge w:val="continue"/>
            <w:vAlign w:val="center"/>
          </w:tcPr>
          <w:p>
            <w:pPr>
              <w:spacing w:line="0" w:lineRule="atLeast"/>
              <w:rPr>
                <w:rFonts w:hint="eastAsia" w:ascii="宋体" w:hAnsi="宋体" w:eastAsia="宋体" w:cs="宋体"/>
                <w:color w:val="auto"/>
                <w:highlight w:val="none"/>
              </w:rPr>
            </w:pPr>
          </w:p>
        </w:tc>
        <w:tc>
          <w:tcPr>
            <w:tcW w:w="999" w:type="dxa"/>
            <w:vAlign w:val="center"/>
          </w:tcPr>
          <w:p>
            <w:pPr>
              <w:spacing w:line="0" w:lineRule="atLeast"/>
              <w:ind w:left="10" w:leftChars="5"/>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szCs w:val="21"/>
                <w:highlight w:val="none"/>
              </w:rPr>
              <w:t>投资控制管理措施</w:t>
            </w:r>
          </w:p>
        </w:tc>
        <w:tc>
          <w:tcPr>
            <w:tcW w:w="5931" w:type="dxa"/>
            <w:vAlign w:val="center"/>
          </w:tcPr>
          <w:p>
            <w:pPr>
              <w:spacing w:line="0" w:lineRule="atLeast"/>
              <w:ind w:firstLine="420" w:firstLineChars="200"/>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根据各供应商的投标文件</w:t>
            </w:r>
            <w:r>
              <w:rPr>
                <w:rFonts w:hint="eastAsia" w:ascii="宋体" w:hAnsi="宋体" w:eastAsia="宋体" w:cs="宋体"/>
                <w:szCs w:val="21"/>
                <w:highlight w:val="none"/>
              </w:rPr>
              <w:t>投资控制管理措施</w:t>
            </w:r>
            <w:r>
              <w:rPr>
                <w:rFonts w:hint="eastAsia" w:ascii="宋体" w:hAnsi="宋体" w:eastAsia="宋体" w:cs="宋体"/>
                <w:szCs w:val="21"/>
                <w:highlight w:val="none"/>
                <w:lang w:val="en-US" w:eastAsia="zh-CN"/>
              </w:rPr>
              <w:t>进行评分，</w:t>
            </w:r>
            <w:r>
              <w:rPr>
                <w:rFonts w:hint="eastAsia" w:ascii="宋体" w:hAnsi="宋体" w:eastAsia="宋体" w:cs="宋体"/>
                <w:szCs w:val="21"/>
                <w:highlight w:val="none"/>
              </w:rPr>
              <w:t>管理保证措施方案完善、科学、合理可行，得7</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-10分；管理保证措施方案较为完善、合理可行，得4</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分；管理保证措施方案简单，可行性一般，得</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分，未提供得0分。</w:t>
            </w:r>
          </w:p>
        </w:tc>
        <w:tc>
          <w:tcPr>
            <w:tcW w:w="817" w:type="dxa"/>
            <w:vAlign w:val="center"/>
          </w:tcPr>
          <w:p>
            <w:pPr>
              <w:spacing w:line="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10分</w:t>
            </w:r>
          </w:p>
        </w:tc>
        <w:tc>
          <w:tcPr>
            <w:tcW w:w="571" w:type="dxa"/>
            <w:vMerge w:val="continue"/>
            <w:vAlign w:val="center"/>
          </w:tcPr>
          <w:p>
            <w:pPr>
              <w:spacing w:line="0" w:lineRule="atLeast"/>
              <w:rPr>
                <w:rFonts w:hint="eastAsia" w:ascii="宋体" w:hAnsi="宋体" w:eastAsia="宋体" w:cs="宋体"/>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4" w:type="dxa"/>
            <w:vMerge w:val="continue"/>
            <w:vAlign w:val="center"/>
          </w:tcPr>
          <w:p>
            <w:pPr>
              <w:spacing w:line="0" w:lineRule="atLeast"/>
              <w:rPr>
                <w:rFonts w:hint="eastAsia" w:ascii="宋体" w:hAnsi="宋体" w:eastAsia="宋体" w:cs="宋体"/>
                <w:color w:val="auto"/>
                <w:highlight w:val="none"/>
              </w:rPr>
            </w:pPr>
          </w:p>
        </w:tc>
        <w:tc>
          <w:tcPr>
            <w:tcW w:w="669" w:type="dxa"/>
            <w:vMerge w:val="continue"/>
            <w:vAlign w:val="center"/>
          </w:tcPr>
          <w:p>
            <w:pPr>
              <w:spacing w:line="0" w:lineRule="atLeast"/>
              <w:rPr>
                <w:rFonts w:hint="eastAsia" w:ascii="宋体" w:hAnsi="宋体" w:eastAsia="宋体" w:cs="宋体"/>
                <w:color w:val="auto"/>
                <w:highlight w:val="none"/>
              </w:rPr>
            </w:pPr>
          </w:p>
        </w:tc>
        <w:tc>
          <w:tcPr>
            <w:tcW w:w="999" w:type="dxa"/>
            <w:vAlign w:val="center"/>
          </w:tcPr>
          <w:p>
            <w:pPr>
              <w:spacing w:line="0" w:lineRule="atLeast"/>
              <w:ind w:left="10" w:leftChars="5"/>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监理机构及人员配置</w:t>
            </w:r>
          </w:p>
        </w:tc>
        <w:tc>
          <w:tcPr>
            <w:tcW w:w="5931" w:type="dxa"/>
            <w:vAlign w:val="center"/>
          </w:tcPr>
          <w:p>
            <w:pPr>
              <w:spacing w:line="0" w:lineRule="atLeast"/>
              <w:ind w:firstLine="420" w:firstLineChars="200"/>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根据各供应商的投标文件</w:t>
            </w:r>
            <w:r>
              <w:rPr>
                <w:rFonts w:hint="eastAsia" w:ascii="宋体" w:hAnsi="宋体" w:eastAsia="宋体" w:cs="宋体"/>
                <w:szCs w:val="21"/>
                <w:highlight w:val="none"/>
              </w:rPr>
              <w:t>项目监理机构及人员配置</w:t>
            </w:r>
            <w:r>
              <w:rPr>
                <w:rFonts w:hint="eastAsia" w:ascii="宋体" w:hAnsi="宋体" w:eastAsia="宋体" w:cs="宋体"/>
                <w:szCs w:val="21"/>
                <w:highlight w:val="none"/>
                <w:lang w:val="en-US" w:eastAsia="zh-CN"/>
              </w:rPr>
              <w:t>进行评分，</w:t>
            </w:r>
            <w:r>
              <w:rPr>
                <w:rFonts w:hint="eastAsia" w:ascii="宋体" w:hAnsi="宋体" w:eastAsia="宋体" w:cs="宋体"/>
                <w:szCs w:val="21"/>
                <w:highlight w:val="none"/>
              </w:rPr>
              <w:t>根据本项目实际情况，现场组织机构人员配置方案，配置人员及岗位设置合理科学，完全匹配项目，符合项目采购内容及要求，得</w:t>
            </w:r>
            <w:r>
              <w:rPr>
                <w:rFonts w:hint="eastAsia" w:ascii="宋体" w:hAnsi="宋体" w:eastAsia="宋体" w:cs="宋体"/>
                <w:szCs w:val="21"/>
                <w:highlight w:val="none"/>
                <w:lang w:val="en-US" w:eastAsia="zh-CN"/>
              </w:rPr>
              <w:t>7.1</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分；人员配置及岗位安排较合理科学，能够基本满足采购任务的要求，得4</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分；人员配置较少，岗位安排不够完善，得</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分，未提供得0分。</w:t>
            </w:r>
          </w:p>
        </w:tc>
        <w:tc>
          <w:tcPr>
            <w:tcW w:w="817" w:type="dxa"/>
            <w:vAlign w:val="center"/>
          </w:tcPr>
          <w:p>
            <w:pPr>
              <w:spacing w:line="0" w:lineRule="atLeas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10分</w:t>
            </w:r>
          </w:p>
        </w:tc>
        <w:tc>
          <w:tcPr>
            <w:tcW w:w="571" w:type="dxa"/>
            <w:vMerge w:val="continue"/>
            <w:vAlign w:val="center"/>
          </w:tcPr>
          <w:p>
            <w:pPr>
              <w:spacing w:line="0" w:lineRule="atLeast"/>
              <w:rPr>
                <w:rFonts w:hint="eastAsia" w:ascii="宋体" w:hAnsi="宋体" w:eastAsia="宋体" w:cs="宋体"/>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4" w:type="dxa"/>
            <w:vMerge w:val="continue"/>
            <w:vAlign w:val="center"/>
          </w:tcPr>
          <w:p>
            <w:pPr>
              <w:spacing w:line="0" w:lineRule="atLeast"/>
              <w:rPr>
                <w:rFonts w:hint="eastAsia" w:ascii="宋体" w:hAnsi="宋体" w:eastAsia="宋体" w:cs="宋体"/>
                <w:color w:val="auto"/>
                <w:highlight w:val="none"/>
              </w:rPr>
            </w:pPr>
          </w:p>
        </w:tc>
        <w:tc>
          <w:tcPr>
            <w:tcW w:w="669" w:type="dxa"/>
            <w:vMerge w:val="continue"/>
            <w:vAlign w:val="center"/>
          </w:tcPr>
          <w:p>
            <w:pPr>
              <w:spacing w:line="0" w:lineRule="atLeast"/>
              <w:rPr>
                <w:rFonts w:hint="eastAsia" w:ascii="宋体" w:hAnsi="宋体" w:eastAsia="宋体" w:cs="宋体"/>
                <w:color w:val="auto"/>
                <w:highlight w:val="none"/>
              </w:rPr>
            </w:pPr>
          </w:p>
        </w:tc>
        <w:tc>
          <w:tcPr>
            <w:tcW w:w="999" w:type="dxa"/>
            <w:vAlign w:val="center"/>
          </w:tcPr>
          <w:p>
            <w:pPr>
              <w:spacing w:line="0" w:lineRule="atLeast"/>
              <w:ind w:left="10" w:leftChars="5"/>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应急处理方案</w:t>
            </w:r>
          </w:p>
        </w:tc>
        <w:tc>
          <w:tcPr>
            <w:tcW w:w="59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firstLine="42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根据各供应商的</w:t>
            </w:r>
            <w:r>
              <w:rPr>
                <w:rFonts w:hint="eastAsia" w:ascii="宋体" w:hAnsi="宋体" w:eastAsia="宋体" w:cs="宋体"/>
                <w:szCs w:val="21"/>
                <w:highlight w:val="none"/>
                <w:lang w:val="en-US" w:eastAsia="zh-CN"/>
              </w:rPr>
              <w:t>投标</w:t>
            </w:r>
            <w:r>
              <w:rPr>
                <w:rFonts w:hint="eastAsia" w:ascii="宋体" w:hAnsi="宋体" w:eastAsia="宋体" w:cs="宋体"/>
                <w:highlight w:val="none"/>
                <w:lang w:val="en-US" w:eastAsia="zh-CN"/>
              </w:rPr>
              <w:t>文件突发事件处理方案、群体性事件处理方案进行评分， 应急处理方案合理、能全方位的考虑各种突发情况并制定相应的对策，得7.1-10 分；应急处理方案较详细合理，基本可行，得4.1-7分；应急处理方案内容粗略简单、无针对性，得0-4分，未提供得0分。</w:t>
            </w:r>
          </w:p>
        </w:tc>
        <w:tc>
          <w:tcPr>
            <w:tcW w:w="817" w:type="dxa"/>
            <w:vAlign w:val="center"/>
          </w:tcPr>
          <w:p>
            <w:pPr>
              <w:spacing w:line="0" w:lineRule="atLeas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10分</w:t>
            </w:r>
          </w:p>
        </w:tc>
        <w:tc>
          <w:tcPr>
            <w:tcW w:w="571" w:type="dxa"/>
            <w:vMerge w:val="continue"/>
            <w:vAlign w:val="center"/>
          </w:tcPr>
          <w:p>
            <w:pPr>
              <w:spacing w:line="0" w:lineRule="atLeast"/>
              <w:rPr>
                <w:rFonts w:hint="eastAsia" w:ascii="宋体" w:hAnsi="宋体" w:eastAsia="宋体" w:cs="宋体"/>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484" w:type="dxa"/>
            <w:vMerge w:val="continue"/>
            <w:vAlign w:val="center"/>
          </w:tcPr>
          <w:p>
            <w:pPr>
              <w:spacing w:line="0" w:lineRule="atLeast"/>
              <w:jc w:val="center"/>
              <w:rPr>
                <w:rFonts w:hint="eastAsia" w:ascii="宋体" w:hAnsi="宋体" w:eastAsia="宋体" w:cs="宋体"/>
                <w:color w:val="auto"/>
                <w:szCs w:val="21"/>
                <w:highlight w:val="none"/>
              </w:rPr>
            </w:pPr>
          </w:p>
        </w:tc>
        <w:tc>
          <w:tcPr>
            <w:tcW w:w="669" w:type="dxa"/>
            <w:vMerge w:val="continue"/>
            <w:vAlign w:val="center"/>
          </w:tcPr>
          <w:p>
            <w:pPr>
              <w:spacing w:line="0" w:lineRule="atLeast"/>
              <w:rPr>
                <w:rFonts w:hint="eastAsia" w:ascii="宋体" w:hAnsi="宋体" w:eastAsia="宋体" w:cs="宋体"/>
                <w:color w:val="auto"/>
                <w:szCs w:val="21"/>
                <w:highlight w:val="none"/>
              </w:rPr>
            </w:pPr>
          </w:p>
        </w:tc>
        <w:tc>
          <w:tcPr>
            <w:tcW w:w="999" w:type="dxa"/>
            <w:vAlign w:val="center"/>
          </w:tcPr>
          <w:p>
            <w:pPr>
              <w:widowControl/>
              <w:spacing w:before="78" w:beforeLines="25" w:after="78" w:afterLines="25" w:line="0" w:lineRule="atLeas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信息、合同管理措施</w:t>
            </w:r>
          </w:p>
        </w:tc>
        <w:tc>
          <w:tcPr>
            <w:tcW w:w="5931" w:type="dxa"/>
            <w:vAlign w:val="center"/>
          </w:tcPr>
          <w:p>
            <w:pPr>
              <w:spacing w:line="0" w:lineRule="atLeas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highlight w:val="none"/>
                <w:lang w:val="en-US" w:eastAsia="zh-CN"/>
              </w:rPr>
              <w:t>根据各供应商的</w:t>
            </w:r>
            <w:r>
              <w:rPr>
                <w:rFonts w:hint="eastAsia" w:ascii="宋体" w:hAnsi="宋体" w:eastAsia="宋体" w:cs="宋体"/>
                <w:szCs w:val="21"/>
                <w:highlight w:val="none"/>
                <w:lang w:val="en-US" w:eastAsia="zh-CN"/>
              </w:rPr>
              <w:t>投标</w:t>
            </w:r>
            <w:r>
              <w:rPr>
                <w:rFonts w:hint="eastAsia" w:ascii="宋体" w:hAnsi="宋体" w:eastAsia="宋体" w:cs="宋体"/>
                <w:highlight w:val="none"/>
                <w:lang w:val="en-US" w:eastAsia="zh-CN"/>
              </w:rPr>
              <w:t>文件信息、合同方面协调管理措施进行评分，措施体系完善、科学、合理、可行，得3.1-5分；措施体系较为完善、合理、可行一般，得0-3分，未提供得0分。</w:t>
            </w:r>
          </w:p>
        </w:tc>
        <w:tc>
          <w:tcPr>
            <w:tcW w:w="817" w:type="dxa"/>
            <w:vAlign w:val="center"/>
          </w:tcPr>
          <w:p>
            <w:pPr>
              <w:spacing w:line="0" w:lineRule="atLeast"/>
              <w:ind w:left="-94" w:leftChars="-45" w:firstLine="105" w:firstLineChars="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5分</w:t>
            </w:r>
          </w:p>
        </w:tc>
        <w:tc>
          <w:tcPr>
            <w:tcW w:w="571" w:type="dxa"/>
            <w:vMerge w:val="continue"/>
            <w:vAlign w:val="center"/>
          </w:tcPr>
          <w:p>
            <w:pPr>
              <w:spacing w:line="0" w:lineRule="atLeast"/>
              <w:ind w:left="-94" w:leftChars="-45" w:firstLine="105" w:firstLineChars="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84" w:type="dxa"/>
            <w:vMerge w:val="continue"/>
            <w:vAlign w:val="center"/>
          </w:tcPr>
          <w:p>
            <w:pPr>
              <w:spacing w:line="0" w:lineRule="atLeast"/>
              <w:jc w:val="center"/>
              <w:rPr>
                <w:rFonts w:hint="eastAsia" w:ascii="宋体" w:hAnsi="宋体" w:eastAsia="宋体" w:cs="宋体"/>
                <w:color w:val="auto"/>
                <w:szCs w:val="21"/>
                <w:highlight w:val="none"/>
              </w:rPr>
            </w:pPr>
          </w:p>
        </w:tc>
        <w:tc>
          <w:tcPr>
            <w:tcW w:w="669" w:type="dxa"/>
            <w:vMerge w:val="continue"/>
            <w:vAlign w:val="center"/>
          </w:tcPr>
          <w:p>
            <w:pPr>
              <w:spacing w:line="0" w:lineRule="atLeast"/>
              <w:rPr>
                <w:rFonts w:hint="eastAsia" w:ascii="宋体" w:hAnsi="宋体" w:eastAsia="宋体" w:cs="宋体"/>
                <w:color w:val="auto"/>
                <w:szCs w:val="21"/>
                <w:highlight w:val="none"/>
              </w:rPr>
            </w:pPr>
          </w:p>
        </w:tc>
        <w:tc>
          <w:tcPr>
            <w:tcW w:w="999" w:type="dxa"/>
            <w:vAlign w:val="center"/>
          </w:tcPr>
          <w:p>
            <w:pPr>
              <w:widowControl/>
              <w:spacing w:before="78" w:beforeLines="25" w:after="78" w:afterLines="25" w:line="0" w:lineRule="atLeas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工作程序和制度及依据</w:t>
            </w:r>
          </w:p>
        </w:tc>
        <w:tc>
          <w:tcPr>
            <w:tcW w:w="59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根据各供应商的监理工作程序、监理工作制度及依据进行评分，方案内容全面、合理、科学、有针对性，得3.1-5分；方案内容较完整，针对性一般，得0-3分，未提供得0分。</w:t>
            </w:r>
          </w:p>
        </w:tc>
        <w:tc>
          <w:tcPr>
            <w:tcW w:w="817" w:type="dxa"/>
            <w:vAlign w:val="center"/>
          </w:tcPr>
          <w:p>
            <w:pPr>
              <w:spacing w:line="0" w:lineRule="atLeast"/>
              <w:ind w:left="-94" w:leftChars="-45" w:firstLine="105" w:firstLineChars="5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571" w:type="dxa"/>
            <w:vMerge w:val="continue"/>
            <w:vAlign w:val="center"/>
          </w:tcPr>
          <w:p>
            <w:pPr>
              <w:spacing w:line="0" w:lineRule="atLeast"/>
              <w:ind w:left="-94" w:leftChars="-45" w:firstLine="105" w:firstLineChars="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484" w:type="dxa"/>
            <w:vMerge w:val="restart"/>
            <w:vAlign w:val="center"/>
          </w:tcPr>
          <w:p>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商务</w:t>
            </w:r>
            <w:r>
              <w:rPr>
                <w:rFonts w:hint="eastAsia" w:ascii="宋体" w:hAnsi="宋体" w:eastAsia="宋体" w:cs="宋体"/>
                <w:color w:val="auto"/>
                <w:szCs w:val="21"/>
                <w:highlight w:val="none"/>
              </w:rPr>
              <w:t>评审</w:t>
            </w:r>
          </w:p>
        </w:tc>
        <w:tc>
          <w:tcPr>
            <w:tcW w:w="669" w:type="dxa"/>
            <w:vMerge w:val="restart"/>
            <w:vAlign w:val="center"/>
          </w:tcPr>
          <w:p>
            <w:pPr>
              <w:spacing w:line="0" w:lineRule="atLeas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20</w:t>
            </w:r>
            <w:r>
              <w:rPr>
                <w:rFonts w:hint="eastAsia" w:ascii="宋体" w:hAnsi="宋体" w:eastAsia="宋体" w:cs="宋体"/>
                <w:b/>
                <w:bCs/>
                <w:color w:val="auto"/>
                <w:szCs w:val="21"/>
                <w:highlight w:val="none"/>
              </w:rPr>
              <w:t>分</w:t>
            </w:r>
          </w:p>
        </w:tc>
        <w:tc>
          <w:tcPr>
            <w:tcW w:w="999" w:type="dxa"/>
            <w:vAlign w:val="center"/>
          </w:tcPr>
          <w:p>
            <w:pPr>
              <w:spacing w:line="0" w:lineRule="atLeas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合理化建议</w:t>
            </w:r>
          </w:p>
        </w:tc>
        <w:tc>
          <w:tcPr>
            <w:tcW w:w="593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供应商根据第四章采购内容及服务要求，从该项目的实际情况分析并提出合理建议，响应文件分析能结合实际，提出具有建设性的意见，对项目实施具有较强的指导作用，得5.1-10分；对项目实施具有一般的指导作用</w:t>
            </w:r>
            <w:r>
              <w:rPr>
                <w:rFonts w:hint="eastAsia" w:ascii="宋体" w:hAnsi="宋体" w:eastAsia="宋体" w:cs="宋体"/>
                <w:highlight w:val="none"/>
                <w:lang w:val="en-US" w:eastAsia="zh-CN"/>
              </w:rPr>
              <w:t>，</w:t>
            </w:r>
            <w:r>
              <w:rPr>
                <w:rFonts w:hint="eastAsia" w:ascii="宋体" w:hAnsi="宋体" w:eastAsia="宋体" w:cs="宋体"/>
                <w:szCs w:val="21"/>
                <w:highlight w:val="none"/>
              </w:rPr>
              <w:t>得</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分，未提供得0分。</w:t>
            </w:r>
          </w:p>
        </w:tc>
        <w:tc>
          <w:tcPr>
            <w:tcW w:w="817" w:type="dxa"/>
            <w:vAlign w:val="center"/>
          </w:tcPr>
          <w:p>
            <w:pPr>
              <w:spacing w:line="0" w:lineRule="atLeast"/>
              <w:ind w:left="-94" w:leftChars="-45"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10分</w:t>
            </w:r>
          </w:p>
        </w:tc>
        <w:tc>
          <w:tcPr>
            <w:tcW w:w="571" w:type="dxa"/>
            <w:vMerge w:val="continue"/>
            <w:vAlign w:val="center"/>
          </w:tcPr>
          <w:p>
            <w:pPr>
              <w:spacing w:line="0" w:lineRule="atLeast"/>
              <w:ind w:left="-94" w:leftChars="-45" w:firstLine="105" w:firstLineChars="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484" w:type="dxa"/>
            <w:vMerge w:val="continue"/>
            <w:vAlign w:val="center"/>
          </w:tcPr>
          <w:p>
            <w:pPr>
              <w:spacing w:line="0" w:lineRule="atLeast"/>
              <w:ind w:left="-94" w:leftChars="-45" w:firstLine="105" w:firstLineChars="50"/>
              <w:rPr>
                <w:rFonts w:hint="eastAsia" w:ascii="宋体" w:hAnsi="宋体" w:eastAsia="宋体" w:cs="宋体"/>
                <w:color w:val="auto"/>
                <w:szCs w:val="21"/>
                <w:highlight w:val="none"/>
              </w:rPr>
            </w:pPr>
          </w:p>
        </w:tc>
        <w:tc>
          <w:tcPr>
            <w:tcW w:w="669" w:type="dxa"/>
            <w:vMerge w:val="continue"/>
            <w:vAlign w:val="center"/>
          </w:tcPr>
          <w:p>
            <w:pPr>
              <w:spacing w:line="0" w:lineRule="atLeast"/>
              <w:ind w:left="-94" w:leftChars="-45" w:firstLine="105" w:firstLineChars="50"/>
              <w:rPr>
                <w:rFonts w:hint="eastAsia" w:ascii="宋体" w:hAnsi="宋体" w:eastAsia="宋体" w:cs="宋体"/>
                <w:color w:val="auto"/>
                <w:szCs w:val="21"/>
                <w:highlight w:val="none"/>
              </w:rPr>
            </w:pPr>
          </w:p>
        </w:tc>
        <w:tc>
          <w:tcPr>
            <w:tcW w:w="999" w:type="dxa"/>
            <w:vAlign w:val="center"/>
          </w:tcPr>
          <w:p>
            <w:pPr>
              <w:spacing w:line="0" w:lineRule="atLeast"/>
              <w:ind w:left="12"/>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业绩</w:t>
            </w:r>
          </w:p>
        </w:tc>
        <w:tc>
          <w:tcPr>
            <w:tcW w:w="593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2020年1月至今，每提供一份同类业绩得5分，满分10分（业绩证明以监理合同的复印件或中标通知书复印件加盖公章为准）。</w:t>
            </w:r>
          </w:p>
        </w:tc>
        <w:tc>
          <w:tcPr>
            <w:tcW w:w="817" w:type="dxa"/>
            <w:vAlign w:val="center"/>
          </w:tcPr>
          <w:p>
            <w:pPr>
              <w:spacing w:line="0" w:lineRule="atLeast"/>
              <w:ind w:left="-94" w:leftChars="-45" w:firstLine="105" w:firstLineChars="50"/>
              <w:jc w:val="left"/>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571" w:type="dxa"/>
            <w:vMerge w:val="continue"/>
            <w:vAlign w:val="center"/>
          </w:tcPr>
          <w:p>
            <w:pPr>
              <w:spacing w:line="0" w:lineRule="atLeast"/>
              <w:ind w:left="-94" w:leftChars="-45" w:firstLine="105" w:firstLineChars="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471" w:type="dxa"/>
            <w:gridSpan w:val="6"/>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1.若出现综合得分并列时，按照最后报价由低到高的顺序推荐，评审得分且最后报价相同的，按照技术指标优劣进行排序，如果还相同，则由全体</w:t>
            </w:r>
            <w:r>
              <w:rPr>
                <w:rFonts w:hint="eastAsia" w:ascii="宋体" w:hAnsi="宋体" w:eastAsia="宋体" w:cs="宋体"/>
                <w:color w:val="auto"/>
                <w:szCs w:val="21"/>
                <w:highlight w:val="none"/>
                <w:lang w:val="en-US" w:eastAsia="zh-CN"/>
              </w:rPr>
              <w:t>评标委员会</w:t>
            </w:r>
            <w:r>
              <w:rPr>
                <w:rFonts w:hint="eastAsia" w:ascii="宋体" w:hAnsi="宋体" w:eastAsia="宋体" w:cs="宋体"/>
                <w:color w:val="auto"/>
                <w:szCs w:val="21"/>
                <w:highlight w:val="none"/>
              </w:rPr>
              <w:t>无记名投票，以得票高者排序在先。</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2.评委打分超过得分界限或未按本方法赋分时，该评委的打分按作废处理。</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评标委员会</w:t>
            </w:r>
            <w:r>
              <w:rPr>
                <w:rFonts w:hint="eastAsia" w:ascii="宋体" w:hAnsi="宋体" w:eastAsia="宋体" w:cs="宋体"/>
                <w:color w:val="auto"/>
                <w:szCs w:val="21"/>
                <w:highlight w:val="none"/>
              </w:rPr>
              <w:t>二分之一以上人员认为有串标、弄虚作假嫌疑或严重脱离市场价的</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，该供应商不得作为成交候选人。</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4.由于</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文件有矛盾，造成对供应商不利的评标结果，由供应商自负。</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5.评审过程中，若出现特殊情况时，将暂停评标，有关情况的处理待</w:t>
            </w:r>
            <w:r>
              <w:rPr>
                <w:rFonts w:hint="eastAsia" w:ascii="宋体" w:hAnsi="宋体" w:eastAsia="宋体" w:cs="宋体"/>
                <w:color w:val="auto"/>
                <w:szCs w:val="21"/>
                <w:highlight w:val="none"/>
                <w:lang w:val="en-US" w:eastAsia="zh-CN"/>
              </w:rPr>
              <w:t>评标委员会</w:t>
            </w:r>
            <w:r>
              <w:rPr>
                <w:rFonts w:hint="eastAsia" w:ascii="宋体" w:hAnsi="宋体" w:eastAsia="宋体" w:cs="宋体"/>
                <w:color w:val="auto"/>
                <w:szCs w:val="21"/>
                <w:highlight w:val="none"/>
              </w:rPr>
              <w:t>确认后，再行评定。</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6.计算结果保留两位小数，第三位“四舍五入”。</w:t>
            </w:r>
          </w:p>
        </w:tc>
      </w:tr>
    </w:tbl>
    <w:p>
      <w:pPr>
        <w:spacing w:line="360" w:lineRule="auto"/>
        <w:rPr>
          <w:rFonts w:hint="eastAsia" w:ascii="宋体" w:hAnsi="宋体" w:eastAsia="宋体" w:cs="宋体"/>
          <w:b/>
          <w:bCs/>
          <w:spacing w:val="4"/>
          <w:sz w:val="24"/>
          <w:szCs w:val="24"/>
          <w:highlight w:val="none"/>
          <w:lang w:val="en-US" w:eastAsia="zh-CN"/>
        </w:rPr>
      </w:pPr>
      <w:r>
        <w:rPr>
          <w:rFonts w:hint="eastAsia" w:ascii="宋体" w:hAnsi="宋体" w:eastAsia="宋体" w:cs="宋体"/>
          <w:b/>
          <w:bCs/>
          <w:spacing w:val="4"/>
          <w:sz w:val="24"/>
          <w:szCs w:val="24"/>
          <w:highlight w:val="none"/>
          <w:lang w:val="en-US" w:eastAsia="zh-CN"/>
        </w:rPr>
        <w:br w:type="textWrapping"/>
      </w:r>
    </w:p>
    <w:p>
      <w:pPr>
        <w:spacing w:line="240" w:lineRule="auto"/>
        <w:rPr>
          <w:rFonts w:hint="eastAsia" w:ascii="宋体" w:hAnsi="宋体" w:eastAsia="宋体" w:cs="宋体"/>
          <w:b/>
          <w:bCs/>
          <w:spacing w:val="4"/>
          <w:sz w:val="24"/>
          <w:szCs w:val="24"/>
          <w:highlight w:val="none"/>
          <w:lang w:val="en-US" w:eastAsia="zh-CN"/>
        </w:rPr>
      </w:pPr>
      <w:r>
        <w:rPr>
          <w:rFonts w:hint="eastAsia" w:ascii="宋体" w:hAnsi="宋体" w:eastAsia="宋体" w:cs="宋体"/>
          <w:b/>
          <w:bCs/>
          <w:spacing w:val="4"/>
          <w:sz w:val="24"/>
          <w:szCs w:val="24"/>
          <w:highlight w:val="none"/>
          <w:lang w:val="en-US" w:eastAsia="zh-CN"/>
        </w:rPr>
        <w:br w:type="page"/>
      </w:r>
    </w:p>
    <w:p>
      <w:pPr>
        <w:spacing w:line="360" w:lineRule="auto"/>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lang w:val="en-US" w:eastAsia="zh-CN"/>
        </w:rPr>
        <w:t>3.2</w:t>
      </w:r>
      <w:r>
        <w:rPr>
          <w:rFonts w:hint="eastAsia" w:ascii="宋体" w:hAnsi="宋体" w:eastAsia="宋体" w:cs="宋体"/>
          <w:b/>
          <w:bCs/>
          <w:spacing w:val="4"/>
          <w:sz w:val="24"/>
          <w:szCs w:val="24"/>
          <w:highlight w:val="none"/>
        </w:rPr>
        <w:t>评标价的确定：</w:t>
      </w:r>
    </w:p>
    <w:p>
      <w:pPr>
        <w:spacing w:line="360" w:lineRule="auto"/>
        <w:ind w:firstLine="369" w:firstLineChars="149"/>
        <w:rPr>
          <w:rFonts w:hint="eastAsia" w:ascii="宋体" w:hAnsi="宋体" w:eastAsia="宋体" w:cs="宋体"/>
          <w:sz w:val="24"/>
          <w:szCs w:val="24"/>
          <w:highlight w:val="none"/>
        </w:rPr>
      </w:pPr>
      <w:r>
        <w:rPr>
          <w:rFonts w:hint="eastAsia" w:ascii="宋体" w:hAnsi="宋体" w:eastAsia="宋体" w:cs="宋体"/>
          <w:spacing w:val="4"/>
          <w:sz w:val="24"/>
          <w:szCs w:val="24"/>
          <w:highlight w:val="none"/>
          <w:lang w:val="en-US" w:eastAsia="zh-CN"/>
        </w:rPr>
        <w:t>3.2.</w:t>
      </w:r>
      <w:r>
        <w:rPr>
          <w:rFonts w:hint="eastAsia" w:ascii="宋体" w:hAnsi="宋体" w:eastAsia="宋体" w:cs="宋体"/>
          <w:spacing w:val="4"/>
          <w:sz w:val="24"/>
          <w:szCs w:val="24"/>
          <w:highlight w:val="none"/>
        </w:rPr>
        <w:t>1投标文件经审查合格的</w:t>
      </w:r>
      <w:r>
        <w:rPr>
          <w:rFonts w:hint="eastAsia" w:ascii="宋体" w:hAnsi="宋体" w:eastAsia="宋体" w:cs="宋体"/>
          <w:sz w:val="24"/>
          <w:szCs w:val="24"/>
          <w:highlight w:val="none"/>
        </w:rPr>
        <w:t>，为有效投标。对于所有有效投标按照以下规则进行评标价的确定。</w:t>
      </w:r>
    </w:p>
    <w:p>
      <w:pPr>
        <w:spacing w:line="360" w:lineRule="auto"/>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lang w:val="en-US" w:eastAsia="zh-CN"/>
        </w:rPr>
        <w:t>3.3</w:t>
      </w:r>
      <w:r>
        <w:rPr>
          <w:rFonts w:hint="eastAsia" w:ascii="宋体" w:hAnsi="宋体" w:eastAsia="宋体" w:cs="宋体"/>
          <w:b/>
          <w:bCs/>
          <w:spacing w:val="4"/>
          <w:sz w:val="24"/>
          <w:szCs w:val="24"/>
          <w:highlight w:val="none"/>
        </w:rPr>
        <w:t>政策性扣减</w:t>
      </w:r>
    </w:p>
    <w:p>
      <w:pPr>
        <w:spacing w:line="360" w:lineRule="auto"/>
        <w:ind w:firstLine="369" w:firstLineChars="14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3.3.1</w:t>
      </w:r>
      <w:r>
        <w:rPr>
          <w:rFonts w:hint="eastAsia" w:ascii="宋体" w:hAnsi="宋体" w:eastAsia="宋体" w:cs="宋体"/>
          <w:spacing w:val="4"/>
          <w:sz w:val="24"/>
          <w:szCs w:val="24"/>
          <w:highlight w:val="none"/>
        </w:rPr>
        <w:t>政策性扣减范围</w:t>
      </w:r>
    </w:p>
    <w:p>
      <w:pPr>
        <w:spacing w:line="360" w:lineRule="auto"/>
        <w:ind w:firstLine="369" w:firstLineChars="14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3.3.1.</w:t>
      </w:r>
      <w:r>
        <w:rPr>
          <w:rFonts w:hint="eastAsia" w:ascii="宋体" w:hAnsi="宋体" w:eastAsia="宋体" w:cs="宋体"/>
          <w:spacing w:val="4"/>
          <w:sz w:val="24"/>
          <w:szCs w:val="24"/>
          <w:highlight w:val="none"/>
          <w:lang w:val="en-US" w:eastAsia="en-US"/>
        </w:rPr>
        <w:t>1</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符合小型、微型企业或监狱企业、残疾人福利性单位条件的，其投标报价价格评审时将按相应比例进行扣减。</w:t>
      </w:r>
    </w:p>
    <w:p>
      <w:pPr>
        <w:spacing w:line="360" w:lineRule="auto"/>
        <w:ind w:firstLine="369" w:firstLineChars="14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3.3.1.</w:t>
      </w:r>
      <w:r>
        <w:rPr>
          <w:rFonts w:hint="eastAsia" w:ascii="宋体" w:hAnsi="宋体" w:eastAsia="宋体" w:cs="宋体"/>
          <w:spacing w:val="4"/>
          <w:sz w:val="24"/>
          <w:szCs w:val="24"/>
          <w:highlight w:val="none"/>
          <w:lang w:val="en-US" w:eastAsia="en-US"/>
        </w:rPr>
        <w:t>2</w:t>
      </w:r>
      <w:r>
        <w:rPr>
          <w:rFonts w:hint="eastAsia" w:ascii="宋体" w:hAnsi="宋体" w:eastAsia="宋体" w:cs="宋体"/>
          <w:spacing w:val="4"/>
          <w:sz w:val="24"/>
          <w:szCs w:val="24"/>
          <w:highlight w:val="none"/>
        </w:rPr>
        <w:t>依据关于印发《政府采购促进中小企业发展管理办法》的通知（财库〔2020〕46 号）的规定，在政府采购活动中，</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提供的货物、工程或者服务符合下列情形的，享受中小企业扶持政策：</w:t>
      </w:r>
    </w:p>
    <w:p>
      <w:pPr>
        <w:spacing w:line="360" w:lineRule="auto"/>
        <w:ind w:firstLine="369" w:firstLineChars="149"/>
        <w:rPr>
          <w:rFonts w:hint="eastAsia" w:ascii="宋体" w:hAnsi="宋体" w:eastAsia="宋体" w:cs="宋体"/>
          <w:spacing w:val="4"/>
          <w:sz w:val="24"/>
          <w:szCs w:val="24"/>
          <w:highlight w:val="none"/>
        </w:rPr>
      </w:pPr>
      <w:bookmarkStart w:id="58" w:name="bookmark301"/>
      <w:r>
        <w:rPr>
          <w:rFonts w:hint="eastAsia" w:ascii="宋体" w:hAnsi="宋体" w:eastAsia="宋体" w:cs="宋体"/>
          <w:spacing w:val="4"/>
          <w:sz w:val="24"/>
          <w:szCs w:val="24"/>
          <w:highlight w:val="none"/>
        </w:rPr>
        <w:t>（</w:t>
      </w:r>
      <w:bookmarkEnd w:id="58"/>
      <w:r>
        <w:rPr>
          <w:rFonts w:hint="eastAsia" w:ascii="宋体" w:hAnsi="宋体" w:eastAsia="宋体" w:cs="宋体"/>
          <w:spacing w:val="4"/>
          <w:sz w:val="24"/>
          <w:szCs w:val="24"/>
          <w:highlight w:val="none"/>
        </w:rPr>
        <w:t>1）在货物采购项目中，货物由中小企业制造，即货物由中小企业生产且使用该中 小企业商号或者注册商标；在工程采购项目中，工程由中小企业承建，即工程施工单位为 中小企业；在服务采购项目中，服务由中小企业承接，即提供服务的人员为中小企业依照《中华人民共和国劳动合同法》订立劳动合同的从业人员。</w:t>
      </w:r>
    </w:p>
    <w:p>
      <w:pPr>
        <w:spacing w:line="360" w:lineRule="auto"/>
        <w:ind w:firstLine="369" w:firstLineChars="149"/>
        <w:rPr>
          <w:rFonts w:hint="eastAsia" w:ascii="宋体" w:hAnsi="宋体" w:eastAsia="宋体" w:cs="宋体"/>
          <w:spacing w:val="4"/>
          <w:sz w:val="24"/>
          <w:szCs w:val="24"/>
          <w:highlight w:val="none"/>
        </w:rPr>
      </w:pPr>
      <w:bookmarkStart w:id="59" w:name="bookmark302"/>
      <w:r>
        <w:rPr>
          <w:rFonts w:hint="eastAsia" w:ascii="宋体" w:hAnsi="宋体" w:eastAsia="宋体" w:cs="宋体"/>
          <w:spacing w:val="4"/>
          <w:sz w:val="24"/>
          <w:szCs w:val="24"/>
          <w:highlight w:val="none"/>
        </w:rPr>
        <w:t>（</w:t>
      </w:r>
      <w:bookmarkEnd w:id="59"/>
      <w:r>
        <w:rPr>
          <w:rFonts w:hint="eastAsia" w:ascii="宋体" w:hAnsi="宋体" w:eastAsia="宋体" w:cs="宋体"/>
          <w:spacing w:val="4"/>
          <w:sz w:val="24"/>
          <w:szCs w:val="24"/>
          <w:highlight w:val="none"/>
        </w:rPr>
        <w:t>2）在货物采购项目中，</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提供的货物既有中小企业制造货物，也有大型企业 制造货物的，不享受本办法规定的中小企业扶持政策。</w:t>
      </w:r>
    </w:p>
    <w:p>
      <w:pPr>
        <w:spacing w:line="360" w:lineRule="auto"/>
        <w:ind w:firstLine="369" w:firstLineChars="149"/>
        <w:rPr>
          <w:rFonts w:hint="eastAsia" w:ascii="宋体" w:hAnsi="宋体" w:eastAsia="宋体" w:cs="宋体"/>
          <w:spacing w:val="4"/>
          <w:sz w:val="24"/>
          <w:szCs w:val="24"/>
          <w:highlight w:val="none"/>
        </w:rPr>
      </w:pPr>
      <w:bookmarkStart w:id="60" w:name="bookmark303"/>
      <w:r>
        <w:rPr>
          <w:rFonts w:hint="eastAsia" w:ascii="宋体" w:hAnsi="宋体" w:eastAsia="宋体" w:cs="宋体"/>
          <w:spacing w:val="4"/>
          <w:sz w:val="24"/>
          <w:szCs w:val="24"/>
          <w:highlight w:val="none"/>
        </w:rPr>
        <w:t>（</w:t>
      </w:r>
      <w:bookmarkEnd w:id="60"/>
      <w:r>
        <w:rPr>
          <w:rFonts w:hint="eastAsia" w:ascii="宋体" w:hAnsi="宋体" w:eastAsia="宋体" w:cs="宋体"/>
          <w:spacing w:val="4"/>
          <w:sz w:val="24"/>
          <w:szCs w:val="24"/>
          <w:highlight w:val="none"/>
        </w:rPr>
        <w:t>3）以联合体形式参加政府采购活动，联合体各方均为中小企业的，联合体视同中 小企业。其中，联合体各方均为小微企业的，联合体视同小微企业。</w:t>
      </w:r>
    </w:p>
    <w:p>
      <w:pPr>
        <w:spacing w:line="360" w:lineRule="auto"/>
        <w:ind w:firstLine="369" w:firstLineChars="149"/>
        <w:rPr>
          <w:rFonts w:hint="eastAsia" w:ascii="宋体" w:hAnsi="宋体" w:eastAsia="宋体" w:cs="宋体"/>
          <w:spacing w:val="4"/>
          <w:sz w:val="24"/>
          <w:szCs w:val="24"/>
          <w:highlight w:val="none"/>
        </w:rPr>
      </w:pPr>
      <w:bookmarkStart w:id="61" w:name="bookmark304"/>
      <w:r>
        <w:rPr>
          <w:rFonts w:hint="eastAsia" w:ascii="宋体" w:hAnsi="宋体" w:eastAsia="宋体" w:cs="宋体"/>
          <w:spacing w:val="4"/>
          <w:sz w:val="24"/>
          <w:szCs w:val="24"/>
          <w:highlight w:val="none"/>
        </w:rPr>
        <w:t>（</w:t>
      </w:r>
      <w:bookmarkEnd w:id="61"/>
      <w:r>
        <w:rPr>
          <w:rFonts w:hint="eastAsia" w:ascii="宋体" w:hAnsi="宋体" w:eastAsia="宋体" w:cs="宋体"/>
          <w:spacing w:val="4"/>
          <w:sz w:val="24"/>
          <w:szCs w:val="24"/>
          <w:highlight w:val="none"/>
        </w:rPr>
        <w:t>4）中小企业参加政府采购活动，应当出具符合财库财库〔2020〕46号规定的《中小 企业声明函》.否则不得享受相关中小企业扶持政策。</w:t>
      </w:r>
    </w:p>
    <w:p>
      <w:pPr>
        <w:spacing w:line="360" w:lineRule="auto"/>
        <w:ind w:firstLine="369" w:firstLineChars="14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3.3.1.</w:t>
      </w:r>
      <w:r>
        <w:rPr>
          <w:rFonts w:hint="eastAsia" w:ascii="宋体" w:hAnsi="宋体" w:eastAsia="宋体" w:cs="宋体"/>
          <w:spacing w:val="4"/>
          <w:sz w:val="24"/>
          <w:szCs w:val="24"/>
          <w:highlight w:val="none"/>
          <w:lang w:val="en-US" w:eastAsia="en-US"/>
        </w:rPr>
        <w:t>3</w:t>
      </w:r>
      <w:r>
        <w:rPr>
          <w:rFonts w:hint="eastAsia" w:ascii="宋体" w:hAnsi="宋体" w:eastAsia="宋体" w:cs="宋体"/>
          <w:spacing w:val="4"/>
          <w:sz w:val="24"/>
          <w:szCs w:val="24"/>
          <w:highlight w:val="none"/>
        </w:rPr>
        <w:t>采购人拟采购产品属于优先采购节能环保产品范围的，应当优先采购节能环保产 品，《关于印发环境标志产品政府采购品目清单的通知》（财库</w:t>
      </w:r>
      <w:r>
        <w:rPr>
          <w:rFonts w:hint="eastAsia" w:ascii="宋体" w:hAnsi="宋体" w:eastAsia="宋体" w:cs="宋体"/>
          <w:spacing w:val="4"/>
          <w:sz w:val="24"/>
          <w:szCs w:val="24"/>
          <w:highlight w:val="none"/>
          <w:lang w:val="en-US" w:eastAsia="en-US"/>
        </w:rPr>
        <w:t xml:space="preserve">[2019] </w:t>
      </w:r>
      <w:r>
        <w:rPr>
          <w:rFonts w:hint="eastAsia" w:ascii="宋体" w:hAnsi="宋体" w:eastAsia="宋体" w:cs="宋体"/>
          <w:spacing w:val="4"/>
          <w:sz w:val="24"/>
          <w:szCs w:val="24"/>
          <w:highlight w:val="none"/>
        </w:rPr>
        <w:t>18号文）、《关于 印发节能产品政府采购品目清单的通知》（财库</w:t>
      </w:r>
      <w:r>
        <w:rPr>
          <w:rFonts w:hint="eastAsia" w:ascii="宋体" w:hAnsi="宋体" w:eastAsia="宋体" w:cs="宋体"/>
          <w:spacing w:val="4"/>
          <w:sz w:val="24"/>
          <w:szCs w:val="24"/>
          <w:highlight w:val="none"/>
          <w:lang w:val="en-US" w:eastAsia="en-US"/>
        </w:rPr>
        <w:t xml:space="preserve">[2019] </w:t>
      </w:r>
      <w:r>
        <w:rPr>
          <w:rFonts w:hint="eastAsia" w:ascii="宋体" w:hAnsi="宋体" w:eastAsia="宋体" w:cs="宋体"/>
          <w:spacing w:val="4"/>
          <w:sz w:val="24"/>
          <w:szCs w:val="24"/>
          <w:highlight w:val="none"/>
        </w:rPr>
        <w:t>19号文）中品目清单内的产品，供应商在投标时提供经国家确定的认证机构出具的、处于有效期之内的节能产品、环境标志 产品认证证书，采购人对获得证书的产品实施政府优先采购或强制采购。</w:t>
      </w:r>
    </w:p>
    <w:p>
      <w:pPr>
        <w:spacing w:line="360" w:lineRule="auto"/>
        <w:ind w:firstLine="369" w:firstLineChars="14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3.3.1.</w:t>
      </w:r>
      <w:r>
        <w:rPr>
          <w:rFonts w:hint="eastAsia" w:ascii="宋体" w:hAnsi="宋体" w:eastAsia="宋体" w:cs="宋体"/>
          <w:spacing w:val="4"/>
          <w:sz w:val="24"/>
          <w:szCs w:val="24"/>
          <w:highlight w:val="none"/>
          <w:lang w:val="en-US" w:eastAsia="en-US"/>
        </w:rPr>
        <w:t>4</w:t>
      </w:r>
      <w:r>
        <w:rPr>
          <w:rFonts w:hint="eastAsia" w:ascii="宋体" w:hAnsi="宋体" w:eastAsia="宋体" w:cs="宋体"/>
          <w:spacing w:val="4"/>
          <w:sz w:val="24"/>
          <w:szCs w:val="24"/>
          <w:highlight w:val="none"/>
        </w:rPr>
        <w:t>监狱企业参加政府采购活动时，应当提供由省级以上监狱管理局、戒毒管理局（含 新疆生产建设兵团）出具的属于监狱企业的证明文件。监狱企业参加政府采购活动时，视 同小型、微型企业。</w:t>
      </w:r>
    </w:p>
    <w:p>
      <w:pPr>
        <w:spacing w:line="360" w:lineRule="auto"/>
        <w:ind w:firstLine="369" w:firstLineChars="14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3.3.1.</w:t>
      </w:r>
      <w:r>
        <w:rPr>
          <w:rFonts w:hint="eastAsia" w:ascii="宋体" w:hAnsi="宋体" w:eastAsia="宋体" w:cs="宋体"/>
          <w:spacing w:val="4"/>
          <w:sz w:val="24"/>
          <w:szCs w:val="24"/>
          <w:highlight w:val="none"/>
          <w:lang w:val="en-US" w:eastAsia="en-US"/>
        </w:rPr>
        <w:t>5</w:t>
      </w:r>
      <w:r>
        <w:rPr>
          <w:rFonts w:hint="eastAsia" w:ascii="宋体" w:hAnsi="宋体" w:eastAsia="宋体" w:cs="宋体"/>
          <w:spacing w:val="4"/>
          <w:sz w:val="24"/>
          <w:szCs w:val="24"/>
          <w:highlight w:val="none"/>
        </w:rPr>
        <w:t>符合条件的残疾人福利性单位在参加政府采购活动时，应当提供本通知规定的《残 疾人福利性单位声明函》，并对声明的真实性负责。残疾人福利性单位参加政府采购活动 时，视同小型、微型企业；残疾人福利性单位属于小型、微型企业的，不重复享受政策。</w:t>
      </w:r>
    </w:p>
    <w:p>
      <w:pPr>
        <w:spacing w:line="360" w:lineRule="auto"/>
        <w:ind w:firstLine="371" w:firstLineChars="149"/>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lang w:val="en-US" w:eastAsia="zh-CN"/>
        </w:rPr>
        <w:t>3.4</w:t>
      </w:r>
      <w:r>
        <w:rPr>
          <w:rFonts w:hint="eastAsia" w:ascii="宋体" w:hAnsi="宋体" w:eastAsia="宋体" w:cs="宋体"/>
          <w:b/>
          <w:bCs/>
          <w:spacing w:val="4"/>
          <w:sz w:val="24"/>
          <w:szCs w:val="24"/>
          <w:highlight w:val="none"/>
        </w:rPr>
        <w:t>、政策性扣减方式：</w:t>
      </w:r>
    </w:p>
    <w:p>
      <w:pPr>
        <w:spacing w:line="360" w:lineRule="auto"/>
        <w:ind w:firstLine="369" w:firstLineChars="14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3.4</w:t>
      </w:r>
      <w:r>
        <w:rPr>
          <w:rFonts w:hint="eastAsia" w:ascii="宋体" w:hAnsi="宋体" w:eastAsia="宋体" w:cs="宋体"/>
          <w:spacing w:val="4"/>
          <w:sz w:val="24"/>
          <w:szCs w:val="24"/>
          <w:highlight w:val="none"/>
          <w:lang w:val="en-US" w:eastAsia="en-US"/>
        </w:rPr>
        <w:t>.1</w:t>
      </w:r>
      <w:r>
        <w:rPr>
          <w:rFonts w:hint="eastAsia" w:ascii="宋体" w:hAnsi="宋体" w:eastAsia="宋体" w:cs="宋体"/>
          <w:spacing w:val="4"/>
          <w:sz w:val="24"/>
          <w:szCs w:val="24"/>
          <w:highlight w:val="none"/>
        </w:rPr>
        <w:t>对于未预留份额专门面向中小企业采购的采购项目，以及预留份额项目的非预留 部分采购包中符合条件的小微企业报价给予10%的扣除（工程项目为3%）的扣除，用扣除后的价格参加评审。适用招标投标法的政府采购工程建设项目，采用综合评估法但未采用 低价优先法计算价格分的，评标时应当在采用原报价进行评分的基础上增加其价格得分的3%作为其价格分。</w:t>
      </w:r>
    </w:p>
    <w:p>
      <w:pPr>
        <w:spacing w:line="360" w:lineRule="auto"/>
        <w:ind w:firstLine="369" w:firstLineChars="14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3.4</w:t>
      </w:r>
      <w:r>
        <w:rPr>
          <w:rFonts w:hint="eastAsia" w:ascii="宋体" w:hAnsi="宋体" w:eastAsia="宋体" w:cs="宋体"/>
          <w:spacing w:val="4"/>
          <w:sz w:val="24"/>
          <w:szCs w:val="24"/>
          <w:highlight w:val="none"/>
          <w:lang w:val="en-US" w:eastAsia="en-US"/>
        </w:rPr>
        <w:t>.</w:t>
      </w:r>
      <w:r>
        <w:rPr>
          <w:rFonts w:hint="eastAsia" w:ascii="宋体" w:hAnsi="宋体" w:eastAsia="宋体" w:cs="宋体"/>
          <w:spacing w:val="4"/>
          <w:sz w:val="24"/>
          <w:szCs w:val="24"/>
          <w:highlight w:val="none"/>
        </w:rPr>
        <w:t>2接受大中型企业与小微企业组成联合体或者允许大中型企业向一家或者多家小微 企业分包的采购项目，对于联合协议或者分包意向协议约定小微企业的合同份额占到合同总金额30%以上的，对联合体或者大中型企业的报价给予4% （工程项目为偈）的扣除，用扣除后的价格参加评审。适用招标投标法的政府采购工程建设项目，采用综合评估法但未采用低价优先法计算价格分的，评标时应当在采用原报价进行评分的基础上增加其价格 得分的1%作为其价格分。组成联合体或者接受分包的小微企业与联合体内其他企业、分 包企业之间存在直接控股、管理关系的，不享受价格扣除优惠政策。</w:t>
      </w:r>
    </w:p>
    <w:p>
      <w:pPr>
        <w:spacing w:line="360" w:lineRule="auto"/>
        <w:ind w:firstLine="369" w:firstLineChars="14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3.4</w:t>
      </w:r>
      <w:r>
        <w:rPr>
          <w:rFonts w:hint="eastAsia" w:ascii="宋体" w:hAnsi="宋体" w:eastAsia="宋体" w:cs="宋体"/>
          <w:spacing w:val="4"/>
          <w:sz w:val="24"/>
          <w:szCs w:val="24"/>
          <w:highlight w:val="none"/>
          <w:lang w:val="en-US" w:eastAsia="en-US"/>
        </w:rPr>
        <w:t>.</w:t>
      </w:r>
      <w:r>
        <w:rPr>
          <w:rFonts w:hint="eastAsia" w:ascii="宋体" w:hAnsi="宋体" w:eastAsia="宋体" w:cs="宋体"/>
          <w:spacing w:val="4"/>
          <w:sz w:val="24"/>
          <w:szCs w:val="24"/>
          <w:highlight w:val="none"/>
        </w:rPr>
        <w:t>3监狱企业、残疾人福利性单位视同小微企业，享受预留份额、评审中价格扣除等 促进中小企业发展的政府采购政策。监狱企业、残疾人福利性单位属于小微企业的，不重 复享受政策。</w:t>
      </w:r>
    </w:p>
    <w:p>
      <w:pPr>
        <w:spacing w:line="360" w:lineRule="auto"/>
        <w:ind w:firstLine="369" w:firstLineChars="14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3.4</w:t>
      </w:r>
      <w:r>
        <w:rPr>
          <w:rFonts w:hint="eastAsia" w:ascii="宋体" w:hAnsi="宋体" w:eastAsia="宋体" w:cs="宋体"/>
          <w:spacing w:val="4"/>
          <w:sz w:val="24"/>
          <w:szCs w:val="24"/>
          <w:highlight w:val="none"/>
          <w:lang w:val="en-US" w:eastAsia="en-US"/>
        </w:rPr>
        <w:t>.</w:t>
      </w:r>
      <w:r>
        <w:rPr>
          <w:rFonts w:hint="eastAsia" w:ascii="宋体" w:hAnsi="宋体" w:eastAsia="宋体" w:cs="宋体"/>
          <w:spacing w:val="4"/>
          <w:sz w:val="24"/>
          <w:szCs w:val="24"/>
          <w:highlight w:val="none"/>
        </w:rPr>
        <w:t>4</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享受支持中小型企业发展政策优惠的，可以同时享受节能、环境标志产品 优先采购政策。</w:t>
      </w:r>
    </w:p>
    <w:p>
      <w:pPr>
        <w:spacing w:line="360" w:lineRule="auto"/>
        <w:ind w:firstLine="369" w:firstLineChars="14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3.4</w:t>
      </w:r>
      <w:r>
        <w:rPr>
          <w:rFonts w:hint="eastAsia" w:ascii="宋体" w:hAnsi="宋体" w:eastAsia="宋体" w:cs="宋体"/>
          <w:spacing w:val="4"/>
          <w:sz w:val="24"/>
          <w:szCs w:val="24"/>
          <w:highlight w:val="none"/>
          <w:lang w:val="en-US" w:eastAsia="en-US"/>
        </w:rPr>
        <w:t>.5</w:t>
      </w:r>
      <w:r>
        <w:rPr>
          <w:rFonts w:hint="eastAsia" w:ascii="宋体" w:hAnsi="宋体" w:eastAsia="宋体" w:cs="宋体"/>
          <w:spacing w:val="4"/>
          <w:sz w:val="24"/>
          <w:szCs w:val="24"/>
          <w:highlight w:val="none"/>
        </w:rPr>
        <w:t>《西安市财政局关于进一步加大政府采购支持中小企业力度的通知》(市财函 〔2022〕867号).本通知自2022年7月1日起执行。有关规定如下：</w:t>
      </w:r>
    </w:p>
    <w:p>
      <w:pPr>
        <w:spacing w:line="360" w:lineRule="auto"/>
        <w:ind w:firstLine="369" w:firstLineChars="149"/>
        <w:rPr>
          <w:rFonts w:hint="eastAsia" w:ascii="宋体" w:hAnsi="宋体" w:eastAsia="宋体" w:cs="宋体"/>
          <w:spacing w:val="4"/>
          <w:sz w:val="24"/>
          <w:szCs w:val="24"/>
          <w:highlight w:val="none"/>
        </w:rPr>
      </w:pPr>
      <w:bookmarkStart w:id="62" w:name="bookmark305"/>
      <w:bookmarkEnd w:id="62"/>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1</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rPr>
        <w:t>采购限额标准以上，200万元以下的货物和服务采购项目、400万元以下的工 程采购项目，适宜由中小企业提供的，采购人应当专门面向中小企业采购。超过200万元 的货物和服务采购项目、超过400万元的工程采购项目中适宜由中小企业提供的，面向中 小企业的预留份额今年阶段性提高至40%以上，其中预留给小微企业比例不低于70%。</w:t>
      </w:r>
    </w:p>
    <w:p>
      <w:pPr>
        <w:spacing w:line="360" w:lineRule="auto"/>
        <w:ind w:firstLine="369" w:firstLineChars="149"/>
        <w:rPr>
          <w:rFonts w:hint="eastAsia" w:ascii="宋体" w:hAnsi="宋体" w:eastAsia="宋体" w:cs="宋体"/>
          <w:spacing w:val="4"/>
          <w:sz w:val="24"/>
          <w:szCs w:val="24"/>
          <w:highlight w:val="none"/>
        </w:rPr>
      </w:pPr>
      <w:bookmarkStart w:id="63" w:name="bookmark306"/>
      <w:bookmarkEnd w:id="63"/>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2</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rPr>
        <w:t>未预留份额专门面向中小企业的货物服务采购项目，给予小微企业的价格扣 除优惠提高至10%,用扣除后的价格参加评审；大中型企业与小微企业组成联合体或者大 中型企业向小微企业分包的，对于货物服务采购项目联合协议或者分包意向协议约定小微 企业的合同份额占到合同总金额30%以上的，价格扣除优惠提高至4驚，用扣除后的价格 参加评审。政府采购工程的价格评审优惠按照财库〔2020〕46号文件的规定执行。自本通 知执行之日起发布采购公告或者发出采购邀请的货物服务采购项目，按照本通知规定的评 审优惠幅度执行</w:t>
      </w:r>
    </w:p>
    <w:p>
      <w:pPr>
        <w:spacing w:line="360" w:lineRule="auto"/>
        <w:ind w:firstLine="369" w:firstLineChars="14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3.4</w:t>
      </w:r>
      <w:r>
        <w:rPr>
          <w:rFonts w:hint="eastAsia" w:ascii="宋体" w:hAnsi="宋体" w:eastAsia="宋体" w:cs="宋体"/>
          <w:spacing w:val="4"/>
          <w:sz w:val="24"/>
          <w:szCs w:val="24"/>
          <w:highlight w:val="none"/>
          <w:lang w:val="en-US" w:eastAsia="en-US"/>
        </w:rPr>
        <w:t>.</w:t>
      </w:r>
      <w:r>
        <w:rPr>
          <w:rFonts w:hint="eastAsia" w:ascii="宋体" w:hAnsi="宋体" w:eastAsia="宋体" w:cs="宋体"/>
          <w:spacing w:val="4"/>
          <w:sz w:val="24"/>
          <w:szCs w:val="24"/>
          <w:highlight w:val="none"/>
          <w:lang w:val="en-US" w:eastAsia="zh-CN"/>
        </w:rPr>
        <w:t>6</w:t>
      </w:r>
      <w:r>
        <w:rPr>
          <w:rFonts w:hint="eastAsia" w:ascii="宋体" w:hAnsi="宋体" w:eastAsia="宋体" w:cs="宋体"/>
          <w:spacing w:val="4"/>
          <w:sz w:val="24"/>
          <w:szCs w:val="24"/>
          <w:highlight w:val="none"/>
        </w:rPr>
        <w:t>投标时须</w:t>
      </w:r>
      <w:r>
        <w:rPr>
          <w:rFonts w:hint="eastAsia" w:ascii="宋体" w:hAnsi="宋体" w:eastAsia="宋体" w:cs="宋体"/>
          <w:sz w:val="24"/>
          <w:szCs w:val="24"/>
          <w:highlight w:val="none"/>
        </w:rPr>
        <w:t>提供“中小企业声明函”和相关证明文件。</w:t>
      </w:r>
    </w:p>
    <w:p>
      <w:pPr>
        <w:spacing w:line="360" w:lineRule="auto"/>
        <w:ind w:firstLine="369" w:firstLineChars="14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3.4</w:t>
      </w:r>
      <w:r>
        <w:rPr>
          <w:rFonts w:hint="eastAsia" w:ascii="宋体" w:hAnsi="宋体" w:eastAsia="宋体" w:cs="宋体"/>
          <w:spacing w:val="4"/>
          <w:sz w:val="24"/>
          <w:szCs w:val="24"/>
          <w:highlight w:val="none"/>
          <w:lang w:val="en-US" w:eastAsia="en-US"/>
        </w:rPr>
        <w:t>.</w:t>
      </w:r>
      <w:r>
        <w:rPr>
          <w:rFonts w:hint="eastAsia" w:ascii="宋体" w:hAnsi="宋体" w:eastAsia="宋体" w:cs="宋体"/>
          <w:spacing w:val="4"/>
          <w:sz w:val="24"/>
          <w:szCs w:val="24"/>
          <w:highlight w:val="none"/>
          <w:lang w:val="en-US" w:eastAsia="zh-CN"/>
        </w:rPr>
        <w:t>7</w:t>
      </w:r>
      <w:r>
        <w:rPr>
          <w:rFonts w:hint="eastAsia" w:ascii="宋体" w:hAnsi="宋体" w:eastAsia="宋体" w:cs="宋体"/>
          <w:spacing w:val="4"/>
          <w:sz w:val="24"/>
          <w:szCs w:val="24"/>
          <w:highlight w:val="none"/>
        </w:rPr>
        <w:t>确认为监狱企业投标的，应当同时符合以下条件：</w:t>
      </w:r>
    </w:p>
    <w:p>
      <w:pPr>
        <w:spacing w:line="360" w:lineRule="auto"/>
        <w:ind w:firstLine="369" w:firstLineChars="14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3.4</w:t>
      </w:r>
      <w:r>
        <w:rPr>
          <w:rFonts w:hint="eastAsia" w:ascii="宋体" w:hAnsi="宋体" w:eastAsia="宋体" w:cs="宋体"/>
          <w:spacing w:val="4"/>
          <w:sz w:val="24"/>
          <w:szCs w:val="24"/>
          <w:highlight w:val="none"/>
          <w:lang w:val="en-US" w:eastAsia="en-US"/>
        </w:rPr>
        <w:t>.</w:t>
      </w:r>
      <w:r>
        <w:rPr>
          <w:rFonts w:hint="eastAsia" w:ascii="宋体" w:hAnsi="宋体" w:eastAsia="宋体" w:cs="宋体"/>
          <w:spacing w:val="4"/>
          <w:sz w:val="24"/>
          <w:szCs w:val="24"/>
          <w:highlight w:val="none"/>
          <w:lang w:val="en-US" w:eastAsia="zh-CN"/>
        </w:rPr>
        <w:t>8</w:t>
      </w:r>
      <w:r>
        <w:rPr>
          <w:rFonts w:hint="eastAsia" w:ascii="宋体" w:hAnsi="宋体" w:eastAsia="宋体" w:cs="宋体"/>
          <w:spacing w:val="4"/>
          <w:sz w:val="24"/>
          <w:szCs w:val="24"/>
          <w:highlight w:val="none"/>
        </w:rPr>
        <w:t>符合</w:t>
      </w:r>
      <w:r>
        <w:rPr>
          <w:rFonts w:hint="eastAsia" w:ascii="宋体" w:hAnsi="宋体" w:eastAsia="宋体" w:cs="宋体"/>
          <w:sz w:val="24"/>
          <w:szCs w:val="24"/>
          <w:highlight w:val="none"/>
        </w:rPr>
        <w:t>（财库[2014]68号）文件规定的</w:t>
      </w:r>
      <w:r>
        <w:rPr>
          <w:rFonts w:hint="eastAsia" w:ascii="宋体" w:hAnsi="宋体" w:eastAsia="宋体" w:cs="宋体"/>
          <w:spacing w:val="4"/>
          <w:sz w:val="24"/>
          <w:szCs w:val="24"/>
          <w:highlight w:val="none"/>
        </w:rPr>
        <w:t>监狱企业，提供本企业的服务。</w:t>
      </w:r>
    </w:p>
    <w:p>
      <w:pPr>
        <w:spacing w:line="360" w:lineRule="auto"/>
        <w:ind w:firstLine="369" w:firstLineChars="14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3.4.9</w:t>
      </w:r>
      <w:r>
        <w:rPr>
          <w:rFonts w:hint="eastAsia" w:ascii="宋体" w:hAnsi="宋体" w:eastAsia="宋体" w:cs="宋体"/>
          <w:spacing w:val="4"/>
          <w:sz w:val="24"/>
          <w:szCs w:val="24"/>
          <w:highlight w:val="none"/>
        </w:rPr>
        <w:t>投标时须提供由省级以上监狱管理局、戒毒管理局（含新疆生产建设兵团）出具的属于监狱企业的证明文件。</w:t>
      </w:r>
    </w:p>
    <w:p>
      <w:pPr>
        <w:spacing w:line="360" w:lineRule="auto"/>
        <w:ind w:firstLine="369" w:firstLineChars="14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3.4</w:t>
      </w:r>
      <w:r>
        <w:rPr>
          <w:rFonts w:hint="eastAsia" w:ascii="宋体" w:hAnsi="宋体" w:eastAsia="宋体" w:cs="宋体"/>
          <w:spacing w:val="4"/>
          <w:sz w:val="24"/>
          <w:szCs w:val="24"/>
          <w:highlight w:val="none"/>
          <w:lang w:val="en-US" w:eastAsia="en-US"/>
        </w:rPr>
        <w:t>.</w:t>
      </w:r>
      <w:r>
        <w:rPr>
          <w:rFonts w:hint="eastAsia" w:ascii="宋体" w:hAnsi="宋体" w:eastAsia="宋体" w:cs="宋体"/>
          <w:spacing w:val="4"/>
          <w:sz w:val="24"/>
          <w:szCs w:val="24"/>
          <w:highlight w:val="none"/>
          <w:lang w:val="en-US" w:eastAsia="zh-CN"/>
        </w:rPr>
        <w:t>10</w:t>
      </w:r>
      <w:r>
        <w:rPr>
          <w:rFonts w:hint="eastAsia" w:ascii="宋体" w:hAnsi="宋体" w:eastAsia="宋体" w:cs="宋体"/>
          <w:spacing w:val="4"/>
          <w:sz w:val="24"/>
          <w:szCs w:val="24"/>
          <w:highlight w:val="none"/>
        </w:rPr>
        <w:t>确认为残疾人福利性单位投标的，应当同时符合以下条件：</w:t>
      </w:r>
    </w:p>
    <w:p>
      <w:pPr>
        <w:spacing w:line="360" w:lineRule="auto"/>
        <w:ind w:firstLine="369" w:firstLineChars="14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3.4</w:t>
      </w:r>
      <w:r>
        <w:rPr>
          <w:rFonts w:hint="eastAsia" w:ascii="宋体" w:hAnsi="宋体" w:eastAsia="宋体" w:cs="宋体"/>
          <w:spacing w:val="4"/>
          <w:sz w:val="24"/>
          <w:szCs w:val="24"/>
          <w:highlight w:val="none"/>
          <w:lang w:val="en-US" w:eastAsia="en-US"/>
        </w:rPr>
        <w:t>.</w:t>
      </w:r>
      <w:r>
        <w:rPr>
          <w:rFonts w:hint="eastAsia" w:ascii="宋体" w:hAnsi="宋体" w:eastAsia="宋体" w:cs="宋体"/>
          <w:spacing w:val="4"/>
          <w:sz w:val="24"/>
          <w:szCs w:val="24"/>
          <w:highlight w:val="none"/>
          <w:lang w:val="en-US" w:eastAsia="zh-CN"/>
        </w:rPr>
        <w:t>11</w:t>
      </w:r>
      <w:r>
        <w:rPr>
          <w:rFonts w:hint="eastAsia" w:ascii="宋体" w:hAnsi="宋体" w:eastAsia="宋体" w:cs="宋体"/>
          <w:spacing w:val="4"/>
          <w:sz w:val="24"/>
          <w:szCs w:val="24"/>
          <w:highlight w:val="none"/>
        </w:rPr>
        <w:t>符合（财库[2017]141号）文件规定的残疾人福利性单位，提供本单位的服务（以下简称产品），或者提供其他残疾人福利性单位承担的服务（不包括使用非残疾人福利性单位注册商标的服务）.</w:t>
      </w:r>
    </w:p>
    <w:p>
      <w:pPr>
        <w:spacing w:line="360" w:lineRule="auto"/>
        <w:ind w:firstLine="369" w:firstLineChars="14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3.4</w:t>
      </w:r>
      <w:r>
        <w:rPr>
          <w:rFonts w:hint="eastAsia" w:ascii="宋体" w:hAnsi="宋体" w:eastAsia="宋体" w:cs="宋体"/>
          <w:spacing w:val="4"/>
          <w:sz w:val="24"/>
          <w:szCs w:val="24"/>
          <w:highlight w:val="none"/>
          <w:lang w:val="en-US" w:eastAsia="en-US"/>
        </w:rPr>
        <w:t>.</w:t>
      </w:r>
      <w:r>
        <w:rPr>
          <w:rFonts w:hint="eastAsia" w:ascii="宋体" w:hAnsi="宋体" w:eastAsia="宋体" w:cs="宋体"/>
          <w:spacing w:val="4"/>
          <w:sz w:val="24"/>
          <w:szCs w:val="24"/>
          <w:highlight w:val="none"/>
          <w:lang w:val="en-US" w:eastAsia="zh-CN"/>
        </w:rPr>
        <w:t>12</w:t>
      </w:r>
      <w:r>
        <w:rPr>
          <w:rFonts w:hint="eastAsia" w:ascii="宋体" w:hAnsi="宋体" w:eastAsia="宋体" w:cs="宋体"/>
          <w:spacing w:val="4"/>
          <w:sz w:val="24"/>
          <w:szCs w:val="24"/>
          <w:highlight w:val="none"/>
        </w:rPr>
        <w:t>投标时须提供《残疾人福利性单位声明函》，并对声明的真实性负责。</w:t>
      </w:r>
    </w:p>
    <w:p>
      <w:pPr>
        <w:spacing w:line="360" w:lineRule="auto"/>
        <w:ind w:firstLine="369" w:firstLineChars="14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3.4</w:t>
      </w:r>
      <w:r>
        <w:rPr>
          <w:rFonts w:hint="eastAsia" w:ascii="宋体" w:hAnsi="宋体" w:eastAsia="宋体" w:cs="宋体"/>
          <w:spacing w:val="4"/>
          <w:sz w:val="24"/>
          <w:szCs w:val="24"/>
          <w:highlight w:val="none"/>
          <w:lang w:val="en-US" w:eastAsia="en-US"/>
        </w:rPr>
        <w:t>.</w:t>
      </w:r>
      <w:r>
        <w:rPr>
          <w:rFonts w:hint="eastAsia" w:ascii="宋体" w:hAnsi="宋体" w:eastAsia="宋体" w:cs="宋体"/>
          <w:spacing w:val="4"/>
          <w:sz w:val="24"/>
          <w:szCs w:val="24"/>
          <w:highlight w:val="none"/>
          <w:lang w:val="en-US" w:eastAsia="zh-CN"/>
        </w:rPr>
        <w:t>13</w:t>
      </w:r>
      <w:r>
        <w:rPr>
          <w:rFonts w:hint="eastAsia" w:ascii="宋体" w:hAnsi="宋体" w:eastAsia="宋体" w:cs="宋体"/>
          <w:sz w:val="24"/>
          <w:szCs w:val="24"/>
          <w:highlight w:val="none"/>
        </w:rPr>
        <w:t>投标人</w:t>
      </w:r>
      <w:r>
        <w:rPr>
          <w:rFonts w:hint="eastAsia" w:ascii="宋体" w:hAnsi="宋体" w:eastAsia="宋体" w:cs="宋体"/>
          <w:spacing w:val="4"/>
          <w:sz w:val="24"/>
          <w:szCs w:val="24"/>
          <w:highlight w:val="none"/>
        </w:rPr>
        <w:t>提供的《残疾人福利性单位声明函》与事实不符的，依照《政府采购法》第七十七条第一款的规定追究法律责任。</w:t>
      </w:r>
    </w:p>
    <w:p>
      <w:pPr>
        <w:spacing w:line="360" w:lineRule="auto"/>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lang w:val="en-US" w:eastAsia="zh-CN"/>
        </w:rPr>
        <w:t>3.5</w:t>
      </w:r>
      <w:r>
        <w:rPr>
          <w:rFonts w:hint="eastAsia" w:ascii="宋体" w:hAnsi="宋体" w:eastAsia="宋体" w:cs="宋体"/>
          <w:b/>
          <w:bCs/>
          <w:spacing w:val="4"/>
          <w:sz w:val="24"/>
          <w:szCs w:val="24"/>
          <w:highlight w:val="none"/>
        </w:rPr>
        <w:t>比较与评价：</w:t>
      </w:r>
    </w:p>
    <w:p>
      <w:pPr>
        <w:spacing w:line="360" w:lineRule="auto"/>
        <w:ind w:firstLine="357" w:firstLineChars="149"/>
        <w:rPr>
          <w:rFonts w:hint="eastAsia" w:ascii="宋体" w:hAnsi="宋体" w:eastAsia="宋体" w:cs="宋体"/>
          <w:sz w:val="24"/>
          <w:szCs w:val="24"/>
          <w:highlight w:val="none"/>
        </w:rPr>
      </w:pPr>
      <w:r>
        <w:rPr>
          <w:rFonts w:hint="eastAsia" w:ascii="宋体" w:hAnsi="宋体" w:eastAsia="宋体" w:cs="宋体"/>
          <w:sz w:val="24"/>
          <w:szCs w:val="24"/>
          <w:highlight w:val="none"/>
        </w:rPr>
        <w:t>评委会各成员按照《评分标准》规定的内容，独立进行综合比较、</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 xml:space="preserve">打分。 </w:t>
      </w:r>
    </w:p>
    <w:p>
      <w:pPr>
        <w:spacing w:line="360" w:lineRule="auto"/>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lang w:val="en-US" w:eastAsia="zh-CN"/>
        </w:rPr>
        <w:t>3.6</w:t>
      </w:r>
      <w:r>
        <w:rPr>
          <w:rFonts w:hint="eastAsia" w:ascii="宋体" w:hAnsi="宋体" w:eastAsia="宋体" w:cs="宋体"/>
          <w:b/>
          <w:bCs/>
          <w:spacing w:val="4"/>
          <w:sz w:val="24"/>
          <w:szCs w:val="24"/>
          <w:highlight w:val="none"/>
        </w:rPr>
        <w:t>推荐中标候选人名单：</w:t>
      </w:r>
    </w:p>
    <w:p>
      <w:pPr>
        <w:spacing w:line="360" w:lineRule="auto"/>
        <w:ind w:firstLine="369" w:firstLineChars="14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3.6.1</w:t>
      </w:r>
      <w:r>
        <w:rPr>
          <w:rFonts w:hint="eastAsia" w:ascii="宋体" w:hAnsi="宋体" w:eastAsia="宋体" w:cs="宋体"/>
          <w:spacing w:val="4"/>
          <w:sz w:val="24"/>
          <w:szCs w:val="24"/>
          <w:highlight w:val="none"/>
        </w:rPr>
        <w:t>汇总全体评委对每个投标人的赋分，计算出每个投标人的综合得分，按得分从高到低顺序排列，推荐前3名为中标候选人。</w:t>
      </w:r>
    </w:p>
    <w:p>
      <w:pPr>
        <w:spacing w:line="360" w:lineRule="auto"/>
        <w:ind w:firstLine="369" w:firstLineChars="14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3.6.2</w:t>
      </w:r>
      <w:r>
        <w:rPr>
          <w:rFonts w:hint="eastAsia" w:ascii="宋体" w:hAnsi="宋体" w:eastAsia="宋体" w:cs="宋体"/>
          <w:spacing w:val="4"/>
          <w:sz w:val="24"/>
          <w:szCs w:val="24"/>
          <w:highlight w:val="none"/>
        </w:rPr>
        <w:t>按照综合得分由高到低的顺序，评标委员会对投标人进行排名。如最终得分相同时，则取投标报价较低的优先；投标报价也相同时，则按照评审因素顺序，取得分高的优先。</w:t>
      </w:r>
    </w:p>
    <w:p>
      <w:pPr>
        <w:rPr>
          <w:rFonts w:ascii="宋体" w:hAnsi="宋体" w:eastAsia="宋体" w:cs="宋体"/>
          <w:spacing w:val="12"/>
          <w:sz w:val="35"/>
          <w:szCs w:val="35"/>
          <w:highlight w:val="none"/>
          <w14:textOutline w14:w="6537" w14:cap="sq" w14:cmpd="sng">
            <w14:solidFill>
              <w14:srgbClr w14:val="000000"/>
            </w14:solidFill>
            <w14:prstDash w14:val="solid"/>
            <w14:bevel/>
          </w14:textOutline>
        </w:rPr>
      </w:pPr>
      <w:r>
        <w:rPr>
          <w:rFonts w:cs="Times New Roman"/>
          <w:sz w:val="21"/>
          <w:szCs w:val="21"/>
          <w:highlight w:val="none"/>
        </w:rPr>
        <w:br w:type="page"/>
      </w:r>
      <w:bookmarkEnd w:id="57"/>
    </w:p>
    <w:p>
      <w:pPr>
        <w:numPr>
          <w:ilvl w:val="-1"/>
          <w:numId w:val="0"/>
        </w:numPr>
        <w:spacing w:before="114" w:line="224" w:lineRule="auto"/>
        <w:ind w:left="0"/>
        <w:jc w:val="center"/>
        <w:outlineLvl w:val="0"/>
        <w:rPr>
          <w:rFonts w:ascii="宋体" w:hAnsi="宋体" w:eastAsia="宋体" w:cs="宋体"/>
          <w:spacing w:val="9"/>
          <w:sz w:val="35"/>
          <w:szCs w:val="35"/>
          <w:highlight w:val="none"/>
          <w14:textOutline w14:w="6537" w14:cap="sq" w14:cmpd="sng">
            <w14:solidFill>
              <w14:srgbClr w14:val="000000"/>
            </w14:solidFill>
            <w14:prstDash w14:val="solid"/>
            <w14:bevel/>
          </w14:textOutline>
        </w:rPr>
      </w:pPr>
      <w:bookmarkStart w:id="64" w:name="_Toc10024"/>
      <w:r>
        <w:rPr>
          <w:rFonts w:hint="eastAsia" w:ascii="宋体" w:hAnsi="宋体" w:eastAsia="宋体" w:cs="宋体"/>
          <w:spacing w:val="9"/>
          <w:sz w:val="35"/>
          <w:szCs w:val="35"/>
          <w:highlight w:val="none"/>
          <w:lang w:val="en-US" w:eastAsia="zh-CN"/>
          <w14:textOutline w14:w="6537" w14:cap="sq" w14:cmpd="sng">
            <w14:solidFill>
              <w14:srgbClr w14:val="000000"/>
            </w14:solidFill>
            <w14:prstDash w14:val="solid"/>
            <w14:bevel/>
          </w14:textOutline>
        </w:rPr>
        <w:t xml:space="preserve">第四章 </w:t>
      </w:r>
      <w:r>
        <w:rPr>
          <w:rFonts w:hint="default" w:ascii="宋体" w:hAnsi="宋体" w:eastAsia="宋体" w:cs="宋体"/>
          <w:spacing w:val="9"/>
          <w:sz w:val="35"/>
          <w:szCs w:val="35"/>
          <w:highlight w:val="none"/>
          <w:lang w:val="en-US" w:eastAsia="zh-CN"/>
          <w14:textOutline w14:w="6537" w14:cap="sq" w14:cmpd="sng">
            <w14:solidFill>
              <w14:srgbClr w14:val="000000"/>
            </w14:solidFill>
            <w14:prstDash w14:val="solid"/>
            <w14:bevel/>
          </w14:textOutline>
        </w:rPr>
        <w:t>采购</w:t>
      </w:r>
      <w:r>
        <w:rPr>
          <w:rFonts w:ascii="宋体" w:hAnsi="宋体" w:eastAsia="宋体" w:cs="宋体"/>
          <w:spacing w:val="9"/>
          <w:sz w:val="35"/>
          <w:szCs w:val="35"/>
          <w:highlight w:val="none"/>
          <w14:textOutline w14:w="6537" w14:cap="sq" w14:cmpd="sng">
            <w14:solidFill>
              <w14:srgbClr w14:val="000000"/>
            </w14:solidFill>
            <w14:prstDash w14:val="solid"/>
            <w14:bevel/>
          </w14:textOutline>
        </w:rPr>
        <w:t>内容及要求</w:t>
      </w:r>
      <w:bookmarkEnd w:id="64"/>
    </w:p>
    <w:p>
      <w:pPr>
        <w:spacing w:line="360" w:lineRule="auto"/>
        <w:rPr>
          <w:rFonts w:hint="eastAsia" w:ascii="宋体" w:hAnsi="宋体" w:eastAsia="宋体" w:cs="宋体"/>
          <w:b/>
          <w:bCs/>
          <w:spacing w:val="4"/>
          <w:sz w:val="24"/>
          <w:szCs w:val="24"/>
          <w:highlight w:val="none"/>
          <w:lang w:val="en-US" w:eastAsia="zh-CN"/>
        </w:rPr>
      </w:pPr>
      <w:bookmarkStart w:id="65" w:name="_Toc8914"/>
      <w:bookmarkStart w:id="66" w:name="_Toc20587"/>
      <w:bookmarkStart w:id="67" w:name="_Toc30015"/>
      <w:bookmarkStart w:id="68" w:name="_Toc515216808"/>
      <w:r>
        <w:rPr>
          <w:rFonts w:hint="eastAsia" w:ascii="宋体" w:hAnsi="宋体" w:eastAsia="宋体" w:cs="宋体"/>
          <w:b/>
          <w:bCs/>
          <w:spacing w:val="4"/>
          <w:sz w:val="24"/>
          <w:szCs w:val="24"/>
          <w:highlight w:val="none"/>
          <w:lang w:val="en-US" w:eastAsia="zh-CN"/>
        </w:rPr>
        <w:t>一、项目概况</w:t>
      </w:r>
    </w:p>
    <w:p>
      <w:pPr>
        <w:spacing w:line="360" w:lineRule="auto"/>
        <w:ind w:firstLine="369" w:firstLineChars="149"/>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园林绿化建设是雁塔区九项重点工作之一，也是提升辖区景观形象，改善生态环境的重要举措。2023年春季，计划对辖区东仪路南段、电子南街、公园南路及丈八东路、长安路两侧等部分道路绿化和绿地进行提升改造，对青龙路、樱花二路等周边的道路和绿地进行建设（新建）。</w:t>
      </w:r>
    </w:p>
    <w:p>
      <w:pPr>
        <w:spacing w:line="360" w:lineRule="auto"/>
        <w:ind w:firstLine="369" w:firstLineChars="149"/>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此项目为施工项目的现场监理工作。</w:t>
      </w:r>
    </w:p>
    <w:p>
      <w:pPr>
        <w:spacing w:line="360" w:lineRule="auto"/>
        <w:ind w:firstLine="369" w:firstLineChars="149"/>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第二标段：负责施工五、六标段的现场监理工作。包括樱花二路周边绿化建设项目，朱雀大街道路绿化提升项目，长安南路西侧绿地提升项目等。</w:t>
      </w:r>
    </w:p>
    <w:p>
      <w:pPr>
        <w:spacing w:line="360" w:lineRule="auto"/>
        <w:ind w:firstLine="369" w:firstLineChars="149"/>
        <w:rPr>
          <w:rFonts w:hint="default"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最高限价：273863元</w:t>
      </w:r>
    </w:p>
    <w:p>
      <w:pPr>
        <w:spacing w:line="360" w:lineRule="auto"/>
        <w:rPr>
          <w:rFonts w:hint="eastAsia" w:ascii="宋体" w:hAnsi="宋体" w:eastAsia="宋体" w:cs="宋体"/>
          <w:b/>
          <w:bCs/>
          <w:spacing w:val="4"/>
          <w:sz w:val="24"/>
          <w:szCs w:val="24"/>
          <w:highlight w:val="none"/>
          <w:lang w:val="en-US" w:eastAsia="zh-CN"/>
        </w:rPr>
      </w:pPr>
      <w:r>
        <w:rPr>
          <w:rFonts w:hint="eastAsia" w:ascii="宋体" w:hAnsi="宋体" w:eastAsia="宋体" w:cs="宋体"/>
          <w:b/>
          <w:bCs/>
          <w:spacing w:val="4"/>
          <w:sz w:val="24"/>
          <w:szCs w:val="24"/>
          <w:highlight w:val="none"/>
          <w:lang w:val="en-US" w:eastAsia="zh-CN"/>
        </w:rPr>
        <w:t>二、服务内容</w:t>
      </w:r>
    </w:p>
    <w:p>
      <w:pPr>
        <w:spacing w:line="360" w:lineRule="auto"/>
        <w:ind w:firstLine="369" w:firstLineChars="149"/>
        <w:rPr>
          <w:rFonts w:hint="default"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雁塔</w:t>
      </w:r>
      <w:r>
        <w:rPr>
          <w:rFonts w:hint="eastAsia" w:ascii="宋体" w:hAnsi="宋体" w:eastAsia="宋体" w:cs="宋体"/>
          <w:spacing w:val="4"/>
          <w:sz w:val="24"/>
          <w:szCs w:val="24"/>
          <w:highlight w:val="none"/>
          <w:lang w:val="zh-CN" w:eastAsia="zh-CN"/>
        </w:rPr>
        <w:t>区202</w:t>
      </w:r>
      <w:r>
        <w:rPr>
          <w:rFonts w:hint="eastAsia" w:ascii="宋体" w:hAnsi="宋体" w:eastAsia="宋体" w:cs="宋体"/>
          <w:spacing w:val="4"/>
          <w:sz w:val="24"/>
          <w:szCs w:val="24"/>
          <w:highlight w:val="none"/>
          <w:lang w:val="en-US" w:eastAsia="zh-CN"/>
        </w:rPr>
        <w:t>3</w:t>
      </w:r>
      <w:r>
        <w:rPr>
          <w:rFonts w:hint="eastAsia" w:ascii="宋体" w:hAnsi="宋体" w:eastAsia="宋体" w:cs="宋体"/>
          <w:spacing w:val="4"/>
          <w:sz w:val="24"/>
          <w:szCs w:val="24"/>
          <w:highlight w:val="none"/>
          <w:lang w:val="zh-CN" w:eastAsia="zh-CN"/>
        </w:rPr>
        <w:t>年</w:t>
      </w:r>
      <w:r>
        <w:rPr>
          <w:rFonts w:hint="eastAsia" w:ascii="宋体" w:hAnsi="宋体" w:eastAsia="宋体" w:cs="宋体"/>
          <w:spacing w:val="4"/>
          <w:sz w:val="24"/>
          <w:szCs w:val="24"/>
          <w:highlight w:val="none"/>
          <w:lang w:val="en-US" w:eastAsia="zh-CN"/>
        </w:rPr>
        <w:t>春季绿化工程项目的全部监理工作</w:t>
      </w:r>
    </w:p>
    <w:p>
      <w:pPr>
        <w:spacing w:line="360" w:lineRule="auto"/>
        <w:rPr>
          <w:rFonts w:hint="eastAsia" w:ascii="宋体" w:hAnsi="宋体" w:eastAsia="宋体" w:cs="宋体"/>
          <w:b/>
          <w:bCs/>
          <w:spacing w:val="4"/>
          <w:sz w:val="24"/>
          <w:szCs w:val="24"/>
          <w:highlight w:val="none"/>
          <w:lang w:val="en-US" w:eastAsia="zh-CN"/>
        </w:rPr>
      </w:pPr>
      <w:r>
        <w:rPr>
          <w:rFonts w:hint="eastAsia" w:ascii="宋体" w:hAnsi="宋体" w:eastAsia="宋体" w:cs="宋体"/>
          <w:b/>
          <w:bCs/>
          <w:spacing w:val="4"/>
          <w:sz w:val="24"/>
          <w:szCs w:val="24"/>
          <w:highlight w:val="none"/>
          <w:lang w:val="en-US" w:eastAsia="zh-CN"/>
        </w:rPr>
        <w:t>三、服务要求</w:t>
      </w:r>
    </w:p>
    <w:p>
      <w:pPr>
        <w:spacing w:line="360" w:lineRule="auto"/>
        <w:ind w:firstLine="369" w:firstLineChars="149"/>
        <w:rPr>
          <w:rFonts w:hint="default"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 xml:space="preserve"> 服务标准：符合《建设工程监理规范》（GB 50319-2013）</w:t>
      </w:r>
    </w:p>
    <w:p>
      <w:pPr>
        <w:spacing w:line="360" w:lineRule="auto"/>
        <w:rPr>
          <w:rFonts w:hint="eastAsia" w:ascii="宋体" w:hAnsi="宋体" w:eastAsia="宋体" w:cs="宋体"/>
          <w:b/>
          <w:bCs/>
          <w:spacing w:val="4"/>
          <w:sz w:val="24"/>
          <w:szCs w:val="24"/>
          <w:highlight w:val="none"/>
          <w:lang w:val="en-US" w:eastAsia="zh-CN"/>
        </w:rPr>
      </w:pPr>
      <w:r>
        <w:rPr>
          <w:rFonts w:hint="eastAsia" w:ascii="宋体" w:hAnsi="宋体" w:eastAsia="宋体" w:cs="宋体"/>
          <w:b/>
          <w:bCs/>
          <w:spacing w:val="4"/>
          <w:sz w:val="24"/>
          <w:szCs w:val="24"/>
          <w:highlight w:val="none"/>
          <w:lang w:val="en-US" w:eastAsia="zh-CN"/>
        </w:rPr>
        <w:t>四、商务要求</w:t>
      </w:r>
    </w:p>
    <w:p>
      <w:pPr>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服务期限：120天</w:t>
      </w:r>
    </w:p>
    <w:p>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款项结算：监理费用与施工费用同步支付，</w:t>
      </w:r>
      <w:r>
        <w:rPr>
          <w:rFonts w:hint="eastAsia" w:ascii="宋体" w:hAnsi="宋体" w:eastAsia="宋体" w:cs="宋体"/>
          <w:sz w:val="24"/>
          <w:szCs w:val="24"/>
          <w:highlight w:val="none"/>
          <w:lang w:val="zh-CN" w:eastAsia="zh-CN"/>
        </w:rPr>
        <w:t>待工程初步验收合格，发包人支付至合同总价款的</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eastAsia="zh-CN"/>
        </w:rPr>
        <w:t>0%；</w:t>
      </w:r>
      <w:r>
        <w:rPr>
          <w:rFonts w:hint="eastAsia" w:ascii="宋体" w:hAnsi="宋体" w:eastAsia="宋体" w:cs="宋体"/>
          <w:sz w:val="24"/>
          <w:szCs w:val="24"/>
          <w:highlight w:val="none"/>
          <w:lang w:val="en-US" w:eastAsia="zh-CN"/>
        </w:rPr>
        <w:t>竣工结算资料完成后，支付至价款70%；剩余工程款依据财政资金拨付情况及时支付。</w:t>
      </w:r>
      <w:r>
        <w:rPr>
          <w:rFonts w:hint="eastAsia" w:ascii="宋体" w:hAnsi="宋体" w:eastAsia="宋体" w:cs="宋体"/>
          <w:sz w:val="24"/>
          <w:szCs w:val="24"/>
          <w:highlight w:val="none"/>
          <w:lang w:val="zh-CN" w:eastAsia="zh-CN"/>
        </w:rPr>
        <w:t>（每次付款前，承包人均需提交付款申请书和等额合格发票，并经发包人审核）。</w:t>
      </w:r>
      <w:bookmarkEnd w:id="65"/>
      <w:bookmarkEnd w:id="66"/>
      <w:bookmarkEnd w:id="67"/>
    </w:p>
    <w:p>
      <w:pPr>
        <w:spacing w:line="240" w:lineRule="auto"/>
        <w:ind w:firstLine="0" w:firstLineChars="0"/>
        <w:rPr>
          <w:b/>
          <w:sz w:val="24"/>
          <w:highlight w:val="none"/>
        </w:rPr>
      </w:pPr>
      <w:r>
        <w:rPr>
          <w:b/>
          <w:sz w:val="24"/>
          <w:highlight w:val="none"/>
        </w:rPr>
        <w:br w:type="page"/>
      </w:r>
    </w:p>
    <w:bookmarkEnd w:id="68"/>
    <w:p>
      <w:pPr>
        <w:spacing w:before="90" w:line="224" w:lineRule="auto"/>
        <w:ind w:left="3093"/>
        <w:outlineLvl w:val="0"/>
        <w:rPr>
          <w:rFonts w:ascii="宋体" w:hAnsi="宋体" w:eastAsia="宋体" w:cs="宋体"/>
          <w:sz w:val="35"/>
          <w:szCs w:val="35"/>
          <w:highlight w:val="none"/>
        </w:rPr>
      </w:pPr>
      <w:bookmarkStart w:id="69" w:name="_Toc3783"/>
      <w:r>
        <w:rPr>
          <w:rFonts w:ascii="宋体" w:hAnsi="宋体" w:eastAsia="宋体" w:cs="宋体"/>
          <w:spacing w:val="12"/>
          <w:sz w:val="35"/>
          <w:szCs w:val="35"/>
          <w:highlight w:val="none"/>
          <w14:textOutline w14:w="6537" w14:cap="sq" w14:cmpd="sng">
            <w14:solidFill>
              <w14:srgbClr w14:val="000000"/>
            </w14:solidFill>
            <w14:prstDash w14:val="solid"/>
            <w14:bevel/>
          </w14:textOutline>
        </w:rPr>
        <w:t>第</w:t>
      </w:r>
      <w:r>
        <w:rPr>
          <w:rFonts w:ascii="宋体" w:hAnsi="宋体" w:eastAsia="宋体" w:cs="宋体"/>
          <w:spacing w:val="9"/>
          <w:sz w:val="35"/>
          <w:szCs w:val="35"/>
          <w:highlight w:val="none"/>
          <w14:textOutline w14:w="6537" w14:cap="sq" w14:cmpd="sng">
            <w14:solidFill>
              <w14:srgbClr w14:val="000000"/>
            </w14:solidFill>
            <w14:prstDash w14:val="solid"/>
            <w14:bevel/>
          </w14:textOutline>
        </w:rPr>
        <w:t>五章</w:t>
      </w:r>
      <w:r>
        <w:rPr>
          <w:rFonts w:ascii="宋体" w:hAnsi="宋体" w:eastAsia="宋体" w:cs="宋体"/>
          <w:spacing w:val="9"/>
          <w:sz w:val="35"/>
          <w:szCs w:val="35"/>
          <w:highlight w:val="none"/>
        </w:rPr>
        <w:t xml:space="preserve"> </w:t>
      </w:r>
      <w:r>
        <w:rPr>
          <w:rFonts w:ascii="宋体" w:hAnsi="宋体" w:eastAsia="宋体" w:cs="宋体"/>
          <w:spacing w:val="9"/>
          <w:sz w:val="35"/>
          <w:szCs w:val="35"/>
          <w:highlight w:val="none"/>
          <w14:textOutline w14:w="6537" w14:cap="sq" w14:cmpd="sng">
            <w14:solidFill>
              <w14:srgbClr w14:val="000000"/>
            </w14:solidFill>
            <w14:prstDash w14:val="solid"/>
            <w14:bevel/>
          </w14:textOutline>
        </w:rPr>
        <w:t>合同条款及格式</w:t>
      </w:r>
      <w:bookmarkEnd w:id="69"/>
    </w:p>
    <w:p>
      <w:pPr>
        <w:spacing w:line="360" w:lineRule="auto"/>
        <w:rPr>
          <w:rFonts w:cs="仿宋" w:asciiTheme="minorEastAsia" w:hAnsiTheme="minorEastAsia" w:eastAsiaTheme="minorEastAsia"/>
          <w:b/>
          <w:bCs/>
          <w:color w:val="auto"/>
          <w:sz w:val="48"/>
          <w:szCs w:val="48"/>
          <w:highlight w:val="none"/>
        </w:rPr>
      </w:pPr>
      <w:bookmarkStart w:id="70" w:name="_Toc16478"/>
      <w:bookmarkStart w:id="71" w:name="_Toc24663"/>
      <w:bookmarkStart w:id="72" w:name="_Toc23618"/>
    </w:p>
    <w:p>
      <w:pPr>
        <w:pStyle w:val="13"/>
        <w:rPr>
          <w:color w:val="auto"/>
          <w:highlight w:val="none"/>
        </w:rPr>
      </w:pPr>
    </w:p>
    <w:p>
      <w:pPr>
        <w:spacing w:line="360" w:lineRule="auto"/>
        <w:jc w:val="both"/>
        <w:rPr>
          <w:rFonts w:hint="eastAsia" w:cs="仿宋" w:asciiTheme="minorEastAsia" w:hAnsiTheme="minorEastAsia" w:eastAsiaTheme="minorEastAsia"/>
          <w:b/>
          <w:bCs/>
          <w:color w:val="auto"/>
          <w:sz w:val="48"/>
          <w:szCs w:val="48"/>
          <w:highlight w:val="none"/>
          <w:lang w:eastAsia="zh-CN"/>
        </w:rPr>
      </w:pPr>
    </w:p>
    <w:p>
      <w:pPr>
        <w:jc w:val="center"/>
        <w:rPr>
          <w:rFonts w:hAnsi="宋体" w:cs="宋体"/>
          <w:b/>
          <w:bCs/>
          <w:sz w:val="52"/>
          <w:szCs w:val="52"/>
          <w:highlight w:val="none"/>
        </w:rPr>
      </w:pPr>
      <w:r>
        <w:rPr>
          <w:rFonts w:hint="eastAsia" w:hAnsi="宋体" w:cs="宋体"/>
          <w:b/>
          <w:bCs/>
          <w:sz w:val="52"/>
          <w:szCs w:val="52"/>
          <w:highlight w:val="none"/>
        </w:rPr>
        <w:t>建设工程监理合同</w:t>
      </w:r>
    </w:p>
    <w:p>
      <w:pPr>
        <w:jc w:val="center"/>
        <w:rPr>
          <w:rFonts w:hAnsi="宋体" w:cs="宋体"/>
          <w:b/>
          <w:bCs/>
          <w:sz w:val="32"/>
          <w:szCs w:val="32"/>
          <w:highlight w:val="none"/>
        </w:rPr>
      </w:pPr>
    </w:p>
    <w:p>
      <w:pPr>
        <w:jc w:val="center"/>
        <w:rPr>
          <w:rFonts w:hAnsi="宋体" w:cs="宋体"/>
          <w:b/>
          <w:bCs/>
          <w:sz w:val="32"/>
          <w:szCs w:val="32"/>
          <w:highlight w:val="none"/>
        </w:rPr>
      </w:pPr>
      <w:r>
        <w:rPr>
          <w:rFonts w:hint="eastAsia" w:hAnsi="宋体" w:cs="宋体"/>
          <w:b/>
          <w:bCs/>
          <w:sz w:val="32"/>
          <w:szCs w:val="32"/>
          <w:highlight w:val="none"/>
        </w:rPr>
        <w:t>（示范文本）</w:t>
      </w:r>
    </w:p>
    <w:p>
      <w:pPr>
        <w:jc w:val="center"/>
        <w:rPr>
          <w:rFonts w:hAnsi="宋体" w:cs="宋体"/>
          <w:b/>
          <w:bCs/>
          <w:sz w:val="32"/>
          <w:szCs w:val="32"/>
          <w:highlight w:val="none"/>
        </w:rPr>
      </w:pPr>
    </w:p>
    <w:p>
      <w:pPr>
        <w:jc w:val="center"/>
        <w:rPr>
          <w:rFonts w:hAnsi="宋体" w:cs="宋体"/>
          <w:b/>
          <w:bCs/>
          <w:sz w:val="32"/>
          <w:szCs w:val="32"/>
          <w:highlight w:val="none"/>
        </w:rPr>
      </w:pPr>
    </w:p>
    <w:p>
      <w:pPr>
        <w:jc w:val="center"/>
        <w:rPr>
          <w:rFonts w:hAnsi="宋体" w:cs="宋体"/>
          <w:b/>
          <w:bCs/>
          <w:sz w:val="32"/>
          <w:szCs w:val="32"/>
          <w:highlight w:val="none"/>
        </w:rPr>
      </w:pPr>
    </w:p>
    <w:p>
      <w:pPr>
        <w:jc w:val="center"/>
        <w:rPr>
          <w:rFonts w:hAnsi="宋体" w:cs="宋体"/>
          <w:b/>
          <w:bCs/>
          <w:sz w:val="32"/>
          <w:szCs w:val="32"/>
          <w:highlight w:val="none"/>
        </w:rPr>
      </w:pPr>
    </w:p>
    <w:p>
      <w:pPr>
        <w:jc w:val="center"/>
        <w:rPr>
          <w:rFonts w:hAnsi="宋体" w:cs="宋体"/>
          <w:b/>
          <w:bCs/>
          <w:sz w:val="32"/>
          <w:szCs w:val="32"/>
          <w:highlight w:val="none"/>
        </w:rPr>
      </w:pPr>
    </w:p>
    <w:p>
      <w:pPr>
        <w:jc w:val="center"/>
        <w:rPr>
          <w:rFonts w:hAnsi="宋体" w:cs="宋体"/>
          <w:b/>
          <w:bCs/>
          <w:sz w:val="32"/>
          <w:szCs w:val="32"/>
          <w:highlight w:val="none"/>
        </w:rPr>
      </w:pPr>
    </w:p>
    <w:p>
      <w:pPr>
        <w:jc w:val="center"/>
        <w:rPr>
          <w:rFonts w:hAnsi="宋体" w:cs="宋体"/>
          <w:b/>
          <w:bCs/>
          <w:sz w:val="32"/>
          <w:szCs w:val="32"/>
          <w:highlight w:val="none"/>
        </w:rPr>
      </w:pPr>
    </w:p>
    <w:p>
      <w:pPr>
        <w:jc w:val="center"/>
        <w:rPr>
          <w:rFonts w:hAnsi="宋体" w:cs="宋体"/>
          <w:b/>
          <w:bCs/>
          <w:sz w:val="32"/>
          <w:szCs w:val="32"/>
          <w:highlight w:val="none"/>
        </w:rPr>
      </w:pPr>
    </w:p>
    <w:p>
      <w:pPr>
        <w:pStyle w:val="10"/>
        <w:rPr>
          <w:rFonts w:ascii="宋体" w:hAnsi="宋体" w:cs="宋体"/>
          <w:highlight w:val="none"/>
        </w:rPr>
      </w:pPr>
    </w:p>
    <w:p>
      <w:pPr>
        <w:jc w:val="center"/>
        <w:rPr>
          <w:rFonts w:hAnsi="宋体" w:cs="宋体"/>
          <w:b/>
          <w:bCs/>
          <w:sz w:val="32"/>
          <w:szCs w:val="32"/>
          <w:highlight w:val="none"/>
        </w:rPr>
      </w:pPr>
    </w:p>
    <w:p>
      <w:pPr>
        <w:pStyle w:val="10"/>
        <w:rPr>
          <w:highlight w:val="none"/>
        </w:rPr>
      </w:pPr>
    </w:p>
    <w:p>
      <w:pPr>
        <w:ind w:firstLine="3202" w:firstLineChars="1000"/>
        <w:jc w:val="both"/>
        <w:rPr>
          <w:rFonts w:hAnsi="宋体" w:cs="宋体"/>
          <w:b/>
          <w:sz w:val="32"/>
          <w:szCs w:val="32"/>
          <w:highlight w:val="none"/>
        </w:rPr>
      </w:pPr>
      <w:r>
        <w:rPr>
          <w:rFonts w:hint="eastAsia" w:hAnsi="宋体" w:cs="宋体"/>
          <w:b/>
          <w:bCs/>
          <w:sz w:val="32"/>
          <w:szCs w:val="32"/>
          <w:highlight w:val="none"/>
        </w:rPr>
        <w:t>住房和城乡建设部</w:t>
      </w:r>
    </w:p>
    <w:p>
      <w:pPr>
        <w:jc w:val="center"/>
        <w:rPr>
          <w:rFonts w:hAnsi="宋体" w:cs="宋体"/>
          <w:b/>
          <w:sz w:val="32"/>
          <w:szCs w:val="32"/>
          <w:highlight w:val="none"/>
        </w:rPr>
      </w:pPr>
      <w:r>
        <w:rPr>
          <w:rFonts w:hint="eastAsia" w:hAnsi="宋体" w:cs="宋体"/>
          <w:b/>
          <w:sz w:val="32"/>
          <w:szCs w:val="32"/>
          <w:highlight w:val="none"/>
        </w:rPr>
        <w:t xml:space="preserve"> 制定</w:t>
      </w:r>
    </w:p>
    <w:p>
      <w:pPr>
        <w:jc w:val="center"/>
        <w:rPr>
          <w:rFonts w:hAnsi="宋体" w:cs="宋体"/>
          <w:b/>
          <w:bCs/>
          <w:sz w:val="32"/>
          <w:szCs w:val="32"/>
          <w:highlight w:val="none"/>
        </w:rPr>
      </w:pPr>
      <w:r>
        <w:rPr>
          <w:rFonts w:hint="eastAsia" w:hAnsi="宋体" w:cs="宋体"/>
          <w:b/>
          <w:bCs/>
          <w:sz w:val="32"/>
          <w:szCs w:val="32"/>
          <w:highlight w:val="none"/>
        </w:rPr>
        <w:t>国家工商行政管理总局</w:t>
      </w:r>
    </w:p>
    <w:p>
      <w:pPr>
        <w:adjustRightInd w:val="0"/>
        <w:snapToGrid w:val="0"/>
        <w:spacing w:line="500" w:lineRule="exact"/>
        <w:jc w:val="center"/>
        <w:rPr>
          <w:rFonts w:hAnsi="宋体" w:cs="宋体"/>
          <w:b/>
          <w:sz w:val="28"/>
          <w:szCs w:val="24"/>
          <w:highlight w:val="none"/>
        </w:rPr>
      </w:pPr>
      <w:r>
        <w:rPr>
          <w:rFonts w:hint="eastAsia" w:cs="仿宋" w:asciiTheme="minorEastAsia" w:hAnsiTheme="minorEastAsia" w:eastAsiaTheme="minorEastAsia"/>
          <w:bCs/>
          <w:color w:val="auto"/>
          <w:sz w:val="48"/>
          <w:szCs w:val="48"/>
          <w:highlight w:val="none"/>
        </w:rPr>
        <w:br w:type="page"/>
      </w:r>
      <w:r>
        <w:rPr>
          <w:rFonts w:hint="eastAsia" w:hAnsi="宋体" w:cs="宋体"/>
          <w:b/>
          <w:sz w:val="28"/>
          <w:szCs w:val="24"/>
          <w:highlight w:val="none"/>
        </w:rPr>
        <w:t>第一部分  协议书</w:t>
      </w:r>
    </w:p>
    <w:p>
      <w:pPr>
        <w:adjustRightInd w:val="0"/>
        <w:snapToGrid w:val="0"/>
        <w:spacing w:line="360" w:lineRule="auto"/>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委托人（全称）：</w:t>
      </w:r>
      <w:r>
        <w:rPr>
          <w:rFonts w:hint="eastAsia" w:ascii="宋体" w:hAnsi="宋体" w:eastAsia="宋体" w:cs="宋体"/>
          <w:b/>
          <w:sz w:val="24"/>
          <w:szCs w:val="24"/>
          <w:highlight w:val="none"/>
          <w:u w:val="single"/>
        </w:rPr>
        <w:t xml:space="preserve">                                     </w:t>
      </w:r>
    </w:p>
    <w:p>
      <w:pPr>
        <w:adjustRightInd w:val="0"/>
        <w:snapToGrid w:val="0"/>
        <w:spacing w:line="360" w:lineRule="auto"/>
        <w:ind w:firstLine="482"/>
        <w:rPr>
          <w:rFonts w:hint="eastAsia" w:ascii="宋体" w:hAnsi="宋体" w:eastAsia="宋体" w:cs="宋体"/>
          <w:sz w:val="24"/>
          <w:szCs w:val="24"/>
          <w:highlight w:val="none"/>
        </w:rPr>
      </w:pPr>
      <w:r>
        <w:rPr>
          <w:rFonts w:hint="eastAsia" w:ascii="宋体" w:hAnsi="宋体" w:eastAsia="宋体" w:cs="宋体"/>
          <w:b/>
          <w:sz w:val="24"/>
          <w:szCs w:val="24"/>
          <w:highlight w:val="none"/>
        </w:rPr>
        <w:t>监理人（全称）：</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u w:val="single"/>
        </w:rPr>
        <w:t xml:space="preserve">   </w:t>
      </w:r>
    </w:p>
    <w:p>
      <w:pPr>
        <w:spacing w:line="36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根据《中华人民共和国民法典》、《中华人民共和国建筑法》及其他有关法律、法规，遵循平等、自愿、公平和诚信的原则，双方就下述工程委托监理与相关服务事项协商一致，订立本合同。</w:t>
      </w:r>
    </w:p>
    <w:p>
      <w:pPr>
        <w:spacing w:line="360" w:lineRule="auto"/>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一、工程概况</w:t>
      </w:r>
    </w:p>
    <w:p>
      <w:pPr>
        <w:tabs>
          <w:tab w:val="left" w:pos="7965"/>
        </w:tabs>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1.工程名称：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2.工程地点：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3.工程规模：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adjustRightInd w:val="0"/>
        <w:snapToGrid w:val="0"/>
        <w:spacing w:line="360" w:lineRule="auto"/>
        <w:ind w:firstLine="475" w:firstLineChars="198"/>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4.工程投资额</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360" w:lineRule="auto"/>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二、词语限定</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协议书中相关词语的含义与通用条件中的定义与解释相同。</w:t>
      </w:r>
    </w:p>
    <w:p>
      <w:pPr>
        <w:spacing w:line="360" w:lineRule="auto"/>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三、组成本合同的文件</w:t>
      </w:r>
    </w:p>
    <w:p>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1.协议书；</w:t>
      </w:r>
    </w:p>
    <w:p>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中标通知书</w:t>
      </w:r>
      <w:r>
        <w:rPr>
          <w:rFonts w:hint="eastAsia" w:ascii="宋体" w:hAnsi="宋体" w:eastAsia="宋体" w:cs="宋体"/>
          <w:sz w:val="24"/>
          <w:szCs w:val="24"/>
          <w:highlight w:val="none"/>
        </w:rPr>
        <w:t>；</w:t>
      </w:r>
    </w:p>
    <w:p>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w:t>
      </w:r>
    </w:p>
    <w:p>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4.专用条件；</w:t>
      </w:r>
    </w:p>
    <w:p>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5.通用条件；</w:t>
      </w:r>
    </w:p>
    <w:p>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本合同签订后，双方依法签订的补充协议也是本合同文件的组成部分。</w:t>
      </w:r>
    </w:p>
    <w:p>
      <w:pPr>
        <w:spacing w:line="360" w:lineRule="auto"/>
        <w:ind w:firstLine="482"/>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四、总</w:t>
      </w:r>
      <w:r>
        <w:rPr>
          <w:rFonts w:hint="eastAsia" w:ascii="宋体" w:hAnsi="宋体" w:eastAsia="宋体" w:cs="宋体"/>
          <w:b/>
          <w:sz w:val="24"/>
          <w:szCs w:val="24"/>
          <w:highlight w:val="none"/>
          <w:lang w:eastAsia="zh-CN"/>
        </w:rPr>
        <w:t>监理工程师</w:t>
      </w:r>
    </w:p>
    <w:p>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总监理工程师</w:t>
      </w: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，注册号：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360" w:lineRule="auto"/>
        <w:ind w:firstLine="482"/>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rPr>
        <w:t>五、</w:t>
      </w:r>
      <w:r>
        <w:rPr>
          <w:rFonts w:hint="eastAsia" w:ascii="宋体" w:hAnsi="宋体" w:eastAsia="宋体" w:cs="宋体"/>
          <w:b/>
          <w:sz w:val="24"/>
          <w:szCs w:val="24"/>
          <w:highlight w:val="none"/>
          <w:lang w:val="en-US" w:eastAsia="zh-CN"/>
        </w:rPr>
        <w:t>款项结算</w:t>
      </w:r>
    </w:p>
    <w:p>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监理费用与施工费用同步支付，</w:t>
      </w:r>
      <w:r>
        <w:rPr>
          <w:rFonts w:hint="eastAsia" w:ascii="宋体" w:hAnsi="宋体" w:eastAsia="宋体" w:cs="宋体"/>
          <w:sz w:val="24"/>
          <w:szCs w:val="24"/>
          <w:highlight w:val="none"/>
          <w:lang w:val="zh-CN" w:eastAsia="zh-CN"/>
        </w:rPr>
        <w:t>待工程初步验收合格，发包人支付至合同总价款的</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eastAsia="zh-CN"/>
        </w:rPr>
        <w:t>0%；</w:t>
      </w:r>
      <w:r>
        <w:rPr>
          <w:rFonts w:hint="eastAsia" w:ascii="宋体" w:hAnsi="宋体" w:eastAsia="宋体" w:cs="宋体"/>
          <w:sz w:val="24"/>
          <w:szCs w:val="24"/>
          <w:highlight w:val="none"/>
          <w:lang w:val="en-US" w:eastAsia="zh-CN"/>
        </w:rPr>
        <w:t>竣工结算资料完成后，支付至价款70%；剩余工程款依据财政资金拨付情况及时支付。</w:t>
      </w:r>
      <w:r>
        <w:rPr>
          <w:rFonts w:hint="eastAsia" w:ascii="宋体" w:hAnsi="宋体" w:eastAsia="宋体" w:cs="宋体"/>
          <w:sz w:val="24"/>
          <w:szCs w:val="24"/>
          <w:highlight w:val="none"/>
          <w:lang w:val="zh-CN" w:eastAsia="zh-CN"/>
        </w:rPr>
        <w:t>（每次付款前，承包人均需提交付款申请书和等额合格发票，并经发包人和监理单位审核）。</w:t>
      </w:r>
    </w:p>
    <w:p>
      <w:pPr>
        <w:spacing w:line="360" w:lineRule="auto"/>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六、期限</w:t>
      </w:r>
    </w:p>
    <w:p>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监理服务期：</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120日历天。</w:t>
      </w:r>
    </w:p>
    <w:p>
      <w:pPr>
        <w:spacing w:line="360" w:lineRule="auto"/>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七、双方承诺</w:t>
      </w:r>
    </w:p>
    <w:p>
      <w:pPr>
        <w:spacing w:line="360" w:lineRule="auto"/>
        <w:ind w:firstLine="480"/>
        <w:rPr>
          <w:rFonts w:hint="eastAsia" w:ascii="宋体" w:hAnsi="宋体" w:eastAsia="宋体" w:cs="宋体"/>
          <w:b/>
          <w:sz w:val="24"/>
          <w:szCs w:val="24"/>
          <w:highlight w:val="none"/>
        </w:rPr>
      </w:pPr>
      <w:r>
        <w:rPr>
          <w:rFonts w:hint="eastAsia" w:ascii="宋体" w:hAnsi="宋体" w:eastAsia="宋体" w:cs="宋体"/>
          <w:sz w:val="24"/>
          <w:szCs w:val="24"/>
          <w:highlight w:val="none"/>
        </w:rPr>
        <w:t>1.监理人向委托人承诺，按照本合同约定提供监理与相关服务。</w:t>
      </w:r>
    </w:p>
    <w:p>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2.委托人向监理人承诺，按照本合同约定派遣相应的人员，提供</w:t>
      </w:r>
      <w:r>
        <w:rPr>
          <w:rFonts w:hint="eastAsia" w:ascii="宋体" w:hAnsi="宋体" w:eastAsia="宋体" w:cs="宋体"/>
          <w:bCs/>
          <w:sz w:val="24"/>
          <w:szCs w:val="24"/>
          <w:highlight w:val="none"/>
        </w:rPr>
        <w:t>房屋、资料</w:t>
      </w:r>
      <w:r>
        <w:rPr>
          <w:rFonts w:hint="eastAsia" w:ascii="宋体" w:hAnsi="宋体" w:eastAsia="宋体" w:cs="宋体"/>
          <w:sz w:val="24"/>
          <w:szCs w:val="24"/>
          <w:highlight w:val="none"/>
        </w:rPr>
        <w:t>、设备，并按本合同约定支付酬金。</w:t>
      </w:r>
    </w:p>
    <w:p>
      <w:pPr>
        <w:spacing w:line="360" w:lineRule="auto"/>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八、合同订立</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1.订立时间：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2.订立地点：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adjustRightInd w:val="0"/>
        <w:snapToGrid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份，具有同等法律效力，双方各执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p>
    <w:p>
      <w:pPr>
        <w:adjustRightInd w:val="0"/>
        <w:snapToGrid w:val="0"/>
        <w:spacing w:line="360" w:lineRule="auto"/>
        <w:ind w:firstLine="199" w:firstLineChars="83"/>
        <w:rPr>
          <w:rFonts w:hint="eastAsia" w:ascii="宋体" w:hAnsi="宋体" w:eastAsia="宋体" w:cs="宋体"/>
          <w:sz w:val="24"/>
          <w:szCs w:val="24"/>
          <w:highlight w:val="none"/>
        </w:rPr>
      </w:pPr>
      <w:r>
        <w:rPr>
          <w:rFonts w:hint="eastAsia" w:ascii="宋体" w:hAnsi="宋体" w:eastAsia="宋体" w:cs="宋体"/>
          <w:sz w:val="24"/>
          <w:szCs w:val="24"/>
          <w:highlight w:val="none"/>
        </w:rPr>
        <w:t>委托人：</w:t>
      </w:r>
      <w:r>
        <w:rPr>
          <w:rFonts w:hint="eastAsia" w:ascii="宋体" w:hAnsi="宋体" w:eastAsia="宋体" w:cs="宋体"/>
          <w:sz w:val="24"/>
          <w:szCs w:val="24"/>
          <w:highlight w:val="none"/>
          <w:u w:val="single"/>
        </w:rPr>
        <w:t xml:space="preserve">（盖章）             </w:t>
      </w:r>
      <w:r>
        <w:rPr>
          <w:rFonts w:hint="eastAsia" w:ascii="宋体" w:hAnsi="宋体" w:eastAsia="宋体" w:cs="宋体"/>
          <w:sz w:val="24"/>
          <w:szCs w:val="24"/>
          <w:highlight w:val="none"/>
        </w:rPr>
        <w:t xml:space="preserve">       监理人：</w:t>
      </w:r>
      <w:r>
        <w:rPr>
          <w:rFonts w:hint="eastAsia" w:ascii="宋体" w:hAnsi="宋体" w:eastAsia="宋体" w:cs="宋体"/>
          <w:sz w:val="24"/>
          <w:szCs w:val="24"/>
          <w:highlight w:val="none"/>
          <w:u w:val="single"/>
        </w:rPr>
        <w:t xml:space="preserve">   （盖章）          </w:t>
      </w:r>
    </w:p>
    <w:p>
      <w:pPr>
        <w:adjustRightInd w:val="0"/>
        <w:snapToGrid w:val="0"/>
        <w:spacing w:line="360" w:lineRule="auto"/>
        <w:ind w:firstLine="199" w:firstLineChars="83"/>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住所：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住所： </w:t>
      </w:r>
      <w:r>
        <w:rPr>
          <w:rFonts w:hint="eastAsia" w:ascii="宋体" w:hAnsi="宋体" w:eastAsia="宋体" w:cs="宋体"/>
          <w:sz w:val="24"/>
          <w:szCs w:val="24"/>
          <w:highlight w:val="none"/>
          <w:u w:val="single"/>
        </w:rPr>
        <w:t xml:space="preserve">                      </w:t>
      </w:r>
    </w:p>
    <w:p>
      <w:pPr>
        <w:adjustRightInd w:val="0"/>
        <w:snapToGrid w:val="0"/>
        <w:spacing w:line="360" w:lineRule="auto"/>
        <w:ind w:firstLine="199" w:firstLineChars="83"/>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pPr>
        <w:adjustRightInd w:val="0"/>
        <w:snapToGrid w:val="0"/>
        <w:spacing w:line="360" w:lineRule="auto"/>
        <w:ind w:firstLine="199" w:firstLineChars="83"/>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法定代表人或其授权                  法定代表人或其授权</w:t>
      </w:r>
    </w:p>
    <w:p>
      <w:pPr>
        <w:adjustRightInd w:val="0"/>
        <w:snapToGrid w:val="0"/>
        <w:spacing w:line="360" w:lineRule="auto"/>
        <w:ind w:firstLine="199" w:firstLineChars="83"/>
        <w:rPr>
          <w:rFonts w:hint="eastAsia" w:ascii="宋体" w:hAnsi="宋体" w:eastAsia="宋体" w:cs="宋体"/>
          <w:sz w:val="24"/>
          <w:szCs w:val="24"/>
          <w:highlight w:val="none"/>
        </w:rPr>
      </w:pPr>
      <w:r>
        <w:rPr>
          <w:rFonts w:hint="eastAsia" w:ascii="宋体" w:hAnsi="宋体" w:eastAsia="宋体" w:cs="宋体"/>
          <w:sz w:val="24"/>
          <w:szCs w:val="24"/>
          <w:highlight w:val="none"/>
        </w:rPr>
        <w:t>的代理人：</w:t>
      </w:r>
      <w:r>
        <w:rPr>
          <w:rFonts w:hint="eastAsia" w:ascii="宋体" w:hAnsi="宋体" w:eastAsia="宋体" w:cs="宋体"/>
          <w:sz w:val="24"/>
          <w:szCs w:val="24"/>
          <w:highlight w:val="none"/>
          <w:u w:val="single"/>
        </w:rPr>
        <w:t xml:space="preserve">（签字）           </w:t>
      </w:r>
      <w:r>
        <w:rPr>
          <w:rFonts w:hint="eastAsia" w:ascii="宋体" w:hAnsi="宋体" w:eastAsia="宋体" w:cs="宋体"/>
          <w:sz w:val="24"/>
          <w:szCs w:val="24"/>
          <w:highlight w:val="none"/>
        </w:rPr>
        <w:t xml:space="preserve">       的代理人：</w:t>
      </w:r>
      <w:r>
        <w:rPr>
          <w:rFonts w:hint="eastAsia" w:ascii="宋体" w:hAnsi="宋体" w:eastAsia="宋体" w:cs="宋体"/>
          <w:sz w:val="24"/>
          <w:szCs w:val="24"/>
          <w:highlight w:val="none"/>
          <w:u w:val="single"/>
        </w:rPr>
        <w:t xml:space="preserve">（签字）            </w:t>
      </w:r>
    </w:p>
    <w:p>
      <w:pPr>
        <w:adjustRightInd w:val="0"/>
        <w:snapToGrid w:val="0"/>
        <w:spacing w:line="360" w:lineRule="auto"/>
        <w:ind w:firstLine="199" w:firstLineChars="83"/>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开户银行：</w:t>
      </w:r>
      <w:r>
        <w:rPr>
          <w:rFonts w:hint="eastAsia" w:ascii="宋体" w:hAnsi="宋体" w:eastAsia="宋体" w:cs="宋体"/>
          <w:sz w:val="24"/>
          <w:szCs w:val="24"/>
          <w:highlight w:val="none"/>
          <w:u w:val="single"/>
        </w:rPr>
        <w:t xml:space="preserve">                   </w:t>
      </w:r>
    </w:p>
    <w:p>
      <w:pPr>
        <w:adjustRightInd w:val="0"/>
        <w:snapToGrid w:val="0"/>
        <w:spacing w:line="360" w:lineRule="auto"/>
        <w:ind w:firstLine="199" w:firstLineChars="83"/>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账号：</w:t>
      </w:r>
      <w:r>
        <w:rPr>
          <w:rFonts w:hint="eastAsia" w:ascii="宋体" w:hAnsi="宋体" w:eastAsia="宋体" w:cs="宋体"/>
          <w:sz w:val="24"/>
          <w:szCs w:val="24"/>
          <w:highlight w:val="none"/>
          <w:u w:val="single"/>
        </w:rPr>
        <w:t xml:space="preserve">                       </w:t>
      </w:r>
    </w:p>
    <w:p>
      <w:pPr>
        <w:adjustRightInd w:val="0"/>
        <w:snapToGrid w:val="0"/>
        <w:spacing w:line="360" w:lineRule="auto"/>
        <w:ind w:firstLine="199" w:firstLineChars="83"/>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电话：</w:t>
      </w:r>
      <w:r>
        <w:rPr>
          <w:rFonts w:hint="eastAsia" w:ascii="宋体" w:hAnsi="宋体" w:eastAsia="宋体" w:cs="宋体"/>
          <w:sz w:val="24"/>
          <w:szCs w:val="24"/>
          <w:highlight w:val="none"/>
          <w:u w:val="single"/>
        </w:rPr>
        <w:t xml:space="preserve">                       </w:t>
      </w:r>
    </w:p>
    <w:p>
      <w:pPr>
        <w:adjustRightInd w:val="0"/>
        <w:snapToGrid w:val="0"/>
        <w:spacing w:line="360" w:lineRule="auto"/>
        <w:ind w:firstLine="199" w:firstLineChars="83"/>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传真：</w:t>
      </w:r>
      <w:r>
        <w:rPr>
          <w:rFonts w:hint="eastAsia" w:ascii="宋体" w:hAnsi="宋体" w:eastAsia="宋体" w:cs="宋体"/>
          <w:sz w:val="24"/>
          <w:szCs w:val="24"/>
          <w:highlight w:val="none"/>
          <w:u w:val="single"/>
        </w:rPr>
        <w:t xml:space="preserve">                       </w:t>
      </w:r>
    </w:p>
    <w:p>
      <w:pPr>
        <w:adjustRightInd w:val="0"/>
        <w:snapToGrid w:val="0"/>
        <w:spacing w:line="360" w:lineRule="auto"/>
        <w:ind w:firstLine="199" w:firstLineChars="83"/>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电子邮箱：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电子邮箱：</w:t>
      </w:r>
      <w:r>
        <w:rPr>
          <w:rFonts w:hint="eastAsia" w:ascii="宋体" w:hAnsi="宋体" w:eastAsia="宋体" w:cs="宋体"/>
          <w:sz w:val="24"/>
          <w:szCs w:val="24"/>
          <w:highlight w:val="none"/>
          <w:u w:val="single"/>
        </w:rPr>
        <w:t xml:space="preserve">                   </w:t>
      </w:r>
    </w:p>
    <w:p>
      <w:pPr>
        <w:widowControl/>
        <w:spacing w:line="360" w:lineRule="auto"/>
        <w:jc w:val="left"/>
        <w:rPr>
          <w:rFonts w:hint="eastAsia" w:ascii="宋体" w:hAnsi="宋体" w:eastAsia="宋体" w:cs="宋体"/>
          <w:sz w:val="24"/>
          <w:szCs w:val="24"/>
          <w:highlight w:val="none"/>
        </w:rPr>
      </w:pPr>
    </w:p>
    <w:p>
      <w:pPr>
        <w:widowControl/>
        <w:spacing w:line="360" w:lineRule="auto"/>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b/>
          <w:sz w:val="24"/>
          <w:szCs w:val="24"/>
          <w:highlight w:val="none"/>
        </w:rPr>
        <w:t>第二部分  通用条件</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1.定义与解释</w:t>
      </w:r>
    </w:p>
    <w:p>
      <w:pPr>
        <w:spacing w:line="360" w:lineRule="auto"/>
        <w:ind w:left="210" w:leftChars="100"/>
        <w:rPr>
          <w:rFonts w:hint="eastAsia" w:ascii="宋体" w:hAnsi="宋体" w:eastAsia="宋体" w:cs="宋体"/>
          <w:bCs/>
          <w:sz w:val="24"/>
          <w:szCs w:val="24"/>
          <w:highlight w:val="none"/>
        </w:rPr>
      </w:pPr>
      <w:r>
        <w:rPr>
          <w:rFonts w:hint="eastAsia" w:ascii="宋体" w:hAnsi="宋体" w:eastAsia="宋体" w:cs="宋体"/>
          <w:sz w:val="24"/>
          <w:szCs w:val="24"/>
          <w:highlight w:val="none"/>
        </w:rPr>
        <w:t xml:space="preserve">1.1 </w:t>
      </w:r>
      <w:r>
        <w:rPr>
          <w:rFonts w:hint="eastAsia" w:ascii="宋体" w:hAnsi="宋体" w:eastAsia="宋体" w:cs="宋体"/>
          <w:bCs/>
          <w:sz w:val="24"/>
          <w:szCs w:val="24"/>
          <w:highlight w:val="none"/>
        </w:rPr>
        <w:t>定义</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除根据上下文另有其意义外，组成本合同的全部文件中的下列名词和用语应具有本款所赋予的含义：</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 “工程”是指按照本合同约定实施监理与相关服务的建设工程。</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1.1.2“委托人”是指本合同中委托监理与相关服务的一方，及其合法的继承人或受让人。</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1.1.3“监理人”是指本合同中提供监理与相关服务的一方，及其合法的继承人。</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1.1.4“承包人”是指在工程范围内与委托人签订勘察、设计、施工等有关合同的当事人，及其合法的继承人。</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1.1.5“监理”是指监理人受委托人的委托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1.1.6“相关服务”是指监理人受委托人的委托 ，按照本合同约定，在勘察、设计、保修等阶段提供的服务活动。</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1.1.7“正常工作”指本合同订立时通用条件和专用条件中约定的监理人的工作。</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1.1.8“附加工作”是指本合同约定的正常工作以外监理人的工作。</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1.1.9“项目监理机构”是指监理人派驻工程负责履行本合同的组织机构。</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1.1.10“总</w:t>
      </w:r>
      <w:r>
        <w:rPr>
          <w:rFonts w:hint="eastAsia" w:ascii="宋体" w:hAnsi="宋体" w:eastAsia="宋体" w:cs="宋体"/>
          <w:sz w:val="24"/>
          <w:szCs w:val="24"/>
          <w:highlight w:val="none"/>
          <w:lang w:eastAsia="zh-CN"/>
        </w:rPr>
        <w:t>总监理工程师</w:t>
      </w:r>
      <w:r>
        <w:rPr>
          <w:rFonts w:hint="eastAsia" w:ascii="宋体" w:hAnsi="宋体" w:eastAsia="宋体" w:cs="宋体"/>
          <w:sz w:val="24"/>
          <w:szCs w:val="24"/>
          <w:highlight w:val="none"/>
        </w:rPr>
        <w:t>”是指由监理人的法定代表人书面授权，全面负责履行本合同、主持项目监理机构工作的注册</w:t>
      </w:r>
      <w:r>
        <w:rPr>
          <w:rFonts w:hint="eastAsia" w:ascii="宋体" w:hAnsi="宋体" w:eastAsia="宋体" w:cs="宋体"/>
          <w:sz w:val="24"/>
          <w:szCs w:val="24"/>
          <w:highlight w:val="none"/>
          <w:lang w:eastAsia="zh-CN"/>
        </w:rPr>
        <w:t>总监理工程师</w:t>
      </w:r>
      <w:r>
        <w:rPr>
          <w:rFonts w:hint="eastAsia" w:ascii="宋体" w:hAnsi="宋体" w:eastAsia="宋体" w:cs="宋体"/>
          <w:sz w:val="24"/>
          <w:szCs w:val="24"/>
          <w:highlight w:val="none"/>
        </w:rPr>
        <w:t>。</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1.1.11“酬金”是指监理人履行本合同义务，委托人按照本合同约定给付监理人的金额。</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1.1.12“正常工作酬金”是指监理人完成正常工作，委托人应给付监理人并在协议书中载明的签约酬金额。</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1.1.13“附加工作酬金”是指监理人完成附加工作，委托人应给付监理人的金额。</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1.1.14“一方”是指委托人或监理人；“双方”是指委托人和监理人；“第三方”是指除委托人和监理人以外的有关方。</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1.1.15“书面形式”是指合同书、信件和数据电文（包括电报、电传、传真、电子数据交换和电子邮件）等可以有形地表现所载内容的形式。</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1.1.16“天”是指第一天零时至第二天零时的时间。</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1.1.17“月”是指按公历从一个月中任何一天开始的一个公历月时间。</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1.1.18“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left="210" w:leftChars="100"/>
        <w:rPr>
          <w:rFonts w:hint="eastAsia" w:ascii="宋体" w:hAnsi="宋体" w:eastAsia="宋体" w:cs="宋体"/>
          <w:sz w:val="24"/>
          <w:szCs w:val="24"/>
          <w:highlight w:val="none"/>
        </w:rPr>
      </w:pPr>
      <w:r>
        <w:rPr>
          <w:rFonts w:hint="eastAsia" w:ascii="宋体" w:hAnsi="宋体" w:eastAsia="宋体" w:cs="宋体"/>
          <w:bCs/>
          <w:sz w:val="24"/>
          <w:szCs w:val="24"/>
          <w:highlight w:val="none"/>
        </w:rPr>
        <w:t>1.2</w:t>
      </w:r>
      <w:r>
        <w:rPr>
          <w:rFonts w:hint="eastAsia" w:ascii="宋体" w:hAnsi="宋体" w:eastAsia="宋体" w:cs="宋体"/>
          <w:sz w:val="24"/>
          <w:szCs w:val="24"/>
          <w:highlight w:val="none"/>
        </w:rPr>
        <w:t>解释</w:t>
      </w:r>
    </w:p>
    <w:p>
      <w:pPr>
        <w:tabs>
          <w:tab w:val="left" w:pos="61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1.2.1本合同使用中文书写、解释和说明。如专用条件约定使用两种及以上语言文字时，应以中文为准。</w:t>
      </w:r>
    </w:p>
    <w:p>
      <w:pPr>
        <w:tabs>
          <w:tab w:val="left" w:pos="614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1.2.2 组成本合同的下列文件彼此应能相互解释、互为说明。除专用条件另有约定外，本合同文件的解释顺序如下：</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（1）协议书；</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中标通知书</w:t>
      </w:r>
      <w:r>
        <w:rPr>
          <w:rFonts w:hint="eastAsia" w:ascii="宋体" w:hAnsi="宋体" w:eastAsia="宋体" w:cs="宋体"/>
          <w:sz w:val="24"/>
          <w:szCs w:val="24"/>
          <w:highlight w:val="none"/>
        </w:rPr>
        <w:t>；</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（3）专用条件；</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（4）通用条件；</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双方签订的补充协议与其他文件发生矛盾或歧义时，属于同一类内容的文件，应以最新签署的为准。</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2.监理人的义务</w:t>
      </w:r>
    </w:p>
    <w:p>
      <w:pPr>
        <w:adjustRightInd w:val="0"/>
        <w:snapToGrid w:val="0"/>
        <w:spacing w:line="360" w:lineRule="auto"/>
        <w:ind w:left="210" w:leftChars="100"/>
        <w:rPr>
          <w:rFonts w:hint="eastAsia" w:ascii="宋体" w:hAnsi="宋体" w:eastAsia="宋体" w:cs="宋体"/>
          <w:bCs/>
          <w:sz w:val="24"/>
          <w:szCs w:val="24"/>
          <w:highlight w:val="none"/>
        </w:rPr>
      </w:pPr>
      <w:r>
        <w:rPr>
          <w:rFonts w:hint="eastAsia" w:ascii="宋体" w:hAnsi="宋体" w:eastAsia="宋体" w:cs="宋体"/>
          <w:sz w:val="24"/>
          <w:szCs w:val="24"/>
          <w:highlight w:val="none"/>
        </w:rPr>
        <w:t>2.1 监理的范围和工作内容</w:t>
      </w:r>
    </w:p>
    <w:p>
      <w:pPr>
        <w:adjustRightInd w:val="0"/>
        <w:snapToGrid w:val="0"/>
        <w:spacing w:line="360" w:lineRule="auto"/>
        <w:ind w:left="42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2.1.1 监理范围在专用条件中约定。</w:t>
      </w:r>
    </w:p>
    <w:p>
      <w:pPr>
        <w:adjustRightInd w:val="0"/>
        <w:snapToGrid w:val="0"/>
        <w:spacing w:line="360" w:lineRule="auto"/>
        <w:ind w:left="42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2.1.2 除专用条件另有约定外，监理工作内容包括：</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（1）收到工程设计文件后编制监理规划，并在第一次工地会议7天前报委托人。根据有关规定和监理工作需要，编制监理实施细则；</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（2）熟悉工程设计文件，并参加由委托人主持的图纸会审和设计交底会议；</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（3）参加由委托人主持的第一次工地会议；主持监理例会并根据工程需要主持或参加专题会议；</w:t>
      </w:r>
    </w:p>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（4）审查施工承包人提交的施工组织设计，重点审查其中的质量安全技术措施、专项施工方案与工程建设强制性标准的符合性；</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（5）检查施工承包人工程质量、安全生产管理制度及组织机构和人员资格； </w:t>
      </w:r>
    </w:p>
    <w:p>
      <w:pPr>
        <w:adjustRightInd w:val="0"/>
        <w:snapToGrid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（6）检查施工承包人专职安全生产管理人员的配备情况；</w:t>
      </w:r>
    </w:p>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（7）审查施工承包人提交的施工进度计划，核查承包人对施工进度计划的调整；</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（8）检查施工承包人的试验室；</w:t>
      </w:r>
    </w:p>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（9）审核施工分包人资质条件；</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（10）查验施工承包人的施工测量放线成果；</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（11）审查工程开工条件，对条件具备的签发开工令；</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left="-97" w:leftChars="-46"/>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（13）审核施工承包人提交的工程款支付申请，签发或出具工程款支付证书，并报委托人审核、批准；</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（14）在巡视、旁站和检验过程中，发现工程质量、施工安全存在事故隐患的，要求施工承包人整改并报委托人；</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（15）经委托人同意，签发工程暂停令和复工令；</w:t>
      </w:r>
    </w:p>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（16）审查施工承包人提交的采用新材料、新工艺、新技术、新设备的论证材料及相关验收标准；</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（17）验收隐蔽工程、分部分项工程；</w:t>
      </w:r>
    </w:p>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（18）审查施工承包人提交的工程变更申请，协调处理施工进度调整、费用索赔、合同争议等事项；</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（19）审查施工承包人提交的竣工验收申请，编写工程质量评估报告；</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（20）参加工程竣工验收，签署竣工验收意见；</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（21）审查施工承包人提交的竣工结算申请并报委托人；</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（22）编制、整理工程监理归档文件并报委托人。</w:t>
      </w:r>
    </w:p>
    <w:p>
      <w:pPr>
        <w:spacing w:line="360" w:lineRule="auto"/>
        <w:ind w:firstLine="240" w:firstLineChars="100"/>
        <w:rPr>
          <w:rFonts w:hint="eastAsia" w:ascii="宋体" w:hAnsi="宋体" w:eastAsia="宋体" w:cs="宋体"/>
          <w:bCs/>
          <w:sz w:val="24"/>
          <w:szCs w:val="24"/>
          <w:highlight w:val="none"/>
        </w:rPr>
      </w:pPr>
      <w:r>
        <w:rPr>
          <w:rFonts w:hint="eastAsia" w:ascii="宋体" w:hAnsi="宋体" w:eastAsia="宋体" w:cs="宋体"/>
          <w:sz w:val="24"/>
          <w:szCs w:val="24"/>
          <w:highlight w:val="none"/>
        </w:rPr>
        <w:t xml:space="preserve">2.2 </w:t>
      </w:r>
      <w:r>
        <w:rPr>
          <w:rFonts w:hint="eastAsia" w:ascii="宋体" w:hAnsi="宋体" w:eastAsia="宋体" w:cs="宋体"/>
          <w:bCs/>
          <w:sz w:val="24"/>
          <w:szCs w:val="24"/>
          <w:highlight w:val="none"/>
        </w:rPr>
        <w:t>监理与相关服务依据</w:t>
      </w:r>
    </w:p>
    <w:p>
      <w:pPr>
        <w:adjustRightInd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2.2.1 监理依据包括：</w:t>
      </w:r>
    </w:p>
    <w:p>
      <w:pPr>
        <w:adjustRightInd w:val="0"/>
        <w:snapToGrid w:val="0"/>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（1）适用的法律、行政法规及部门规章；</w:t>
      </w:r>
    </w:p>
    <w:p>
      <w:pPr>
        <w:adjustRightInd w:val="0"/>
        <w:snapToGrid w:val="0"/>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（2）与工程有关的标准；</w:t>
      </w:r>
    </w:p>
    <w:p>
      <w:pPr>
        <w:adjustRightInd w:val="0"/>
        <w:snapToGrid w:val="0"/>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（3）工程设计及有关文件；</w:t>
      </w:r>
    </w:p>
    <w:p>
      <w:pPr>
        <w:adjustRightInd w:val="0"/>
        <w:snapToGrid w:val="0"/>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（4）本合同及委托人与第三方签订的与实施工程有关的其他合同。</w:t>
      </w:r>
    </w:p>
    <w:p>
      <w:pPr>
        <w:spacing w:line="360" w:lineRule="auto"/>
        <w:ind w:left="210" w:leftChars="10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双方根据工程的行业和地域特点，在专用条件中具体约定监理依据。</w:t>
      </w:r>
    </w:p>
    <w:p>
      <w:pPr>
        <w:adjustRightInd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2.2.2 相关服务依据在专用条件中约定。</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2.3 项目监理机构和人员</w:t>
      </w:r>
    </w:p>
    <w:p>
      <w:pPr>
        <w:adjustRightInd w:val="0"/>
        <w:snapToGrid w:val="0"/>
        <w:spacing w:line="360" w:lineRule="auto"/>
        <w:ind w:firstLine="645"/>
        <w:rPr>
          <w:rFonts w:hint="eastAsia" w:ascii="宋体" w:hAnsi="宋体" w:eastAsia="宋体" w:cs="宋体"/>
          <w:sz w:val="24"/>
          <w:szCs w:val="24"/>
          <w:highlight w:val="none"/>
        </w:rPr>
      </w:pPr>
      <w:r>
        <w:rPr>
          <w:rFonts w:hint="eastAsia" w:ascii="宋体" w:hAnsi="宋体" w:eastAsia="宋体" w:cs="宋体"/>
          <w:sz w:val="24"/>
          <w:szCs w:val="24"/>
          <w:highlight w:val="none"/>
        </w:rPr>
        <w:t>2.3.1 监理人应组建满足工作需要的项目监理机构，配备必要的检测设备。项目监理机构的主要人员应具有相应的资格条件。</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2.3.2本合同履行过程中，总</w:t>
      </w:r>
      <w:r>
        <w:rPr>
          <w:rFonts w:hint="eastAsia" w:ascii="宋体" w:hAnsi="宋体" w:eastAsia="宋体" w:cs="宋体"/>
          <w:sz w:val="24"/>
          <w:szCs w:val="24"/>
          <w:highlight w:val="none"/>
          <w:lang w:eastAsia="zh-CN"/>
        </w:rPr>
        <w:t>总监理工程师</w:t>
      </w:r>
      <w:r>
        <w:rPr>
          <w:rFonts w:hint="eastAsia" w:ascii="宋体" w:hAnsi="宋体" w:eastAsia="宋体" w:cs="宋体"/>
          <w:sz w:val="24"/>
          <w:szCs w:val="24"/>
          <w:highlight w:val="none"/>
        </w:rPr>
        <w:t>及重要岗位监理人员应保持相对稳定，以保证监理工作正常进行。</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2.3.3监理人可根据工程进展和工作需要调整项目监理机构人员。监理人更换总</w:t>
      </w:r>
      <w:r>
        <w:rPr>
          <w:rFonts w:hint="eastAsia" w:ascii="宋体" w:hAnsi="宋体" w:eastAsia="宋体" w:cs="宋体"/>
          <w:sz w:val="24"/>
          <w:szCs w:val="24"/>
          <w:highlight w:val="none"/>
          <w:lang w:eastAsia="zh-CN"/>
        </w:rPr>
        <w:t>总监理工程师</w:t>
      </w:r>
      <w:r>
        <w:rPr>
          <w:rFonts w:hint="eastAsia" w:ascii="宋体" w:hAnsi="宋体" w:eastAsia="宋体" w:cs="宋体"/>
          <w:sz w:val="24"/>
          <w:szCs w:val="24"/>
          <w:highlight w:val="none"/>
        </w:rPr>
        <w:t>时，应提前7天向委托人书面报告，经委托人同意后方可更换；监理人更换项目监理机构其他监理人员，应以相当资格与能力的人员替换，并通知委托人。</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2.3.4 监理人应及时更换有下列情形之一的监理人员：</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（1）严重过失行为的；</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（2）有违法行为不能履行职责的；</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（3）涉嫌犯罪的；</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（4）不能胜任岗位职责的；</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（5）严重违反职业道德的；</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（6）专用条件约定的其他情形。</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2.3.5 委托人可要求监理人更换不能胜任本职工作的项目监理机构人员。</w:t>
      </w:r>
    </w:p>
    <w:p>
      <w:pPr>
        <w:spacing w:line="360" w:lineRule="auto"/>
        <w:ind w:left="210" w:leftChars="100"/>
        <w:rPr>
          <w:rFonts w:hint="eastAsia" w:ascii="宋体" w:hAnsi="宋体" w:eastAsia="宋体" w:cs="宋体"/>
          <w:sz w:val="24"/>
          <w:szCs w:val="24"/>
          <w:highlight w:val="none"/>
        </w:rPr>
      </w:pPr>
      <w:r>
        <w:rPr>
          <w:rFonts w:hint="eastAsia" w:ascii="宋体" w:hAnsi="宋体" w:eastAsia="宋体" w:cs="宋体"/>
          <w:sz w:val="24"/>
          <w:szCs w:val="24"/>
          <w:highlight w:val="none"/>
        </w:rPr>
        <w:t>2.4 履行职责</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监理人应遵循职业道德准则和行为规范，严格按照法律法规、工程建设有关标准及本合同履行职责。</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2.4.1 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2.4.2 当委托人与承包人之间的合同争议提交仲裁机构仲裁或人民法院审理时，监理人应提供必要的证明资料。</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2.4.3 监理人应在专用条件约定的授权范围内，处理委托人与承包人所签订合同的变更事宜。如果变更超过授权范围，应以书面形式报委托人批准。</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在紧急情况下，为了保护财产和人身安全，监理人所发出的指令未能事先报委托人批准时，应在发出指令后的24小时内以书面形式报委托人。</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2.4.4 除专用条件另有约定外，监理人发现承包人的人员不能胜任本职工作的，有权要求承包人予以调换。</w:t>
      </w:r>
    </w:p>
    <w:p>
      <w:pPr>
        <w:spacing w:line="360" w:lineRule="auto"/>
        <w:ind w:left="210" w:leftChars="100"/>
        <w:rPr>
          <w:rFonts w:hint="eastAsia" w:ascii="宋体" w:hAnsi="宋体" w:eastAsia="宋体" w:cs="宋体"/>
          <w:sz w:val="24"/>
          <w:szCs w:val="24"/>
          <w:highlight w:val="none"/>
        </w:rPr>
      </w:pPr>
      <w:r>
        <w:rPr>
          <w:rFonts w:hint="eastAsia" w:ascii="宋体" w:hAnsi="宋体" w:eastAsia="宋体" w:cs="宋体"/>
          <w:sz w:val="24"/>
          <w:szCs w:val="24"/>
          <w:highlight w:val="none"/>
        </w:rPr>
        <w:t>2.5 提交报告</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监理人应按专用条件约定的种类、时间和份数向委托人提交监理与相关服务的报告。</w:t>
      </w:r>
    </w:p>
    <w:p>
      <w:pPr>
        <w:spacing w:line="360" w:lineRule="auto"/>
        <w:ind w:left="210" w:leftChars="100"/>
        <w:rPr>
          <w:rFonts w:hint="eastAsia" w:ascii="宋体" w:hAnsi="宋体" w:eastAsia="宋体" w:cs="宋体"/>
          <w:sz w:val="24"/>
          <w:szCs w:val="24"/>
          <w:highlight w:val="none"/>
        </w:rPr>
      </w:pPr>
      <w:r>
        <w:rPr>
          <w:rFonts w:hint="eastAsia" w:ascii="宋体" w:hAnsi="宋体" w:eastAsia="宋体" w:cs="宋体"/>
          <w:sz w:val="24"/>
          <w:szCs w:val="24"/>
          <w:highlight w:val="none"/>
        </w:rPr>
        <w:t>2.6 文件资料</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在本合同履行期内，监理人应在现场保留工作所用的图纸、报告及记录监理工作的相关文件。工程竣工后，应当按照档案管理规定将监理有关文件归档。</w:t>
      </w:r>
    </w:p>
    <w:p>
      <w:pPr>
        <w:spacing w:line="360" w:lineRule="auto"/>
        <w:ind w:left="210" w:leftChars="100"/>
        <w:rPr>
          <w:rFonts w:hint="eastAsia" w:ascii="宋体" w:hAnsi="宋体" w:eastAsia="宋体" w:cs="宋体"/>
          <w:sz w:val="24"/>
          <w:szCs w:val="24"/>
          <w:highlight w:val="none"/>
        </w:rPr>
      </w:pPr>
      <w:r>
        <w:rPr>
          <w:rFonts w:hint="eastAsia" w:ascii="宋体" w:hAnsi="宋体" w:eastAsia="宋体" w:cs="宋体"/>
          <w:sz w:val="24"/>
          <w:szCs w:val="24"/>
          <w:highlight w:val="none"/>
        </w:rPr>
        <w:t>2.7 使用委托人的财产</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3.委托人的义务</w:t>
      </w:r>
    </w:p>
    <w:p>
      <w:pPr>
        <w:spacing w:line="360" w:lineRule="auto"/>
        <w:ind w:left="210" w:leftChars="100"/>
        <w:rPr>
          <w:rFonts w:hint="eastAsia" w:ascii="宋体" w:hAnsi="宋体" w:eastAsia="宋体" w:cs="宋体"/>
          <w:sz w:val="24"/>
          <w:szCs w:val="24"/>
          <w:highlight w:val="none"/>
        </w:rPr>
      </w:pPr>
      <w:r>
        <w:rPr>
          <w:rFonts w:hint="eastAsia" w:ascii="宋体" w:hAnsi="宋体" w:eastAsia="宋体" w:cs="宋体"/>
          <w:sz w:val="24"/>
          <w:szCs w:val="24"/>
          <w:highlight w:val="none"/>
        </w:rPr>
        <w:t>3.1告知</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委托人应在委托人与承包人签订的合同中明确监理人、总</w:t>
      </w:r>
      <w:r>
        <w:rPr>
          <w:rFonts w:hint="eastAsia" w:ascii="宋体" w:hAnsi="宋体" w:eastAsia="宋体" w:cs="宋体"/>
          <w:sz w:val="24"/>
          <w:szCs w:val="24"/>
          <w:highlight w:val="none"/>
          <w:lang w:eastAsia="zh-CN"/>
        </w:rPr>
        <w:t>总监理工程师</w:t>
      </w:r>
      <w:r>
        <w:rPr>
          <w:rFonts w:hint="eastAsia" w:ascii="宋体" w:hAnsi="宋体" w:eastAsia="宋体" w:cs="宋体"/>
          <w:sz w:val="24"/>
          <w:szCs w:val="24"/>
          <w:highlight w:val="none"/>
        </w:rPr>
        <w:t>和授予项目监理机构的权限。如有变更，应及时通知承包人。</w:t>
      </w:r>
    </w:p>
    <w:p>
      <w:pPr>
        <w:spacing w:line="360" w:lineRule="auto"/>
        <w:ind w:left="210" w:leftChars="100"/>
        <w:rPr>
          <w:rFonts w:hint="eastAsia" w:ascii="宋体" w:hAnsi="宋体" w:eastAsia="宋体" w:cs="宋体"/>
          <w:sz w:val="24"/>
          <w:szCs w:val="24"/>
          <w:highlight w:val="none"/>
        </w:rPr>
      </w:pPr>
      <w:r>
        <w:rPr>
          <w:rFonts w:hint="eastAsia" w:ascii="宋体" w:hAnsi="宋体" w:eastAsia="宋体" w:cs="宋体"/>
          <w:sz w:val="24"/>
          <w:szCs w:val="24"/>
          <w:highlight w:val="none"/>
        </w:rPr>
        <w:t>3.2提供资料</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在本合同履行过程中，委托人应及时向监理人提供最新的与工程有关的资料。</w:t>
      </w:r>
    </w:p>
    <w:p>
      <w:pPr>
        <w:spacing w:line="360" w:lineRule="auto"/>
        <w:ind w:left="210" w:leftChars="100"/>
        <w:rPr>
          <w:rFonts w:hint="eastAsia" w:ascii="宋体" w:hAnsi="宋体" w:eastAsia="宋体" w:cs="宋体"/>
          <w:sz w:val="24"/>
          <w:szCs w:val="24"/>
          <w:highlight w:val="none"/>
        </w:rPr>
      </w:pPr>
      <w:r>
        <w:rPr>
          <w:rFonts w:hint="eastAsia" w:ascii="宋体" w:hAnsi="宋体" w:eastAsia="宋体" w:cs="宋体"/>
          <w:sz w:val="24"/>
          <w:szCs w:val="24"/>
          <w:highlight w:val="none"/>
        </w:rPr>
        <w:t>3.3提供工作条件</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委托人应为监理人完成监理与相关服务提供必要的条件。</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3.3.1委托人应派遣相应的人员，提供房屋、设备，供监理人无偿使用。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3.3.2委托人应负责协调工程建设中所有外部关系，为监理人履行本合同提供必要的外部条件。</w:t>
      </w:r>
    </w:p>
    <w:p>
      <w:pPr>
        <w:snapToGrid w:val="0"/>
        <w:spacing w:line="360" w:lineRule="auto"/>
        <w:ind w:left="210" w:leftChars="100"/>
        <w:rPr>
          <w:rFonts w:hint="eastAsia" w:ascii="宋体" w:hAnsi="宋体" w:eastAsia="宋体" w:cs="宋体"/>
          <w:sz w:val="24"/>
          <w:szCs w:val="24"/>
          <w:highlight w:val="none"/>
        </w:rPr>
      </w:pPr>
      <w:r>
        <w:rPr>
          <w:rFonts w:hint="eastAsia" w:ascii="宋体" w:hAnsi="宋体" w:eastAsia="宋体" w:cs="宋体"/>
          <w:sz w:val="24"/>
          <w:szCs w:val="24"/>
          <w:highlight w:val="none"/>
        </w:rPr>
        <w:t>3.4委托人代表</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pPr>
        <w:snapToGrid w:val="0"/>
        <w:spacing w:line="360" w:lineRule="auto"/>
        <w:ind w:left="210" w:leftChars="100"/>
        <w:rPr>
          <w:rFonts w:hint="eastAsia" w:ascii="宋体" w:hAnsi="宋体" w:eastAsia="宋体" w:cs="宋体"/>
          <w:sz w:val="24"/>
          <w:szCs w:val="24"/>
          <w:highlight w:val="none"/>
        </w:rPr>
      </w:pPr>
      <w:r>
        <w:rPr>
          <w:rFonts w:hint="eastAsia" w:ascii="宋体" w:hAnsi="宋体" w:eastAsia="宋体" w:cs="宋体"/>
          <w:sz w:val="24"/>
          <w:szCs w:val="24"/>
          <w:highlight w:val="none"/>
        </w:rPr>
        <w:t>3.5委托人意见或要求</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在本合同约定的监理与相关服务工作范围内，委托人对承包人的任何意见或要求应通知监理人，由监理人向承包人发出相应指令。</w:t>
      </w:r>
    </w:p>
    <w:p>
      <w:pPr>
        <w:snapToGrid w:val="0"/>
        <w:spacing w:line="360" w:lineRule="auto"/>
        <w:ind w:left="210" w:leftChars="100"/>
        <w:rPr>
          <w:rFonts w:hint="eastAsia" w:ascii="宋体" w:hAnsi="宋体" w:eastAsia="宋体" w:cs="宋体"/>
          <w:sz w:val="24"/>
          <w:szCs w:val="24"/>
          <w:highlight w:val="none"/>
        </w:rPr>
      </w:pPr>
      <w:r>
        <w:rPr>
          <w:rFonts w:hint="eastAsia" w:ascii="宋体" w:hAnsi="宋体" w:eastAsia="宋体" w:cs="宋体"/>
          <w:sz w:val="24"/>
          <w:szCs w:val="24"/>
          <w:highlight w:val="none"/>
        </w:rPr>
        <w:t>3.6答复</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委托人应在专用条件约定的时间内，对监理人以书面形式提交并要求作出决定的事宜，给予书面答复。逾期未答复的，视为委托人认可。</w:t>
      </w:r>
    </w:p>
    <w:p>
      <w:pPr>
        <w:snapToGrid w:val="0"/>
        <w:spacing w:line="360" w:lineRule="auto"/>
        <w:ind w:left="210" w:leftChars="100"/>
        <w:rPr>
          <w:rFonts w:hint="eastAsia" w:ascii="宋体" w:hAnsi="宋体" w:eastAsia="宋体" w:cs="宋体"/>
          <w:sz w:val="24"/>
          <w:szCs w:val="24"/>
          <w:highlight w:val="none"/>
        </w:rPr>
      </w:pPr>
      <w:r>
        <w:rPr>
          <w:rFonts w:hint="eastAsia" w:ascii="宋体" w:hAnsi="宋体" w:eastAsia="宋体" w:cs="宋体"/>
          <w:sz w:val="24"/>
          <w:szCs w:val="24"/>
          <w:highlight w:val="none"/>
        </w:rPr>
        <w:t>3.7支付</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委托人应按本合同约定，向监理人支付酬金。</w:t>
      </w:r>
    </w:p>
    <w:p>
      <w:pPr>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4.违约责任</w:t>
      </w:r>
    </w:p>
    <w:p>
      <w:pPr>
        <w:spacing w:line="360" w:lineRule="auto"/>
        <w:ind w:left="210" w:leftChars="100"/>
        <w:rPr>
          <w:rFonts w:hint="eastAsia" w:ascii="宋体" w:hAnsi="宋体" w:eastAsia="宋体" w:cs="宋体"/>
          <w:sz w:val="24"/>
          <w:szCs w:val="24"/>
          <w:highlight w:val="none"/>
        </w:rPr>
      </w:pPr>
      <w:r>
        <w:rPr>
          <w:rFonts w:hint="eastAsia" w:ascii="宋体" w:hAnsi="宋体" w:eastAsia="宋体" w:cs="宋体"/>
          <w:sz w:val="24"/>
          <w:szCs w:val="24"/>
          <w:highlight w:val="none"/>
        </w:rPr>
        <w:t>4.1监理人的违约责任</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监理人未履行本合同义务的，应承担相应的责任。</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4.1.1因监理人违反本合同约定给委托人造成损失的，监理人应当赔偿委托人损失。赔偿金额的确定方法在专用条件中约定。监理人承担部分赔偿责任的，其承担赔偿金额由双方协商确定。</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4.1.2监理人向委托人的索赔不成立时，监理人应赔偿委托人由此发生的费用。</w:t>
      </w:r>
    </w:p>
    <w:p>
      <w:pPr>
        <w:snapToGrid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4.2委托人的违约责任</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委托人未履行本合同义务的，应承担相应的责任。</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4.2.1委托人违反本合同约定造成监理人损失的，委托人应予以赔偿。</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4.2.2委托人向监理人的索赔不成立时，应赔偿监理人由此引起的费用。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4.2.3委托人未能按期支付酬金超过28天，应按专用条件约定支付逾期付款利息。</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4.3除外责任</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因非监理人的原因，且监理人无过错，发生工程质量事故、安全事故、工期延误等造成的损失，监理人不承担赔偿责任。</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因不可抗力导致本合同全部或部分不能履行时，双方各自承担其因此而造成的损失、损害。</w:t>
      </w:r>
    </w:p>
    <w:p>
      <w:pPr>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5.支付</w:t>
      </w:r>
    </w:p>
    <w:p>
      <w:pPr>
        <w:snapToGrid w:val="0"/>
        <w:spacing w:line="360" w:lineRule="auto"/>
        <w:ind w:left="210" w:leftChars="100"/>
        <w:rPr>
          <w:rFonts w:hint="eastAsia" w:ascii="宋体" w:hAnsi="宋体" w:eastAsia="宋体" w:cs="宋体"/>
          <w:bCs/>
          <w:sz w:val="24"/>
          <w:szCs w:val="24"/>
          <w:highlight w:val="none"/>
        </w:rPr>
      </w:pPr>
      <w:r>
        <w:rPr>
          <w:rFonts w:hint="eastAsia" w:ascii="宋体" w:hAnsi="宋体" w:eastAsia="宋体" w:cs="宋体"/>
          <w:sz w:val="24"/>
          <w:szCs w:val="24"/>
          <w:highlight w:val="none"/>
        </w:rPr>
        <w:t>5.1</w:t>
      </w:r>
      <w:r>
        <w:rPr>
          <w:rFonts w:hint="eastAsia" w:ascii="宋体" w:hAnsi="宋体" w:eastAsia="宋体" w:cs="宋体"/>
          <w:bCs/>
          <w:sz w:val="24"/>
          <w:szCs w:val="24"/>
          <w:highlight w:val="none"/>
        </w:rPr>
        <w:t>支付货币</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除专用条件另有约定外，酬金均以人民币支付。所采用的货币种类、比例和汇率在专用条件中约定。</w:t>
      </w:r>
    </w:p>
    <w:p>
      <w:pPr>
        <w:snapToGrid w:val="0"/>
        <w:spacing w:line="360" w:lineRule="auto"/>
        <w:ind w:left="210" w:leftChars="100"/>
        <w:rPr>
          <w:rFonts w:hint="eastAsia" w:ascii="宋体" w:hAnsi="宋体" w:eastAsia="宋体" w:cs="宋体"/>
          <w:bCs/>
          <w:sz w:val="24"/>
          <w:szCs w:val="24"/>
          <w:highlight w:val="none"/>
        </w:rPr>
      </w:pPr>
      <w:r>
        <w:rPr>
          <w:rFonts w:hint="eastAsia" w:ascii="宋体" w:hAnsi="宋体" w:eastAsia="宋体" w:cs="宋体"/>
          <w:sz w:val="24"/>
          <w:szCs w:val="24"/>
          <w:highlight w:val="none"/>
        </w:rPr>
        <w:t>5.2支付申请</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监理人应在本合同约定的每次应付款时间的7天前，向委托人提交支付申请书。支付申请书应当说明当期应付款总额，并列出当期应支付的款项及其金额。</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5.3支付酬金</w:t>
      </w:r>
    </w:p>
    <w:p>
      <w:pPr>
        <w:snapToGrid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支付的酬金包括正常工作酬金、附加工作酬金、合理化建议奖励金额及费用。</w:t>
      </w:r>
    </w:p>
    <w:p>
      <w:pPr>
        <w:snapToGrid w:val="0"/>
        <w:spacing w:line="360" w:lineRule="auto"/>
        <w:rPr>
          <w:rFonts w:hint="eastAsia" w:ascii="宋体" w:hAnsi="宋体" w:eastAsia="宋体" w:cs="宋体"/>
          <w:bCs/>
          <w:sz w:val="24"/>
          <w:szCs w:val="24"/>
          <w:highlight w:val="none"/>
        </w:rPr>
      </w:pPr>
      <w:r>
        <w:rPr>
          <w:rFonts w:hint="eastAsia" w:ascii="宋体" w:hAnsi="宋体" w:eastAsia="宋体" w:cs="宋体"/>
          <w:sz w:val="24"/>
          <w:szCs w:val="24"/>
          <w:highlight w:val="none"/>
        </w:rPr>
        <w:t xml:space="preserve"> 5.4</w:t>
      </w:r>
      <w:r>
        <w:rPr>
          <w:rFonts w:hint="eastAsia" w:ascii="宋体" w:hAnsi="宋体" w:eastAsia="宋体" w:cs="宋体"/>
          <w:bCs/>
          <w:sz w:val="24"/>
          <w:szCs w:val="24"/>
          <w:highlight w:val="none"/>
        </w:rPr>
        <w:t>有争议部分的付款</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pPr>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6.合同生效、变更、暂停、解除与终止</w:t>
      </w:r>
    </w:p>
    <w:p>
      <w:pPr>
        <w:spacing w:line="360" w:lineRule="auto"/>
        <w:ind w:left="210" w:leftChars="100"/>
        <w:rPr>
          <w:rFonts w:hint="eastAsia" w:ascii="宋体" w:hAnsi="宋体" w:eastAsia="宋体" w:cs="宋体"/>
          <w:sz w:val="24"/>
          <w:szCs w:val="24"/>
          <w:highlight w:val="none"/>
        </w:rPr>
      </w:pPr>
      <w:r>
        <w:rPr>
          <w:rFonts w:hint="eastAsia" w:ascii="宋体" w:hAnsi="宋体" w:eastAsia="宋体" w:cs="宋体"/>
          <w:sz w:val="24"/>
          <w:szCs w:val="24"/>
          <w:highlight w:val="none"/>
        </w:rPr>
        <w:t>6.1生效</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除法律另有规定或者专用条件另有约定外，委托人和监理人的法定代表人或其授权代理人在协议书上签字并盖单位章后本合同生效。</w:t>
      </w:r>
    </w:p>
    <w:p>
      <w:pPr>
        <w:snapToGrid w:val="0"/>
        <w:spacing w:line="360" w:lineRule="auto"/>
        <w:ind w:left="210" w:leftChars="100"/>
        <w:rPr>
          <w:rFonts w:hint="eastAsia" w:ascii="宋体" w:hAnsi="宋体" w:eastAsia="宋体" w:cs="宋体"/>
          <w:bCs/>
          <w:sz w:val="24"/>
          <w:szCs w:val="24"/>
          <w:highlight w:val="none"/>
        </w:rPr>
      </w:pPr>
      <w:r>
        <w:rPr>
          <w:rFonts w:hint="eastAsia" w:ascii="宋体" w:hAnsi="宋体" w:eastAsia="宋体" w:cs="宋体"/>
          <w:sz w:val="24"/>
          <w:szCs w:val="24"/>
          <w:highlight w:val="none"/>
        </w:rPr>
        <w:t>6.2</w:t>
      </w:r>
      <w:r>
        <w:rPr>
          <w:rFonts w:hint="eastAsia" w:ascii="宋体" w:hAnsi="宋体" w:eastAsia="宋体" w:cs="宋体"/>
          <w:bCs/>
          <w:sz w:val="24"/>
          <w:szCs w:val="24"/>
          <w:highlight w:val="none"/>
        </w:rPr>
        <w:t>变更</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6.2.1任何一方提出变更请求时，双方经协商一致后可进行变更。</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6.2.4合同签订后，遇有与工程相关的法律法规、标准颁布或修订的，双方应遵照执行。由此引起监理与相关服务的范围、时间、酬金变化的，双方应通过协商进行相应调整。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6.2.5 因非监理人原因造成工程概算投资额或建筑安装工程费增加时，正常工作酬金应作相应调整。调整方法在专用条件中约定。</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6.2.6 因工程规模、监理范围的变化导致监理人的正常工作量减少时，正常工作酬金应作相应调整。调整方法在专用条件中约定。</w:t>
      </w:r>
    </w:p>
    <w:p>
      <w:pPr>
        <w:snapToGrid w:val="0"/>
        <w:spacing w:line="360" w:lineRule="auto"/>
        <w:rPr>
          <w:rFonts w:hint="eastAsia" w:ascii="宋体" w:hAnsi="宋体" w:eastAsia="宋体" w:cs="宋体"/>
          <w:bCs/>
          <w:sz w:val="24"/>
          <w:szCs w:val="24"/>
          <w:highlight w:val="none"/>
        </w:rPr>
      </w:pPr>
      <w:r>
        <w:rPr>
          <w:rFonts w:hint="eastAsia" w:ascii="宋体" w:hAnsi="宋体" w:eastAsia="宋体" w:cs="宋体"/>
          <w:sz w:val="24"/>
          <w:szCs w:val="24"/>
          <w:highlight w:val="none"/>
        </w:rPr>
        <w:t xml:space="preserve">  6.3暂停与</w:t>
      </w:r>
      <w:r>
        <w:rPr>
          <w:rFonts w:hint="eastAsia" w:ascii="宋体" w:hAnsi="宋体" w:eastAsia="宋体" w:cs="宋体"/>
          <w:bCs/>
          <w:sz w:val="24"/>
          <w:szCs w:val="24"/>
          <w:highlight w:val="none"/>
        </w:rPr>
        <w:t>解除</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6.3.1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因解除本合同或解除监理人的部分义务导致监理人遭受的损失，除依法可以免除责任的情况外，应由委托人予以补偿，补偿金额由双方协商确定。</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解除本合同的协议必须采取书面形式，协议未达成之前，本合同仍然有效。</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6.3.5 因不可抗力致使本合同部分或全部不能履行时，一方应立即通知另一方，可暂停或解除本合同。</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6.3.6 本合同解除后，本合同约定的有关结算、清理、争议解决方式的条件仍然有效。</w:t>
      </w:r>
    </w:p>
    <w:p>
      <w:pPr>
        <w:snapToGrid w:val="0"/>
        <w:spacing w:line="360" w:lineRule="auto"/>
        <w:ind w:left="210" w:leftChars="100"/>
        <w:rPr>
          <w:rFonts w:hint="eastAsia" w:ascii="宋体" w:hAnsi="宋体" w:eastAsia="宋体" w:cs="宋体"/>
          <w:bCs/>
          <w:sz w:val="24"/>
          <w:szCs w:val="24"/>
          <w:highlight w:val="none"/>
        </w:rPr>
      </w:pPr>
      <w:r>
        <w:rPr>
          <w:rFonts w:hint="eastAsia" w:ascii="宋体" w:hAnsi="宋体" w:eastAsia="宋体" w:cs="宋体"/>
          <w:sz w:val="24"/>
          <w:szCs w:val="24"/>
          <w:highlight w:val="none"/>
        </w:rPr>
        <w:t xml:space="preserve">6.4 </w:t>
      </w:r>
      <w:r>
        <w:rPr>
          <w:rFonts w:hint="eastAsia" w:ascii="宋体" w:hAnsi="宋体" w:eastAsia="宋体" w:cs="宋体"/>
          <w:bCs/>
          <w:sz w:val="24"/>
          <w:szCs w:val="24"/>
          <w:highlight w:val="none"/>
        </w:rPr>
        <w:t>终止</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以下条件全部满足时，本合同即告终止：</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（1）监理人完成本合同约定的全部工作；</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（2）委托人与监理人结清并支付全部酬金。</w:t>
      </w:r>
    </w:p>
    <w:p>
      <w:pPr>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7.争议解决</w:t>
      </w:r>
    </w:p>
    <w:p>
      <w:pPr>
        <w:snapToGrid w:val="0"/>
        <w:spacing w:line="360" w:lineRule="auto"/>
        <w:ind w:left="210" w:leftChars="100"/>
        <w:rPr>
          <w:rFonts w:hint="eastAsia" w:ascii="宋体" w:hAnsi="宋体" w:eastAsia="宋体" w:cs="宋体"/>
          <w:bCs/>
          <w:sz w:val="24"/>
          <w:szCs w:val="24"/>
          <w:highlight w:val="none"/>
        </w:rPr>
      </w:pPr>
      <w:r>
        <w:rPr>
          <w:rFonts w:hint="eastAsia" w:ascii="宋体" w:hAnsi="宋体" w:eastAsia="宋体" w:cs="宋体"/>
          <w:sz w:val="24"/>
          <w:szCs w:val="24"/>
          <w:highlight w:val="none"/>
        </w:rPr>
        <w:t>7.1</w:t>
      </w:r>
      <w:r>
        <w:rPr>
          <w:rFonts w:hint="eastAsia" w:ascii="宋体" w:hAnsi="宋体" w:eastAsia="宋体" w:cs="宋体"/>
          <w:bCs/>
          <w:sz w:val="24"/>
          <w:szCs w:val="24"/>
          <w:highlight w:val="none"/>
        </w:rPr>
        <w:t>协商</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双方应本着诚信原则协商解决彼此间的争议。</w:t>
      </w:r>
    </w:p>
    <w:p>
      <w:pPr>
        <w:snapToGrid w:val="0"/>
        <w:spacing w:line="360" w:lineRule="auto"/>
        <w:ind w:left="210" w:leftChars="100"/>
        <w:rPr>
          <w:rFonts w:hint="eastAsia" w:ascii="宋体" w:hAnsi="宋体" w:eastAsia="宋体" w:cs="宋体"/>
          <w:bCs/>
          <w:sz w:val="24"/>
          <w:szCs w:val="24"/>
          <w:highlight w:val="none"/>
        </w:rPr>
      </w:pPr>
      <w:r>
        <w:rPr>
          <w:rFonts w:hint="eastAsia" w:ascii="宋体" w:hAnsi="宋体" w:eastAsia="宋体" w:cs="宋体"/>
          <w:sz w:val="24"/>
          <w:szCs w:val="24"/>
          <w:highlight w:val="none"/>
        </w:rPr>
        <w:t>7.2</w:t>
      </w:r>
      <w:r>
        <w:rPr>
          <w:rFonts w:hint="eastAsia" w:ascii="宋体" w:hAnsi="宋体" w:eastAsia="宋体" w:cs="宋体"/>
          <w:bCs/>
          <w:sz w:val="24"/>
          <w:szCs w:val="24"/>
          <w:highlight w:val="none"/>
        </w:rPr>
        <w:t>调解</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如果双方不能在14天内或双方商定的其他时间内解决本合同争议，可以将其提交给专用条件约定的或事后达成协议的调解人进行调解。</w:t>
      </w:r>
    </w:p>
    <w:p>
      <w:pPr>
        <w:snapToGrid w:val="0"/>
        <w:spacing w:line="360" w:lineRule="auto"/>
        <w:ind w:left="210" w:leftChars="100"/>
        <w:rPr>
          <w:rFonts w:hint="eastAsia" w:ascii="宋体" w:hAnsi="宋体" w:eastAsia="宋体" w:cs="宋体"/>
          <w:bCs/>
          <w:sz w:val="24"/>
          <w:szCs w:val="24"/>
          <w:highlight w:val="none"/>
        </w:rPr>
      </w:pPr>
      <w:r>
        <w:rPr>
          <w:rFonts w:hint="eastAsia" w:ascii="宋体" w:hAnsi="宋体" w:eastAsia="宋体" w:cs="宋体"/>
          <w:sz w:val="24"/>
          <w:szCs w:val="24"/>
          <w:highlight w:val="none"/>
        </w:rPr>
        <w:t>7.3</w:t>
      </w:r>
      <w:r>
        <w:rPr>
          <w:rFonts w:hint="eastAsia" w:ascii="宋体" w:hAnsi="宋体" w:eastAsia="宋体" w:cs="宋体"/>
          <w:bCs/>
          <w:sz w:val="24"/>
          <w:szCs w:val="24"/>
          <w:highlight w:val="none"/>
        </w:rPr>
        <w:t>仲裁或诉讼</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双方均有权不经调解直接向专用条件约定的仲裁机构申请仲裁或向有管辖权的人民法院提起诉讼。</w:t>
      </w:r>
    </w:p>
    <w:p>
      <w:pPr>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8.其他</w:t>
      </w:r>
    </w:p>
    <w:p>
      <w:pPr>
        <w:spacing w:line="360" w:lineRule="auto"/>
        <w:ind w:left="210" w:leftChars="100"/>
        <w:rPr>
          <w:rFonts w:hint="eastAsia" w:ascii="宋体" w:hAnsi="宋体" w:eastAsia="宋体" w:cs="宋体"/>
          <w:bCs/>
          <w:sz w:val="24"/>
          <w:szCs w:val="24"/>
          <w:highlight w:val="none"/>
        </w:rPr>
      </w:pPr>
      <w:r>
        <w:rPr>
          <w:rFonts w:hint="eastAsia" w:ascii="宋体" w:hAnsi="宋体" w:eastAsia="宋体" w:cs="宋体"/>
          <w:sz w:val="24"/>
          <w:szCs w:val="24"/>
          <w:highlight w:val="none"/>
        </w:rPr>
        <w:t>8.1</w:t>
      </w:r>
      <w:r>
        <w:rPr>
          <w:rFonts w:hint="eastAsia" w:ascii="宋体" w:hAnsi="宋体" w:eastAsia="宋体" w:cs="宋体"/>
          <w:bCs/>
          <w:sz w:val="24"/>
          <w:szCs w:val="24"/>
          <w:highlight w:val="none"/>
        </w:rPr>
        <w:t>外出考察费用</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经委托人同意，监理人员外出考察发生的费用由委托人审核后支付。</w:t>
      </w:r>
    </w:p>
    <w:p>
      <w:pPr>
        <w:snapToGrid w:val="0"/>
        <w:spacing w:line="360" w:lineRule="auto"/>
        <w:ind w:left="210" w:leftChars="100"/>
        <w:rPr>
          <w:rFonts w:hint="eastAsia" w:ascii="宋体" w:hAnsi="宋体" w:eastAsia="宋体" w:cs="宋体"/>
          <w:bCs/>
          <w:sz w:val="24"/>
          <w:szCs w:val="24"/>
          <w:highlight w:val="none"/>
        </w:rPr>
      </w:pPr>
      <w:r>
        <w:rPr>
          <w:rFonts w:hint="eastAsia" w:ascii="宋体" w:hAnsi="宋体" w:eastAsia="宋体" w:cs="宋体"/>
          <w:sz w:val="24"/>
          <w:szCs w:val="24"/>
          <w:highlight w:val="none"/>
        </w:rPr>
        <w:t>8.2</w:t>
      </w:r>
      <w:r>
        <w:rPr>
          <w:rFonts w:hint="eastAsia" w:ascii="宋体" w:hAnsi="宋体" w:eastAsia="宋体" w:cs="宋体"/>
          <w:bCs/>
          <w:sz w:val="24"/>
          <w:szCs w:val="24"/>
          <w:highlight w:val="none"/>
        </w:rPr>
        <w:t>检测费用</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委托人要求监理人进行的材料和设备检测所发生的费用，由委托人支付，支付时间在专用条件中约定。</w:t>
      </w:r>
    </w:p>
    <w:p>
      <w:pPr>
        <w:snapToGrid w:val="0"/>
        <w:spacing w:line="360" w:lineRule="auto"/>
        <w:ind w:left="210" w:leftChars="100"/>
        <w:rPr>
          <w:rFonts w:hint="eastAsia" w:ascii="宋体" w:hAnsi="宋体" w:eastAsia="宋体" w:cs="宋体"/>
          <w:bCs/>
          <w:sz w:val="24"/>
          <w:szCs w:val="24"/>
          <w:highlight w:val="none"/>
        </w:rPr>
      </w:pPr>
      <w:r>
        <w:rPr>
          <w:rFonts w:hint="eastAsia" w:ascii="宋体" w:hAnsi="宋体" w:eastAsia="宋体" w:cs="宋体"/>
          <w:sz w:val="24"/>
          <w:szCs w:val="24"/>
          <w:highlight w:val="none"/>
        </w:rPr>
        <w:t>8.3</w:t>
      </w:r>
      <w:r>
        <w:rPr>
          <w:rFonts w:hint="eastAsia" w:ascii="宋体" w:hAnsi="宋体" w:eastAsia="宋体" w:cs="宋体"/>
          <w:bCs/>
          <w:sz w:val="24"/>
          <w:szCs w:val="24"/>
          <w:highlight w:val="none"/>
        </w:rPr>
        <w:t>咨询费用</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经委托人同意，根据工程需要由监理人组织的相关咨询论证会以及聘请相关专家等发生的费用由委托人支付，支付时间在专用条件中约定。</w:t>
      </w:r>
    </w:p>
    <w:p>
      <w:pPr>
        <w:snapToGrid w:val="0"/>
        <w:spacing w:line="360" w:lineRule="auto"/>
        <w:ind w:left="210" w:leftChars="100"/>
        <w:rPr>
          <w:rFonts w:hint="eastAsia" w:ascii="宋体" w:hAnsi="宋体" w:eastAsia="宋体" w:cs="宋体"/>
          <w:bCs/>
          <w:sz w:val="24"/>
          <w:szCs w:val="24"/>
          <w:highlight w:val="none"/>
        </w:rPr>
      </w:pPr>
      <w:r>
        <w:rPr>
          <w:rFonts w:hint="eastAsia" w:ascii="宋体" w:hAnsi="宋体" w:eastAsia="宋体" w:cs="宋体"/>
          <w:sz w:val="24"/>
          <w:szCs w:val="24"/>
          <w:highlight w:val="none"/>
        </w:rPr>
        <w:t>8.4</w:t>
      </w:r>
      <w:r>
        <w:rPr>
          <w:rFonts w:hint="eastAsia" w:ascii="宋体" w:hAnsi="宋体" w:eastAsia="宋体" w:cs="宋体"/>
          <w:bCs/>
          <w:sz w:val="24"/>
          <w:szCs w:val="24"/>
          <w:highlight w:val="none"/>
        </w:rPr>
        <w:t>奖励</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ind w:left="210" w:leftChars="100"/>
        <w:rPr>
          <w:rFonts w:hint="eastAsia" w:ascii="宋体" w:hAnsi="宋体" w:eastAsia="宋体" w:cs="宋体"/>
          <w:bCs/>
          <w:sz w:val="24"/>
          <w:szCs w:val="24"/>
          <w:highlight w:val="none"/>
        </w:rPr>
      </w:pPr>
      <w:r>
        <w:rPr>
          <w:rFonts w:hint="eastAsia" w:ascii="宋体" w:hAnsi="宋体" w:eastAsia="宋体" w:cs="宋体"/>
          <w:sz w:val="24"/>
          <w:szCs w:val="24"/>
          <w:highlight w:val="none"/>
        </w:rPr>
        <w:t>8.5</w:t>
      </w:r>
      <w:r>
        <w:rPr>
          <w:rFonts w:hint="eastAsia" w:ascii="宋体" w:hAnsi="宋体" w:eastAsia="宋体" w:cs="宋体"/>
          <w:bCs/>
          <w:sz w:val="24"/>
          <w:szCs w:val="24"/>
          <w:highlight w:val="none"/>
        </w:rPr>
        <w:t>守法诚信</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监理人及其工作人员不得从与实施工程有关的第三方处获得任何经济利益。</w:t>
      </w:r>
    </w:p>
    <w:p>
      <w:pPr>
        <w:snapToGrid w:val="0"/>
        <w:spacing w:line="360" w:lineRule="auto"/>
        <w:ind w:left="210" w:leftChars="100"/>
        <w:rPr>
          <w:rFonts w:hint="eastAsia" w:ascii="宋体" w:hAnsi="宋体" w:eastAsia="宋体" w:cs="宋体"/>
          <w:bCs/>
          <w:sz w:val="24"/>
          <w:szCs w:val="24"/>
          <w:highlight w:val="none"/>
        </w:rPr>
      </w:pPr>
      <w:r>
        <w:rPr>
          <w:rFonts w:hint="eastAsia" w:ascii="宋体" w:hAnsi="宋体" w:eastAsia="宋体" w:cs="宋体"/>
          <w:sz w:val="24"/>
          <w:szCs w:val="24"/>
          <w:highlight w:val="none"/>
        </w:rPr>
        <w:t>8.6</w:t>
      </w:r>
      <w:r>
        <w:rPr>
          <w:rFonts w:hint="eastAsia" w:ascii="宋体" w:hAnsi="宋体" w:eastAsia="宋体" w:cs="宋体"/>
          <w:bCs/>
          <w:sz w:val="24"/>
          <w:szCs w:val="24"/>
          <w:highlight w:val="none"/>
        </w:rPr>
        <w:t>保密</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双方不得泄露对方申明的保密资料，亦不得泄露与实施工程有关的第三方所提供的保密资料，保密事项在专用条件中约定。</w:t>
      </w:r>
    </w:p>
    <w:p>
      <w:pPr>
        <w:spacing w:beforeLines="0" w:line="360" w:lineRule="auto"/>
        <w:jc w:val="center"/>
        <w:rPr>
          <w:rFonts w:hint="eastAsia" w:ascii="宋体" w:hAnsi="宋体" w:eastAsia="宋体" w:cs="宋体"/>
          <w:b/>
          <w:bCs/>
          <w:sz w:val="24"/>
          <w:szCs w:val="24"/>
          <w:highlight w:val="none"/>
        </w:rPr>
      </w:pPr>
      <w:r>
        <w:rPr>
          <w:rFonts w:hint="eastAsia" w:hAnsi="宋体" w:cs="宋体"/>
          <w:b/>
          <w:bCs/>
          <w:szCs w:val="24"/>
          <w:highlight w:val="none"/>
        </w:rPr>
        <w:br w:type="page"/>
      </w:r>
      <w:r>
        <w:rPr>
          <w:rFonts w:hint="eastAsia" w:ascii="宋体" w:hAnsi="宋体" w:eastAsia="宋体" w:cs="宋体"/>
          <w:b/>
          <w:bCs/>
          <w:sz w:val="24"/>
          <w:szCs w:val="24"/>
          <w:highlight w:val="none"/>
        </w:rPr>
        <w:t>第三部分 专用条件</w:t>
      </w:r>
    </w:p>
    <w:p>
      <w:pPr>
        <w:adjustRightInd w:val="0"/>
        <w:snapToGrid w:val="0"/>
        <w:spacing w:beforeLines="0" w:line="360" w:lineRule="auto"/>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1.定义与解释</w:t>
      </w:r>
    </w:p>
    <w:p>
      <w:pPr>
        <w:adjustRightInd w:val="0"/>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1.2 解释</w:t>
      </w:r>
    </w:p>
    <w:p>
      <w:pPr>
        <w:adjustRightInd w:val="0"/>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1.2.1本合同文件除使用中文外，还可用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adjustRightInd w:val="0"/>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1.2.2约定本合同文件的解释顺序为：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adjustRightInd w:val="0"/>
        <w:snapToGrid w:val="0"/>
        <w:spacing w:beforeLines="0" w:line="360" w:lineRule="auto"/>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2.监理人义务</w:t>
      </w:r>
    </w:p>
    <w:p>
      <w:pPr>
        <w:adjustRightInd w:val="0"/>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2.1监理的范围和</w:t>
      </w:r>
      <w:r>
        <w:rPr>
          <w:rFonts w:hint="eastAsia" w:ascii="宋体" w:hAnsi="宋体" w:eastAsia="宋体" w:cs="宋体"/>
          <w:bCs/>
          <w:sz w:val="24"/>
          <w:szCs w:val="24"/>
          <w:highlight w:val="none"/>
        </w:rPr>
        <w:t>内容</w:t>
      </w:r>
    </w:p>
    <w:p>
      <w:pPr>
        <w:adjustRightInd w:val="0"/>
        <w:snapToGrid w:val="0"/>
        <w:spacing w:beforeLines="0" w:line="36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2.1.1监理范围包括：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adjustRightInd w:val="0"/>
        <w:snapToGrid w:val="0"/>
        <w:spacing w:beforeLines="0" w:line="36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2.1.2监理工作内容还包括：</w:t>
      </w:r>
      <w:r>
        <w:rPr>
          <w:rFonts w:hint="eastAsia" w:ascii="宋体" w:hAnsi="宋体" w:eastAsia="宋体" w:cs="宋体"/>
          <w:sz w:val="24"/>
          <w:szCs w:val="24"/>
          <w:highlight w:val="none"/>
          <w:u w:val="single"/>
        </w:rPr>
        <w:t>监理单位承担本工程施工的监理任务，并按照合同约定相应阶段的监理程序及监理规则、工作细则实施监理工作，对工程质量、工期和工程造价进行有效控制，做好安全生产监督管理以及合同、信息管理工作。</w:t>
      </w:r>
    </w:p>
    <w:p>
      <w:pPr>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2.2监理与相关服务依据</w:t>
      </w:r>
    </w:p>
    <w:p>
      <w:pPr>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2.2.1监理依据包括：</w:t>
      </w:r>
      <w:r>
        <w:rPr>
          <w:rFonts w:hint="eastAsia" w:ascii="宋体" w:hAnsi="宋体" w:eastAsia="宋体" w:cs="宋体"/>
          <w:sz w:val="24"/>
          <w:szCs w:val="24"/>
          <w:highlight w:val="none"/>
          <w:u w:val="single"/>
        </w:rPr>
        <w:t>国家现行的有关建设法规、陕西省有关建设工程文件、规定；工程建设标准强制性条文；与本工程有关的标准、规范；工程施工图纸、标准图集及相关的施工合同</w:t>
      </w:r>
      <w:r>
        <w:rPr>
          <w:rFonts w:hint="eastAsia" w:ascii="宋体" w:hAnsi="宋体" w:eastAsia="宋体" w:cs="宋体"/>
          <w:sz w:val="24"/>
          <w:szCs w:val="24"/>
          <w:highlight w:val="none"/>
        </w:rPr>
        <w:t>。</w:t>
      </w:r>
    </w:p>
    <w:p>
      <w:pPr>
        <w:adjustRightInd w:val="0"/>
        <w:snapToGrid w:val="0"/>
        <w:spacing w:beforeLines="0" w:line="360" w:lineRule="auto"/>
        <w:ind w:firstLine="480"/>
        <w:rPr>
          <w:rFonts w:hint="eastAsia" w:ascii="宋体" w:hAnsi="宋体" w:eastAsia="宋体" w:cs="宋体"/>
          <w:dstrike/>
          <w:sz w:val="24"/>
          <w:szCs w:val="24"/>
          <w:highlight w:val="none"/>
        </w:rPr>
      </w:pPr>
      <w:r>
        <w:rPr>
          <w:rFonts w:hint="eastAsia" w:ascii="宋体" w:hAnsi="宋体" w:eastAsia="宋体" w:cs="宋体"/>
          <w:sz w:val="24"/>
          <w:szCs w:val="24"/>
          <w:highlight w:val="none"/>
        </w:rPr>
        <w:t>2.2.2相关服务依据包括：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2.3项目监理机构和人员</w:t>
      </w:r>
    </w:p>
    <w:p>
      <w:pPr>
        <w:adjustRightInd w:val="0"/>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2.3.4更换监理人员的其他情形：</w:t>
      </w:r>
      <w:r>
        <w:rPr>
          <w:rFonts w:hint="eastAsia" w:ascii="宋体" w:hAnsi="宋体" w:eastAsia="宋体" w:cs="宋体"/>
          <w:sz w:val="24"/>
          <w:szCs w:val="24"/>
          <w:highlight w:val="none"/>
          <w:u w:val="single"/>
        </w:rPr>
        <w:t>监理人可根据工程进展和工作需要调整项目监理机构人员。监理人更换总</w:t>
      </w:r>
      <w:r>
        <w:rPr>
          <w:rFonts w:hint="eastAsia" w:ascii="宋体" w:hAnsi="宋体" w:eastAsia="宋体" w:cs="宋体"/>
          <w:sz w:val="24"/>
          <w:szCs w:val="24"/>
          <w:highlight w:val="none"/>
          <w:u w:val="single"/>
          <w:lang w:eastAsia="zh-CN"/>
        </w:rPr>
        <w:t>总监理工程师</w:t>
      </w:r>
      <w:r>
        <w:rPr>
          <w:rFonts w:hint="eastAsia" w:ascii="宋体" w:hAnsi="宋体" w:eastAsia="宋体" w:cs="宋体"/>
          <w:sz w:val="24"/>
          <w:szCs w:val="24"/>
          <w:highlight w:val="none"/>
          <w:u w:val="single"/>
        </w:rPr>
        <w:t>时，应提前7天向委托人书面报告，经委托人同意后方可更换；监理人更换项目监理机构其他监理人员，应以相当资格与能力的人员替换，并征得委托人同意。</w:t>
      </w:r>
    </w:p>
    <w:p>
      <w:pPr>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2.4履行职责</w:t>
      </w:r>
    </w:p>
    <w:p>
      <w:pPr>
        <w:adjustRightInd w:val="0"/>
        <w:snapToGrid w:val="0"/>
        <w:spacing w:beforeLines="0" w:line="36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2.4.3对监理人的授权范围：</w:t>
      </w:r>
      <w:r>
        <w:rPr>
          <w:rFonts w:hint="eastAsia" w:ascii="宋体" w:hAnsi="宋体" w:eastAsia="宋体" w:cs="宋体"/>
          <w:sz w:val="24"/>
          <w:szCs w:val="24"/>
          <w:highlight w:val="none"/>
          <w:u w:val="single"/>
        </w:rPr>
        <w:t>监理人需征得委托人同意才能行使的职权：①设计变更；②工期延误索赔或鉴证，工程量及费用增减的索赔或鉴证；③工程款支付；④分包商的确定；⑤主要材料的确定；⑥施工组织设计、施工总进度计划的审定；⑦其他重要突发事件处理决定见本工程建设监理合同约定权限以及发包人以书面形式通知</w:t>
      </w:r>
      <w:r>
        <w:rPr>
          <w:rFonts w:hint="eastAsia" w:ascii="宋体" w:hAnsi="宋体" w:eastAsia="宋体" w:cs="宋体"/>
          <w:sz w:val="24"/>
          <w:szCs w:val="24"/>
          <w:highlight w:val="none"/>
          <w:u w:val="single"/>
          <w:lang w:eastAsia="zh-CN"/>
        </w:rPr>
        <w:t>总监理工程师</w:t>
      </w:r>
      <w:r>
        <w:rPr>
          <w:rFonts w:hint="eastAsia" w:ascii="宋体" w:hAnsi="宋体" w:eastAsia="宋体" w:cs="宋体"/>
          <w:sz w:val="24"/>
          <w:szCs w:val="24"/>
          <w:highlight w:val="none"/>
          <w:u w:val="single"/>
        </w:rPr>
        <w:t>的其他权限；⑧停工、复工通知；⑨发包人认为须取得批准方可实施的其它重要事项</w:t>
      </w:r>
      <w:r>
        <w:rPr>
          <w:rFonts w:hint="eastAsia" w:ascii="宋体" w:hAnsi="宋体" w:eastAsia="宋体" w:cs="宋体"/>
          <w:sz w:val="24"/>
          <w:szCs w:val="24"/>
          <w:highlight w:val="none"/>
        </w:rPr>
        <w:t>。</w:t>
      </w:r>
    </w:p>
    <w:p>
      <w:pPr>
        <w:tabs>
          <w:tab w:val="left" w:pos="0"/>
        </w:tabs>
        <w:adjustRightInd w:val="0"/>
        <w:snapToGrid w:val="0"/>
        <w:spacing w:beforeLines="0"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2.4.4监理人有权要求承包人调换其人员的限制条件1.承包人不能胜任职责的。2.承包人能力和责任心不适应本工程条件的。</w:t>
      </w:r>
    </w:p>
    <w:p>
      <w:pPr>
        <w:adjustRightInd w:val="0"/>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2.5提交报告</w:t>
      </w:r>
    </w:p>
    <w:p>
      <w:pPr>
        <w:adjustRightInd w:val="0"/>
        <w:snapToGrid w:val="0"/>
        <w:spacing w:beforeLines="0" w:line="36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监理人应提交报告的种类(包括监理规划、监理月报及约定的专项报告)、时间和份数：</w:t>
      </w:r>
      <w:r>
        <w:rPr>
          <w:rFonts w:hint="eastAsia" w:ascii="宋体" w:hAnsi="宋体" w:eastAsia="宋体" w:cs="宋体"/>
          <w:sz w:val="24"/>
          <w:szCs w:val="24"/>
          <w:highlight w:val="none"/>
          <w:u w:val="single"/>
        </w:rPr>
        <w:t>1.监理规划，合同签订后七天内提交；2.监理月报，每月26-28日提交；3.专项报告随工程进度情况，随时提交</w:t>
      </w:r>
      <w:r>
        <w:rPr>
          <w:rFonts w:hint="eastAsia" w:ascii="宋体" w:hAnsi="宋体" w:eastAsia="宋体" w:cs="宋体"/>
          <w:sz w:val="24"/>
          <w:szCs w:val="24"/>
          <w:highlight w:val="none"/>
        </w:rPr>
        <w:t>。</w:t>
      </w:r>
    </w:p>
    <w:p>
      <w:pPr>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2.7使用委托人的财产</w:t>
      </w:r>
    </w:p>
    <w:p>
      <w:pPr>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监理人应在本合同终止后</w:t>
      </w:r>
      <w:r>
        <w:rPr>
          <w:rFonts w:hint="eastAsia" w:ascii="宋体" w:hAnsi="宋体" w:eastAsia="宋体" w:cs="宋体"/>
          <w:sz w:val="24"/>
          <w:szCs w:val="24"/>
          <w:highlight w:val="none"/>
          <w:u w:val="single"/>
        </w:rPr>
        <w:t>30</w:t>
      </w:r>
      <w:r>
        <w:rPr>
          <w:rFonts w:hint="eastAsia" w:ascii="宋体" w:hAnsi="宋体" w:eastAsia="宋体" w:cs="宋体"/>
          <w:sz w:val="24"/>
          <w:szCs w:val="24"/>
          <w:highlight w:val="none"/>
        </w:rPr>
        <w:t>天内移交委托人无偿提供的房屋、设备，移交的时间和方式为：</w:t>
      </w:r>
      <w:r>
        <w:rPr>
          <w:rFonts w:hint="eastAsia" w:ascii="宋体" w:hAnsi="宋体" w:eastAsia="宋体" w:cs="宋体"/>
          <w:sz w:val="24"/>
          <w:szCs w:val="24"/>
          <w:highlight w:val="none"/>
          <w:u w:val="single"/>
        </w:rPr>
        <w:t>书面移交</w:t>
      </w:r>
      <w:r>
        <w:rPr>
          <w:rFonts w:hint="eastAsia" w:ascii="宋体" w:hAnsi="宋体" w:eastAsia="宋体" w:cs="宋体"/>
          <w:sz w:val="24"/>
          <w:szCs w:val="24"/>
          <w:highlight w:val="none"/>
        </w:rPr>
        <w:t>。</w:t>
      </w:r>
    </w:p>
    <w:p>
      <w:pPr>
        <w:adjustRightInd w:val="0"/>
        <w:snapToGrid w:val="0"/>
        <w:spacing w:beforeLines="0" w:line="360" w:lineRule="auto"/>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3.委托人义务</w:t>
      </w:r>
    </w:p>
    <w:p>
      <w:pPr>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3.4委托人代表</w:t>
      </w:r>
    </w:p>
    <w:p>
      <w:pPr>
        <w:adjustRightInd w:val="0"/>
        <w:snapToGrid w:val="0"/>
        <w:spacing w:beforeLines="0" w:line="36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委托人代表为：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adjustRightInd w:val="0"/>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3.6答复</w:t>
      </w:r>
    </w:p>
    <w:p>
      <w:pPr>
        <w:adjustRightInd w:val="0"/>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委托人同意在</w:t>
      </w:r>
      <w:r>
        <w:rPr>
          <w:rFonts w:hint="eastAsia" w:ascii="宋体" w:hAnsi="宋体" w:eastAsia="宋体" w:cs="宋体"/>
          <w:sz w:val="24"/>
          <w:szCs w:val="24"/>
          <w:highlight w:val="none"/>
          <w:u w:val="single"/>
        </w:rPr>
        <w:t>3</w:t>
      </w:r>
      <w:r>
        <w:rPr>
          <w:rFonts w:hint="eastAsia" w:ascii="宋体" w:hAnsi="宋体" w:eastAsia="宋体" w:cs="宋体"/>
          <w:sz w:val="24"/>
          <w:szCs w:val="24"/>
          <w:highlight w:val="none"/>
        </w:rPr>
        <w:t>天内，对监理人书面提交并要求做出决定的事宜给予书面答复。</w:t>
      </w:r>
    </w:p>
    <w:p>
      <w:pPr>
        <w:snapToGrid w:val="0"/>
        <w:spacing w:beforeLines="0" w:line="360" w:lineRule="auto"/>
        <w:ind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4.违约责任</w:t>
      </w:r>
    </w:p>
    <w:p>
      <w:pPr>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4.1监理人的违约责任</w:t>
      </w:r>
    </w:p>
    <w:p>
      <w:pPr>
        <w:adjustRightInd w:val="0"/>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4.1.1监理人赔偿金额按下列方法确定：</w:t>
      </w:r>
    </w:p>
    <w:p>
      <w:pPr>
        <w:adjustRightInd w:val="0"/>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赔偿金＝直接经济损失×正常工作酬金÷工程投资额</w:t>
      </w:r>
    </w:p>
    <w:p>
      <w:pPr>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4.2委托人的违约责任</w:t>
      </w:r>
    </w:p>
    <w:p>
      <w:pPr>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4.2.3委托人逾期付款利息按下列方法确定：</w:t>
      </w:r>
    </w:p>
    <w:p>
      <w:pPr>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逾期付款利息＝当期应付款总额×银行同期贷款利率×拖延支付天数</w:t>
      </w:r>
    </w:p>
    <w:p>
      <w:pPr>
        <w:snapToGrid w:val="0"/>
        <w:spacing w:beforeLines="0" w:line="360" w:lineRule="auto"/>
        <w:ind w:firstLine="482"/>
        <w:rPr>
          <w:rFonts w:hint="eastAsia" w:ascii="宋体" w:hAnsi="宋体" w:eastAsia="宋体" w:cs="宋体"/>
          <w:b/>
          <w:sz w:val="24"/>
          <w:szCs w:val="24"/>
          <w:highlight w:val="none"/>
        </w:rPr>
      </w:pPr>
      <w:r>
        <w:rPr>
          <w:rFonts w:hint="eastAsia" w:ascii="宋体" w:hAnsi="宋体" w:eastAsia="宋体" w:cs="宋体"/>
          <w:b/>
          <w:bCs/>
          <w:sz w:val="24"/>
          <w:szCs w:val="24"/>
          <w:highlight w:val="none"/>
        </w:rPr>
        <w:t>5.支付</w:t>
      </w:r>
    </w:p>
    <w:p>
      <w:pPr>
        <w:snapToGrid w:val="0"/>
        <w:spacing w:beforeLines="0" w:line="360" w:lineRule="auto"/>
        <w:ind w:firstLine="480"/>
        <w:rPr>
          <w:rFonts w:hint="eastAsia" w:ascii="宋体" w:hAnsi="宋体" w:eastAsia="宋体" w:cs="宋体"/>
          <w:b/>
          <w:sz w:val="24"/>
          <w:szCs w:val="24"/>
          <w:highlight w:val="none"/>
        </w:rPr>
      </w:pPr>
      <w:r>
        <w:rPr>
          <w:rFonts w:hint="eastAsia" w:ascii="宋体" w:hAnsi="宋体" w:eastAsia="宋体" w:cs="宋体"/>
          <w:sz w:val="24"/>
          <w:szCs w:val="24"/>
          <w:highlight w:val="none"/>
        </w:rPr>
        <w:t>5.1</w:t>
      </w:r>
      <w:r>
        <w:rPr>
          <w:rFonts w:hint="eastAsia" w:ascii="宋体" w:hAnsi="宋体" w:eastAsia="宋体" w:cs="宋体"/>
          <w:bCs/>
          <w:sz w:val="24"/>
          <w:szCs w:val="24"/>
          <w:highlight w:val="none"/>
        </w:rPr>
        <w:t>支付货币</w:t>
      </w:r>
    </w:p>
    <w:p>
      <w:pPr>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币种为：</w:t>
      </w:r>
      <w:r>
        <w:rPr>
          <w:rFonts w:hint="eastAsia" w:ascii="宋体" w:hAnsi="宋体" w:eastAsia="宋体" w:cs="宋体"/>
          <w:sz w:val="24"/>
          <w:szCs w:val="24"/>
          <w:highlight w:val="none"/>
          <w:u w:val="single"/>
        </w:rPr>
        <w:t>人民币</w:t>
      </w:r>
      <w:r>
        <w:rPr>
          <w:rFonts w:hint="eastAsia" w:ascii="宋体" w:hAnsi="宋体" w:eastAsia="宋体" w:cs="宋体"/>
          <w:sz w:val="24"/>
          <w:szCs w:val="24"/>
          <w:highlight w:val="none"/>
        </w:rPr>
        <w:t>。</w:t>
      </w:r>
    </w:p>
    <w:p>
      <w:pPr>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5.3支付酬金</w:t>
      </w:r>
    </w:p>
    <w:p>
      <w:pPr>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正常工作酬金的支付：</w:t>
      </w:r>
    </w:p>
    <w:p>
      <w:pPr>
        <w:numPr>
          <w:ilvl w:val="0"/>
          <w:numId w:val="5"/>
        </w:numPr>
        <w:snapToGrid w:val="0"/>
        <w:spacing w:beforeLines="0"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p>
    <w:p>
      <w:pPr>
        <w:numPr>
          <w:ilvl w:val="0"/>
          <w:numId w:val="6"/>
        </w:numPr>
        <w:snapToGrid w:val="0"/>
        <w:spacing w:beforeLines="0"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p>
    <w:p>
      <w:pPr>
        <w:numPr>
          <w:ilvl w:val="0"/>
          <w:numId w:val="7"/>
        </w:numPr>
        <w:snapToGrid w:val="0"/>
        <w:spacing w:before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snapToGrid w:val="0"/>
        <w:spacing w:beforeLines="0" w:line="360" w:lineRule="auto"/>
        <w:ind w:firstLine="480"/>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6</w:t>
      </w:r>
      <w:r>
        <w:rPr>
          <w:rFonts w:hint="eastAsia" w:ascii="宋体" w:hAnsi="宋体" w:eastAsia="宋体" w:cs="宋体"/>
          <w:b/>
          <w:bCs/>
          <w:sz w:val="24"/>
          <w:szCs w:val="24"/>
          <w:highlight w:val="none"/>
        </w:rPr>
        <w:t>.合同生效、变更、暂停、解除与终止</w:t>
      </w:r>
    </w:p>
    <w:p>
      <w:pPr>
        <w:adjustRightInd w:val="0"/>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6.1生效本合同生效条件：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adjustRightInd w:val="0"/>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6.2变更</w:t>
      </w:r>
    </w:p>
    <w:p>
      <w:pPr>
        <w:adjustRightInd w:val="0"/>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6.2.2除不可抗力外，因非监理人原因导致本合同期限延长时，附加工作酬金按下列方法确定：</w:t>
      </w:r>
    </w:p>
    <w:p>
      <w:pPr>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延期一个月内无补偿，延期超过一个月按以下原则进行补偿：</w:t>
      </w:r>
    </w:p>
    <w:p>
      <w:pPr>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监理延期费</w:t>
      </w:r>
      <w:r>
        <w:rPr>
          <w:rFonts w:hint="eastAsia" w:ascii="宋体" w:hAnsi="宋体" w:eastAsia="宋体" w:cs="宋体"/>
          <w:sz w:val="24"/>
          <w:szCs w:val="24"/>
          <w:highlight w:val="none"/>
        </w:rPr>
        <w:t>=本合同期限延长时间（天）×正常工作酬金÷协议书约定的监理与相关服务期限（天）</w:t>
      </w:r>
    </w:p>
    <w:p>
      <w:pPr>
        <w:snapToGrid w:val="0"/>
        <w:spacing w:beforeLines="0" w:line="360" w:lineRule="auto"/>
        <w:ind w:firstLine="482"/>
        <w:rPr>
          <w:rFonts w:hint="eastAsia" w:ascii="宋体" w:hAnsi="宋体" w:eastAsia="宋体" w:cs="宋体"/>
          <w:b/>
          <w:sz w:val="24"/>
          <w:szCs w:val="24"/>
          <w:highlight w:val="none"/>
        </w:rPr>
      </w:pPr>
      <w:r>
        <w:rPr>
          <w:rFonts w:hint="eastAsia" w:ascii="宋体" w:hAnsi="宋体" w:eastAsia="宋体" w:cs="宋体"/>
          <w:b/>
          <w:bCs/>
          <w:sz w:val="24"/>
          <w:szCs w:val="24"/>
          <w:highlight w:val="none"/>
        </w:rPr>
        <w:t>7.争议解决</w:t>
      </w:r>
    </w:p>
    <w:p>
      <w:pPr>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1</w:t>
      </w:r>
      <w:r>
        <w:rPr>
          <w:rFonts w:hint="eastAsia" w:ascii="宋体" w:hAnsi="宋体" w:eastAsia="宋体" w:cs="宋体"/>
          <w:bCs/>
          <w:sz w:val="24"/>
          <w:szCs w:val="24"/>
          <w:highlight w:val="none"/>
        </w:rPr>
        <w:t>调解</w:t>
      </w:r>
    </w:p>
    <w:p>
      <w:pPr>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本合同争议进行调解时，可提交</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进行调解。</w:t>
      </w:r>
    </w:p>
    <w:p>
      <w:pPr>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rPr>
        <w:t>仲裁或诉讼</w:t>
      </w:r>
    </w:p>
    <w:p>
      <w:pPr>
        <w:adjustRightInd w:val="0"/>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合同争议的最终解决方式为下列第</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种方式：</w:t>
      </w:r>
    </w:p>
    <w:p>
      <w:pPr>
        <w:adjustRightInd w:val="0"/>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（1）提请</w:t>
      </w:r>
      <w:r>
        <w:rPr>
          <w:rFonts w:hint="eastAsia" w:ascii="宋体" w:hAnsi="宋体" w:eastAsia="宋体" w:cs="宋体"/>
          <w:sz w:val="24"/>
          <w:szCs w:val="24"/>
          <w:highlight w:val="none"/>
          <w:u w:val="single"/>
        </w:rPr>
        <w:t>西安市</w:t>
      </w:r>
      <w:r>
        <w:rPr>
          <w:rFonts w:hint="eastAsia" w:ascii="宋体" w:hAnsi="宋体" w:eastAsia="宋体" w:cs="宋体"/>
          <w:sz w:val="24"/>
          <w:szCs w:val="24"/>
          <w:highlight w:val="none"/>
        </w:rPr>
        <w:t>仲裁委员会进行仲裁。</w:t>
      </w:r>
    </w:p>
    <w:p>
      <w:pPr>
        <w:adjustRightInd w:val="0"/>
        <w:snapToGrid w:val="0"/>
        <w:spacing w:beforeLines="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（2）向</w:t>
      </w:r>
      <w:r>
        <w:rPr>
          <w:rFonts w:hint="eastAsia" w:ascii="宋体" w:hAnsi="宋体" w:eastAsia="宋体" w:cs="宋体"/>
          <w:sz w:val="24"/>
          <w:szCs w:val="24"/>
          <w:highlight w:val="none"/>
          <w:u w:val="single"/>
        </w:rPr>
        <w:t>西安市</w:t>
      </w:r>
      <w:r>
        <w:rPr>
          <w:rFonts w:hint="eastAsia" w:ascii="宋体" w:hAnsi="宋体" w:eastAsia="宋体" w:cs="宋体"/>
          <w:sz w:val="24"/>
          <w:szCs w:val="24"/>
          <w:highlight w:val="none"/>
        </w:rPr>
        <w:t>人民法院提起诉讼。</w:t>
      </w:r>
    </w:p>
    <w:p>
      <w:pPr>
        <w:spacing w:beforeLines="0" w:line="360" w:lineRule="auto"/>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.补充条款</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bookmarkEnd w:id="70"/>
      <w:bookmarkEnd w:id="71"/>
      <w:bookmarkEnd w:id="72"/>
      <w:r>
        <w:rPr>
          <w:rFonts w:hint="eastAsia" w:ascii="宋体" w:hAnsi="宋体" w:eastAsia="宋体" w:cs="宋体"/>
          <w:b/>
          <w:bCs/>
          <w:sz w:val="24"/>
          <w:szCs w:val="24"/>
          <w:highlight w:val="none"/>
        </w:rPr>
        <w:br w:type="page"/>
      </w:r>
    </w:p>
    <w:p>
      <w:pPr>
        <w:spacing w:before="90" w:line="224" w:lineRule="auto"/>
        <w:ind w:left="0" w:leftChars="0" w:right="0" w:rightChars="0" w:firstLine="0" w:firstLineChars="0"/>
        <w:jc w:val="center"/>
        <w:outlineLvl w:val="0"/>
        <w:rPr>
          <w:rFonts w:ascii="宋体" w:hAnsi="宋体" w:eastAsia="宋体" w:cs="宋体"/>
          <w:sz w:val="35"/>
          <w:szCs w:val="35"/>
          <w:highlight w:val="none"/>
        </w:rPr>
      </w:pPr>
      <w:bookmarkStart w:id="73" w:name="_bookmark6"/>
      <w:bookmarkEnd w:id="73"/>
      <w:bookmarkStart w:id="74" w:name="_Toc21973"/>
      <w:r>
        <w:rPr>
          <w:rFonts w:ascii="宋体" w:hAnsi="宋体" w:eastAsia="宋体" w:cs="宋体"/>
          <w:spacing w:val="10"/>
          <w:sz w:val="35"/>
          <w:szCs w:val="35"/>
          <w:highlight w:val="none"/>
          <w14:textOutline w14:w="6537" w14:cap="sq" w14:cmpd="sng">
            <w14:solidFill>
              <w14:srgbClr w14:val="000000"/>
            </w14:solidFill>
            <w14:prstDash w14:val="solid"/>
            <w14:bevel/>
          </w14:textOutline>
        </w:rPr>
        <w:t>第</w:t>
      </w:r>
      <w:r>
        <w:rPr>
          <w:rFonts w:ascii="宋体" w:hAnsi="宋体" w:eastAsia="宋体" w:cs="宋体"/>
          <w:spacing w:val="9"/>
          <w:sz w:val="35"/>
          <w:szCs w:val="35"/>
          <w:highlight w:val="none"/>
          <w14:textOutline w14:w="6537" w14:cap="sq" w14:cmpd="sng">
            <w14:solidFill>
              <w14:srgbClr w14:val="000000"/>
            </w14:solidFill>
            <w14:prstDash w14:val="solid"/>
            <w14:bevel/>
          </w14:textOutline>
        </w:rPr>
        <w:t>六章</w:t>
      </w:r>
      <w:r>
        <w:rPr>
          <w:rFonts w:ascii="宋体" w:hAnsi="宋体" w:eastAsia="宋体" w:cs="宋体"/>
          <w:spacing w:val="9"/>
          <w:sz w:val="35"/>
          <w:szCs w:val="35"/>
          <w:highlight w:val="none"/>
        </w:rPr>
        <w:t xml:space="preserve">  </w:t>
      </w:r>
      <w:r>
        <w:rPr>
          <w:rFonts w:ascii="宋体" w:hAnsi="宋体" w:eastAsia="宋体" w:cs="宋体"/>
          <w:spacing w:val="9"/>
          <w:sz w:val="35"/>
          <w:szCs w:val="35"/>
          <w:highlight w:val="none"/>
          <w14:textOutline w14:w="6537" w14:cap="sq" w14:cmpd="sng">
            <w14:solidFill>
              <w14:srgbClr w14:val="000000"/>
            </w14:solidFill>
            <w14:prstDash w14:val="solid"/>
            <w14:bevel/>
          </w14:textOutline>
        </w:rPr>
        <w:t>投标文件格式</w:t>
      </w:r>
      <w:bookmarkEnd w:id="74"/>
    </w:p>
    <w:p>
      <w:pPr>
        <w:spacing w:before="332" w:line="225" w:lineRule="auto"/>
        <w:rPr>
          <w:rFonts w:ascii="宋体" w:hAnsi="宋体" w:eastAsia="宋体" w:cs="宋体"/>
          <w:sz w:val="31"/>
          <w:szCs w:val="31"/>
          <w:highlight w:val="none"/>
        </w:rPr>
      </w:pPr>
      <w:r>
        <w:rPr>
          <w:rFonts w:ascii="宋体" w:hAnsi="宋体" w:eastAsia="宋体" w:cs="宋体"/>
          <w:spacing w:val="-12"/>
          <w:sz w:val="31"/>
          <w:szCs w:val="31"/>
          <w:highlight w:val="none"/>
          <w14:textOutline w14:w="5793" w14:cap="sq" w14:cmpd="sng">
            <w14:solidFill>
              <w14:srgbClr w14:val="000000"/>
            </w14:solidFill>
            <w14:prstDash w14:val="solid"/>
            <w14:bevel/>
          </w14:textOutline>
        </w:rPr>
        <w:t>(</w:t>
      </w:r>
      <w:r>
        <w:rPr>
          <w:rFonts w:ascii="宋体" w:hAnsi="宋体" w:eastAsia="宋体" w:cs="宋体"/>
          <w:spacing w:val="-7"/>
          <w:sz w:val="31"/>
          <w:szCs w:val="31"/>
          <w:highlight w:val="none"/>
          <w14:textOutline w14:w="5793" w14:cap="sq" w14:cmpd="sng">
            <w14:solidFill>
              <w14:srgbClr w14:val="000000"/>
            </w14:solidFill>
            <w14:prstDash w14:val="solid"/>
            <w14:bevel/>
          </w14:textOutline>
        </w:rPr>
        <w:t>项</w:t>
      </w:r>
      <w:r>
        <w:rPr>
          <w:rFonts w:ascii="宋体" w:hAnsi="宋体" w:eastAsia="宋体" w:cs="宋体"/>
          <w:spacing w:val="-6"/>
          <w:sz w:val="31"/>
          <w:szCs w:val="31"/>
          <w:highlight w:val="none"/>
          <w14:textOutline w14:w="5793" w14:cap="sq" w14:cmpd="sng">
            <w14:solidFill>
              <w14:srgbClr w14:val="000000"/>
            </w14:solidFill>
            <w14:prstDash w14:val="solid"/>
            <w14:bevel/>
          </w14:textOutline>
        </w:rPr>
        <w:t>目编号：</w:t>
      </w:r>
      <w:r>
        <w:rPr>
          <w:rFonts w:hint="eastAsia" w:ascii="宋体" w:hAnsi="宋体" w:eastAsia="宋体" w:cs="宋体"/>
          <w:spacing w:val="-6"/>
          <w:sz w:val="31"/>
          <w:szCs w:val="31"/>
          <w:highlight w:val="none"/>
          <w:lang w:eastAsia="zh-CN"/>
          <w14:textOutline w14:w="5793" w14:cap="sq" w14:cmpd="sng">
            <w14:solidFill>
              <w14:srgbClr w14:val="000000"/>
            </w14:solidFill>
            <w14:prstDash w14:val="solid"/>
            <w14:bevel/>
          </w14:textOutline>
        </w:rPr>
        <w:t>SXZH-2023-002.2B1</w:t>
      </w:r>
      <w:r>
        <w:rPr>
          <w:rFonts w:ascii="宋体" w:hAnsi="宋体" w:eastAsia="宋体" w:cs="宋体"/>
          <w:spacing w:val="-6"/>
          <w:sz w:val="31"/>
          <w:szCs w:val="31"/>
          <w:highlight w:val="none"/>
          <w14:textOutline w14:w="5793" w14:cap="sq" w14:cmpd="sng">
            <w14:solidFill>
              <w14:srgbClr w14:val="000000"/>
            </w14:solidFill>
            <w14:prstDash w14:val="solid"/>
            <w14:bevel/>
          </w14:textOutline>
        </w:rPr>
        <w:t>)</w:t>
      </w:r>
    </w:p>
    <w:p>
      <w:pPr>
        <w:spacing w:line="286" w:lineRule="auto"/>
        <w:rPr>
          <w:rFonts w:ascii="Arial"/>
          <w:sz w:val="21"/>
          <w:highlight w:val="none"/>
        </w:rPr>
      </w:pPr>
    </w:p>
    <w:p>
      <w:pPr>
        <w:spacing w:line="286" w:lineRule="auto"/>
        <w:rPr>
          <w:rFonts w:ascii="Arial"/>
          <w:sz w:val="21"/>
          <w:highlight w:val="none"/>
          <w:u w:val="single"/>
        </w:rPr>
      </w:pPr>
    </w:p>
    <w:p>
      <w:pPr>
        <w:spacing w:line="247" w:lineRule="auto"/>
        <w:rPr>
          <w:rFonts w:ascii="Arial"/>
          <w:sz w:val="36"/>
          <w:szCs w:val="36"/>
          <w:highlight w:val="none"/>
        </w:rPr>
      </w:pPr>
    </w:p>
    <w:p>
      <w:pPr>
        <w:jc w:val="center"/>
        <w:rPr>
          <w:rFonts w:hint="eastAsia" w:ascii="方正小标宋简体" w:hAnsi="宋体" w:eastAsia="方正小标宋简体" w:cs="Times New Roman"/>
          <w:color w:val="000000"/>
          <w:sz w:val="52"/>
          <w:szCs w:val="52"/>
          <w:highlight w:val="none"/>
          <w:lang w:eastAsia="zh-CN"/>
        </w:rPr>
      </w:pPr>
      <w:r>
        <w:rPr>
          <w:rFonts w:hint="eastAsia" w:ascii="方正小标宋简体" w:hAnsi="宋体" w:eastAsia="方正小标宋简体" w:cs="Times New Roman"/>
          <w:color w:val="000000"/>
          <w:sz w:val="52"/>
          <w:szCs w:val="52"/>
          <w:highlight w:val="none"/>
          <w:lang w:eastAsia="zh-CN"/>
        </w:rPr>
        <w:t>2023年春季绿化项目监理（二次）</w:t>
      </w: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before="231" w:line="222" w:lineRule="auto"/>
        <w:ind w:left="3025"/>
        <w:rPr>
          <w:rFonts w:ascii="宋体" w:hAnsi="宋体" w:eastAsia="宋体" w:cs="宋体"/>
          <w:sz w:val="71"/>
          <w:szCs w:val="71"/>
          <w:highlight w:val="none"/>
        </w:rPr>
      </w:pPr>
      <w:r>
        <w:rPr>
          <w:rFonts w:ascii="宋体" w:hAnsi="宋体" w:eastAsia="宋体" w:cs="宋体"/>
          <w:spacing w:val="9"/>
          <w:sz w:val="71"/>
          <w:szCs w:val="71"/>
          <w:highlight w:val="none"/>
          <w14:textOutline w14:w="13075" w14:cap="sq" w14:cmpd="sng">
            <w14:solidFill>
              <w14:srgbClr w14:val="000000"/>
            </w14:solidFill>
            <w14:prstDash w14:val="solid"/>
            <w14:bevel/>
          </w14:textOutline>
        </w:rPr>
        <w:t>投</w:t>
      </w:r>
      <w:r>
        <w:rPr>
          <w:rFonts w:ascii="宋体" w:hAnsi="宋体" w:eastAsia="宋体" w:cs="宋体"/>
          <w:spacing w:val="6"/>
          <w:sz w:val="71"/>
          <w:szCs w:val="71"/>
          <w:highlight w:val="none"/>
        </w:rPr>
        <w:t xml:space="preserve"> </w:t>
      </w:r>
      <w:r>
        <w:rPr>
          <w:rFonts w:ascii="宋体" w:hAnsi="宋体" w:eastAsia="宋体" w:cs="宋体"/>
          <w:spacing w:val="6"/>
          <w:sz w:val="71"/>
          <w:szCs w:val="71"/>
          <w:highlight w:val="none"/>
          <w14:textOutline w14:w="13075" w14:cap="sq" w14:cmpd="sng">
            <w14:solidFill>
              <w14:srgbClr w14:val="000000"/>
            </w14:solidFill>
            <w14:prstDash w14:val="solid"/>
            <w14:bevel/>
          </w14:textOutline>
        </w:rPr>
        <w:t>标</w:t>
      </w:r>
      <w:r>
        <w:rPr>
          <w:rFonts w:ascii="宋体" w:hAnsi="宋体" w:eastAsia="宋体" w:cs="宋体"/>
          <w:spacing w:val="6"/>
          <w:sz w:val="71"/>
          <w:szCs w:val="71"/>
          <w:highlight w:val="none"/>
        </w:rPr>
        <w:t xml:space="preserve"> </w:t>
      </w:r>
      <w:r>
        <w:rPr>
          <w:rFonts w:ascii="宋体" w:hAnsi="宋体" w:eastAsia="宋体" w:cs="宋体"/>
          <w:spacing w:val="6"/>
          <w:sz w:val="71"/>
          <w:szCs w:val="71"/>
          <w:highlight w:val="none"/>
          <w14:textOutline w14:w="13075" w14:cap="sq" w14:cmpd="sng">
            <w14:solidFill>
              <w14:srgbClr w14:val="000000"/>
            </w14:solidFill>
            <w14:prstDash w14:val="solid"/>
            <w14:bevel/>
          </w14:textOutline>
        </w:rPr>
        <w:t>文</w:t>
      </w:r>
      <w:r>
        <w:rPr>
          <w:rFonts w:ascii="宋体" w:hAnsi="宋体" w:eastAsia="宋体" w:cs="宋体"/>
          <w:spacing w:val="6"/>
          <w:sz w:val="71"/>
          <w:szCs w:val="71"/>
          <w:highlight w:val="none"/>
        </w:rPr>
        <w:t xml:space="preserve"> </w:t>
      </w:r>
      <w:r>
        <w:rPr>
          <w:rFonts w:ascii="宋体" w:hAnsi="宋体" w:eastAsia="宋体" w:cs="宋体"/>
          <w:spacing w:val="6"/>
          <w:sz w:val="71"/>
          <w:szCs w:val="71"/>
          <w:highlight w:val="none"/>
          <w14:textOutline w14:w="13075" w14:cap="sq" w14:cmpd="sng">
            <w14:solidFill>
              <w14:srgbClr w14:val="000000"/>
            </w14:solidFill>
            <w14:prstDash w14:val="solid"/>
            <w14:bevel/>
          </w14:textOutline>
        </w:rPr>
        <w:t>件</w:t>
      </w:r>
    </w:p>
    <w:p>
      <w:pPr>
        <w:spacing w:line="248"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napToGrid w:val="0"/>
        <w:spacing w:line="360" w:lineRule="auto"/>
        <w:ind w:firstLine="960" w:firstLineChars="3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投标人</w:t>
      </w:r>
      <w:r>
        <w:rPr>
          <w:rFonts w:hint="eastAsia" w:ascii="宋体" w:hAnsi="宋体" w:eastAsia="宋体" w:cs="宋体"/>
          <w:color w:val="auto"/>
          <w:sz w:val="32"/>
          <w:szCs w:val="32"/>
          <w:highlight w:val="none"/>
        </w:rPr>
        <w:t>（公章）：</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投标人</w:t>
      </w:r>
      <w:r>
        <w:rPr>
          <w:rFonts w:hint="eastAsia" w:ascii="宋体" w:hAnsi="宋体" w:eastAsia="宋体" w:cs="宋体"/>
          <w:color w:val="auto"/>
          <w:sz w:val="32"/>
          <w:szCs w:val="32"/>
          <w:highlight w:val="none"/>
          <w:u w:val="single"/>
        </w:rPr>
        <w:t xml:space="preserve">名称）       </w:t>
      </w:r>
    </w:p>
    <w:p>
      <w:pPr>
        <w:snapToGrid w:val="0"/>
        <w:spacing w:line="360" w:lineRule="auto"/>
        <w:ind w:firstLine="960" w:firstLineChars="300"/>
        <w:rPr>
          <w:rFonts w:hint="eastAsia" w:ascii="宋体" w:hAnsi="宋体" w:eastAsia="宋体" w:cs="宋体"/>
          <w:color w:val="auto"/>
          <w:sz w:val="32"/>
          <w:szCs w:val="32"/>
          <w:highlight w:val="none"/>
        </w:rPr>
      </w:pPr>
    </w:p>
    <w:p>
      <w:pPr>
        <w:snapToGrid w:val="0"/>
        <w:spacing w:line="360" w:lineRule="auto"/>
        <w:ind w:firstLine="960" w:firstLineChars="3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lang w:eastAsia="zh-CN"/>
        </w:rPr>
        <w:t>法定代表人或被授权人（签字或盖章）</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rPr>
        <w:t xml:space="preserve">       </w:t>
      </w:r>
    </w:p>
    <w:p>
      <w:pPr>
        <w:snapToGrid w:val="0"/>
        <w:spacing w:line="360" w:lineRule="auto"/>
        <w:ind w:firstLine="960" w:firstLineChars="300"/>
        <w:rPr>
          <w:rFonts w:hint="eastAsia" w:ascii="宋体" w:hAnsi="宋体" w:eastAsia="宋体" w:cs="宋体"/>
          <w:color w:val="auto"/>
          <w:sz w:val="32"/>
          <w:szCs w:val="32"/>
          <w:highlight w:val="none"/>
        </w:rPr>
      </w:pPr>
    </w:p>
    <w:p>
      <w:pPr>
        <w:snapToGrid w:val="0"/>
        <w:spacing w:line="360" w:lineRule="auto"/>
        <w:ind w:firstLine="960" w:firstLineChars="3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日期：</w:t>
      </w:r>
      <w:r>
        <w:rPr>
          <w:rFonts w:hint="eastAsia" w:ascii="宋体" w:hAnsi="宋体" w:eastAsia="宋体" w:cs="宋体"/>
          <w:color w:val="auto"/>
          <w:sz w:val="32"/>
          <w:szCs w:val="32"/>
          <w:highlight w:val="none"/>
          <w:u w:val="single"/>
        </w:rPr>
        <w:t xml:space="preserve">                                     </w:t>
      </w:r>
    </w:p>
    <w:p>
      <w:pPr>
        <w:rPr>
          <w:highlight w:val="none"/>
        </w:rPr>
      </w:pPr>
    </w:p>
    <w:p>
      <w:pPr>
        <w:rPr>
          <w:highlight w:val="none"/>
        </w:rPr>
      </w:pPr>
    </w:p>
    <w:p>
      <w:pPr>
        <w:pStyle w:val="12"/>
        <w:keepNext w:val="0"/>
        <w:keepLines w:val="0"/>
        <w:pageBreakBefore w:val="0"/>
        <w:widowControl/>
        <w:tabs>
          <w:tab w:val="right" w:leader="dot" w:pos="8996"/>
        </w:tabs>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eastAsia="宋体"/>
          <w:sz w:val="40"/>
          <w:szCs w:val="40"/>
          <w:highlight w:val="none"/>
          <w:lang w:val="en-US" w:eastAsia="zh-CN"/>
        </w:rPr>
        <w:sectPr>
          <w:headerReference r:id="rId7" w:type="default"/>
          <w:pgSz w:w="11906" w:h="16839"/>
          <w:pgMar w:top="1417" w:right="1417" w:bottom="1417" w:left="1417" w:header="1020" w:footer="0" w:gutter="0"/>
          <w:pgNumType w:fmt="decimal"/>
          <w:cols w:space="425" w:num="1"/>
          <w:rtlGutter w:val="0"/>
          <w:docGrid w:linePitch="0" w:charSpace="0"/>
        </w:sectPr>
      </w:pPr>
    </w:p>
    <w:p>
      <w:pPr>
        <w:pStyle w:val="12"/>
        <w:keepNext w:val="0"/>
        <w:keepLines w:val="0"/>
        <w:pageBreakBefore w:val="0"/>
        <w:widowControl/>
        <w:tabs>
          <w:tab w:val="right" w:leader="dot" w:pos="8996"/>
        </w:tabs>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eastAsia="宋体"/>
          <w:sz w:val="40"/>
          <w:szCs w:val="40"/>
          <w:highlight w:val="none"/>
          <w:lang w:val="en-US" w:eastAsia="zh-CN"/>
        </w:rPr>
      </w:pPr>
    </w:p>
    <w:p>
      <w:pPr>
        <w:pStyle w:val="12"/>
        <w:keepNext w:val="0"/>
        <w:keepLines w:val="0"/>
        <w:pageBreakBefore w:val="0"/>
        <w:widowControl/>
        <w:tabs>
          <w:tab w:val="right" w:leader="dot" w:pos="8996"/>
        </w:tabs>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eastAsia="宋体"/>
          <w:sz w:val="40"/>
          <w:szCs w:val="40"/>
          <w:highlight w:val="none"/>
          <w:lang w:val="en-US" w:eastAsia="zh-CN"/>
        </w:rPr>
      </w:pPr>
      <w:r>
        <w:rPr>
          <w:rFonts w:hint="eastAsia" w:eastAsia="宋体"/>
          <w:sz w:val="40"/>
          <w:szCs w:val="40"/>
          <w:highlight w:val="none"/>
          <w:lang w:val="en-US" w:eastAsia="zh-CN"/>
        </w:rPr>
        <w:t>目  录</w:t>
      </w:r>
    </w:p>
    <w:p>
      <w:pPr>
        <w:tabs>
          <w:tab w:val="left" w:pos="1080"/>
        </w:tabs>
        <w:spacing w:line="480" w:lineRule="auto"/>
        <w:ind w:firstLine="420" w:firstLineChars="200"/>
        <w:rPr>
          <w:rFonts w:hint="default" w:ascii="宋体" w:hAnsi="宋体" w:eastAsia="宋体" w:cs="宋体"/>
          <w:sz w:val="24"/>
          <w:szCs w:val="24"/>
          <w:highlight w:val="none"/>
          <w:lang w:val="en-US" w:eastAsia="zh-CN"/>
        </w:rPr>
      </w:pPr>
      <w:r>
        <w:rPr>
          <w:highlight w:val="none"/>
        </w:rPr>
        <w:fldChar w:fldCharType="begin"/>
      </w:r>
      <w:r>
        <w:rPr>
          <w:highlight w:val="none"/>
        </w:rPr>
        <w:instrText xml:space="preserve">TOC \o "1-3" \h \u </w:instrText>
      </w:r>
      <w:r>
        <w:rPr>
          <w:highlight w:val="none"/>
        </w:rPr>
        <w:fldChar w:fldCharType="separate"/>
      </w:r>
      <w:r>
        <w:rPr>
          <w:rFonts w:hint="eastAsia" w:eastAsia="宋体"/>
          <w:highlight w:val="none"/>
          <w:lang w:val="en-US" w:eastAsia="zh-CN"/>
        </w:rPr>
        <w:t xml:space="preserve"> </w:t>
      </w:r>
      <w:r>
        <w:rPr>
          <w:rFonts w:hint="eastAsia" w:ascii="宋体" w:hAnsi="宋体" w:cs="宋体"/>
          <w:sz w:val="24"/>
          <w:szCs w:val="24"/>
          <w:highlight w:val="none"/>
        </w:rPr>
        <w:t>第一部分  投标函</w:t>
      </w:r>
    </w:p>
    <w:p>
      <w:pPr>
        <w:tabs>
          <w:tab w:val="left" w:pos="1080"/>
        </w:tabs>
        <w:spacing w:line="48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 xml:space="preserve">第二部分  </w:t>
      </w:r>
      <w:r>
        <w:rPr>
          <w:rFonts w:hint="eastAsia" w:ascii="宋体" w:hAnsi="宋体" w:eastAsia="宋体" w:cs="宋体"/>
          <w:sz w:val="24"/>
          <w:szCs w:val="24"/>
          <w:highlight w:val="none"/>
          <w:lang w:val="en-US" w:eastAsia="zh-CN"/>
        </w:rPr>
        <w:t>开标一览表</w:t>
      </w:r>
    </w:p>
    <w:p>
      <w:pPr>
        <w:tabs>
          <w:tab w:val="left" w:pos="1080"/>
        </w:tabs>
        <w:spacing w:line="48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 xml:space="preserve">第三部分  </w:t>
      </w:r>
      <w:r>
        <w:rPr>
          <w:rFonts w:hint="eastAsia" w:ascii="宋体" w:hAnsi="宋体" w:eastAsia="宋体" w:cs="宋体"/>
          <w:sz w:val="24"/>
          <w:szCs w:val="24"/>
          <w:highlight w:val="none"/>
          <w:lang w:val="en-US" w:eastAsia="zh-CN"/>
        </w:rPr>
        <w:t>资格证明文件</w:t>
      </w:r>
    </w:p>
    <w:p>
      <w:pPr>
        <w:tabs>
          <w:tab w:val="left" w:pos="1080"/>
        </w:tabs>
        <w:spacing w:line="48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 xml:space="preserve">第四部分  </w:t>
      </w:r>
      <w:r>
        <w:rPr>
          <w:rFonts w:hint="eastAsia" w:ascii="宋体" w:hAnsi="宋体" w:eastAsia="宋体" w:cs="宋体"/>
          <w:sz w:val="24"/>
          <w:szCs w:val="24"/>
          <w:highlight w:val="none"/>
          <w:lang w:val="en-US" w:eastAsia="zh-CN"/>
        </w:rPr>
        <w:t>投标人基本情况表</w:t>
      </w:r>
    </w:p>
    <w:p>
      <w:pPr>
        <w:tabs>
          <w:tab w:val="left" w:pos="1080"/>
        </w:tabs>
        <w:spacing w:line="48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 xml:space="preserve">第五部分  </w:t>
      </w:r>
      <w:r>
        <w:rPr>
          <w:rFonts w:hint="eastAsia" w:ascii="宋体" w:hAnsi="宋体" w:eastAsia="宋体" w:cs="宋体"/>
          <w:sz w:val="24"/>
          <w:szCs w:val="24"/>
          <w:highlight w:val="none"/>
          <w:lang w:val="en-US" w:eastAsia="zh-CN"/>
        </w:rPr>
        <w:t>投标人承诺书</w:t>
      </w:r>
    </w:p>
    <w:p>
      <w:pPr>
        <w:tabs>
          <w:tab w:val="left" w:pos="1080"/>
        </w:tabs>
        <w:spacing w:line="48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 xml:space="preserve">第六部分  </w:t>
      </w:r>
      <w:r>
        <w:rPr>
          <w:rFonts w:hint="eastAsia" w:ascii="宋体" w:hAnsi="宋体" w:eastAsia="宋体" w:cs="宋体"/>
          <w:sz w:val="24"/>
          <w:szCs w:val="24"/>
          <w:highlight w:val="none"/>
          <w:lang w:val="en-US" w:eastAsia="zh-CN"/>
        </w:rPr>
        <w:t>投标方案说明书</w:t>
      </w:r>
    </w:p>
    <w:p>
      <w:pPr>
        <w:tabs>
          <w:tab w:val="left" w:pos="1080"/>
        </w:tabs>
        <w:spacing w:line="480" w:lineRule="auto"/>
        <w:ind w:firstLine="480" w:firstLineChars="200"/>
        <w:rPr>
          <w:rFonts w:hint="default"/>
          <w:highlight w:val="none"/>
          <w:lang w:val="en-US" w:eastAsia="zh-CN"/>
        </w:rPr>
      </w:pPr>
      <w:r>
        <w:rPr>
          <w:rFonts w:hint="eastAsia" w:ascii="宋体" w:hAnsi="宋体" w:cs="宋体"/>
          <w:sz w:val="24"/>
          <w:szCs w:val="24"/>
          <w:highlight w:val="none"/>
        </w:rPr>
        <w:t>第</w:t>
      </w:r>
      <w:r>
        <w:rPr>
          <w:rFonts w:hint="eastAsia" w:ascii="宋体" w:hAnsi="宋体" w:eastAsia="宋体" w:cs="宋体"/>
          <w:sz w:val="24"/>
          <w:szCs w:val="24"/>
          <w:highlight w:val="none"/>
          <w:lang w:val="en-US" w:eastAsia="zh-CN"/>
        </w:rPr>
        <w:t>七</w:t>
      </w:r>
      <w:r>
        <w:rPr>
          <w:rFonts w:hint="eastAsia" w:ascii="宋体" w:hAnsi="宋体" w:cs="宋体"/>
          <w:sz w:val="24"/>
          <w:szCs w:val="24"/>
          <w:highlight w:val="none"/>
        </w:rPr>
        <w:t xml:space="preserve">部分  </w:t>
      </w:r>
      <w:r>
        <w:rPr>
          <w:rFonts w:hint="eastAsia" w:ascii="宋体" w:hAnsi="宋体" w:eastAsia="宋体" w:cs="宋体"/>
          <w:sz w:val="24"/>
          <w:szCs w:val="24"/>
          <w:highlight w:val="none"/>
          <w:lang w:val="en-US" w:eastAsia="zh-CN"/>
        </w:rPr>
        <w:t>商务偏离表</w:t>
      </w:r>
    </w:p>
    <w:p>
      <w:pPr>
        <w:tabs>
          <w:tab w:val="left" w:pos="1080"/>
        </w:tabs>
        <w:spacing w:line="480" w:lineRule="auto"/>
        <w:ind w:firstLine="480" w:firstLineChars="200"/>
        <w:rPr>
          <w:rFonts w:hint="default"/>
          <w:highlight w:val="none"/>
          <w:lang w:val="en-US" w:eastAsia="zh-CN"/>
        </w:rPr>
      </w:pPr>
      <w:r>
        <w:rPr>
          <w:rFonts w:hint="eastAsia" w:ascii="宋体" w:hAnsi="宋体" w:cs="宋体"/>
          <w:sz w:val="24"/>
          <w:szCs w:val="24"/>
          <w:highlight w:val="none"/>
        </w:rPr>
        <w:t>第</w:t>
      </w:r>
      <w:r>
        <w:rPr>
          <w:rFonts w:hint="eastAsia" w:ascii="宋体" w:hAnsi="宋体" w:eastAsia="宋体" w:cs="宋体"/>
          <w:sz w:val="24"/>
          <w:szCs w:val="24"/>
          <w:highlight w:val="none"/>
          <w:lang w:val="en-US" w:eastAsia="zh-CN"/>
        </w:rPr>
        <w:t>八</w:t>
      </w:r>
      <w:r>
        <w:rPr>
          <w:rFonts w:hint="eastAsia" w:ascii="宋体" w:hAnsi="宋体" w:cs="宋体"/>
          <w:sz w:val="24"/>
          <w:szCs w:val="24"/>
          <w:highlight w:val="none"/>
        </w:rPr>
        <w:t xml:space="preserve">部分  </w:t>
      </w:r>
      <w:r>
        <w:rPr>
          <w:rFonts w:hint="eastAsia" w:ascii="宋体" w:hAnsi="宋体" w:eastAsia="宋体" w:cs="宋体"/>
          <w:sz w:val="24"/>
          <w:szCs w:val="24"/>
          <w:highlight w:val="none"/>
          <w:lang w:val="en-US" w:eastAsia="zh-CN"/>
        </w:rPr>
        <w:t>其他资料</w:t>
      </w:r>
    </w:p>
    <w:p>
      <w:pPr>
        <w:pStyle w:val="17"/>
        <w:keepNext w:val="0"/>
        <w:keepLines w:val="0"/>
        <w:pageBreakBefore w:val="0"/>
        <w:widowControl/>
        <w:tabs>
          <w:tab w:val="right" w:leader="dot" w:pos="8996"/>
        </w:tabs>
        <w:kinsoku w:val="0"/>
        <w:wordWrap/>
        <w:overflowPunct/>
        <w:topLinePunct w:val="0"/>
        <w:autoSpaceDE w:val="0"/>
        <w:autoSpaceDN w:val="0"/>
        <w:bidi w:val="0"/>
        <w:adjustRightInd w:val="0"/>
        <w:snapToGrid w:val="0"/>
        <w:spacing w:line="480" w:lineRule="auto"/>
        <w:textAlignment w:val="baseline"/>
        <w:rPr>
          <w:highlight w:val="none"/>
        </w:rPr>
      </w:pPr>
    </w:p>
    <w:p>
      <w:pPr>
        <w:spacing w:line="480" w:lineRule="auto"/>
        <w:rPr>
          <w:highlight w:val="none"/>
        </w:rPr>
      </w:pPr>
      <w:r>
        <w:rPr>
          <w:highlight w:val="none"/>
        </w:rPr>
        <w:fldChar w:fldCharType="end"/>
      </w:r>
    </w:p>
    <w:p>
      <w:pPr>
        <w:pStyle w:val="2"/>
        <w:keepNext w:val="0"/>
        <w:keepLines w:val="0"/>
        <w:widowControl w:val="0"/>
        <w:spacing w:beforeLines="50" w:after="0" w:line="360" w:lineRule="auto"/>
        <w:ind w:left="0"/>
        <w:jc w:val="center"/>
        <w:rPr>
          <w:rFonts w:ascii="宋体" w:hAnsi="宋体" w:cs="宋体"/>
          <w:sz w:val="32"/>
          <w:highlight w:val="none"/>
        </w:rPr>
      </w:pPr>
      <w:r>
        <w:rPr>
          <w:rFonts w:hint="eastAsia" w:ascii="宋体" w:hAnsi="宋体" w:cs="宋体"/>
          <w:highlight w:val="none"/>
        </w:rPr>
        <w:br w:type="page"/>
      </w:r>
      <w:bookmarkStart w:id="75" w:name="_Toc403077648"/>
      <w:bookmarkStart w:id="76" w:name="_Toc363474027"/>
      <w:bookmarkStart w:id="77" w:name="_Toc426457700"/>
      <w:bookmarkStart w:id="78" w:name="_Toc23752"/>
      <w:bookmarkStart w:id="79" w:name="_Toc8179"/>
      <w:bookmarkStart w:id="80" w:name="_Toc21853"/>
      <w:bookmarkStart w:id="81" w:name="_Toc23702"/>
      <w:bookmarkStart w:id="82" w:name="_Toc14057"/>
      <w:bookmarkStart w:id="83" w:name="_Toc24231"/>
      <w:bookmarkStart w:id="84" w:name="_Toc18434"/>
      <w:bookmarkStart w:id="85" w:name="_Toc13414"/>
      <w:bookmarkStart w:id="86" w:name="_Toc4930"/>
      <w:bookmarkStart w:id="87" w:name="_Toc28404"/>
      <w:r>
        <w:rPr>
          <w:rFonts w:hint="eastAsia" w:ascii="宋体" w:hAnsi="宋体" w:cs="宋体"/>
          <w:sz w:val="32"/>
          <w:highlight w:val="none"/>
        </w:rPr>
        <w:t>一、投标</w:t>
      </w:r>
      <w:bookmarkEnd w:id="75"/>
      <w:bookmarkEnd w:id="76"/>
      <w:r>
        <w:rPr>
          <w:rFonts w:hint="eastAsia" w:ascii="宋体" w:hAnsi="宋体" w:cs="宋体"/>
          <w:sz w:val="32"/>
          <w:highlight w:val="none"/>
        </w:rPr>
        <w:t>函</w:t>
      </w:r>
      <w:bookmarkEnd w:id="77"/>
      <w:bookmarkEnd w:id="78"/>
      <w:bookmarkEnd w:id="79"/>
      <w:bookmarkEnd w:id="80"/>
      <w:bookmarkEnd w:id="81"/>
      <w:bookmarkEnd w:id="82"/>
      <w:bookmarkEnd w:id="83"/>
      <w:bookmarkEnd w:id="84"/>
      <w:bookmarkEnd w:id="85"/>
      <w:bookmarkEnd w:id="86"/>
      <w:bookmarkEnd w:id="87"/>
    </w:p>
    <w:p>
      <w:pPr>
        <w:keepNext w:val="0"/>
        <w:keepLines w:val="0"/>
        <w:pageBreakBefore w:val="0"/>
        <w:wordWrap/>
        <w:overflowPunct/>
        <w:topLinePunct w:val="0"/>
        <w:autoSpaceDE w:val="0"/>
        <w:autoSpaceDN w:val="0"/>
        <w:bidi w:val="0"/>
        <w:adjustRightInd w:val="0"/>
        <w:snapToGrid w:val="0"/>
        <w:spacing w:line="360" w:lineRule="auto"/>
        <w:jc w:val="left"/>
        <w:rPr>
          <w:rFonts w:hint="eastAsia" w:hAnsi="宋体" w:eastAsia="宋体" w:cs="宋体"/>
          <w:spacing w:val="4"/>
          <w:sz w:val="21"/>
          <w:szCs w:val="21"/>
          <w:highlight w:val="none"/>
          <w:u w:val="single"/>
          <w:lang w:eastAsia="zh-CN"/>
        </w:rPr>
      </w:pPr>
      <w:r>
        <w:rPr>
          <w:rFonts w:hint="eastAsia" w:hAnsi="宋体" w:cs="宋体"/>
          <w:b/>
          <w:spacing w:val="4"/>
          <w:sz w:val="21"/>
          <w:szCs w:val="21"/>
          <w:highlight w:val="none"/>
        </w:rPr>
        <w:t>致</w:t>
      </w:r>
      <w:r>
        <w:rPr>
          <w:rFonts w:hint="eastAsia" w:hAnsi="宋体" w:cs="宋体"/>
          <w:b/>
          <w:spacing w:val="4"/>
          <w:sz w:val="21"/>
          <w:szCs w:val="21"/>
          <w:highlight w:val="none"/>
          <w:u w:val="none"/>
        </w:rPr>
        <w:t>：</w:t>
      </w:r>
      <w:r>
        <w:rPr>
          <w:rFonts w:hint="eastAsia" w:hAnsi="宋体" w:eastAsia="宋体" w:cs="宋体"/>
          <w:b/>
          <w:spacing w:val="4"/>
          <w:sz w:val="21"/>
          <w:szCs w:val="21"/>
          <w:highlight w:val="none"/>
          <w:u w:val="single"/>
          <w:lang w:eastAsia="zh-CN"/>
        </w:rPr>
        <w:t>（</w:t>
      </w:r>
      <w:r>
        <w:rPr>
          <w:rFonts w:hint="eastAsia" w:hAnsi="宋体" w:cs="宋体"/>
          <w:b/>
          <w:spacing w:val="4"/>
          <w:sz w:val="21"/>
          <w:szCs w:val="21"/>
          <w:highlight w:val="none"/>
          <w:u w:val="single"/>
        </w:rPr>
        <w:t>采购人名称</w:t>
      </w:r>
      <w:r>
        <w:rPr>
          <w:rFonts w:hint="eastAsia" w:hAnsi="宋体" w:eastAsia="宋体" w:cs="宋体"/>
          <w:b/>
          <w:spacing w:val="4"/>
          <w:sz w:val="21"/>
          <w:szCs w:val="21"/>
          <w:highlight w:val="none"/>
          <w:u w:val="single"/>
          <w:lang w:eastAsia="zh-CN"/>
        </w:rPr>
        <w:t>）</w:t>
      </w:r>
      <w:r>
        <w:rPr>
          <w:rFonts w:hint="eastAsia" w:hAnsi="宋体" w:cs="宋体"/>
          <w:b/>
          <w:spacing w:val="4"/>
          <w:sz w:val="21"/>
          <w:szCs w:val="21"/>
          <w:highlight w:val="none"/>
          <w:u w:val="single"/>
        </w:rPr>
        <w:t>/</w:t>
      </w:r>
      <w:r>
        <w:rPr>
          <w:rFonts w:hint="eastAsia" w:hAnsi="宋体" w:cs="宋体"/>
          <w:b/>
          <w:spacing w:val="4"/>
          <w:sz w:val="21"/>
          <w:szCs w:val="21"/>
          <w:highlight w:val="none"/>
          <w:u w:val="single"/>
          <w:lang w:val="zh-CN"/>
        </w:rPr>
        <w:t xml:space="preserve"> </w:t>
      </w:r>
      <w:r>
        <w:rPr>
          <w:rFonts w:hint="eastAsia" w:hAnsi="宋体" w:cs="宋体"/>
          <w:b/>
          <w:spacing w:val="4"/>
          <w:sz w:val="21"/>
          <w:szCs w:val="21"/>
          <w:highlight w:val="none"/>
          <w:u w:val="single"/>
          <w:lang w:val="zh-CN" w:eastAsia="zh-CN"/>
        </w:rPr>
        <w:t>陕西筑辉工程咨询有限公司</w:t>
      </w:r>
      <w:r>
        <w:rPr>
          <w:rFonts w:hint="eastAsia" w:hAnsi="宋体" w:cs="宋体"/>
          <w:b/>
          <w:spacing w:val="4"/>
          <w:sz w:val="21"/>
          <w:szCs w:val="21"/>
          <w:highlight w:val="none"/>
          <w:u w:val="single"/>
          <w:lang w:val="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我单位收到贵公司关于</w:t>
      </w:r>
      <w:r>
        <w:rPr>
          <w:rFonts w:hint="eastAsia" w:cs="仿宋" w:asciiTheme="minorEastAsia" w:hAnsiTheme="minorEastAsia" w:eastAsiaTheme="minorEastAsia"/>
          <w:color w:val="auto"/>
          <w:spacing w:val="4"/>
          <w:szCs w:val="24"/>
          <w:highlight w:val="none"/>
          <w:u w:val="single"/>
        </w:rPr>
        <w:t xml:space="preserve"> </w:t>
      </w:r>
      <w:r>
        <w:rPr>
          <w:rFonts w:hint="eastAsia" w:cs="仿宋" w:asciiTheme="minorEastAsia" w:hAnsiTheme="minorEastAsia" w:eastAsiaTheme="minorEastAsia"/>
          <w:color w:val="auto"/>
          <w:spacing w:val="4"/>
          <w:szCs w:val="24"/>
          <w:highlight w:val="none"/>
          <w:u w:val="single"/>
          <w:lang w:eastAsia="zh-CN"/>
        </w:rPr>
        <w:t>（</w:t>
      </w:r>
      <w:r>
        <w:rPr>
          <w:rFonts w:hint="eastAsia" w:cs="仿宋" w:asciiTheme="minorEastAsia" w:hAnsiTheme="minorEastAsia" w:eastAsiaTheme="minorEastAsia"/>
          <w:color w:val="auto"/>
          <w:spacing w:val="4"/>
          <w:szCs w:val="24"/>
          <w:highlight w:val="none"/>
          <w:u w:val="single"/>
          <w:lang w:val="en-US" w:eastAsia="zh-CN"/>
        </w:rPr>
        <w:t>项目名称</w:t>
      </w:r>
      <w:r>
        <w:rPr>
          <w:rFonts w:hint="eastAsia" w:cs="仿宋" w:asciiTheme="minorEastAsia" w:hAnsiTheme="minorEastAsia" w:eastAsiaTheme="minorEastAsia"/>
          <w:color w:val="auto"/>
          <w:spacing w:val="4"/>
          <w:szCs w:val="24"/>
          <w:highlight w:val="none"/>
          <w:u w:val="single"/>
          <w:lang w:eastAsia="zh-CN"/>
        </w:rPr>
        <w:t>）</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rPr>
        <w:t>）的招标文件，经详细研究，我们决定参加本次项目招标活动并投标。为此，我方郑重声明以下诸点，并负法律责任。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一、愿意按照招标文件中的一切要求，向采购人提供所需所有服务。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jc w:val="both"/>
        <w:textAlignment w:val="auto"/>
        <w:rPr>
          <w:rFonts w:hint="default" w:ascii="宋体" w:hAnsi="宋体" w:eastAsia="宋体" w:cs="宋体"/>
          <w:color w:val="auto"/>
          <w:sz w:val="21"/>
          <w:szCs w:val="21"/>
          <w:highlight w:val="none"/>
          <w:u w:val="single"/>
          <w:lang w:val="en-US"/>
        </w:rPr>
      </w:pPr>
      <w:r>
        <w:rPr>
          <w:rFonts w:hint="eastAsia" w:ascii="宋体" w:hAnsi="宋体" w:eastAsia="宋体" w:cs="宋体"/>
          <w:sz w:val="21"/>
          <w:szCs w:val="21"/>
          <w:highlight w:val="none"/>
        </w:rPr>
        <w:t>二、我方</w:t>
      </w:r>
      <w:r>
        <w:rPr>
          <w:rFonts w:hint="eastAsia" w:hAnsi="宋体" w:eastAsia="宋体" w:cs="宋体"/>
          <w:sz w:val="21"/>
          <w:szCs w:val="21"/>
          <w:highlight w:val="none"/>
          <w:lang w:val="en-US" w:eastAsia="zh-CN"/>
        </w:rPr>
        <w:t>的</w:t>
      </w:r>
      <w:r>
        <w:rPr>
          <w:rFonts w:hint="eastAsia" w:ascii="宋体" w:hAnsi="宋体" w:eastAsia="宋体" w:cs="宋体"/>
          <w:sz w:val="21"/>
          <w:szCs w:val="21"/>
          <w:highlight w:val="none"/>
        </w:rPr>
        <w:t>投标报价</w:t>
      </w:r>
      <w:r>
        <w:rPr>
          <w:rFonts w:hint="eastAsia" w:ascii="宋体" w:hAnsi="宋体" w:eastAsia="宋体" w:cs="宋体"/>
          <w:sz w:val="21"/>
          <w:szCs w:val="21"/>
          <w:highlight w:val="none"/>
          <w:lang w:val="en-US" w:eastAsia="zh-CN"/>
        </w:rPr>
        <w:t>为</w:t>
      </w:r>
      <w:r>
        <w:rPr>
          <w:rFonts w:hint="eastAsia" w:hAnsi="宋体" w:cs="宋体"/>
          <w:szCs w:val="24"/>
          <w:highlight w:val="none"/>
          <w:u w:val="single"/>
          <w:lang w:val="en-US" w:eastAsia="zh-CN"/>
        </w:rPr>
        <w:t xml:space="preserve">          </w:t>
      </w:r>
      <w:r>
        <w:rPr>
          <w:rFonts w:hint="eastAsia" w:hAnsi="宋体"/>
          <w:color w:val="auto"/>
          <w:spacing w:val="4"/>
          <w:highlight w:val="none"/>
          <w:u w:val="single"/>
        </w:rPr>
        <w:t xml:space="preserve"> </w:t>
      </w:r>
      <w:r>
        <w:rPr>
          <w:rFonts w:hint="eastAsia" w:hAnsi="宋体" w:eastAsia="宋体"/>
          <w:color w:val="auto"/>
          <w:spacing w:val="4"/>
          <w:highlight w:val="none"/>
          <w:u w:val="none"/>
          <w:lang w:eastAsia="zh-CN"/>
        </w:rPr>
        <w:t>，</w:t>
      </w:r>
      <w:r>
        <w:rPr>
          <w:rFonts w:hint="eastAsia" w:hAnsi="宋体" w:cs="宋体"/>
          <w:szCs w:val="24"/>
          <w:highlight w:val="none"/>
          <w:lang w:val="en-US" w:eastAsia="zh-CN"/>
        </w:rPr>
        <w:t>费率为：</w:t>
      </w:r>
      <w:r>
        <w:rPr>
          <w:rFonts w:hint="eastAsia" w:hAnsi="宋体" w:cs="宋体"/>
          <w:szCs w:val="24"/>
          <w:highlight w:val="none"/>
          <w:u w:val="single"/>
          <w:lang w:val="en-US" w:eastAsia="zh-CN"/>
        </w:rPr>
        <w:t xml:space="preserve">          </w:t>
      </w:r>
      <w:r>
        <w:rPr>
          <w:rFonts w:hint="eastAsia" w:hAnsi="宋体"/>
          <w:color w:val="auto"/>
          <w:spacing w:val="4"/>
          <w:highlight w:val="none"/>
          <w:u w:val="single"/>
        </w:rPr>
        <w:t xml:space="preserve"> </w:t>
      </w:r>
      <w:r>
        <w:rPr>
          <w:rFonts w:hint="eastAsia" w:hAnsi="宋体"/>
          <w:color w:val="auto"/>
          <w:spacing w:val="4"/>
          <w:highlight w:val="none"/>
          <w:u w:val="none"/>
          <w:lang w:val="en-US" w:eastAsia="zh-CN"/>
        </w:rPr>
        <w:t>%</w:t>
      </w:r>
      <w:r>
        <w:rPr>
          <w:rFonts w:hint="eastAsia" w:cs="仿宋" w:asciiTheme="minorEastAsia" w:hAnsiTheme="minorEastAsia" w:eastAsiaTheme="minorEastAsia"/>
          <w:color w:val="auto"/>
          <w:spacing w:val="4"/>
          <w:szCs w:val="24"/>
          <w:highlight w:val="none"/>
          <w:u w:val="none"/>
          <w:lang w:val="en-US" w:eastAsia="zh-CN"/>
        </w:rPr>
        <w:t>，</w:t>
      </w:r>
      <w:r>
        <w:rPr>
          <w:rFonts w:hint="eastAsia" w:hAnsi="宋体" w:eastAsia="宋体" w:cs="宋体"/>
          <w:sz w:val="21"/>
          <w:szCs w:val="21"/>
          <w:highlight w:val="none"/>
          <w:lang w:val="en-US" w:eastAsia="zh-CN"/>
        </w:rPr>
        <w:t>总监理工程师：</w:t>
      </w:r>
      <w:r>
        <w:rPr>
          <w:rFonts w:hint="eastAsia" w:hAnsi="宋体" w:eastAsia="宋体" w:cs="宋体"/>
          <w:sz w:val="21"/>
          <w:szCs w:val="21"/>
          <w:highlight w:val="none"/>
          <w:u w:val="single"/>
          <w:lang w:val="en-US" w:eastAsia="zh-CN"/>
        </w:rPr>
        <w:t xml:space="preserve">            </w:t>
      </w:r>
      <w:r>
        <w:rPr>
          <w:rFonts w:hint="eastAsia" w:hAnsi="宋体" w:eastAsia="宋体" w:cs="宋体"/>
          <w:sz w:val="21"/>
          <w:szCs w:val="21"/>
          <w:highlight w:val="none"/>
          <w:u w:val="none"/>
          <w:lang w:val="en-US" w:eastAsia="zh-CN"/>
        </w:rPr>
        <w:t>；</w:t>
      </w:r>
      <w:r>
        <w:rPr>
          <w:rFonts w:hint="eastAsia" w:hAnsi="宋体" w:eastAsia="宋体" w:cs="宋体"/>
          <w:sz w:val="21"/>
          <w:szCs w:val="21"/>
          <w:highlight w:val="none"/>
          <w:lang w:val="en-US" w:eastAsia="zh-CN"/>
        </w:rPr>
        <w:t xml:space="preserve">服务期： </w:t>
      </w:r>
      <w:r>
        <w:rPr>
          <w:rFonts w:hint="eastAsia" w:hAnsi="宋体" w:eastAsia="宋体" w:cs="宋体"/>
          <w:sz w:val="21"/>
          <w:szCs w:val="21"/>
          <w:highlight w:val="none"/>
          <w:u w:val="single"/>
          <w:lang w:val="en-US" w:eastAsia="zh-CN"/>
        </w:rPr>
        <w:t xml:space="preserve">           </w:t>
      </w:r>
      <w:r>
        <w:rPr>
          <w:rFonts w:hint="eastAsia" w:hAnsi="宋体" w:eastAsia="宋体" w:cs="宋体"/>
          <w:sz w:val="21"/>
          <w:szCs w:val="21"/>
          <w:highlight w:val="none"/>
          <w:lang w:val="en-US" w:eastAsia="zh-CN"/>
        </w:rPr>
        <w:t>。质量标准：</w:t>
      </w:r>
      <w:r>
        <w:rPr>
          <w:rFonts w:hint="eastAsia" w:hAnsi="宋体" w:eastAsia="宋体" w:cs="宋体"/>
          <w:sz w:val="21"/>
          <w:szCs w:val="21"/>
          <w:highlight w:val="none"/>
          <w:u w:val="single"/>
          <w:lang w:val="en-US" w:eastAsia="zh-CN"/>
        </w:rPr>
        <w:t xml:space="preserve">                     </w:t>
      </w:r>
      <w:r>
        <w:rPr>
          <w:rFonts w:hint="eastAsia" w:hAnsi="宋体" w:eastAsia="宋体" w:cs="宋体"/>
          <w:sz w:val="21"/>
          <w:szCs w:val="21"/>
          <w:highlight w:val="none"/>
          <w:u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、我方已详细阅读了招标文件，完全理解并放弃提出含糊不清或易形成歧义的表述和资料。</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、我方愿意向贵方提供任何与本次招标有关的数据、情况和技术资料，若贵方需要，我方愿意提供我方做出的一切承诺的证明材料。</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、我方的投标有效期：自</w:t>
      </w:r>
      <w:r>
        <w:rPr>
          <w:rFonts w:hint="eastAsia" w:ascii="宋体" w:hAnsi="宋体" w:eastAsia="宋体" w:cs="宋体"/>
          <w:color w:val="auto"/>
          <w:sz w:val="21"/>
          <w:szCs w:val="21"/>
          <w:highlight w:val="none"/>
          <w:lang w:val="zh-CN"/>
        </w:rPr>
        <w:t>递交投标文件截止日起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日历日，开标后在规定的投标有效期内撤回投标，我们愿接受政府采购的有关处罚决定。</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、我方承诺遵守《中华人民共和国政府采购法》及其实施条例的有关规定，保证在获得中标资格后：</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（1）按照招标文件确定的事项签订合同，履行双方所签订的合同，并承担合同规定的责任和义务；</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（2）我方保证按规定和标准向贵方</w:t>
      </w:r>
      <w:r>
        <w:rPr>
          <w:rFonts w:hint="eastAsia" w:ascii="宋体" w:hAnsi="宋体" w:eastAsia="宋体" w:cs="宋体"/>
          <w:color w:val="auto"/>
          <w:sz w:val="21"/>
          <w:szCs w:val="21"/>
          <w:highlight w:val="none"/>
          <w:lang w:val="en-US" w:eastAsia="zh-CN"/>
        </w:rPr>
        <w:t>缴纳</w:t>
      </w:r>
      <w:r>
        <w:rPr>
          <w:rFonts w:hint="eastAsia" w:ascii="宋体" w:hAnsi="宋体" w:eastAsia="宋体" w:cs="宋体"/>
          <w:color w:val="auto"/>
          <w:sz w:val="21"/>
          <w:szCs w:val="21"/>
          <w:highlight w:val="none"/>
        </w:rPr>
        <w:t>中标服务费；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（3）投标文件有效期延长至合同履行完毕。</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、我方完全理解最低报价不是中标的唯一条件，并尊重评标委员会的评标结论和定标结果。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、一旦我方中标,我方同意与使用单位签订保密协议。</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rPr>
        <w:t>、有关于本投标文件的函电，请按下列地址联系：</w:t>
      </w:r>
    </w:p>
    <w:p>
      <w:pPr>
        <w:keepNext w:val="0"/>
        <w:keepLines w:val="0"/>
        <w:pageBreakBefore w:val="0"/>
        <w:wordWrap/>
        <w:overflowPunct/>
        <w:topLinePunct w:val="0"/>
        <w:autoSpaceDE w:val="0"/>
        <w:autoSpaceDN w:val="0"/>
        <w:bidi w:val="0"/>
        <w:adjustRightInd w:val="0"/>
        <w:snapToGrid w:val="0"/>
        <w:spacing w:line="360" w:lineRule="auto"/>
        <w:ind w:firstLine="420" w:firstLineChars="20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全称（公章）：</w:t>
      </w:r>
      <w:r>
        <w:rPr>
          <w:rFonts w:hint="eastAsia" w:ascii="宋体" w:hAnsi="宋体" w:eastAsia="宋体" w:cs="宋体"/>
          <w:b/>
          <w:color w:val="auto"/>
          <w:sz w:val="21"/>
          <w:szCs w:val="21"/>
          <w:highlight w:val="none"/>
          <w:u w:val="single"/>
        </w:rPr>
        <w:t xml:space="preserve">                                 </w:t>
      </w:r>
    </w:p>
    <w:p>
      <w:pPr>
        <w:keepNext w:val="0"/>
        <w:keepLines w:val="0"/>
        <w:pageBreakBefore w:val="0"/>
        <w:wordWrap/>
        <w:overflowPunct/>
        <w:topLinePunct w:val="0"/>
        <w:autoSpaceDE w:val="0"/>
        <w:autoSpaceDN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法定代表人或被授权人（签字或盖章）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ordWrap/>
        <w:overflowPunct/>
        <w:topLinePunct w:val="0"/>
        <w:autoSpaceDE w:val="0"/>
        <w:autoSpaceDN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b/>
          <w:color w:val="auto"/>
          <w:sz w:val="21"/>
          <w:szCs w:val="21"/>
          <w:highlight w:val="none"/>
          <w:u w:val="single"/>
        </w:rPr>
        <w:t xml:space="preserve">                                          </w:t>
      </w:r>
    </w:p>
    <w:p>
      <w:pPr>
        <w:keepNext w:val="0"/>
        <w:keepLines w:val="0"/>
        <w:pageBreakBefore w:val="0"/>
        <w:wordWrap/>
        <w:overflowPunct/>
        <w:topLinePunct w:val="0"/>
        <w:autoSpaceDE w:val="0"/>
        <w:autoSpaceDN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b/>
          <w:color w:val="auto"/>
          <w:sz w:val="21"/>
          <w:szCs w:val="21"/>
          <w:highlight w:val="none"/>
          <w:u w:val="single"/>
        </w:rPr>
        <w:t xml:space="preserve">                                          </w:t>
      </w:r>
    </w:p>
    <w:p>
      <w:pPr>
        <w:keepNext w:val="0"/>
        <w:keepLines w:val="0"/>
        <w:pageBreakBefore w:val="0"/>
        <w:wordWrap/>
        <w:overflowPunct/>
        <w:topLinePunct w:val="0"/>
        <w:autoSpaceDE w:val="0"/>
        <w:autoSpaceDN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b/>
          <w:color w:val="auto"/>
          <w:sz w:val="21"/>
          <w:szCs w:val="21"/>
          <w:highlight w:val="none"/>
          <w:u w:val="single"/>
        </w:rPr>
        <w:t xml:space="preserve">                                          </w:t>
      </w:r>
    </w:p>
    <w:p>
      <w:pPr>
        <w:keepNext w:val="0"/>
        <w:keepLines w:val="0"/>
        <w:pageBreakBefore w:val="0"/>
        <w:wordWrap/>
        <w:overflowPunct/>
        <w:topLinePunct w:val="0"/>
        <w:autoSpaceDE w:val="0"/>
        <w:autoSpaceDN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b/>
          <w:color w:val="auto"/>
          <w:sz w:val="21"/>
          <w:szCs w:val="21"/>
          <w:highlight w:val="none"/>
          <w:u w:val="single"/>
        </w:rPr>
        <w:t xml:space="preserve">                                          </w:t>
      </w:r>
    </w:p>
    <w:p>
      <w:pPr>
        <w:keepNext w:val="0"/>
        <w:keepLines w:val="0"/>
        <w:pageBreakBefore w:val="0"/>
        <w:wordWrap/>
        <w:overflowPunct/>
        <w:topLinePunct w:val="0"/>
        <w:autoSpaceDE w:val="0"/>
        <w:autoSpaceDN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b/>
          <w:color w:val="auto"/>
          <w:sz w:val="21"/>
          <w:szCs w:val="21"/>
          <w:highlight w:val="none"/>
          <w:u w:val="single"/>
        </w:rPr>
        <w:t xml:space="preserve">                                          </w:t>
      </w:r>
    </w:p>
    <w:p>
      <w:pPr>
        <w:keepNext w:val="0"/>
        <w:keepLines w:val="0"/>
        <w:pageBreakBefore w:val="0"/>
        <w:wordWrap/>
        <w:overflowPunct/>
        <w:topLinePunct w:val="0"/>
        <w:autoSpaceDE w:val="0"/>
        <w:autoSpaceDN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编：</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1"/>
          <w:szCs w:val="21"/>
          <w:highlight w:val="none"/>
        </w:rPr>
      </w:pPr>
    </w:p>
    <w:p>
      <w:pPr>
        <w:keepNext w:val="0"/>
        <w:keepLines w:val="0"/>
        <w:pageBreakBefore w:val="0"/>
        <w:wordWrap/>
        <w:overflowPunct/>
        <w:topLinePunct w:val="0"/>
        <w:autoSpaceDE w:val="0"/>
        <w:autoSpaceDN w:val="0"/>
        <w:bidi w:val="0"/>
        <w:adjustRightInd w:val="0"/>
        <w:snapToGrid w:val="0"/>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keepNext w:val="0"/>
        <w:keepLines w:val="0"/>
        <w:pageBreakBefore w:val="0"/>
        <w:wordWrap/>
        <w:overflowPunct/>
        <w:topLinePunct w:val="0"/>
        <w:autoSpaceDE w:val="0"/>
        <w:autoSpaceDN w:val="0"/>
        <w:bidi w:val="0"/>
        <w:adjustRightInd w:val="0"/>
        <w:snapToGrid w:val="0"/>
        <w:spacing w:beforeLines="100" w:line="360" w:lineRule="auto"/>
        <w:jc w:val="center"/>
        <w:outlineLvl w:val="1"/>
        <w:rPr>
          <w:rFonts w:hint="default" w:hAnsi="宋体" w:eastAsia="宋体" w:cs="宋体"/>
          <w:b/>
          <w:bCs/>
          <w:sz w:val="32"/>
          <w:szCs w:val="32"/>
          <w:highlight w:val="none"/>
          <w:lang w:val="en-US" w:eastAsia="zh-CN"/>
        </w:rPr>
      </w:pPr>
      <w:r>
        <w:rPr>
          <w:rFonts w:hint="eastAsia" w:hAnsi="宋体" w:cs="宋体"/>
          <w:sz w:val="28"/>
          <w:highlight w:val="none"/>
        </w:rPr>
        <w:br w:type="page"/>
      </w:r>
      <w:bookmarkStart w:id="88" w:name="_Toc21967"/>
      <w:bookmarkStart w:id="89" w:name="_Toc21319"/>
      <w:bookmarkStart w:id="90" w:name="_Toc17802"/>
      <w:bookmarkStart w:id="91" w:name="_Toc403077651"/>
      <w:bookmarkStart w:id="92" w:name="_Toc7018"/>
      <w:bookmarkStart w:id="93" w:name="_Toc4332"/>
      <w:bookmarkStart w:id="94" w:name="_Toc426457703"/>
      <w:bookmarkStart w:id="95" w:name="_Toc29025"/>
      <w:bookmarkStart w:id="96" w:name="_Toc363474030"/>
      <w:bookmarkStart w:id="97" w:name="_Toc26865"/>
      <w:bookmarkStart w:id="98" w:name="_Toc27599"/>
      <w:bookmarkStart w:id="99" w:name="_Toc15042"/>
      <w:bookmarkStart w:id="100" w:name="_Toc27474"/>
      <w:r>
        <w:rPr>
          <w:rFonts w:hint="eastAsia" w:ascii="宋体" w:hAnsi="宋体" w:eastAsia="Arial" w:cs="宋体"/>
          <w:b/>
          <w:bCs/>
          <w:snapToGrid w:val="0"/>
          <w:color w:val="000000"/>
          <w:kern w:val="0"/>
          <w:sz w:val="32"/>
          <w:szCs w:val="32"/>
          <w:highlight w:val="none"/>
        </w:rPr>
        <w:t>二、</w:t>
      </w:r>
      <w:r>
        <w:rPr>
          <w:rFonts w:hint="eastAsia" w:ascii="宋体" w:hAnsi="宋体" w:eastAsia="宋体" w:cs="宋体"/>
          <w:b/>
          <w:bCs/>
          <w:snapToGrid w:val="0"/>
          <w:color w:val="000000"/>
          <w:kern w:val="0"/>
          <w:sz w:val="32"/>
          <w:szCs w:val="32"/>
          <w:highlight w:val="none"/>
          <w:lang w:val="en-US" w:eastAsia="zh-CN"/>
        </w:rPr>
        <w:t>开标一览表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524" w:type="dxa"/>
            <w:noWrap w:val="0"/>
            <w:vAlign w:val="center"/>
          </w:tcPr>
          <w:p>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655" w:type="dxa"/>
            <w:noWrap w:val="0"/>
            <w:vAlign w:val="center"/>
          </w:tcPr>
          <w:p>
            <w:pPr>
              <w:widowControl/>
              <w:snapToGrid w:val="0"/>
              <w:spacing w:line="24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524" w:type="dxa"/>
            <w:noWrap w:val="0"/>
            <w:vAlign w:val="center"/>
          </w:tcPr>
          <w:p>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655" w:type="dxa"/>
            <w:noWrap w:val="0"/>
            <w:vAlign w:val="center"/>
          </w:tcPr>
          <w:p>
            <w:pPr>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524" w:type="dxa"/>
            <w:noWrap w:val="0"/>
            <w:vAlign w:val="center"/>
          </w:tcPr>
          <w:p>
            <w:pPr>
              <w:widowControl/>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w:t>
            </w:r>
          </w:p>
        </w:tc>
        <w:tc>
          <w:tcPr>
            <w:tcW w:w="6655" w:type="dxa"/>
            <w:noWrap w:val="0"/>
            <w:vAlign w:val="center"/>
          </w:tcPr>
          <w:p>
            <w:pPr>
              <w:pStyle w:val="18"/>
              <w:spacing w:line="360" w:lineRule="auto"/>
              <w:jc w:val="left"/>
              <w:rPr>
                <w:rFonts w:hint="eastAsia" w:ascii="宋体" w:hAnsi="宋体" w:eastAsia="宋体" w:cs="宋体"/>
                <w:color w:val="auto"/>
                <w:kern w:val="0"/>
                <w:sz w:val="24"/>
                <w:szCs w:val="24"/>
                <w:highlight w:val="none"/>
                <w:u w:val="none"/>
                <w:lang w:val="en-US" w:eastAsia="zh-CN"/>
              </w:rPr>
            </w:pPr>
          </w:p>
          <w:p>
            <w:pPr>
              <w:pStyle w:val="18"/>
              <w:spacing w:line="360" w:lineRule="auto"/>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none"/>
                <w:lang w:val="en-US" w:eastAsia="zh-CN"/>
              </w:rPr>
              <w:t>大写：</w:t>
            </w:r>
            <w:r>
              <w:rPr>
                <w:rFonts w:hint="eastAsia" w:ascii="宋体" w:hAnsi="宋体" w:eastAsia="宋体" w:cs="宋体"/>
                <w:color w:val="auto"/>
                <w:kern w:val="0"/>
                <w:sz w:val="24"/>
                <w:szCs w:val="24"/>
                <w:highlight w:val="none"/>
                <w:u w:val="single"/>
                <w:lang w:val="en-US" w:eastAsia="zh-CN"/>
              </w:rPr>
              <w:t xml:space="preserve">              </w:t>
            </w:r>
          </w:p>
          <w:p>
            <w:pPr>
              <w:pStyle w:val="18"/>
              <w:spacing w:line="360" w:lineRule="auto"/>
              <w:jc w:val="left"/>
              <w:rPr>
                <w:rFonts w:hint="default"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none"/>
                <w:lang w:val="en-US" w:eastAsia="zh-CN"/>
              </w:rPr>
              <w:t>小写：</w:t>
            </w:r>
            <w:r>
              <w:rPr>
                <w:rFonts w:hint="eastAsia" w:ascii="宋体" w:hAnsi="宋体" w:eastAsia="宋体" w:cs="宋体"/>
                <w:color w:val="auto"/>
                <w:kern w:val="0"/>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524" w:type="dxa"/>
            <w:noWrap w:val="0"/>
            <w:vAlign w:val="center"/>
          </w:tcPr>
          <w:p>
            <w:pPr>
              <w:widowControl/>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费率</w:t>
            </w:r>
          </w:p>
        </w:tc>
        <w:tc>
          <w:tcPr>
            <w:tcW w:w="6655" w:type="dxa"/>
            <w:noWrap w:val="0"/>
            <w:vAlign w:val="center"/>
          </w:tcPr>
          <w:p>
            <w:pPr>
              <w:pStyle w:val="18"/>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524" w:type="dxa"/>
            <w:noWrap w:val="0"/>
            <w:vAlign w:val="center"/>
          </w:tcPr>
          <w:p>
            <w:pPr>
              <w:widowControl/>
              <w:snapToGrid w:val="0"/>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总监理工程师</w:t>
            </w:r>
          </w:p>
        </w:tc>
        <w:tc>
          <w:tcPr>
            <w:tcW w:w="6655" w:type="dxa"/>
            <w:noWrap w:val="0"/>
            <w:vAlign w:val="center"/>
          </w:tcPr>
          <w:p>
            <w:pPr>
              <w:widowControl/>
              <w:snapToGrid w:val="0"/>
              <w:spacing w:line="240" w:lineRule="auto"/>
              <w:jc w:val="left"/>
              <w:rPr>
                <w:rFonts w:hint="default" w:ascii="宋体" w:hAnsi="宋体" w:eastAsia="宋体" w:cs="宋体"/>
                <w:color w:val="auto"/>
                <w:kern w:val="0"/>
                <w:sz w:val="24"/>
                <w:szCs w:val="24"/>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524" w:type="dxa"/>
            <w:noWrap w:val="0"/>
            <w:vAlign w:val="center"/>
          </w:tcPr>
          <w:p>
            <w:pPr>
              <w:widowControl/>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服务期</w:t>
            </w:r>
          </w:p>
        </w:tc>
        <w:tc>
          <w:tcPr>
            <w:tcW w:w="6655" w:type="dxa"/>
            <w:noWrap w:val="0"/>
            <w:vAlign w:val="center"/>
          </w:tcPr>
          <w:p>
            <w:pPr>
              <w:widowControl/>
              <w:snapToGrid w:val="0"/>
              <w:spacing w:line="240" w:lineRule="auto"/>
              <w:jc w:val="left"/>
              <w:rPr>
                <w:rFonts w:hint="eastAsia" w:ascii="宋体" w:hAnsi="宋体" w:eastAsia="宋体" w:cs="宋体"/>
                <w:color w:val="auto"/>
                <w:kern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524" w:type="dxa"/>
            <w:noWrap w:val="0"/>
            <w:vAlign w:val="center"/>
          </w:tcPr>
          <w:p>
            <w:pPr>
              <w:widowControl/>
              <w:snapToGrid w:val="0"/>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w:t>
            </w:r>
          </w:p>
        </w:tc>
        <w:tc>
          <w:tcPr>
            <w:tcW w:w="6655" w:type="dxa"/>
            <w:noWrap w:val="0"/>
            <w:vAlign w:val="center"/>
          </w:tcPr>
          <w:p>
            <w:pPr>
              <w:widowControl/>
              <w:snapToGrid w:val="0"/>
              <w:spacing w:line="240" w:lineRule="auto"/>
              <w:jc w:val="left"/>
              <w:rPr>
                <w:rFonts w:hint="eastAsia" w:ascii="宋体" w:hAnsi="宋体" w:eastAsia="宋体" w:cs="宋体"/>
                <w:color w:val="auto"/>
                <w:kern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9179" w:type="dxa"/>
            <w:gridSpan w:val="2"/>
            <w:noWrap w:val="0"/>
            <w:vAlign w:val="center"/>
          </w:tcPr>
          <w:p>
            <w:pPr>
              <w:widowControl/>
              <w:snapToGrid w:val="0"/>
              <w:spacing w:line="360" w:lineRule="auto"/>
              <w:rPr>
                <w:rFonts w:hint="eastAsia"/>
                <w:color w:val="auto"/>
                <w:highlight w:val="none"/>
              </w:rPr>
            </w:pPr>
            <w:r>
              <w:rPr>
                <w:rFonts w:hint="eastAsia"/>
                <w:color w:val="auto"/>
                <w:highlight w:val="none"/>
              </w:rPr>
              <w:t>注：</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1.投标报价费率最高限价为：3.30%</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2.2023年春季绿化项目监理（二次）二标段最高限价为273863元（对应</w:t>
            </w:r>
            <w:r>
              <w:rPr>
                <w:rFonts w:hint="eastAsia" w:ascii="宋体" w:hAnsi="宋体" w:eastAsia="宋体" w:cs="宋体"/>
                <w:b w:val="0"/>
                <w:bCs w:val="0"/>
                <w:snapToGrid w:val="0"/>
                <w:color w:val="auto"/>
                <w:kern w:val="0"/>
                <w:sz w:val="24"/>
                <w:szCs w:val="24"/>
                <w:highlight w:val="none"/>
                <w:lang w:val="en-US" w:eastAsia="zh-CN"/>
              </w:rPr>
              <w:t>五、六标段限价</w:t>
            </w:r>
            <w:r>
              <w:rPr>
                <w:rFonts w:hint="eastAsia" w:ascii="宋体" w:hAnsi="宋体" w:eastAsia="宋体" w:cs="宋体"/>
                <w:color w:val="auto"/>
                <w:kern w:val="0"/>
                <w:sz w:val="24"/>
                <w:szCs w:val="24"/>
                <w:highlight w:val="none"/>
                <w:lang w:val="en-US" w:eastAsia="zh-CN"/>
              </w:rPr>
              <w:t>最高</w:t>
            </w:r>
            <w:r>
              <w:rPr>
                <w:rFonts w:hint="eastAsia" w:ascii="宋体" w:hAnsi="宋体" w:eastAsia="宋体" w:cs="宋体"/>
                <w:b w:val="0"/>
                <w:bCs w:val="0"/>
                <w:snapToGrid w:val="0"/>
                <w:color w:val="auto"/>
                <w:kern w:val="0"/>
                <w:sz w:val="24"/>
                <w:szCs w:val="24"/>
                <w:highlight w:val="none"/>
                <w:lang w:val="en-US" w:eastAsia="zh-CN"/>
              </w:rPr>
              <w:t>总金额：8298891.84元</w:t>
            </w:r>
            <w:r>
              <w:rPr>
                <w:rFonts w:hint="eastAsia"/>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sz w:val="24"/>
                <w:szCs w:val="24"/>
                <w:highlight w:val="none"/>
                <w:lang w:val="en-US" w:eastAsia="zh-CN"/>
              </w:rPr>
              <w:t>投标报价=</w:t>
            </w:r>
            <w:r>
              <w:rPr>
                <w:rFonts w:hint="eastAsia" w:ascii="宋体" w:hAnsi="宋体" w:eastAsia="宋体" w:cs="宋体"/>
                <w:color w:val="auto"/>
                <w:kern w:val="0"/>
                <w:sz w:val="24"/>
                <w:szCs w:val="24"/>
                <w:highlight w:val="none"/>
                <w:lang w:val="en-US" w:eastAsia="zh-CN"/>
              </w:rPr>
              <w:t>2023年春季绿化项目施工最高限价*费率，投标报价仅作为评审依据。</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4.结算时根据2023年春季绿化项目施工的最终审核结算价*中标费率据实结算。</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5.表内报价内容保留小数点后两位。</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color w:val="auto"/>
                <w:highlight w:val="none"/>
                <w:lang w:val="en-US"/>
              </w:rPr>
            </w:pPr>
            <w:r>
              <w:rPr>
                <w:rFonts w:hint="eastAsia" w:ascii="宋体" w:hAnsi="宋体" w:eastAsia="宋体" w:cs="宋体"/>
                <w:b/>
                <w:bCs/>
                <w:color w:val="auto"/>
                <w:kern w:val="0"/>
                <w:sz w:val="24"/>
                <w:szCs w:val="24"/>
                <w:highlight w:val="none"/>
                <w:lang w:val="en-US" w:eastAsia="zh-CN"/>
              </w:rPr>
              <w:t>6.投标报价及费率不得高于相应的最高限价，否则按无效标处理。</w:t>
            </w:r>
          </w:p>
        </w:tc>
      </w:tr>
    </w:tbl>
    <w:p>
      <w:pPr>
        <w:snapToGrid w:val="0"/>
        <w:spacing w:line="360" w:lineRule="auto"/>
        <w:ind w:firstLine="1920" w:firstLineChars="800"/>
        <w:rPr>
          <w:rFonts w:hint="eastAsia" w:ascii="宋体" w:hAnsi="宋体" w:eastAsia="宋体" w:cs="宋体"/>
          <w:bCs/>
          <w:color w:val="auto"/>
          <w:kern w:val="0"/>
          <w:sz w:val="24"/>
          <w:szCs w:val="24"/>
          <w:highlight w:val="none"/>
        </w:rPr>
      </w:pPr>
    </w:p>
    <w:p>
      <w:pPr>
        <w:snapToGrid w:val="0"/>
        <w:spacing w:line="360" w:lineRule="auto"/>
        <w:ind w:firstLine="1920" w:firstLineChars="800"/>
        <w:rPr>
          <w:rFonts w:hint="eastAsia" w:ascii="宋体" w:hAnsi="宋体" w:eastAsia="宋体" w:cs="宋体"/>
          <w:color w:val="auto"/>
          <w:sz w:val="24"/>
          <w:szCs w:val="24"/>
          <w:highlight w:val="none"/>
        </w:rPr>
      </w:pPr>
    </w:p>
    <w:p>
      <w:pPr>
        <w:pStyle w:val="10"/>
        <w:snapToGrid w:val="0"/>
        <w:spacing w:line="360" w:lineRule="auto"/>
        <w:rPr>
          <w:rFonts w:hint="eastAsia" w:ascii="宋体" w:hAnsi="宋体" w:eastAsia="宋体" w:cs="宋体"/>
          <w:color w:val="auto"/>
          <w:sz w:val="24"/>
          <w:szCs w:val="24"/>
          <w:highlight w:val="none"/>
        </w:rPr>
      </w:pPr>
    </w:p>
    <w:p>
      <w:pPr>
        <w:snapToGrid w:val="0"/>
        <w:spacing w:line="360" w:lineRule="auto"/>
        <w:ind w:firstLine="2944" w:firstLineChars="12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投标人</w:t>
      </w:r>
      <w:r>
        <w:rPr>
          <w:rFonts w:hint="eastAsia" w:ascii="宋体" w:hAnsi="宋体" w:eastAsia="宋体" w:cs="宋体"/>
          <w:color w:val="auto"/>
          <w:sz w:val="24"/>
          <w:szCs w:val="24"/>
          <w:highlight w:val="none"/>
          <w:u w:val="single"/>
        </w:rPr>
        <w:t xml:space="preserve">名称）       </w:t>
      </w:r>
    </w:p>
    <w:p>
      <w:pPr>
        <w:snapToGrid w:val="0"/>
        <w:spacing w:line="360" w:lineRule="auto"/>
        <w:ind w:firstLine="2944" w:firstLineChars="122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法定代表人或被授权人（签字或盖章）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snapToGrid w:val="0"/>
        <w:spacing w:line="360" w:lineRule="auto"/>
        <w:ind w:firstLine="2944" w:firstLineChars="122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bookmarkEnd w:id="88"/>
    <w:bookmarkEnd w:id="89"/>
    <w:bookmarkEnd w:id="90"/>
    <w:bookmarkEnd w:id="91"/>
    <w:bookmarkEnd w:id="92"/>
    <w:bookmarkEnd w:id="93"/>
    <w:bookmarkEnd w:id="94"/>
    <w:bookmarkEnd w:id="95"/>
    <w:bookmarkEnd w:id="96"/>
    <w:bookmarkEnd w:id="97"/>
    <w:bookmarkEnd w:id="98"/>
    <w:bookmarkEnd w:id="99"/>
    <w:bookmarkEnd w:id="100"/>
    <w:p>
      <w:pPr>
        <w:keepNext w:val="0"/>
        <w:keepLines w:val="0"/>
        <w:widowControl w:val="0"/>
        <w:spacing w:beforeLines="50" w:after="0" w:line="360" w:lineRule="auto"/>
        <w:ind w:left="0"/>
        <w:jc w:val="center"/>
        <w:rPr>
          <w:rFonts w:hint="eastAsia" w:ascii="宋体" w:hAnsi="宋体" w:cs="宋体"/>
          <w:b/>
          <w:bCs/>
          <w:snapToGrid w:val="0"/>
          <w:color w:val="000000"/>
          <w:kern w:val="0"/>
          <w:sz w:val="32"/>
          <w:szCs w:val="32"/>
          <w:highlight w:val="none"/>
          <w:lang w:val="en-US" w:eastAsia="zh-CN"/>
        </w:rPr>
      </w:pPr>
      <w:bookmarkStart w:id="101" w:name="_Toc8713"/>
      <w:bookmarkStart w:id="102" w:name="_Toc26462"/>
      <w:bookmarkStart w:id="103" w:name="_Toc8023"/>
      <w:bookmarkStart w:id="104" w:name="_Toc18269"/>
      <w:r>
        <w:rPr>
          <w:rFonts w:hint="eastAsia" w:ascii="宋体" w:hAnsi="宋体" w:cs="宋体"/>
          <w:b/>
          <w:bCs/>
          <w:snapToGrid w:val="0"/>
          <w:color w:val="000000"/>
          <w:kern w:val="0"/>
          <w:sz w:val="32"/>
          <w:szCs w:val="32"/>
          <w:highlight w:val="none"/>
          <w:lang w:val="en-US" w:eastAsia="zh-CN"/>
        </w:rPr>
        <w:br w:type="page"/>
      </w:r>
    </w:p>
    <w:p>
      <w:pPr>
        <w:pStyle w:val="2"/>
        <w:keepNext w:val="0"/>
        <w:keepLines w:val="0"/>
        <w:widowControl w:val="0"/>
        <w:spacing w:beforeLines="50" w:after="0" w:line="360" w:lineRule="auto"/>
        <w:ind w:left="0"/>
        <w:jc w:val="center"/>
        <w:rPr>
          <w:rFonts w:hint="eastAsia" w:ascii="宋体" w:hAnsi="宋体" w:eastAsia="Arial" w:cs="宋体"/>
          <w:b/>
          <w:bCs/>
          <w:snapToGrid w:val="0"/>
          <w:color w:val="000000"/>
          <w:kern w:val="0"/>
          <w:sz w:val="32"/>
          <w:szCs w:val="32"/>
          <w:highlight w:val="none"/>
          <w:lang w:val="en-US" w:eastAsia="zh-CN"/>
        </w:rPr>
      </w:pPr>
      <w:r>
        <w:rPr>
          <w:rFonts w:hint="eastAsia" w:ascii="宋体" w:hAnsi="宋体" w:cs="宋体"/>
          <w:b/>
          <w:bCs/>
          <w:snapToGrid w:val="0"/>
          <w:color w:val="000000"/>
          <w:kern w:val="0"/>
          <w:sz w:val="32"/>
          <w:szCs w:val="32"/>
          <w:highlight w:val="none"/>
          <w:lang w:val="en-US" w:eastAsia="zh-CN"/>
        </w:rPr>
        <w:t>三</w:t>
      </w:r>
      <w:r>
        <w:rPr>
          <w:rFonts w:hint="eastAsia" w:ascii="宋体" w:hAnsi="宋体" w:eastAsia="Arial" w:cs="宋体"/>
          <w:b/>
          <w:bCs/>
          <w:snapToGrid w:val="0"/>
          <w:color w:val="000000"/>
          <w:kern w:val="0"/>
          <w:sz w:val="32"/>
          <w:szCs w:val="32"/>
          <w:highlight w:val="none"/>
          <w:lang w:val="en-US" w:eastAsia="zh-CN"/>
        </w:rPr>
        <w:t>、资格证明文件</w:t>
      </w:r>
      <w:bookmarkEnd w:id="101"/>
      <w:bookmarkEnd w:id="102"/>
      <w:bookmarkEnd w:id="103"/>
      <w:bookmarkEnd w:id="104"/>
    </w:p>
    <w:p>
      <w:pPr>
        <w:keepNext w:val="0"/>
        <w:keepLines w:val="0"/>
        <w:pageBreakBefore w:val="0"/>
        <w:widowControl/>
        <w:wordWrap/>
        <w:overflowPunct/>
        <w:topLinePunct w:val="0"/>
        <w:bidi w:val="0"/>
        <w:adjustRightInd w:val="0"/>
        <w:snapToGrid w:val="0"/>
        <w:spacing w:line="312" w:lineRule="auto"/>
        <w:ind w:left="0" w:leftChars="0" w:right="0" w:rightChars="0" w:firstLine="0" w:firstLineChars="0"/>
        <w:jc w:val="left"/>
        <w:textAlignment w:val="baseline"/>
        <w:rPr>
          <w:rFonts w:hint="eastAsia" w:ascii="宋体" w:hAnsi="宋体" w:eastAsia="宋体" w:cs="宋体"/>
          <w:sz w:val="21"/>
          <w:szCs w:val="21"/>
          <w:highlight w:val="none"/>
        </w:rPr>
      </w:pPr>
      <w:bookmarkStart w:id="105" w:name="_Toc30728"/>
      <w:bookmarkStart w:id="106" w:name="_Toc16210"/>
      <w:bookmarkStart w:id="107" w:name="_Toc16097"/>
      <w:bookmarkStart w:id="108" w:name="_Toc4867"/>
      <w:bookmarkStart w:id="109" w:name="_Toc25348"/>
      <w:bookmarkStart w:id="110" w:name="_Toc403077649"/>
      <w:bookmarkStart w:id="111" w:name="_Toc363474028"/>
      <w:bookmarkStart w:id="112" w:name="_Toc426457701"/>
      <w:bookmarkStart w:id="113" w:name="_Toc30210"/>
      <w:bookmarkStart w:id="114" w:name="_Toc19075"/>
      <w:r>
        <w:rPr>
          <w:rFonts w:hint="eastAsia" w:ascii="宋体" w:hAnsi="宋体" w:eastAsia="宋体" w:cs="宋体"/>
          <w:b/>
          <w:bCs/>
          <w:sz w:val="21"/>
          <w:szCs w:val="21"/>
          <w:highlight w:val="none"/>
        </w:rPr>
        <w:t>1.基本资格条件：符合《中华人民共和国政府采购法》第二十二条的规定，并提供以下资料；</w:t>
      </w:r>
    </w:p>
    <w:p>
      <w:pPr>
        <w:keepNext w:val="0"/>
        <w:keepLines w:val="0"/>
        <w:pageBreakBefore w:val="0"/>
        <w:widowControl/>
        <w:wordWrap/>
        <w:overflowPunct/>
        <w:topLinePunct w:val="0"/>
        <w:bidi w:val="0"/>
        <w:adjustRightInd w:val="0"/>
        <w:snapToGrid w:val="0"/>
        <w:spacing w:line="312" w:lineRule="auto"/>
        <w:ind w:left="0" w:leftChars="0" w:right="0" w:rightChars="0" w:firstLine="0" w:firstLineChars="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（1）提供合格有效的法人或者其他组织的营业执照等证明文件，自然人的身份证明；</w:t>
      </w:r>
    </w:p>
    <w:p>
      <w:pPr>
        <w:keepNext w:val="0"/>
        <w:keepLines w:val="0"/>
        <w:pageBreakBefore w:val="0"/>
        <w:widowControl/>
        <w:wordWrap/>
        <w:overflowPunct/>
        <w:topLinePunct w:val="0"/>
        <w:bidi w:val="0"/>
        <w:adjustRightInd w:val="0"/>
        <w:snapToGrid w:val="0"/>
        <w:spacing w:line="312" w:lineRule="auto"/>
        <w:ind w:left="0" w:leftChars="0" w:right="0" w:rightChars="0" w:firstLine="0" w:firstLineChars="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是法人或其他组织的应提供营业执照等证明文件，</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是自然人的应提供有效的自然人身份证明。</w:t>
      </w:r>
    </w:p>
    <w:p>
      <w:pPr>
        <w:keepNext w:val="0"/>
        <w:keepLines w:val="0"/>
        <w:pageBreakBefore w:val="0"/>
        <w:widowControl/>
        <w:wordWrap/>
        <w:overflowPunct/>
        <w:topLinePunct w:val="0"/>
        <w:bidi w:val="0"/>
        <w:adjustRightInd w:val="0"/>
        <w:snapToGrid w:val="0"/>
        <w:spacing w:line="312" w:lineRule="auto"/>
        <w:ind w:left="0" w:leftChars="0" w:right="0" w:rightChars="0" w:firstLine="0" w:firstLineChars="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（2）提供202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年度经审计的财务报告（成立时间至提交投标文件截止时间不足一年的可提供成立后任意时段的资产负债表），或其基本存款账户开户银行出具的资信证明及基本存款账户开户许可证（基本账户信息表）；</w:t>
      </w:r>
    </w:p>
    <w:p>
      <w:pPr>
        <w:keepNext w:val="0"/>
        <w:keepLines w:val="0"/>
        <w:pageBreakBefore w:val="0"/>
        <w:widowControl/>
        <w:wordWrap/>
        <w:overflowPunct/>
        <w:topLinePunct w:val="0"/>
        <w:bidi w:val="0"/>
        <w:adjustRightInd w:val="0"/>
        <w:snapToGrid w:val="0"/>
        <w:spacing w:line="312" w:lineRule="auto"/>
        <w:ind w:left="0" w:leftChars="0" w:right="0" w:rightChars="0" w:firstLine="0" w:firstLineChars="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（3）提供具有履行合同所必需的设备和专业技术能力的承诺；</w:t>
      </w:r>
    </w:p>
    <w:p>
      <w:pPr>
        <w:keepNext w:val="0"/>
        <w:keepLines w:val="0"/>
        <w:pageBreakBefore w:val="0"/>
        <w:widowControl/>
        <w:wordWrap/>
        <w:overflowPunct/>
        <w:topLinePunct w:val="0"/>
        <w:bidi w:val="0"/>
        <w:adjustRightInd w:val="0"/>
        <w:snapToGrid w:val="0"/>
        <w:spacing w:line="312" w:lineRule="auto"/>
        <w:ind w:left="0" w:leftChars="0" w:right="0" w:rightChars="0" w:firstLine="0" w:firstLineChars="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（4）提供投标截止日前一年内已缴纳的至少一个月的纳税证明或完税证明，依法免税的单位应提供相关证明材料</w:t>
      </w:r>
    </w:p>
    <w:p>
      <w:pPr>
        <w:keepNext w:val="0"/>
        <w:keepLines w:val="0"/>
        <w:pageBreakBefore w:val="0"/>
        <w:widowControl/>
        <w:wordWrap/>
        <w:overflowPunct/>
        <w:topLinePunct w:val="0"/>
        <w:bidi w:val="0"/>
        <w:adjustRightInd w:val="0"/>
        <w:snapToGrid w:val="0"/>
        <w:spacing w:line="312" w:lineRule="auto"/>
        <w:ind w:left="0" w:leftChars="0" w:right="0" w:rightChars="0" w:firstLine="0" w:firstLineChars="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（5）提供投标截止日前一年内已缴存的至少一个月的社会保障资金缴存单据或社保机构开具的社会保险参保缴费情况证明，依法不需要缴纳社会保障资金的单位应提供相关证明材料；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wordWrap/>
        <w:overflowPunct/>
        <w:topLinePunct w:val="0"/>
        <w:bidi w:val="0"/>
        <w:adjustRightInd w:val="0"/>
        <w:snapToGrid w:val="0"/>
        <w:spacing w:line="312" w:lineRule="auto"/>
        <w:ind w:left="0" w:leftChars="0" w:right="0" w:rightChars="0" w:firstLine="0" w:firstLineChars="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（6）参加政府采购活动前三年内，在经营活动中没有重大违法记录的书面声明。</w:t>
      </w:r>
    </w:p>
    <w:p>
      <w:pPr>
        <w:keepNext w:val="0"/>
        <w:keepLines w:val="0"/>
        <w:pageBreakBefore w:val="0"/>
        <w:widowControl/>
        <w:wordWrap/>
        <w:overflowPunct/>
        <w:topLinePunct w:val="0"/>
        <w:bidi w:val="0"/>
        <w:adjustRightInd w:val="0"/>
        <w:snapToGrid w:val="0"/>
        <w:spacing w:line="312" w:lineRule="auto"/>
        <w:ind w:left="0" w:leftChars="0" w:right="0" w:rightChars="0" w:firstLine="0" w:firstLineChars="0"/>
        <w:jc w:val="left"/>
        <w:textAlignment w:val="baseline"/>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2.落实政府采购政策需满足的资格要求：本项目专门面向中小企业采购</w:t>
      </w:r>
      <w:r>
        <w:rPr>
          <w:rFonts w:hint="eastAsia" w:ascii="宋体" w:hAnsi="宋体" w:eastAsia="宋体" w:cs="宋体"/>
          <w:b/>
          <w:bCs/>
          <w:sz w:val="21"/>
          <w:szCs w:val="21"/>
          <w:highlight w:val="none"/>
          <w:lang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b/>
          <w:bCs/>
          <w:spacing w:val="10"/>
          <w:sz w:val="21"/>
          <w:szCs w:val="21"/>
          <w:highlight w:val="none"/>
          <w:lang w:val="en-US" w:eastAsia="zh-CN"/>
        </w:rPr>
      </w:pPr>
      <w:r>
        <w:rPr>
          <w:rFonts w:hint="eastAsia" w:ascii="宋体" w:hAnsi="宋体" w:eastAsia="宋体" w:cs="宋体"/>
          <w:b/>
          <w:bCs/>
          <w:spacing w:val="10"/>
          <w:sz w:val="21"/>
          <w:szCs w:val="21"/>
          <w:highlight w:val="none"/>
          <w:lang w:val="en-US" w:eastAsia="zh-CN"/>
        </w:rPr>
        <w:t>3.本项目的特定资格要求：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合同包(2023年春季绿化项目监理（二次）)特定资格要求如下：</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（1）法定代表人授权书及被授权人身份证复印件（法定代表人直接参加投标，须提供法定代表人身份证明及身份证复印件）；</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（2）投标人须具有建设行政主管部门颁发的工程监理综合资质或市政公用工程监理乙级及以上资质；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（3）</w:t>
      </w:r>
      <w:r>
        <w:rPr>
          <w:rFonts w:hint="eastAsia" w:ascii="宋体" w:hAnsi="宋体" w:eastAsia="宋体" w:cs="宋体"/>
          <w:color w:val="auto"/>
          <w:sz w:val="21"/>
          <w:szCs w:val="21"/>
          <w:highlight w:val="none"/>
          <w:lang w:val="en-US" w:eastAsia="zh-CN" w:bidi="ar-SA"/>
        </w:rPr>
        <w:t>拟派总监理工程师具有市政公用工程专业国家级注册监理工程师资质且在本单位注册，拟派总监理工程师如有担任其他在监工程的总监理工程师，则在监工程不得超过2个（含2个），同时需提供在监项目建设单位的同意意见书</w:t>
      </w:r>
      <w:r>
        <w:rPr>
          <w:rFonts w:hint="eastAsia" w:ascii="宋体" w:hAnsi="宋体" w:eastAsia="宋体" w:cs="宋体"/>
          <w:spacing w:val="10"/>
          <w:sz w:val="21"/>
          <w:szCs w:val="21"/>
          <w:highlight w:val="none"/>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pacing w:val="10"/>
          <w:sz w:val="21"/>
          <w:szCs w:val="21"/>
          <w:highlight w:val="none"/>
          <w:lang w:val="en-US" w:eastAsia="zh-CN"/>
        </w:rPr>
      </w:pPr>
      <w:r>
        <w:rPr>
          <w:rFonts w:hint="eastAsia" w:ascii="宋体" w:hAnsi="宋体" w:eastAsia="宋体" w:cs="宋体"/>
          <w:spacing w:val="10"/>
          <w:sz w:val="21"/>
          <w:szCs w:val="21"/>
          <w:highlight w:val="none"/>
          <w:lang w:val="en-US" w:eastAsia="zh-CN"/>
        </w:rPr>
        <w:t>（4）投标人</w:t>
      </w:r>
      <w:r>
        <w:rPr>
          <w:rFonts w:hint="eastAsia" w:ascii="宋体" w:hAnsi="宋体" w:eastAsia="宋体" w:cs="宋体"/>
          <w:spacing w:val="10"/>
          <w:sz w:val="21"/>
          <w:szCs w:val="21"/>
          <w:highlight w:val="none"/>
          <w:lang w:val="en-US" w:eastAsia="zh-CN"/>
        </w:rPr>
        <w:fldChar w:fldCharType="begin"/>
      </w:r>
      <w:r>
        <w:rPr>
          <w:rFonts w:hint="eastAsia" w:ascii="宋体" w:hAnsi="宋体" w:eastAsia="宋体" w:cs="宋体"/>
          <w:spacing w:val="10"/>
          <w:sz w:val="21"/>
          <w:szCs w:val="21"/>
          <w:highlight w:val="none"/>
          <w:lang w:val="en-US" w:eastAsia="zh-CN"/>
        </w:rPr>
        <w:instrText xml:space="preserve"> HYPERLINK "http://www.creditchina.gov.cn/" </w:instrText>
      </w:r>
      <w:r>
        <w:rPr>
          <w:rFonts w:hint="eastAsia" w:ascii="宋体" w:hAnsi="宋体" w:eastAsia="宋体" w:cs="宋体"/>
          <w:spacing w:val="10"/>
          <w:sz w:val="21"/>
          <w:szCs w:val="21"/>
          <w:highlight w:val="none"/>
          <w:lang w:val="en-US" w:eastAsia="zh-CN"/>
        </w:rPr>
        <w:fldChar w:fldCharType="separate"/>
      </w:r>
      <w:r>
        <w:rPr>
          <w:rFonts w:hint="eastAsia" w:ascii="宋体" w:hAnsi="宋体" w:eastAsia="宋体" w:cs="宋体"/>
          <w:spacing w:val="10"/>
          <w:sz w:val="21"/>
          <w:szCs w:val="21"/>
          <w:highlight w:val="none"/>
          <w:lang w:val="en-US" w:eastAsia="zh-CN"/>
        </w:rPr>
        <w:t>未被“信用中国”网站(www.creditchina.gov.cn</w:t>
      </w:r>
      <w:r>
        <w:rPr>
          <w:rFonts w:hint="eastAsia" w:ascii="宋体" w:hAnsi="宋体" w:eastAsia="宋体" w:cs="宋体"/>
          <w:spacing w:val="10"/>
          <w:sz w:val="21"/>
          <w:szCs w:val="21"/>
          <w:highlight w:val="none"/>
          <w:lang w:val="en-US" w:eastAsia="zh-CN"/>
        </w:rPr>
        <w:fldChar w:fldCharType="end"/>
      </w:r>
      <w:r>
        <w:rPr>
          <w:rFonts w:hint="eastAsia" w:ascii="宋体" w:hAnsi="宋体" w:eastAsia="宋体" w:cs="宋体"/>
          <w:spacing w:val="10"/>
          <w:sz w:val="21"/>
          <w:szCs w:val="21"/>
          <w:highlight w:val="none"/>
          <w:lang w:val="en-US" w:eastAsia="zh-CN"/>
        </w:rPr>
        <w:t>) 列入失信被执行人和重大税收违法失信主体，未被中国政府采购网 (</w:t>
      </w:r>
      <w:r>
        <w:rPr>
          <w:rFonts w:hint="eastAsia" w:ascii="宋体" w:hAnsi="宋体" w:eastAsia="宋体" w:cs="宋体"/>
          <w:spacing w:val="10"/>
          <w:sz w:val="21"/>
          <w:szCs w:val="21"/>
          <w:highlight w:val="none"/>
          <w:lang w:val="en-US" w:eastAsia="zh-CN"/>
        </w:rPr>
        <w:fldChar w:fldCharType="begin"/>
      </w:r>
      <w:r>
        <w:rPr>
          <w:rFonts w:hint="eastAsia" w:ascii="宋体" w:hAnsi="宋体" w:eastAsia="宋体" w:cs="宋体"/>
          <w:spacing w:val="10"/>
          <w:sz w:val="21"/>
          <w:szCs w:val="21"/>
          <w:highlight w:val="none"/>
          <w:lang w:val="en-US" w:eastAsia="zh-CN"/>
        </w:rPr>
        <w:instrText xml:space="preserve"> HYPERLINK "http://www.ccgp.gov.cn/" </w:instrText>
      </w:r>
      <w:r>
        <w:rPr>
          <w:rFonts w:hint="eastAsia" w:ascii="宋体" w:hAnsi="宋体" w:eastAsia="宋体" w:cs="宋体"/>
          <w:spacing w:val="10"/>
          <w:sz w:val="21"/>
          <w:szCs w:val="21"/>
          <w:highlight w:val="none"/>
          <w:lang w:val="en-US" w:eastAsia="zh-CN"/>
        </w:rPr>
        <w:fldChar w:fldCharType="separate"/>
      </w:r>
      <w:r>
        <w:rPr>
          <w:rFonts w:hint="eastAsia" w:ascii="宋体" w:hAnsi="宋体" w:eastAsia="宋体" w:cs="宋体"/>
          <w:spacing w:val="10"/>
          <w:sz w:val="21"/>
          <w:szCs w:val="21"/>
          <w:highlight w:val="none"/>
          <w:lang w:val="en-US" w:eastAsia="zh-CN"/>
        </w:rPr>
        <w:t>www.ccgp.gov.cn</w:t>
      </w:r>
      <w:r>
        <w:rPr>
          <w:rFonts w:hint="eastAsia" w:ascii="宋体" w:hAnsi="宋体" w:eastAsia="宋体" w:cs="宋体"/>
          <w:spacing w:val="10"/>
          <w:sz w:val="21"/>
          <w:szCs w:val="21"/>
          <w:highlight w:val="none"/>
          <w:lang w:val="en-US" w:eastAsia="zh-CN"/>
        </w:rPr>
        <w:fldChar w:fldCharType="end"/>
      </w:r>
      <w:r>
        <w:rPr>
          <w:rFonts w:hint="eastAsia" w:ascii="宋体" w:hAnsi="宋体" w:eastAsia="宋体" w:cs="宋体"/>
          <w:spacing w:val="10"/>
          <w:sz w:val="21"/>
          <w:szCs w:val="21"/>
          <w:highlight w:val="none"/>
          <w:lang w:val="en-US" w:eastAsia="zh-CN"/>
        </w:rPr>
        <w:t>) 列入政府采购严重违法失信行为记录名单；</w:t>
      </w:r>
    </w:p>
    <w:p>
      <w:pPr>
        <w:spacing w:beforeLines="-2147483648" w:afterLines="-2147483648"/>
        <w:outlineLvl w:val="9"/>
        <w:rPr>
          <w:rFonts w:hint="eastAsia" w:hAnsi="宋体"/>
          <w:b/>
          <w:bCs/>
          <w:sz w:val="21"/>
          <w:szCs w:val="21"/>
          <w:highlight w:val="none"/>
        </w:rPr>
      </w:pPr>
      <w:r>
        <w:rPr>
          <w:rFonts w:hint="eastAsia" w:ascii="宋体" w:hAnsi="宋体" w:eastAsia="宋体" w:cs="宋体"/>
          <w:spacing w:val="10"/>
          <w:sz w:val="21"/>
          <w:szCs w:val="21"/>
          <w:highlight w:val="none"/>
          <w:lang w:val="en-US" w:eastAsia="zh-CN"/>
        </w:rPr>
        <w:t>（5）本项目不接受联合体投标。</w:t>
      </w:r>
    </w:p>
    <w:p>
      <w:pPr>
        <w:spacing w:beforeLines="-2147483648" w:afterLines="-2147483648"/>
        <w:outlineLvl w:val="9"/>
        <w:rPr>
          <w:rFonts w:hint="eastAsia" w:hAnsi="宋体"/>
          <w:b/>
          <w:bCs/>
          <w:sz w:val="28"/>
          <w:szCs w:val="28"/>
          <w:highlight w:val="none"/>
        </w:rPr>
      </w:pPr>
      <w:r>
        <w:rPr>
          <w:rFonts w:hint="eastAsia" w:hAnsi="宋体"/>
          <w:b/>
          <w:bCs/>
          <w:sz w:val="28"/>
          <w:szCs w:val="28"/>
          <w:highlight w:val="none"/>
        </w:rPr>
        <w:br w:type="page"/>
      </w:r>
    </w:p>
    <w:p>
      <w:pPr>
        <w:spacing w:beforeLines="50" w:afterLines="50"/>
        <w:outlineLvl w:val="9"/>
        <w:rPr>
          <w:rFonts w:hint="eastAsia" w:hAnsi="宋体"/>
          <w:b/>
          <w:bCs/>
          <w:sz w:val="28"/>
          <w:szCs w:val="28"/>
          <w:highlight w:val="none"/>
        </w:rPr>
      </w:pPr>
      <w:r>
        <w:rPr>
          <w:rFonts w:hint="eastAsia" w:hAnsi="宋体"/>
          <w:b/>
          <w:bCs/>
          <w:sz w:val="28"/>
          <w:szCs w:val="28"/>
          <w:highlight w:val="none"/>
        </w:rPr>
        <w:t>附件</w:t>
      </w:r>
      <w:r>
        <w:rPr>
          <w:rFonts w:hint="eastAsia" w:hAnsi="宋体"/>
          <w:b/>
          <w:bCs/>
          <w:sz w:val="28"/>
          <w:szCs w:val="28"/>
          <w:highlight w:val="none"/>
          <w:lang w:val="en-US" w:eastAsia="zh-CN"/>
        </w:rPr>
        <w:t>1：</w:t>
      </w:r>
    </w:p>
    <w:p>
      <w:pPr>
        <w:pStyle w:val="10"/>
        <w:snapToGrid w:val="0"/>
        <w:spacing w:line="360" w:lineRule="auto"/>
        <w:rPr>
          <w:rFonts w:hint="eastAsia" w:ascii="宋体" w:hAnsi="宋体" w:eastAsia="宋体" w:cs="宋体"/>
          <w:color w:val="auto"/>
          <w:sz w:val="24"/>
          <w:szCs w:val="24"/>
          <w:highlight w:val="none"/>
        </w:rPr>
      </w:pPr>
    </w:p>
    <w:p>
      <w:pPr>
        <w:adjustRightInd w:val="0"/>
        <w:snapToGrid w:val="0"/>
        <w:spacing w:line="360" w:lineRule="auto"/>
        <w:jc w:val="center"/>
        <w:outlineLvl w:val="2"/>
        <w:rPr>
          <w:rFonts w:hint="eastAsia" w:hAnsi="宋体" w:cs="仿宋"/>
          <w:b/>
          <w:bCs/>
          <w:sz w:val="30"/>
          <w:szCs w:val="30"/>
          <w:highlight w:val="none"/>
        </w:rPr>
      </w:pPr>
      <w:bookmarkStart w:id="115" w:name="_Toc3282"/>
      <w:r>
        <w:rPr>
          <w:rFonts w:hint="eastAsia" w:hAnsi="宋体" w:cs="仿宋"/>
          <w:b/>
          <w:bCs/>
          <w:sz w:val="30"/>
          <w:szCs w:val="30"/>
          <w:highlight w:val="none"/>
        </w:rPr>
        <w:t>履行合同所必需的设备和专业技术能力的说明及承诺</w:t>
      </w:r>
      <w:bookmarkEnd w:id="115"/>
    </w:p>
    <w:p>
      <w:pPr>
        <w:adjustRightInd w:val="0"/>
        <w:snapToGrid w:val="0"/>
        <w:spacing w:line="360" w:lineRule="auto"/>
        <w:jc w:val="center"/>
        <w:rPr>
          <w:rFonts w:hint="eastAsia" w:ascii="宋体" w:hAnsi="宋体" w:eastAsia="宋体" w:cs="宋体"/>
          <w:b/>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u w:val="single"/>
        </w:rPr>
        <w:t xml:space="preserve">   （采购人名称）    ：</w:t>
      </w:r>
    </w:p>
    <w:p>
      <w:pPr>
        <w:keepNext w:val="0"/>
        <w:keepLines w:val="0"/>
        <w:pageBreakBefore w:val="0"/>
        <w:widowControl/>
        <w:kinsoku w:val="0"/>
        <w:wordWrap/>
        <w:overflowPunct/>
        <w:topLinePunct w:val="0"/>
        <w:autoSpaceDE w:val="0"/>
        <w:autoSpaceDN w:val="0"/>
        <w:bidi w:val="0"/>
        <w:adjustRightInd w:val="0"/>
        <w:snapToGrid w:val="0"/>
        <w:spacing w:before="240" w:beforeLines="100" w:after="120" w:afterLines="50" w:line="360" w:lineRule="auto"/>
        <w:ind w:firstLine="620" w:firstLineChars="250"/>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eastAsia="zh-CN"/>
        </w:rPr>
        <w:t>投标人</w:t>
      </w:r>
      <w:r>
        <w:rPr>
          <w:rFonts w:hint="eastAsia" w:ascii="宋体" w:hAnsi="宋体" w:eastAsia="宋体" w:cs="宋体"/>
          <w:color w:val="auto"/>
          <w:spacing w:val="4"/>
          <w:sz w:val="24"/>
          <w:szCs w:val="24"/>
          <w:highlight w:val="none"/>
          <w:u w:val="single"/>
        </w:rPr>
        <w:t xml:space="preserve">名称）           </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，营业（生产经营）面积为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，现有员工数量为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，其中与履行本合同相关的专业技术人员有（</w:t>
      </w:r>
      <w:r>
        <w:rPr>
          <w:rFonts w:hint="eastAsia" w:ascii="宋体" w:hAnsi="宋体" w:eastAsia="宋体" w:cs="宋体"/>
          <w:color w:val="auto"/>
          <w:spacing w:val="4"/>
          <w:sz w:val="24"/>
          <w:szCs w:val="24"/>
          <w:highlight w:val="none"/>
          <w:u w:val="single"/>
        </w:rPr>
        <w:t xml:space="preserve">             专业能力、数量       </w:t>
      </w:r>
      <w:r>
        <w:rPr>
          <w:rFonts w:hint="eastAsia" w:ascii="宋体" w:hAnsi="宋体" w:eastAsia="宋体" w:cs="宋体"/>
          <w:color w:val="auto"/>
          <w:spacing w:val="4"/>
          <w:sz w:val="24"/>
          <w:szCs w:val="24"/>
          <w:highlight w:val="none"/>
        </w:rPr>
        <w:t>），本公司郑重承诺，具有履行本合同所必需的设备和专业技术能力。</w:t>
      </w:r>
    </w:p>
    <w:p>
      <w:pPr>
        <w:keepNext w:val="0"/>
        <w:keepLines w:val="0"/>
        <w:pageBreakBefore w:val="0"/>
        <w:widowControl/>
        <w:kinsoku w:val="0"/>
        <w:wordWrap/>
        <w:overflowPunct/>
        <w:topLinePunct w:val="0"/>
        <w:autoSpaceDE w:val="0"/>
        <w:autoSpaceDN w:val="0"/>
        <w:bidi w:val="0"/>
        <w:adjustRightInd w:val="0"/>
        <w:snapToGrid w:val="0"/>
        <w:spacing w:before="240" w:beforeLines="100" w:after="120" w:afterLines="50" w:line="360" w:lineRule="auto"/>
        <w:ind w:firstLine="170"/>
        <w:textAlignment w:val="baseline"/>
        <w:rPr>
          <w:rFonts w:hint="eastAsia" w:ascii="宋体" w:hAnsi="宋体" w:eastAsia="宋体" w:cs="宋体"/>
          <w:color w:val="auto"/>
          <w:spacing w:val="4"/>
          <w:sz w:val="24"/>
          <w:szCs w:val="24"/>
          <w:highlight w:val="none"/>
        </w:rPr>
      </w:pPr>
    </w:p>
    <w:p>
      <w:pPr>
        <w:keepNext w:val="0"/>
        <w:keepLines w:val="0"/>
        <w:pageBreakBefore w:val="0"/>
        <w:widowControl/>
        <w:tabs>
          <w:tab w:val="center" w:pos="4153"/>
          <w:tab w:val="right" w:pos="8306"/>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3360" w:firstLineChars="14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 xml:space="preserve">名称）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3360" w:firstLineChars="140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法定代表人或被授权人（签字或盖章）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3360" w:firstLineChars="140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br w:type="page"/>
      </w:r>
    </w:p>
    <w:p>
      <w:pPr>
        <w:spacing w:beforeLines="50" w:afterLines="50"/>
        <w:outlineLvl w:val="9"/>
        <w:rPr>
          <w:rFonts w:hAnsi="宋体"/>
          <w:b/>
          <w:bCs/>
          <w:sz w:val="28"/>
          <w:szCs w:val="28"/>
          <w:highlight w:val="none"/>
        </w:rPr>
      </w:pPr>
      <w:r>
        <w:rPr>
          <w:rFonts w:hint="eastAsia" w:hAnsi="宋体"/>
          <w:b/>
          <w:bCs/>
          <w:sz w:val="28"/>
          <w:szCs w:val="28"/>
          <w:highlight w:val="none"/>
        </w:rPr>
        <w:t>附件</w:t>
      </w:r>
      <w:r>
        <w:rPr>
          <w:rFonts w:hint="eastAsia" w:hAnsi="宋体" w:eastAsia="宋体"/>
          <w:b/>
          <w:bCs/>
          <w:sz w:val="28"/>
          <w:szCs w:val="28"/>
          <w:highlight w:val="none"/>
          <w:lang w:val="en-US" w:eastAsia="zh-CN"/>
        </w:rPr>
        <w:t>2</w:t>
      </w:r>
      <w:r>
        <w:rPr>
          <w:rFonts w:hint="eastAsia" w:hAnsi="宋体"/>
          <w:b/>
          <w:bCs/>
          <w:sz w:val="28"/>
          <w:szCs w:val="28"/>
          <w:highlight w:val="none"/>
        </w:rPr>
        <w:t>：</w:t>
      </w:r>
    </w:p>
    <w:p>
      <w:pPr>
        <w:spacing w:beforeLines="50" w:line="360" w:lineRule="auto"/>
        <w:jc w:val="both"/>
        <w:rPr>
          <w:rFonts w:hint="eastAsia" w:hAnsi="宋体" w:cs="仿宋"/>
          <w:b/>
          <w:bCs/>
          <w:sz w:val="30"/>
          <w:szCs w:val="30"/>
          <w:highlight w:val="none"/>
        </w:rPr>
      </w:pPr>
    </w:p>
    <w:p>
      <w:pPr>
        <w:spacing w:beforeLines="50" w:line="360" w:lineRule="auto"/>
        <w:jc w:val="both"/>
        <w:outlineLvl w:val="2"/>
        <w:rPr>
          <w:rFonts w:hAnsi="宋体" w:cs="仿宋"/>
          <w:b/>
          <w:bCs/>
          <w:sz w:val="30"/>
          <w:szCs w:val="30"/>
          <w:highlight w:val="none"/>
        </w:rPr>
      </w:pPr>
      <w:bookmarkStart w:id="116" w:name="_Toc21405"/>
      <w:r>
        <w:rPr>
          <w:rFonts w:hint="eastAsia" w:hAnsi="宋体" w:cs="仿宋"/>
          <w:b/>
          <w:bCs/>
          <w:sz w:val="30"/>
          <w:szCs w:val="30"/>
          <w:highlight w:val="none"/>
        </w:rPr>
        <w:t>参加本次政府采购活动前三年内，在经营活动中没有重大违法记录的</w:t>
      </w:r>
      <w:bookmarkEnd w:id="116"/>
    </w:p>
    <w:p>
      <w:pPr>
        <w:spacing w:beforeLines="50" w:line="360" w:lineRule="auto"/>
        <w:jc w:val="center"/>
        <w:rPr>
          <w:rFonts w:hAnsi="宋体" w:cs="仿宋"/>
          <w:b/>
          <w:bCs/>
          <w:sz w:val="30"/>
          <w:szCs w:val="30"/>
          <w:highlight w:val="none"/>
        </w:rPr>
      </w:pPr>
      <w:r>
        <w:rPr>
          <w:rFonts w:hint="eastAsia" w:hAnsi="宋体" w:cs="仿宋"/>
          <w:b/>
          <w:bCs/>
          <w:sz w:val="30"/>
          <w:szCs w:val="30"/>
          <w:highlight w:val="none"/>
        </w:rPr>
        <w:t>书面声明</w:t>
      </w:r>
    </w:p>
    <w:p>
      <w:pPr>
        <w:keepNext w:val="0"/>
        <w:keepLines w:val="0"/>
        <w:pageBreakBefore w:val="0"/>
        <w:widowControl/>
        <w:kinsoku w:val="0"/>
        <w:wordWrap/>
        <w:overflowPunct/>
        <w:topLinePunct w:val="0"/>
        <w:autoSpaceDE w:val="0"/>
        <w:autoSpaceDN w:val="0"/>
        <w:bidi w:val="0"/>
        <w:adjustRightInd w:val="0"/>
        <w:snapToGrid w:val="0"/>
        <w:spacing w:before="240" w:beforeLines="100" w:after="120" w:afterLines="50" w:line="360" w:lineRule="auto"/>
        <w:ind w:firstLine="620" w:firstLineChars="250"/>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致：</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 xml:space="preserve">（采购人名称）    </w:t>
      </w:r>
    </w:p>
    <w:p>
      <w:pPr>
        <w:keepNext w:val="0"/>
        <w:keepLines w:val="0"/>
        <w:pageBreakBefore w:val="0"/>
        <w:widowControl/>
        <w:kinsoku w:val="0"/>
        <w:wordWrap/>
        <w:overflowPunct/>
        <w:topLinePunct w:val="0"/>
        <w:autoSpaceDE w:val="0"/>
        <w:autoSpaceDN w:val="0"/>
        <w:bidi w:val="0"/>
        <w:adjustRightInd w:val="0"/>
        <w:snapToGrid w:val="0"/>
        <w:spacing w:before="240" w:beforeLines="100" w:after="120" w:afterLines="50" w:line="360" w:lineRule="auto"/>
        <w:ind w:firstLine="620" w:firstLineChars="250"/>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w:t>
      </w:r>
      <w:r>
        <w:rPr>
          <w:rFonts w:hint="eastAsia" w:ascii="宋体" w:hAnsi="宋体" w:eastAsia="宋体" w:cs="宋体"/>
          <w:color w:val="auto"/>
          <w:spacing w:val="4"/>
          <w:sz w:val="24"/>
          <w:szCs w:val="24"/>
          <w:highlight w:val="none"/>
          <w:lang w:eastAsia="zh-CN"/>
        </w:rPr>
        <w:t>投标人</w:t>
      </w:r>
      <w:r>
        <w:rPr>
          <w:rFonts w:hint="eastAsia" w:ascii="宋体" w:hAnsi="宋体" w:eastAsia="宋体" w:cs="宋体"/>
          <w:color w:val="auto"/>
          <w:spacing w:val="4"/>
          <w:sz w:val="24"/>
          <w:szCs w:val="24"/>
          <w:highlight w:val="none"/>
        </w:rPr>
        <w:t>名称））为在中华人民共和国境内合法注册并经营的机构。在此郑重声明，我公司在参与本次政府采购活动前三年内在经营活动中没有重大违法记录。</w:t>
      </w:r>
    </w:p>
    <w:p>
      <w:pPr>
        <w:pStyle w:val="7"/>
        <w:rPr>
          <w:rFonts w:hint="eastAsia"/>
          <w:highlight w:val="none"/>
        </w:rPr>
      </w:pPr>
    </w:p>
    <w:p>
      <w:pPr>
        <w:snapToGrid w:val="0"/>
        <w:spacing w:line="360" w:lineRule="auto"/>
        <w:ind w:firstLine="3360" w:firstLineChars="1400"/>
        <w:rPr>
          <w:rFonts w:hint="eastAsia" w:ascii="宋体" w:hAnsi="宋体" w:eastAsia="宋体" w:cs="宋体"/>
          <w:color w:val="auto"/>
          <w:sz w:val="24"/>
          <w:szCs w:val="24"/>
          <w:highlight w:val="none"/>
          <w:lang w:eastAsia="zh-CN"/>
        </w:rPr>
      </w:pPr>
    </w:p>
    <w:p>
      <w:pPr>
        <w:snapToGrid w:val="0"/>
        <w:spacing w:line="360" w:lineRule="auto"/>
        <w:ind w:firstLine="3360" w:firstLineChars="1400"/>
        <w:rPr>
          <w:rFonts w:hint="eastAsia" w:ascii="宋体" w:hAnsi="宋体" w:eastAsia="宋体" w:cs="宋体"/>
          <w:color w:val="auto"/>
          <w:sz w:val="24"/>
          <w:szCs w:val="24"/>
          <w:highlight w:val="none"/>
          <w:lang w:eastAsia="zh-CN"/>
        </w:rPr>
      </w:pPr>
    </w:p>
    <w:p>
      <w:pPr>
        <w:snapToGrid w:val="0"/>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 xml:space="preserve">名称）            </w:t>
      </w:r>
    </w:p>
    <w:p>
      <w:pPr>
        <w:snapToGrid w:val="0"/>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法定代表人或被授权人（签字或盖章）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3360" w:firstLineChars="1400"/>
        <w:rPr>
          <w:rFonts w:hint="eastAsia" w:ascii="宋体" w:hAnsi="宋体" w:eastAsia="宋体" w:cs="宋体"/>
          <w:color w:val="auto"/>
          <w:sz w:val="24"/>
          <w:szCs w:val="24"/>
          <w:highlight w:val="none"/>
          <w:u w:val="single"/>
        </w:r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beforeLines="50" w:afterLines="50"/>
        <w:outlineLvl w:val="9"/>
        <w:rPr>
          <w:rFonts w:hint="default" w:hAnsi="宋体"/>
          <w:b/>
          <w:bCs/>
          <w:sz w:val="28"/>
          <w:szCs w:val="28"/>
          <w:highlight w:val="none"/>
          <w:lang w:val="en-US"/>
        </w:rPr>
      </w:pPr>
      <w:r>
        <w:rPr>
          <w:rFonts w:hint="eastAsia" w:hAnsi="宋体"/>
          <w:b/>
          <w:bCs/>
          <w:sz w:val="28"/>
          <w:szCs w:val="28"/>
          <w:highlight w:val="none"/>
        </w:rPr>
        <w:t>附件</w:t>
      </w:r>
      <w:r>
        <w:rPr>
          <w:rFonts w:hint="eastAsia" w:hAnsi="宋体"/>
          <w:b/>
          <w:bCs/>
          <w:sz w:val="28"/>
          <w:szCs w:val="28"/>
          <w:highlight w:val="none"/>
          <w:lang w:val="en-US" w:eastAsia="zh-CN"/>
        </w:rPr>
        <w:t>3-1</w:t>
      </w:r>
      <w:r>
        <w:rPr>
          <w:rFonts w:hint="eastAsia" w:hAnsi="宋体"/>
          <w:b/>
          <w:bCs/>
          <w:sz w:val="28"/>
          <w:szCs w:val="28"/>
          <w:highlight w:val="none"/>
          <w:lang w:eastAsia="zh-CN"/>
        </w:rPr>
        <w:t>：</w:t>
      </w:r>
    </w:p>
    <w:p>
      <w:pPr>
        <w:pStyle w:val="4"/>
        <w:keepNext w:val="0"/>
        <w:keepLines w:val="0"/>
        <w:widowControl w:val="0"/>
        <w:spacing w:beforeLines="50" w:after="0" w:line="360" w:lineRule="auto"/>
        <w:ind w:left="0"/>
        <w:jc w:val="center"/>
        <w:outlineLvl w:val="2"/>
        <w:rPr>
          <w:rFonts w:hint="eastAsia" w:ascii="宋体" w:hAnsi="宋体" w:eastAsia="Arial" w:cs="宋体"/>
          <w:b/>
          <w:bCs/>
          <w:snapToGrid w:val="0"/>
          <w:color w:val="000000"/>
          <w:kern w:val="0"/>
          <w:sz w:val="32"/>
          <w:szCs w:val="32"/>
          <w:highlight w:val="none"/>
          <w:lang w:val="en-US" w:eastAsia="zh-CN"/>
        </w:rPr>
      </w:pPr>
      <w:bookmarkStart w:id="117" w:name="_Toc3443"/>
      <w:r>
        <w:rPr>
          <w:rFonts w:hint="eastAsia" w:ascii="宋体" w:hAnsi="宋体" w:eastAsia="Arial" w:cs="宋体"/>
          <w:b/>
          <w:bCs/>
          <w:snapToGrid w:val="0"/>
          <w:color w:val="000000"/>
          <w:kern w:val="0"/>
          <w:sz w:val="32"/>
          <w:szCs w:val="32"/>
          <w:highlight w:val="none"/>
          <w:lang w:val="en-US" w:eastAsia="zh-CN"/>
        </w:rPr>
        <w:t>法定代表人身份证明</w:t>
      </w:r>
      <w:bookmarkEnd w:id="117"/>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注册地址：</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年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日；经营期限：</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经营范围：主营：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；兼营：</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kern w:val="0"/>
          <w:sz w:val="24"/>
          <w:szCs w:val="24"/>
          <w:highlight w:val="none"/>
          <w:u w:val="single"/>
        </w:rPr>
        <w:t xml:space="preserve">名称）    </w:t>
      </w:r>
      <w:r>
        <w:rPr>
          <w:rFonts w:hint="eastAsia" w:ascii="宋体" w:hAnsi="宋体" w:eastAsia="宋体" w:cs="宋体"/>
          <w:color w:val="auto"/>
          <w:kern w:val="0"/>
          <w:sz w:val="24"/>
          <w:szCs w:val="24"/>
          <w:highlight w:val="none"/>
        </w:rPr>
        <w:t>的法定代表人。</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sz w:val="24"/>
          <w:szCs w:val="24"/>
          <w:highlight w:val="none"/>
        </w:rPr>
      </w:pPr>
    </w:p>
    <w:tbl>
      <w:tblPr>
        <w:tblStyle w:val="22"/>
        <w:tblW w:w="0" w:type="auto"/>
        <w:tblInd w:w="499" w:type="dxa"/>
        <w:tblLayout w:type="fixed"/>
        <w:tblCellMar>
          <w:top w:w="0" w:type="dxa"/>
          <w:left w:w="108" w:type="dxa"/>
          <w:bottom w:w="0" w:type="dxa"/>
          <w:right w:w="108" w:type="dxa"/>
        </w:tblCellMar>
      </w:tblPr>
      <w:tblGrid>
        <w:gridCol w:w="7753"/>
      </w:tblGrid>
      <w:tr>
        <w:tblPrEx>
          <w:tblCellMar>
            <w:top w:w="0" w:type="dxa"/>
            <w:left w:w="108" w:type="dxa"/>
            <w:bottom w:w="0" w:type="dxa"/>
            <w:right w:w="108" w:type="dxa"/>
          </w:tblCellMar>
        </w:tblPrEx>
        <w:trPr>
          <w:trHeight w:val="2818" w:hRule="atLeast"/>
        </w:trPr>
        <w:tc>
          <w:tcPr>
            <w:tcW w:w="7753"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法定代表人身份证</w:t>
            </w:r>
            <w:r>
              <w:rPr>
                <w:rFonts w:hint="eastAsia" w:ascii="宋体" w:hAnsi="宋体" w:eastAsia="宋体" w:cs="宋体"/>
                <w:color w:val="auto"/>
                <w:sz w:val="24"/>
                <w:szCs w:val="24"/>
                <w:highlight w:val="none"/>
              </w:rPr>
              <w:t>扫描件</w:t>
            </w:r>
          </w:p>
          <w:p>
            <w:pPr>
              <w:snapToGrid w:val="0"/>
              <w:spacing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（国徽面、人像面）</w:t>
            </w:r>
          </w:p>
        </w:tc>
      </w:tr>
    </w:tbl>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napToGrid w:val="0"/>
        <w:spacing w:line="360" w:lineRule="auto"/>
        <w:ind w:firstLine="1920" w:firstLineChars="800"/>
        <w:rPr>
          <w:rFonts w:hint="eastAsia" w:ascii="宋体" w:hAnsi="宋体" w:eastAsia="宋体" w:cs="宋体"/>
          <w:color w:val="auto"/>
          <w:kern w:val="0"/>
          <w:sz w:val="24"/>
          <w:szCs w:val="24"/>
          <w:highlight w:val="none"/>
        </w:rPr>
      </w:pPr>
    </w:p>
    <w:p>
      <w:pPr>
        <w:snapToGrid w:val="0"/>
        <w:spacing w:line="360" w:lineRule="auto"/>
        <w:ind w:firstLine="3158" w:firstLineChars="13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 xml:space="preserve">名称）   </w:t>
      </w:r>
    </w:p>
    <w:p>
      <w:pPr>
        <w:adjustRightInd w:val="0"/>
        <w:snapToGrid w:val="0"/>
        <w:spacing w:line="360" w:lineRule="auto"/>
        <w:ind w:firstLine="3158" w:firstLineChars="131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adjustRightInd w:val="0"/>
        <w:snapToGrid w:val="0"/>
        <w:spacing w:line="360" w:lineRule="auto"/>
        <w:jc w:val="left"/>
        <w:rPr>
          <w:rFonts w:hint="eastAsia" w:ascii="宋体" w:hAnsi="宋体" w:eastAsia="宋体" w:cs="宋体"/>
          <w:b/>
          <w:bCs/>
          <w:color w:val="auto"/>
          <w:sz w:val="24"/>
          <w:szCs w:val="24"/>
          <w:highlight w:val="none"/>
        </w:rPr>
      </w:pPr>
    </w:p>
    <w:p>
      <w:pPr>
        <w:adjustRightInd w:val="0"/>
        <w:snapToGrid w:val="0"/>
        <w:spacing w:line="360" w:lineRule="auto"/>
        <w:jc w:val="left"/>
        <w:rPr>
          <w:rFonts w:hint="eastAsia" w:ascii="宋体" w:hAnsi="宋体" w:eastAsia="宋体" w:cs="宋体"/>
          <w:b/>
          <w:bCs/>
          <w:color w:val="auto"/>
          <w:sz w:val="24"/>
          <w:szCs w:val="24"/>
          <w:highlight w:val="none"/>
        </w:rPr>
      </w:pPr>
    </w:p>
    <w:p>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(注：仅限法定代表人直接参与投标时使用)</w:t>
      </w:r>
      <w:r>
        <w:rPr>
          <w:rFonts w:hint="eastAsia" w:ascii="宋体" w:hAnsi="宋体" w:eastAsia="宋体" w:cs="宋体"/>
          <w:b/>
          <w:bCs/>
          <w:color w:val="auto"/>
          <w:sz w:val="24"/>
          <w:szCs w:val="24"/>
          <w:highlight w:val="none"/>
        </w:rPr>
        <w:br w:type="page"/>
      </w:r>
      <w:r>
        <w:rPr>
          <w:rFonts w:hint="eastAsia" w:hAnsi="宋体"/>
          <w:b/>
          <w:bCs/>
          <w:sz w:val="28"/>
          <w:szCs w:val="28"/>
          <w:highlight w:val="none"/>
        </w:rPr>
        <w:t>附件</w:t>
      </w:r>
      <w:r>
        <w:rPr>
          <w:rFonts w:hint="eastAsia" w:hAnsi="宋体"/>
          <w:b/>
          <w:bCs/>
          <w:sz w:val="28"/>
          <w:szCs w:val="28"/>
          <w:highlight w:val="none"/>
          <w:lang w:val="en-US" w:eastAsia="zh-CN"/>
        </w:rPr>
        <w:t>3-</w:t>
      </w:r>
      <w:r>
        <w:rPr>
          <w:rFonts w:hint="eastAsia" w:hAnsi="宋体"/>
          <w:b/>
          <w:bCs/>
          <w:sz w:val="28"/>
          <w:szCs w:val="28"/>
          <w:highlight w:val="none"/>
        </w:rPr>
        <w:t>2</w:t>
      </w:r>
      <w:r>
        <w:rPr>
          <w:rFonts w:hint="eastAsia" w:hAnsi="宋体"/>
          <w:b/>
          <w:bCs/>
          <w:sz w:val="28"/>
          <w:szCs w:val="28"/>
          <w:highlight w:val="none"/>
          <w:lang w:eastAsia="zh-CN"/>
        </w:rPr>
        <w:t>：</w:t>
      </w:r>
    </w:p>
    <w:p>
      <w:pPr>
        <w:pStyle w:val="4"/>
        <w:keepNext w:val="0"/>
        <w:keepLines w:val="0"/>
        <w:widowControl w:val="0"/>
        <w:spacing w:beforeLines="50" w:after="0" w:line="360" w:lineRule="auto"/>
        <w:ind w:left="0"/>
        <w:jc w:val="center"/>
        <w:outlineLvl w:val="2"/>
        <w:rPr>
          <w:rFonts w:hint="eastAsia" w:ascii="宋体" w:hAnsi="宋体" w:eastAsia="Arial" w:cs="宋体"/>
          <w:b/>
          <w:bCs/>
          <w:snapToGrid w:val="0"/>
          <w:color w:val="000000"/>
          <w:kern w:val="0"/>
          <w:sz w:val="32"/>
          <w:szCs w:val="32"/>
          <w:highlight w:val="none"/>
          <w:lang w:val="en-US" w:eastAsia="zh-CN"/>
        </w:rPr>
      </w:pPr>
      <w:bookmarkStart w:id="118" w:name="_Toc16770"/>
      <w:r>
        <w:rPr>
          <w:rFonts w:hint="eastAsia" w:ascii="宋体" w:hAnsi="宋体" w:eastAsia="Arial" w:cs="宋体"/>
          <w:b/>
          <w:bCs/>
          <w:snapToGrid w:val="0"/>
          <w:color w:val="000000"/>
          <w:kern w:val="0"/>
          <w:sz w:val="32"/>
          <w:szCs w:val="32"/>
          <w:highlight w:val="none"/>
          <w:lang w:val="en-US" w:eastAsia="zh-CN"/>
        </w:rPr>
        <w:t>法定代表人授权书</w:t>
      </w:r>
      <w:bookmarkEnd w:id="118"/>
    </w:p>
    <w:p>
      <w:pPr>
        <w:adjustRightInd w:val="0"/>
        <w:snapToGrid w:val="0"/>
        <w:spacing w:line="360" w:lineRule="auto"/>
        <w:rPr>
          <w:rFonts w:hint="eastAsia" w:ascii="宋体" w:hAnsi="宋体" w:eastAsia="宋体" w:cs="宋体"/>
          <w:color w:val="auto"/>
          <w:sz w:val="24"/>
          <w:szCs w:val="24"/>
          <w:highlight w:val="none"/>
          <w:lang w:val="zh-CN"/>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本授权书声明：注</w:t>
      </w:r>
      <w:r>
        <w:rPr>
          <w:rFonts w:hint="eastAsia" w:ascii="宋体" w:hAnsi="宋体" w:eastAsia="宋体" w:cs="宋体"/>
          <w:color w:val="auto"/>
          <w:sz w:val="24"/>
          <w:szCs w:val="24"/>
          <w:highlight w:val="none"/>
          <w:lang w:val="zh-CN"/>
        </w:rPr>
        <w:t>册于</w:t>
      </w:r>
      <w:r>
        <w:rPr>
          <w:rFonts w:hint="eastAsia" w:ascii="宋体" w:hAnsi="宋体" w:eastAsia="宋体" w:cs="宋体"/>
          <w:color w:val="auto"/>
          <w:sz w:val="24"/>
          <w:szCs w:val="24"/>
          <w:highlight w:val="none"/>
          <w:u w:val="single"/>
          <w:lang w:val="zh-CN"/>
        </w:rPr>
        <w:t xml:space="preserve">  （投标人地址）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之</w:t>
      </w:r>
      <w:r>
        <w:rPr>
          <w:rFonts w:hint="eastAsia" w:ascii="宋体" w:hAnsi="宋体" w:eastAsia="宋体" w:cs="宋体"/>
          <w:color w:val="auto"/>
          <w:sz w:val="24"/>
          <w:szCs w:val="24"/>
          <w:highlight w:val="none"/>
          <w:u w:val="single"/>
          <w:lang w:val="zh-CN"/>
        </w:rPr>
        <w:t xml:space="preserve">  （投标人</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的法定代表人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zh-CN"/>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zh-CN"/>
        </w:rPr>
        <w:t>（被授权人姓名）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为我方合法代理人。代理人根据授权，以我方名义签署、澄清、说明、递交、撤回、修改</w:t>
      </w:r>
      <w:r>
        <w:rPr>
          <w:rFonts w:hint="eastAsia" w:ascii="宋体" w:hAnsi="宋体" w:eastAsia="宋体" w:cs="宋体"/>
          <w:color w:val="auto"/>
          <w:sz w:val="24"/>
          <w:szCs w:val="24"/>
          <w:highlight w:val="none"/>
          <w:u w:val="single"/>
        </w:rPr>
        <w:t xml:space="preserve">   （项目名称）（项目编号） </w:t>
      </w:r>
      <w:r>
        <w:rPr>
          <w:rFonts w:hint="eastAsia" w:ascii="宋体" w:hAnsi="宋体" w:eastAsia="宋体" w:cs="宋体"/>
          <w:color w:val="auto"/>
          <w:sz w:val="24"/>
          <w:szCs w:val="24"/>
          <w:highlight w:val="none"/>
        </w:rPr>
        <w:t>的投标文件、签订合同和处理有关事宜，其法律后果由我方承担。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tbl>
      <w:tblPr>
        <w:tblStyle w:val="22"/>
        <w:tblW w:w="0" w:type="auto"/>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法定代表人签字</w:t>
            </w:r>
            <w:r>
              <w:rPr>
                <w:rFonts w:hint="eastAsia" w:ascii="宋体" w:hAnsi="宋体" w:eastAsia="宋体" w:cs="宋体"/>
                <w:color w:val="auto"/>
                <w:spacing w:val="4"/>
                <w:sz w:val="24"/>
                <w:szCs w:val="24"/>
                <w:highlight w:val="none"/>
                <w:lang w:val="en-US" w:eastAsia="zh-CN"/>
              </w:rPr>
              <w:t>或盖章</w:t>
            </w:r>
            <w:r>
              <w:rPr>
                <w:rFonts w:hint="eastAsia" w:ascii="宋体" w:hAnsi="宋体" w:eastAsia="宋体" w:cs="宋体"/>
                <w:color w:val="auto"/>
                <w:spacing w:val="4"/>
                <w:sz w:val="24"/>
                <w:szCs w:val="24"/>
                <w:highlight w:val="none"/>
              </w:rPr>
              <w:t xml:space="preserve">：   </w:t>
            </w:r>
          </w:p>
        </w:tc>
        <w:tc>
          <w:tcPr>
            <w:tcW w:w="384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248" w:firstLineChars="100"/>
              <w:jc w:val="left"/>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被授权人签字</w:t>
            </w:r>
            <w:r>
              <w:rPr>
                <w:rFonts w:hint="eastAsia" w:ascii="宋体" w:hAnsi="宋体" w:eastAsia="宋体" w:cs="宋体"/>
                <w:color w:val="auto"/>
                <w:spacing w:val="4"/>
                <w:sz w:val="24"/>
                <w:szCs w:val="24"/>
                <w:highlight w:val="none"/>
                <w:lang w:val="en-US" w:eastAsia="zh-CN"/>
              </w:rPr>
              <w:t>或盖章</w:t>
            </w:r>
            <w:r>
              <w:rPr>
                <w:rFonts w:hint="eastAsia" w:ascii="宋体" w:hAnsi="宋体" w:eastAsia="宋体" w:cs="宋体"/>
                <w:color w:val="auto"/>
                <w:spacing w:val="4"/>
                <w:sz w:val="24"/>
                <w:szCs w:val="24"/>
                <w:highlight w:val="none"/>
              </w:rPr>
              <w:t>：</w:t>
            </w:r>
          </w:p>
        </w:tc>
      </w:tr>
      <w:tr>
        <w:tblPrEx>
          <w:tblCellMar>
            <w:top w:w="0" w:type="dxa"/>
            <w:left w:w="108" w:type="dxa"/>
            <w:bottom w:w="0" w:type="dxa"/>
            <w:right w:w="108" w:type="dxa"/>
          </w:tblCellMar>
        </w:tblPrEx>
        <w:trPr>
          <w:trHeight w:val="600" w:hRule="atLeast"/>
        </w:trPr>
        <w:tc>
          <w:tcPr>
            <w:tcW w:w="404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职务：                     </w:t>
            </w:r>
          </w:p>
        </w:tc>
        <w:tc>
          <w:tcPr>
            <w:tcW w:w="384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248" w:firstLineChars="100"/>
              <w:jc w:val="left"/>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职务：</w:t>
            </w:r>
          </w:p>
        </w:tc>
      </w:tr>
      <w:tr>
        <w:tblPrEx>
          <w:tblCellMar>
            <w:top w:w="0" w:type="dxa"/>
            <w:left w:w="108" w:type="dxa"/>
            <w:bottom w:w="0" w:type="dxa"/>
            <w:right w:w="108" w:type="dxa"/>
          </w:tblCellMar>
        </w:tblPrEx>
        <w:trPr>
          <w:trHeight w:val="600" w:hRule="atLeast"/>
        </w:trPr>
        <w:tc>
          <w:tcPr>
            <w:tcW w:w="404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                           </w:t>
            </w:r>
          </w:p>
        </w:tc>
        <w:tc>
          <w:tcPr>
            <w:tcW w:w="384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248" w:firstLineChars="100"/>
              <w:jc w:val="left"/>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所在部门：</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right="1120"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（加盖公章）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trPr>
        <w:tc>
          <w:tcPr>
            <w:tcW w:w="464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法定代表人身份证扫描件</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（国徽面、人像面）</w:t>
            </w:r>
          </w:p>
        </w:tc>
        <w:tc>
          <w:tcPr>
            <w:tcW w:w="464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代理人身份证扫描件</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（国徽面、人像面）</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4"/>
          <w:szCs w:val="24"/>
          <w:highlight w:val="none"/>
        </w:rPr>
      </w:pPr>
    </w:p>
    <w:p>
      <w:pPr>
        <w:keepNext w:val="0"/>
        <w:keepLines w:val="0"/>
        <w:pageBreakBefore w:val="0"/>
        <w:widowControl/>
        <w:tabs>
          <w:tab w:val="center" w:pos="4153"/>
          <w:tab w:val="right" w:pos="830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(注：本授权书有效期与投标文件有效期一致，仅限法定代表人授权代表参与投标时使用。)</w:t>
      </w:r>
    </w:p>
    <w:p>
      <w:pPr>
        <w:spacing w:after="100" w:afterAutospacing="1" w:line="48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spacing w:beforeLines="50" w:afterLines="50"/>
        <w:outlineLvl w:val="9"/>
        <w:rPr>
          <w:rFonts w:hAnsi="宋体"/>
          <w:b/>
          <w:bCs/>
          <w:sz w:val="28"/>
          <w:szCs w:val="28"/>
          <w:highlight w:val="none"/>
        </w:rPr>
      </w:pPr>
      <w:r>
        <w:rPr>
          <w:rFonts w:hint="eastAsia" w:hAnsi="宋体"/>
          <w:b/>
          <w:bCs/>
          <w:sz w:val="28"/>
          <w:szCs w:val="28"/>
          <w:highlight w:val="none"/>
        </w:rPr>
        <w:t>附件</w:t>
      </w:r>
      <w:r>
        <w:rPr>
          <w:rFonts w:hint="eastAsia" w:hAnsi="宋体" w:eastAsia="宋体"/>
          <w:b/>
          <w:bCs/>
          <w:sz w:val="28"/>
          <w:szCs w:val="28"/>
          <w:highlight w:val="none"/>
          <w:lang w:val="en-US" w:eastAsia="zh-CN"/>
        </w:rPr>
        <w:t>4</w:t>
      </w:r>
      <w:r>
        <w:rPr>
          <w:rFonts w:hint="eastAsia" w:hAnsi="宋体"/>
          <w:b/>
          <w:bCs/>
          <w:sz w:val="28"/>
          <w:szCs w:val="28"/>
          <w:highlight w:val="none"/>
        </w:rPr>
        <w:t>：</w:t>
      </w:r>
    </w:p>
    <w:p>
      <w:pPr>
        <w:spacing w:after="100" w:afterAutospacing="1" w:line="480" w:lineRule="auto"/>
        <w:jc w:val="center"/>
        <w:rPr>
          <w:rFonts w:hint="eastAsia" w:ascii="宋体" w:hAnsi="宋体"/>
          <w:b/>
          <w:color w:val="000000"/>
          <w:sz w:val="32"/>
          <w:szCs w:val="32"/>
          <w:highlight w:val="none"/>
        </w:rPr>
      </w:pPr>
      <w:r>
        <w:rPr>
          <w:rFonts w:hint="eastAsia" w:ascii="宋体" w:hAnsi="宋体" w:eastAsia="宋体"/>
          <w:b/>
          <w:color w:val="000000"/>
          <w:sz w:val="32"/>
          <w:szCs w:val="32"/>
          <w:highlight w:val="none"/>
          <w:lang w:eastAsia="zh-CN"/>
        </w:rPr>
        <w:t>总监理工程师</w:t>
      </w:r>
      <w:r>
        <w:rPr>
          <w:rFonts w:hint="eastAsia" w:ascii="宋体" w:hAnsi="宋体"/>
          <w:b/>
          <w:color w:val="000000"/>
          <w:sz w:val="32"/>
          <w:szCs w:val="32"/>
          <w:highlight w:val="none"/>
        </w:rPr>
        <w:t>基本情况表</w:t>
      </w:r>
    </w:p>
    <w:tbl>
      <w:tblPr>
        <w:tblStyle w:val="22"/>
        <w:tblW w:w="51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289"/>
        <w:gridCol w:w="1682"/>
        <w:gridCol w:w="1617"/>
        <w:gridCol w:w="1358"/>
        <w:gridCol w:w="52"/>
        <w:gridCol w:w="1821"/>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70" w:type="pct"/>
            <w:gridSpan w:val="2"/>
            <w:vAlign w:val="center"/>
          </w:tcPr>
          <w:p>
            <w:pPr>
              <w:pStyle w:val="45"/>
              <w:spacing w:line="400" w:lineRule="exact"/>
              <w:ind w:left="0" w:leftChars="0"/>
              <w:rPr>
                <w:color w:val="auto"/>
                <w:highlight w:val="none"/>
              </w:rPr>
            </w:pPr>
            <w:r>
              <w:rPr>
                <w:rFonts w:hint="eastAsia"/>
                <w:color w:val="auto"/>
                <w:highlight w:val="none"/>
              </w:rPr>
              <w:t>姓</w:t>
            </w:r>
            <w:r>
              <w:rPr>
                <w:color w:val="auto"/>
                <w:highlight w:val="none"/>
              </w:rPr>
              <w:t xml:space="preserve">  </w:t>
            </w:r>
            <w:r>
              <w:rPr>
                <w:rFonts w:hint="eastAsia"/>
                <w:color w:val="auto"/>
                <w:highlight w:val="none"/>
              </w:rPr>
              <w:t>名</w:t>
            </w:r>
          </w:p>
        </w:tc>
        <w:tc>
          <w:tcPr>
            <w:tcW w:w="872" w:type="pct"/>
            <w:vAlign w:val="center"/>
          </w:tcPr>
          <w:p>
            <w:pPr>
              <w:pStyle w:val="45"/>
              <w:spacing w:line="400" w:lineRule="exact"/>
              <w:ind w:left="0" w:leftChars="0"/>
              <w:rPr>
                <w:color w:val="auto"/>
                <w:highlight w:val="none"/>
              </w:rPr>
            </w:pPr>
          </w:p>
        </w:tc>
        <w:tc>
          <w:tcPr>
            <w:tcW w:w="839" w:type="pct"/>
            <w:vAlign w:val="center"/>
          </w:tcPr>
          <w:p>
            <w:pPr>
              <w:pStyle w:val="45"/>
              <w:spacing w:line="400" w:lineRule="exact"/>
              <w:ind w:left="0" w:leftChars="0"/>
              <w:rPr>
                <w:color w:val="auto"/>
                <w:highlight w:val="none"/>
              </w:rPr>
            </w:pPr>
            <w:r>
              <w:rPr>
                <w:rFonts w:hint="eastAsia"/>
                <w:color w:val="auto"/>
                <w:highlight w:val="none"/>
              </w:rPr>
              <w:t>性</w:t>
            </w:r>
            <w:r>
              <w:rPr>
                <w:color w:val="auto"/>
                <w:highlight w:val="none"/>
              </w:rPr>
              <w:t xml:space="preserve"> </w:t>
            </w:r>
            <w:r>
              <w:rPr>
                <w:rFonts w:hint="eastAsia"/>
                <w:color w:val="auto"/>
                <w:highlight w:val="none"/>
              </w:rPr>
              <w:t>别</w:t>
            </w:r>
          </w:p>
        </w:tc>
        <w:tc>
          <w:tcPr>
            <w:tcW w:w="732" w:type="pct"/>
            <w:gridSpan w:val="2"/>
            <w:vAlign w:val="center"/>
          </w:tcPr>
          <w:p>
            <w:pPr>
              <w:pStyle w:val="45"/>
              <w:spacing w:line="400" w:lineRule="exact"/>
              <w:ind w:left="0" w:leftChars="0"/>
              <w:rPr>
                <w:color w:val="auto"/>
                <w:highlight w:val="none"/>
              </w:rPr>
            </w:pPr>
          </w:p>
        </w:tc>
        <w:tc>
          <w:tcPr>
            <w:tcW w:w="944" w:type="pct"/>
            <w:vAlign w:val="center"/>
          </w:tcPr>
          <w:p>
            <w:pPr>
              <w:pStyle w:val="45"/>
              <w:spacing w:line="400" w:lineRule="exact"/>
              <w:ind w:left="0" w:leftChars="0"/>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龄</w:t>
            </w:r>
          </w:p>
        </w:tc>
        <w:tc>
          <w:tcPr>
            <w:tcW w:w="639" w:type="pct"/>
            <w:vAlign w:val="center"/>
          </w:tcPr>
          <w:p>
            <w:pPr>
              <w:pStyle w:val="45"/>
              <w:spacing w:line="400" w:lineRule="exact"/>
              <w:ind w:left="0" w:leftChars="0" w:firstLine="420" w:firstLineChars="20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70" w:type="pct"/>
            <w:gridSpan w:val="2"/>
            <w:vAlign w:val="center"/>
          </w:tcPr>
          <w:p>
            <w:pPr>
              <w:pStyle w:val="45"/>
              <w:spacing w:line="400" w:lineRule="exact"/>
              <w:ind w:left="0" w:leftChars="0"/>
              <w:rPr>
                <w:color w:val="auto"/>
                <w:highlight w:val="none"/>
              </w:rPr>
            </w:pPr>
            <w:r>
              <w:rPr>
                <w:rFonts w:hint="eastAsia"/>
                <w:color w:val="auto"/>
                <w:highlight w:val="none"/>
              </w:rPr>
              <w:t>职</w:t>
            </w:r>
            <w:r>
              <w:rPr>
                <w:color w:val="auto"/>
                <w:highlight w:val="none"/>
              </w:rPr>
              <w:t xml:space="preserve"> </w:t>
            </w:r>
            <w:r>
              <w:rPr>
                <w:rFonts w:hint="eastAsia"/>
                <w:color w:val="auto"/>
                <w:highlight w:val="none"/>
              </w:rPr>
              <w:t xml:space="preserve"> 称</w:t>
            </w:r>
          </w:p>
        </w:tc>
        <w:tc>
          <w:tcPr>
            <w:tcW w:w="872" w:type="pct"/>
            <w:vAlign w:val="center"/>
          </w:tcPr>
          <w:p>
            <w:pPr>
              <w:pStyle w:val="45"/>
              <w:spacing w:line="400" w:lineRule="exact"/>
              <w:ind w:left="0" w:leftChars="0"/>
              <w:rPr>
                <w:color w:val="auto"/>
                <w:highlight w:val="none"/>
              </w:rPr>
            </w:pPr>
          </w:p>
        </w:tc>
        <w:tc>
          <w:tcPr>
            <w:tcW w:w="839" w:type="pct"/>
            <w:vAlign w:val="center"/>
          </w:tcPr>
          <w:p>
            <w:pPr>
              <w:pStyle w:val="45"/>
              <w:spacing w:line="400" w:lineRule="exact"/>
              <w:ind w:left="0" w:leftChars="0"/>
              <w:rPr>
                <w:color w:val="auto"/>
                <w:highlight w:val="none"/>
              </w:rPr>
            </w:pPr>
            <w:r>
              <w:rPr>
                <w:rFonts w:hint="eastAsia"/>
                <w:color w:val="auto"/>
                <w:highlight w:val="none"/>
              </w:rPr>
              <w:t>身份证号</w:t>
            </w:r>
          </w:p>
        </w:tc>
        <w:tc>
          <w:tcPr>
            <w:tcW w:w="732" w:type="pct"/>
            <w:gridSpan w:val="2"/>
            <w:vAlign w:val="center"/>
          </w:tcPr>
          <w:p>
            <w:pPr>
              <w:pStyle w:val="45"/>
              <w:spacing w:line="400" w:lineRule="exact"/>
              <w:ind w:left="0" w:leftChars="0"/>
              <w:rPr>
                <w:color w:val="auto"/>
                <w:highlight w:val="none"/>
              </w:rPr>
            </w:pPr>
          </w:p>
        </w:tc>
        <w:tc>
          <w:tcPr>
            <w:tcW w:w="944" w:type="pct"/>
            <w:vAlign w:val="center"/>
          </w:tcPr>
          <w:p>
            <w:pPr>
              <w:pStyle w:val="45"/>
              <w:spacing w:line="400" w:lineRule="exact"/>
              <w:ind w:left="0" w:leftChars="0"/>
              <w:rPr>
                <w:color w:val="auto"/>
                <w:highlight w:val="none"/>
              </w:rPr>
            </w:pPr>
            <w:r>
              <w:rPr>
                <w:rFonts w:hint="eastAsia"/>
                <w:color w:val="auto"/>
                <w:highlight w:val="none"/>
              </w:rPr>
              <w:t>专业</w:t>
            </w:r>
            <w:r>
              <w:rPr>
                <w:color w:val="auto"/>
                <w:highlight w:val="none"/>
              </w:rPr>
              <w:t>/</w:t>
            </w:r>
            <w:r>
              <w:rPr>
                <w:rFonts w:hint="eastAsia"/>
                <w:color w:val="auto"/>
                <w:highlight w:val="none"/>
              </w:rPr>
              <w:t>年限</w:t>
            </w:r>
          </w:p>
        </w:tc>
        <w:tc>
          <w:tcPr>
            <w:tcW w:w="639" w:type="pct"/>
            <w:vAlign w:val="center"/>
          </w:tcPr>
          <w:p>
            <w:pPr>
              <w:pStyle w:val="45"/>
              <w:spacing w:line="400" w:lineRule="exact"/>
              <w:ind w:left="0" w:leftChars="0" w:firstLine="420" w:firstLineChars="20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70" w:type="pct"/>
            <w:gridSpan w:val="2"/>
            <w:vAlign w:val="center"/>
          </w:tcPr>
          <w:p>
            <w:pPr>
              <w:pStyle w:val="45"/>
              <w:spacing w:line="400" w:lineRule="exact"/>
              <w:ind w:left="0" w:leftChars="0"/>
              <w:rPr>
                <w:color w:val="auto"/>
                <w:highlight w:val="none"/>
              </w:rPr>
            </w:pPr>
            <w:r>
              <w:rPr>
                <w:rFonts w:hint="eastAsia"/>
                <w:color w:val="auto"/>
                <w:highlight w:val="none"/>
              </w:rPr>
              <w:t>毕业时间</w:t>
            </w:r>
          </w:p>
        </w:tc>
        <w:tc>
          <w:tcPr>
            <w:tcW w:w="872" w:type="pct"/>
            <w:vAlign w:val="center"/>
          </w:tcPr>
          <w:p>
            <w:pPr>
              <w:pStyle w:val="45"/>
              <w:spacing w:line="400" w:lineRule="exact"/>
              <w:ind w:left="0" w:leftChars="0"/>
              <w:rPr>
                <w:color w:val="auto"/>
                <w:highlight w:val="none"/>
              </w:rPr>
            </w:pPr>
          </w:p>
        </w:tc>
        <w:tc>
          <w:tcPr>
            <w:tcW w:w="839" w:type="pct"/>
            <w:vAlign w:val="center"/>
          </w:tcPr>
          <w:p>
            <w:pPr>
              <w:pStyle w:val="45"/>
              <w:spacing w:line="400" w:lineRule="exact"/>
              <w:ind w:left="0" w:leftChars="0"/>
              <w:rPr>
                <w:color w:val="auto"/>
                <w:highlight w:val="none"/>
              </w:rPr>
            </w:pPr>
            <w:r>
              <w:rPr>
                <w:rFonts w:hint="eastAsia"/>
                <w:color w:val="auto"/>
                <w:highlight w:val="none"/>
              </w:rPr>
              <w:t>毕业学校</w:t>
            </w:r>
          </w:p>
        </w:tc>
        <w:tc>
          <w:tcPr>
            <w:tcW w:w="732" w:type="pct"/>
            <w:gridSpan w:val="2"/>
            <w:vAlign w:val="center"/>
          </w:tcPr>
          <w:p>
            <w:pPr>
              <w:pStyle w:val="45"/>
              <w:spacing w:line="400" w:lineRule="exact"/>
              <w:ind w:left="0" w:leftChars="0"/>
              <w:rPr>
                <w:color w:val="auto"/>
                <w:highlight w:val="none"/>
              </w:rPr>
            </w:pPr>
          </w:p>
        </w:tc>
        <w:tc>
          <w:tcPr>
            <w:tcW w:w="944" w:type="pct"/>
            <w:vAlign w:val="center"/>
          </w:tcPr>
          <w:p>
            <w:pPr>
              <w:pStyle w:val="45"/>
              <w:spacing w:line="400" w:lineRule="exact"/>
              <w:ind w:left="0" w:leftChars="0"/>
              <w:rPr>
                <w:color w:val="auto"/>
                <w:highlight w:val="none"/>
              </w:rPr>
            </w:pPr>
            <w:r>
              <w:rPr>
                <w:rFonts w:hint="eastAsia"/>
                <w:color w:val="auto"/>
                <w:highlight w:val="none"/>
              </w:rPr>
              <w:t>学历</w:t>
            </w:r>
            <w:r>
              <w:rPr>
                <w:color w:val="auto"/>
                <w:highlight w:val="none"/>
              </w:rPr>
              <w:t>/</w:t>
            </w:r>
            <w:r>
              <w:rPr>
                <w:rFonts w:hint="eastAsia"/>
                <w:color w:val="auto"/>
                <w:highlight w:val="none"/>
              </w:rPr>
              <w:t>专业</w:t>
            </w:r>
          </w:p>
        </w:tc>
        <w:tc>
          <w:tcPr>
            <w:tcW w:w="639" w:type="pct"/>
            <w:vAlign w:val="center"/>
          </w:tcPr>
          <w:p>
            <w:pPr>
              <w:pStyle w:val="45"/>
              <w:spacing w:line="400" w:lineRule="exact"/>
              <w:ind w:left="0" w:leftChars="0" w:firstLine="420" w:firstLineChars="20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70" w:type="pct"/>
            <w:gridSpan w:val="2"/>
            <w:vAlign w:val="center"/>
          </w:tcPr>
          <w:p>
            <w:pPr>
              <w:pStyle w:val="45"/>
              <w:spacing w:line="400" w:lineRule="exact"/>
              <w:ind w:left="0" w:leftChars="0"/>
              <w:rPr>
                <w:color w:val="auto"/>
                <w:highlight w:val="none"/>
              </w:rPr>
            </w:pPr>
            <w:r>
              <w:rPr>
                <w:rFonts w:hint="eastAsia"/>
                <w:color w:val="auto"/>
                <w:highlight w:val="none"/>
              </w:rPr>
              <w:t>资格证书</w:t>
            </w:r>
          </w:p>
        </w:tc>
        <w:tc>
          <w:tcPr>
            <w:tcW w:w="872" w:type="pct"/>
            <w:vAlign w:val="center"/>
          </w:tcPr>
          <w:p>
            <w:pPr>
              <w:pStyle w:val="45"/>
              <w:spacing w:line="400" w:lineRule="exact"/>
              <w:ind w:left="0" w:leftChars="0"/>
              <w:rPr>
                <w:color w:val="auto"/>
                <w:highlight w:val="none"/>
              </w:rPr>
            </w:pPr>
          </w:p>
        </w:tc>
        <w:tc>
          <w:tcPr>
            <w:tcW w:w="839" w:type="pct"/>
            <w:vAlign w:val="center"/>
          </w:tcPr>
          <w:p>
            <w:pPr>
              <w:pStyle w:val="45"/>
              <w:spacing w:line="400" w:lineRule="exact"/>
              <w:ind w:left="0" w:leftChars="0"/>
              <w:rPr>
                <w:color w:val="auto"/>
                <w:highlight w:val="none"/>
              </w:rPr>
            </w:pPr>
            <w:r>
              <w:rPr>
                <w:rFonts w:hint="eastAsia"/>
                <w:color w:val="auto"/>
                <w:highlight w:val="none"/>
              </w:rPr>
              <w:t>注册时间</w:t>
            </w:r>
          </w:p>
        </w:tc>
        <w:tc>
          <w:tcPr>
            <w:tcW w:w="732" w:type="pct"/>
            <w:gridSpan w:val="2"/>
            <w:vAlign w:val="center"/>
          </w:tcPr>
          <w:p>
            <w:pPr>
              <w:pStyle w:val="45"/>
              <w:spacing w:line="400" w:lineRule="exact"/>
              <w:ind w:left="0" w:leftChars="0"/>
              <w:rPr>
                <w:color w:val="auto"/>
                <w:highlight w:val="none"/>
              </w:rPr>
            </w:pPr>
          </w:p>
        </w:tc>
        <w:tc>
          <w:tcPr>
            <w:tcW w:w="944" w:type="pct"/>
            <w:vAlign w:val="center"/>
          </w:tcPr>
          <w:p>
            <w:pPr>
              <w:pStyle w:val="45"/>
              <w:spacing w:line="400" w:lineRule="exact"/>
              <w:ind w:left="0" w:leftChars="0"/>
              <w:rPr>
                <w:color w:val="auto"/>
                <w:highlight w:val="none"/>
              </w:rPr>
            </w:pPr>
            <w:r>
              <w:rPr>
                <w:rFonts w:hint="eastAsia"/>
                <w:color w:val="auto"/>
                <w:highlight w:val="none"/>
              </w:rPr>
              <w:t>从业时间</w:t>
            </w:r>
          </w:p>
        </w:tc>
        <w:tc>
          <w:tcPr>
            <w:tcW w:w="639" w:type="pct"/>
            <w:vAlign w:val="center"/>
          </w:tcPr>
          <w:p>
            <w:pPr>
              <w:pStyle w:val="45"/>
              <w:spacing w:line="400" w:lineRule="exact"/>
              <w:ind w:left="0" w:leftChars="0" w:firstLine="420" w:firstLineChars="20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43" w:type="pct"/>
            <w:gridSpan w:val="3"/>
            <w:vAlign w:val="center"/>
          </w:tcPr>
          <w:p>
            <w:pPr>
              <w:pStyle w:val="45"/>
              <w:spacing w:line="400" w:lineRule="exact"/>
              <w:ind w:left="0" w:leftChars="0"/>
              <w:rPr>
                <w:color w:val="auto"/>
                <w:highlight w:val="none"/>
              </w:rPr>
            </w:pPr>
            <w:r>
              <w:rPr>
                <w:rFonts w:hint="eastAsia"/>
                <w:color w:val="auto"/>
                <w:highlight w:val="none"/>
              </w:rPr>
              <w:t>是否属供应商固定雇员</w:t>
            </w:r>
          </w:p>
        </w:tc>
        <w:tc>
          <w:tcPr>
            <w:tcW w:w="839" w:type="pct"/>
            <w:vAlign w:val="center"/>
          </w:tcPr>
          <w:p>
            <w:pPr>
              <w:pStyle w:val="45"/>
              <w:spacing w:line="400" w:lineRule="exact"/>
              <w:ind w:left="0" w:leftChars="0"/>
              <w:rPr>
                <w:color w:val="auto"/>
                <w:highlight w:val="none"/>
              </w:rPr>
            </w:pPr>
          </w:p>
        </w:tc>
        <w:tc>
          <w:tcPr>
            <w:tcW w:w="1677" w:type="pct"/>
            <w:gridSpan w:val="3"/>
            <w:vAlign w:val="center"/>
          </w:tcPr>
          <w:p>
            <w:pPr>
              <w:pStyle w:val="45"/>
              <w:spacing w:line="400" w:lineRule="exact"/>
              <w:ind w:left="0" w:leftChars="0"/>
              <w:rPr>
                <w:color w:val="auto"/>
                <w:highlight w:val="none"/>
              </w:rPr>
            </w:pPr>
            <w:r>
              <w:rPr>
                <w:rFonts w:hint="eastAsia"/>
                <w:color w:val="auto"/>
                <w:highlight w:val="none"/>
              </w:rPr>
              <w:t>为供应商服务时间</w:t>
            </w:r>
          </w:p>
        </w:tc>
        <w:tc>
          <w:tcPr>
            <w:tcW w:w="639" w:type="pct"/>
            <w:vAlign w:val="center"/>
          </w:tcPr>
          <w:p>
            <w:pPr>
              <w:pStyle w:val="45"/>
              <w:spacing w:line="400" w:lineRule="exact"/>
              <w:ind w:left="0" w:leftChars="0" w:firstLine="420" w:firstLineChars="20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843" w:type="pct"/>
            <w:gridSpan w:val="3"/>
            <w:vAlign w:val="center"/>
          </w:tcPr>
          <w:p>
            <w:pPr>
              <w:pStyle w:val="45"/>
              <w:spacing w:line="400" w:lineRule="exact"/>
              <w:ind w:left="0" w:leftChars="0"/>
              <w:rPr>
                <w:color w:val="auto"/>
                <w:highlight w:val="none"/>
              </w:rPr>
            </w:pPr>
            <w:r>
              <w:rPr>
                <w:rFonts w:hint="eastAsia"/>
                <w:color w:val="auto"/>
                <w:highlight w:val="none"/>
              </w:rPr>
              <w:t>拟在本项目担任职务</w:t>
            </w:r>
          </w:p>
        </w:tc>
        <w:tc>
          <w:tcPr>
            <w:tcW w:w="3156" w:type="pct"/>
            <w:gridSpan w:val="5"/>
            <w:vAlign w:val="center"/>
          </w:tcPr>
          <w:p>
            <w:pPr>
              <w:pStyle w:val="45"/>
              <w:spacing w:line="400" w:lineRule="exact"/>
              <w:ind w:left="0" w:leftChars="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000" w:type="pct"/>
            <w:gridSpan w:val="8"/>
            <w:vAlign w:val="center"/>
          </w:tcPr>
          <w:p>
            <w:pPr>
              <w:pStyle w:val="45"/>
              <w:spacing w:line="400" w:lineRule="exact"/>
              <w:ind w:left="0" w:leftChars="0"/>
              <w:rPr>
                <w:color w:val="auto"/>
                <w:highlight w:val="none"/>
              </w:rPr>
            </w:pPr>
            <w:r>
              <w:rPr>
                <w:rFonts w:hint="eastAsia"/>
                <w:color w:val="auto"/>
                <w:highlight w:val="none"/>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820" w:type="pct"/>
            <w:vAlign w:val="center"/>
          </w:tcPr>
          <w:p>
            <w:pPr>
              <w:pStyle w:val="45"/>
              <w:spacing w:line="400" w:lineRule="exact"/>
              <w:ind w:left="0" w:leftChars="0"/>
              <w:rPr>
                <w:color w:val="auto"/>
                <w:highlight w:val="none"/>
              </w:rPr>
            </w:pPr>
            <w:r>
              <w:rPr>
                <w:rFonts w:hint="eastAsia"/>
                <w:color w:val="auto"/>
                <w:highlight w:val="none"/>
              </w:rPr>
              <w:t>时</w:t>
            </w:r>
            <w:r>
              <w:rPr>
                <w:color w:val="auto"/>
                <w:highlight w:val="none"/>
              </w:rPr>
              <w:t xml:space="preserve">  </w:t>
            </w:r>
            <w:r>
              <w:rPr>
                <w:rFonts w:hint="eastAsia"/>
                <w:color w:val="auto"/>
                <w:highlight w:val="none"/>
              </w:rPr>
              <w:t>间</w:t>
            </w:r>
          </w:p>
        </w:tc>
        <w:tc>
          <w:tcPr>
            <w:tcW w:w="1861" w:type="pct"/>
            <w:gridSpan w:val="3"/>
            <w:vAlign w:val="center"/>
          </w:tcPr>
          <w:p>
            <w:pPr>
              <w:pStyle w:val="45"/>
              <w:spacing w:line="400" w:lineRule="exact"/>
              <w:ind w:left="0" w:leftChars="0"/>
              <w:rPr>
                <w:color w:val="auto"/>
                <w:highlight w:val="none"/>
              </w:rPr>
            </w:pPr>
            <w:r>
              <w:rPr>
                <w:rFonts w:hint="eastAsia"/>
                <w:color w:val="auto"/>
                <w:highlight w:val="none"/>
              </w:rPr>
              <w:t>参加过的项目名称</w:t>
            </w:r>
          </w:p>
          <w:p>
            <w:pPr>
              <w:pStyle w:val="45"/>
              <w:spacing w:line="400" w:lineRule="exact"/>
              <w:ind w:left="0" w:leftChars="0"/>
              <w:rPr>
                <w:color w:val="auto"/>
                <w:highlight w:val="none"/>
              </w:rPr>
            </w:pPr>
            <w:r>
              <w:rPr>
                <w:rFonts w:hint="eastAsia"/>
                <w:color w:val="auto"/>
                <w:highlight w:val="none"/>
              </w:rPr>
              <w:t>及当时所在单位</w:t>
            </w:r>
          </w:p>
        </w:tc>
        <w:tc>
          <w:tcPr>
            <w:tcW w:w="705" w:type="pct"/>
            <w:vAlign w:val="center"/>
          </w:tcPr>
          <w:p>
            <w:pPr>
              <w:pStyle w:val="45"/>
              <w:spacing w:line="400" w:lineRule="exact"/>
              <w:ind w:left="0" w:leftChars="0"/>
              <w:rPr>
                <w:color w:val="auto"/>
                <w:highlight w:val="none"/>
              </w:rPr>
            </w:pPr>
            <w:r>
              <w:rPr>
                <w:rFonts w:hint="eastAsia"/>
                <w:color w:val="auto"/>
                <w:highlight w:val="none"/>
              </w:rPr>
              <w:t>担任何职</w:t>
            </w:r>
          </w:p>
        </w:tc>
        <w:tc>
          <w:tcPr>
            <w:tcW w:w="971" w:type="pct"/>
            <w:gridSpan w:val="2"/>
            <w:vAlign w:val="center"/>
          </w:tcPr>
          <w:p>
            <w:pPr>
              <w:pStyle w:val="45"/>
              <w:spacing w:line="400" w:lineRule="exact"/>
              <w:ind w:left="0" w:leftChars="0"/>
              <w:rPr>
                <w:color w:val="auto"/>
                <w:highlight w:val="none"/>
              </w:rPr>
            </w:pPr>
            <w:r>
              <w:rPr>
                <w:rFonts w:hint="eastAsia"/>
                <w:color w:val="auto"/>
                <w:highlight w:val="none"/>
              </w:rPr>
              <w:t>主要工作内容</w:t>
            </w:r>
          </w:p>
        </w:tc>
        <w:tc>
          <w:tcPr>
            <w:tcW w:w="639" w:type="pct"/>
            <w:vAlign w:val="center"/>
          </w:tcPr>
          <w:p>
            <w:pPr>
              <w:pStyle w:val="45"/>
              <w:spacing w:line="400" w:lineRule="exact"/>
              <w:ind w:left="0" w:leftChars="0"/>
              <w:rPr>
                <w:color w:val="auto"/>
                <w:highlight w:val="none"/>
              </w:rPr>
            </w:pPr>
            <w:r>
              <w:rPr>
                <w:rFonts w:hint="eastAsia"/>
                <w:color w:val="auto"/>
                <w:highlight w:val="none"/>
              </w:rPr>
              <w:t>备</w:t>
            </w:r>
            <w:r>
              <w:rPr>
                <w:color w:val="auto"/>
                <w:highlight w:val="none"/>
              </w:rPr>
              <w:t xml:space="preserve"> </w:t>
            </w:r>
            <w:r>
              <w:rPr>
                <w:rFonts w:hint="eastAsia"/>
                <w:color w:val="auto"/>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20" w:type="pct"/>
            <w:vAlign w:val="center"/>
          </w:tcPr>
          <w:p>
            <w:pPr>
              <w:pStyle w:val="45"/>
              <w:spacing w:line="400" w:lineRule="exact"/>
              <w:ind w:left="0" w:leftChars="0"/>
              <w:jc w:val="center"/>
              <w:rPr>
                <w:color w:val="auto"/>
                <w:highlight w:val="none"/>
              </w:rPr>
            </w:pPr>
          </w:p>
        </w:tc>
        <w:tc>
          <w:tcPr>
            <w:tcW w:w="1861" w:type="pct"/>
            <w:gridSpan w:val="3"/>
            <w:vAlign w:val="center"/>
          </w:tcPr>
          <w:p>
            <w:pPr>
              <w:pStyle w:val="45"/>
              <w:spacing w:line="400" w:lineRule="exact"/>
              <w:ind w:left="0" w:leftChars="0"/>
              <w:jc w:val="center"/>
              <w:rPr>
                <w:color w:val="auto"/>
                <w:highlight w:val="none"/>
              </w:rPr>
            </w:pPr>
          </w:p>
        </w:tc>
        <w:tc>
          <w:tcPr>
            <w:tcW w:w="705" w:type="pct"/>
            <w:vAlign w:val="center"/>
          </w:tcPr>
          <w:p>
            <w:pPr>
              <w:pStyle w:val="45"/>
              <w:spacing w:line="400" w:lineRule="exact"/>
              <w:ind w:left="0" w:leftChars="0"/>
              <w:jc w:val="center"/>
              <w:rPr>
                <w:color w:val="auto"/>
                <w:highlight w:val="none"/>
              </w:rPr>
            </w:pPr>
          </w:p>
        </w:tc>
        <w:tc>
          <w:tcPr>
            <w:tcW w:w="971" w:type="pct"/>
            <w:gridSpan w:val="2"/>
            <w:vAlign w:val="center"/>
          </w:tcPr>
          <w:p>
            <w:pPr>
              <w:pStyle w:val="45"/>
              <w:spacing w:line="400" w:lineRule="exact"/>
              <w:ind w:left="0" w:leftChars="0"/>
              <w:jc w:val="center"/>
              <w:rPr>
                <w:color w:val="auto"/>
                <w:highlight w:val="none"/>
              </w:rPr>
            </w:pPr>
          </w:p>
        </w:tc>
        <w:tc>
          <w:tcPr>
            <w:tcW w:w="639" w:type="pct"/>
            <w:vAlign w:val="center"/>
          </w:tcPr>
          <w:p>
            <w:pPr>
              <w:pStyle w:val="45"/>
              <w:spacing w:line="400" w:lineRule="exact"/>
              <w:ind w:left="0" w:left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20" w:type="pct"/>
            <w:vAlign w:val="center"/>
          </w:tcPr>
          <w:p>
            <w:pPr>
              <w:pStyle w:val="45"/>
              <w:spacing w:line="400" w:lineRule="exact"/>
              <w:ind w:left="0" w:leftChars="0"/>
              <w:jc w:val="center"/>
              <w:rPr>
                <w:color w:val="auto"/>
                <w:highlight w:val="none"/>
              </w:rPr>
            </w:pPr>
          </w:p>
        </w:tc>
        <w:tc>
          <w:tcPr>
            <w:tcW w:w="1861" w:type="pct"/>
            <w:gridSpan w:val="3"/>
            <w:vAlign w:val="center"/>
          </w:tcPr>
          <w:p>
            <w:pPr>
              <w:pStyle w:val="45"/>
              <w:spacing w:line="400" w:lineRule="exact"/>
              <w:ind w:left="0" w:leftChars="0"/>
              <w:jc w:val="center"/>
              <w:rPr>
                <w:color w:val="auto"/>
                <w:highlight w:val="none"/>
              </w:rPr>
            </w:pPr>
          </w:p>
        </w:tc>
        <w:tc>
          <w:tcPr>
            <w:tcW w:w="705" w:type="pct"/>
            <w:vAlign w:val="center"/>
          </w:tcPr>
          <w:p>
            <w:pPr>
              <w:pStyle w:val="45"/>
              <w:spacing w:line="400" w:lineRule="exact"/>
              <w:ind w:left="0" w:leftChars="0"/>
              <w:jc w:val="center"/>
              <w:rPr>
                <w:color w:val="auto"/>
                <w:highlight w:val="none"/>
              </w:rPr>
            </w:pPr>
          </w:p>
        </w:tc>
        <w:tc>
          <w:tcPr>
            <w:tcW w:w="971" w:type="pct"/>
            <w:gridSpan w:val="2"/>
            <w:vAlign w:val="center"/>
          </w:tcPr>
          <w:p>
            <w:pPr>
              <w:pStyle w:val="45"/>
              <w:spacing w:line="400" w:lineRule="exact"/>
              <w:ind w:left="0" w:leftChars="0"/>
              <w:jc w:val="center"/>
              <w:rPr>
                <w:color w:val="auto"/>
                <w:highlight w:val="none"/>
              </w:rPr>
            </w:pPr>
          </w:p>
        </w:tc>
        <w:tc>
          <w:tcPr>
            <w:tcW w:w="639" w:type="pct"/>
            <w:vAlign w:val="center"/>
          </w:tcPr>
          <w:p>
            <w:pPr>
              <w:pStyle w:val="45"/>
              <w:spacing w:line="400" w:lineRule="exact"/>
              <w:ind w:left="0" w:left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2" w:hRule="atLeast"/>
        </w:trPr>
        <w:tc>
          <w:tcPr>
            <w:tcW w:w="820" w:type="pct"/>
            <w:vAlign w:val="center"/>
          </w:tcPr>
          <w:p>
            <w:pPr>
              <w:pStyle w:val="45"/>
              <w:spacing w:line="400" w:lineRule="exact"/>
              <w:ind w:left="0" w:leftChars="0"/>
              <w:jc w:val="center"/>
              <w:rPr>
                <w:color w:val="auto"/>
                <w:highlight w:val="none"/>
              </w:rPr>
            </w:pPr>
          </w:p>
        </w:tc>
        <w:tc>
          <w:tcPr>
            <w:tcW w:w="1861" w:type="pct"/>
            <w:gridSpan w:val="3"/>
            <w:vAlign w:val="center"/>
          </w:tcPr>
          <w:p>
            <w:pPr>
              <w:pStyle w:val="45"/>
              <w:spacing w:line="400" w:lineRule="exact"/>
              <w:ind w:left="0" w:leftChars="0"/>
              <w:jc w:val="center"/>
              <w:rPr>
                <w:color w:val="auto"/>
                <w:highlight w:val="none"/>
              </w:rPr>
            </w:pPr>
          </w:p>
        </w:tc>
        <w:tc>
          <w:tcPr>
            <w:tcW w:w="705" w:type="pct"/>
            <w:vAlign w:val="center"/>
          </w:tcPr>
          <w:p>
            <w:pPr>
              <w:pStyle w:val="45"/>
              <w:spacing w:line="400" w:lineRule="exact"/>
              <w:ind w:left="0" w:leftChars="0"/>
              <w:jc w:val="center"/>
              <w:rPr>
                <w:color w:val="auto"/>
                <w:highlight w:val="none"/>
              </w:rPr>
            </w:pPr>
          </w:p>
        </w:tc>
        <w:tc>
          <w:tcPr>
            <w:tcW w:w="971" w:type="pct"/>
            <w:gridSpan w:val="2"/>
            <w:vAlign w:val="center"/>
          </w:tcPr>
          <w:p>
            <w:pPr>
              <w:pStyle w:val="45"/>
              <w:spacing w:line="400" w:lineRule="exact"/>
              <w:ind w:left="0" w:leftChars="0"/>
              <w:jc w:val="center"/>
              <w:rPr>
                <w:color w:val="auto"/>
                <w:highlight w:val="none"/>
              </w:rPr>
            </w:pPr>
          </w:p>
        </w:tc>
        <w:tc>
          <w:tcPr>
            <w:tcW w:w="639" w:type="pct"/>
            <w:vAlign w:val="center"/>
          </w:tcPr>
          <w:p>
            <w:pPr>
              <w:pStyle w:val="45"/>
              <w:spacing w:line="400" w:lineRule="exact"/>
              <w:ind w:left="0" w:leftChars="0"/>
              <w:jc w:val="center"/>
              <w:rPr>
                <w:color w:val="auto"/>
                <w:highlight w:val="none"/>
              </w:rPr>
            </w:pPr>
          </w:p>
        </w:tc>
      </w:tr>
    </w:tbl>
    <w:p>
      <w:pPr>
        <w:keepNext w:val="0"/>
        <w:keepLines w:val="0"/>
        <w:pageBreakBefore w:val="0"/>
        <w:widowControl/>
        <w:tabs>
          <w:tab w:val="center" w:pos="4153"/>
          <w:tab w:val="right" w:pos="830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注：投标人需随此表附上执业资格证书、职称证、类似工程</w:t>
      </w:r>
      <w:r>
        <w:rPr>
          <w:rFonts w:hint="eastAsia" w:ascii="宋体" w:hAnsi="宋体" w:eastAsia="宋体" w:cs="宋体"/>
          <w:color w:val="auto"/>
          <w:sz w:val="24"/>
          <w:szCs w:val="24"/>
          <w:highlight w:val="none"/>
          <w:lang w:val="en-US" w:eastAsia="zh-CN"/>
        </w:rPr>
        <w:t>监理</w:t>
      </w:r>
      <w:r>
        <w:rPr>
          <w:rFonts w:hint="eastAsia" w:ascii="宋体" w:hAnsi="宋体" w:eastAsia="宋体" w:cs="宋体"/>
          <w:color w:val="auto"/>
          <w:sz w:val="24"/>
          <w:szCs w:val="24"/>
          <w:highlight w:val="none"/>
          <w:lang w:eastAsia="zh-CN"/>
        </w:rPr>
        <w:t>经验（提供</w:t>
      </w:r>
      <w:r>
        <w:rPr>
          <w:rFonts w:hint="eastAsia" w:ascii="宋体" w:hAnsi="宋体" w:eastAsia="宋体" w:cs="宋体"/>
          <w:color w:val="auto"/>
          <w:sz w:val="24"/>
          <w:szCs w:val="24"/>
          <w:highlight w:val="none"/>
          <w:lang w:val="en-US" w:eastAsia="zh-CN"/>
        </w:rPr>
        <w:t>监理</w:t>
      </w:r>
      <w:r>
        <w:rPr>
          <w:rFonts w:hint="eastAsia" w:ascii="宋体" w:hAnsi="宋体" w:eastAsia="宋体" w:cs="宋体"/>
          <w:color w:val="auto"/>
          <w:sz w:val="24"/>
          <w:szCs w:val="24"/>
          <w:highlight w:val="none"/>
          <w:lang w:eastAsia="zh-CN"/>
        </w:rPr>
        <w:t>合同或经行政主管部门备案的中标通知书）等相关资料的扫描件。拟派总监理工程师如有担任其他在监工程的总监理工程师，则在监工程不得超过2个（含2个），同时需提供在监项目建设单位的同意意见书。</w:t>
      </w:r>
    </w:p>
    <w:p>
      <w:pPr>
        <w:snapToGrid w:val="0"/>
        <w:spacing w:line="360" w:lineRule="auto"/>
        <w:ind w:firstLine="3360" w:firstLineChars="1400"/>
        <w:rPr>
          <w:rFonts w:hint="eastAsia" w:ascii="宋体" w:hAnsi="宋体" w:eastAsia="宋体" w:cs="宋体"/>
          <w:color w:val="auto"/>
          <w:sz w:val="24"/>
          <w:szCs w:val="24"/>
          <w:highlight w:val="none"/>
          <w:lang w:eastAsia="zh-CN"/>
        </w:rPr>
      </w:pPr>
    </w:p>
    <w:p>
      <w:pPr>
        <w:snapToGrid w:val="0"/>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 xml:space="preserve">名称）            </w:t>
      </w:r>
    </w:p>
    <w:p>
      <w:pPr>
        <w:snapToGrid w:val="0"/>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法定代表人或被授权人（签字或盖章）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br w:type="page"/>
      </w:r>
    </w:p>
    <w:p>
      <w:pPr>
        <w:spacing w:beforeLines="50" w:line="360" w:lineRule="auto"/>
        <w:jc w:val="both"/>
        <w:rPr>
          <w:rFonts w:hint="eastAsia" w:ascii="宋体" w:hAnsi="宋体" w:eastAsia="Arial" w:cs="宋体"/>
          <w:b/>
          <w:bCs/>
          <w:snapToGrid w:val="0"/>
          <w:color w:val="000000"/>
          <w:kern w:val="2"/>
          <w:sz w:val="28"/>
          <w:szCs w:val="28"/>
          <w:highlight w:val="none"/>
          <w:lang w:val="zh-CN"/>
        </w:rPr>
      </w:pPr>
      <w:r>
        <w:rPr>
          <w:rFonts w:hint="eastAsia" w:ascii="宋体" w:hAnsi="宋体" w:eastAsia="Arial" w:cs="宋体"/>
          <w:b/>
          <w:bCs/>
          <w:snapToGrid w:val="0"/>
          <w:color w:val="000000"/>
          <w:kern w:val="2"/>
          <w:sz w:val="28"/>
          <w:szCs w:val="28"/>
          <w:highlight w:val="none"/>
        </w:rPr>
        <w:t>附件</w:t>
      </w:r>
      <w:r>
        <w:rPr>
          <w:rFonts w:hint="eastAsia" w:ascii="宋体" w:hAnsi="宋体" w:cs="宋体"/>
          <w:b/>
          <w:bCs/>
          <w:snapToGrid w:val="0"/>
          <w:color w:val="000000"/>
          <w:kern w:val="2"/>
          <w:sz w:val="28"/>
          <w:szCs w:val="28"/>
          <w:highlight w:val="none"/>
          <w:lang w:val="en-US" w:eastAsia="zh-CN"/>
        </w:rPr>
        <w:t>5</w:t>
      </w:r>
      <w:r>
        <w:rPr>
          <w:rFonts w:hint="eastAsia" w:ascii="宋体" w:hAnsi="宋体" w:eastAsia="Arial" w:cs="宋体"/>
          <w:b/>
          <w:bCs/>
          <w:snapToGrid w:val="0"/>
          <w:color w:val="000000"/>
          <w:kern w:val="2"/>
          <w:sz w:val="28"/>
          <w:szCs w:val="28"/>
          <w:highlight w:val="none"/>
        </w:rPr>
        <w:t>：</w:t>
      </w:r>
    </w:p>
    <w:p>
      <w:pPr>
        <w:pStyle w:val="4"/>
        <w:keepNext w:val="0"/>
        <w:keepLines w:val="0"/>
        <w:widowControl w:val="0"/>
        <w:spacing w:beforeLines="50" w:after="0" w:line="360" w:lineRule="auto"/>
        <w:ind w:left="0"/>
        <w:jc w:val="center"/>
        <w:outlineLvl w:val="2"/>
        <w:rPr>
          <w:rFonts w:hint="eastAsia" w:ascii="宋体" w:hAnsi="宋体" w:eastAsia="Arial" w:cs="宋体"/>
          <w:b/>
          <w:bCs/>
          <w:snapToGrid w:val="0"/>
          <w:color w:val="000000"/>
          <w:kern w:val="0"/>
          <w:sz w:val="32"/>
          <w:szCs w:val="32"/>
          <w:highlight w:val="none"/>
          <w:lang w:val="zh-CN" w:eastAsia="zh-CN"/>
        </w:rPr>
      </w:pPr>
      <w:bookmarkStart w:id="119" w:name="_Toc7187"/>
      <w:r>
        <w:rPr>
          <w:rFonts w:hint="eastAsia" w:ascii="宋体" w:hAnsi="宋体" w:eastAsia="Arial" w:cs="宋体"/>
          <w:b/>
          <w:bCs/>
          <w:snapToGrid w:val="0"/>
          <w:color w:val="000000"/>
          <w:kern w:val="0"/>
          <w:sz w:val="32"/>
          <w:szCs w:val="32"/>
          <w:highlight w:val="none"/>
          <w:lang w:val="zh-CN" w:eastAsia="zh-CN"/>
        </w:rPr>
        <w:t>投标人企业关系关联承诺书</w:t>
      </w:r>
      <w:bookmarkEnd w:id="119"/>
    </w:p>
    <w:p>
      <w:pPr>
        <w:spacing w:line="500" w:lineRule="exact"/>
        <w:ind w:firstLine="480" w:firstLineChars="200"/>
        <w:rPr>
          <w:rFonts w:hAnsi="宋体" w:cs="宋体"/>
          <w:sz w:val="24"/>
          <w:szCs w:val="24"/>
          <w:highlight w:val="none"/>
        </w:rPr>
      </w:pPr>
      <w:r>
        <w:rPr>
          <w:rFonts w:hint="eastAsia" w:hAnsi="宋体" w:cs="宋体"/>
          <w:sz w:val="24"/>
          <w:szCs w:val="24"/>
          <w:highlight w:val="none"/>
        </w:rPr>
        <w:t>1.</w:t>
      </w:r>
      <w:r>
        <w:rPr>
          <w:rFonts w:hint="eastAsia" w:hAnsi="宋体" w:eastAsia="宋体" w:cs="宋体"/>
          <w:sz w:val="24"/>
          <w:szCs w:val="24"/>
          <w:highlight w:val="none"/>
          <w:lang w:eastAsia="zh-CN"/>
        </w:rPr>
        <w:t>投标人</w:t>
      </w:r>
      <w:r>
        <w:rPr>
          <w:rFonts w:hint="eastAsia" w:hAnsi="宋体" w:cs="宋体"/>
          <w:sz w:val="24"/>
          <w:szCs w:val="24"/>
          <w:highlight w:val="none"/>
        </w:rPr>
        <w:t>在本项目投标中，不存在与其它</w:t>
      </w:r>
      <w:r>
        <w:rPr>
          <w:rFonts w:hint="eastAsia" w:hAnsi="宋体" w:eastAsia="宋体" w:cs="宋体"/>
          <w:sz w:val="24"/>
          <w:szCs w:val="24"/>
          <w:highlight w:val="none"/>
          <w:lang w:eastAsia="zh-CN"/>
        </w:rPr>
        <w:t>投标人</w:t>
      </w:r>
      <w:r>
        <w:rPr>
          <w:rFonts w:hint="eastAsia" w:hAnsi="宋体" w:cs="宋体"/>
          <w:sz w:val="24"/>
          <w:szCs w:val="24"/>
          <w:highlight w:val="none"/>
        </w:rPr>
        <w:t>负责人为同一人，有控股、管理等关联关系承诺：</w:t>
      </w:r>
    </w:p>
    <w:p>
      <w:pPr>
        <w:spacing w:line="500" w:lineRule="exact"/>
        <w:ind w:firstLine="480" w:firstLineChars="200"/>
        <w:rPr>
          <w:rFonts w:hAnsi="宋体" w:cs="宋体"/>
          <w:sz w:val="24"/>
          <w:szCs w:val="24"/>
          <w:highlight w:val="none"/>
        </w:rPr>
      </w:pPr>
      <w:r>
        <w:rPr>
          <w:rFonts w:hint="eastAsia" w:hAnsi="宋体" w:cs="宋体"/>
          <w:sz w:val="24"/>
          <w:szCs w:val="24"/>
          <w:highlight w:val="none"/>
        </w:rPr>
        <w:t>1.1管理关系说明：</w:t>
      </w:r>
    </w:p>
    <w:p>
      <w:pPr>
        <w:spacing w:line="500" w:lineRule="exact"/>
        <w:ind w:firstLine="480" w:firstLineChars="200"/>
        <w:rPr>
          <w:rFonts w:hAnsi="宋体" w:cs="宋体"/>
          <w:sz w:val="24"/>
          <w:szCs w:val="24"/>
          <w:highlight w:val="none"/>
        </w:rPr>
      </w:pPr>
      <w:r>
        <w:rPr>
          <w:rFonts w:hint="eastAsia" w:hAnsi="宋体" w:cs="宋体"/>
          <w:sz w:val="24"/>
          <w:szCs w:val="24"/>
          <w:highlight w:val="none"/>
        </w:rPr>
        <w:t>我单位管理的具有独立法人的下属单位有</w:t>
      </w:r>
      <w:r>
        <w:rPr>
          <w:rFonts w:hint="eastAsia" w:hAnsi="宋体" w:cs="宋体"/>
          <w:sz w:val="24"/>
          <w:szCs w:val="24"/>
          <w:highlight w:val="none"/>
          <w:u w:val="none"/>
        </w:rPr>
        <w:t>：</w:t>
      </w:r>
      <w:r>
        <w:rPr>
          <w:rFonts w:hint="eastAsia" w:hAnsi="宋体" w:cs="宋体"/>
          <w:sz w:val="24"/>
          <w:szCs w:val="24"/>
          <w:highlight w:val="none"/>
          <w:u w:val="single"/>
        </w:rPr>
        <w:t xml:space="preserve">                 </w:t>
      </w:r>
      <w:r>
        <w:rPr>
          <w:rFonts w:hint="eastAsia" w:hAnsi="宋体" w:cs="宋体"/>
          <w:sz w:val="24"/>
          <w:szCs w:val="24"/>
          <w:highlight w:val="none"/>
        </w:rPr>
        <w:t>。</w:t>
      </w:r>
    </w:p>
    <w:p>
      <w:pPr>
        <w:spacing w:line="500" w:lineRule="exact"/>
        <w:ind w:firstLine="480" w:firstLineChars="200"/>
        <w:rPr>
          <w:rFonts w:hAnsi="宋体" w:cs="宋体"/>
          <w:sz w:val="24"/>
          <w:szCs w:val="24"/>
          <w:highlight w:val="none"/>
        </w:rPr>
      </w:pPr>
      <w:r>
        <w:rPr>
          <w:rFonts w:hint="eastAsia" w:hAnsi="宋体" w:cs="宋体"/>
          <w:sz w:val="24"/>
          <w:szCs w:val="24"/>
          <w:highlight w:val="none"/>
        </w:rPr>
        <w:t>我单位的上级管理单位有</w:t>
      </w:r>
      <w:r>
        <w:rPr>
          <w:rFonts w:hint="eastAsia" w:hAnsi="宋体" w:cs="宋体"/>
          <w:sz w:val="24"/>
          <w:szCs w:val="24"/>
          <w:highlight w:val="none"/>
          <w:u w:val="single"/>
        </w:rPr>
        <w:t xml:space="preserve">              </w:t>
      </w:r>
      <w:r>
        <w:rPr>
          <w:rFonts w:hint="eastAsia" w:hAnsi="宋体" w:cs="宋体"/>
          <w:sz w:val="24"/>
          <w:szCs w:val="24"/>
          <w:highlight w:val="none"/>
        </w:rPr>
        <w:t>。</w:t>
      </w:r>
    </w:p>
    <w:p>
      <w:pPr>
        <w:spacing w:line="500" w:lineRule="exact"/>
        <w:ind w:firstLine="480" w:firstLineChars="200"/>
        <w:rPr>
          <w:rFonts w:hAnsi="宋体" w:cs="宋体"/>
          <w:sz w:val="24"/>
          <w:szCs w:val="24"/>
          <w:highlight w:val="none"/>
        </w:rPr>
      </w:pPr>
      <w:r>
        <w:rPr>
          <w:rFonts w:hint="eastAsia" w:hAnsi="宋体" w:cs="宋体"/>
          <w:sz w:val="24"/>
          <w:szCs w:val="24"/>
          <w:highlight w:val="none"/>
        </w:rPr>
        <w:t>1.2股权关系说明：</w:t>
      </w:r>
    </w:p>
    <w:p>
      <w:pPr>
        <w:spacing w:line="500" w:lineRule="exact"/>
        <w:ind w:firstLine="480" w:firstLineChars="200"/>
        <w:rPr>
          <w:rFonts w:hAnsi="宋体" w:cs="宋体"/>
          <w:sz w:val="24"/>
          <w:szCs w:val="24"/>
          <w:highlight w:val="none"/>
        </w:rPr>
      </w:pPr>
      <w:r>
        <w:rPr>
          <w:rFonts w:hint="eastAsia" w:hAnsi="宋体" w:cs="宋体"/>
          <w:sz w:val="24"/>
          <w:szCs w:val="24"/>
          <w:highlight w:val="none"/>
        </w:rPr>
        <w:t>我单位控股的单位有</w:t>
      </w:r>
      <w:r>
        <w:rPr>
          <w:rFonts w:hint="eastAsia" w:hAnsi="宋体" w:cs="宋体"/>
          <w:sz w:val="24"/>
          <w:szCs w:val="24"/>
          <w:highlight w:val="none"/>
          <w:u w:val="single"/>
        </w:rPr>
        <w:t xml:space="preserve">           </w:t>
      </w:r>
      <w:r>
        <w:rPr>
          <w:rFonts w:hint="eastAsia" w:hAnsi="宋体" w:cs="宋体"/>
          <w:sz w:val="24"/>
          <w:szCs w:val="24"/>
          <w:highlight w:val="none"/>
        </w:rPr>
        <w:t>。</w:t>
      </w:r>
    </w:p>
    <w:p>
      <w:pPr>
        <w:spacing w:line="500" w:lineRule="exact"/>
        <w:ind w:firstLine="480" w:firstLineChars="200"/>
        <w:rPr>
          <w:rFonts w:hAnsi="宋体" w:cs="宋体"/>
          <w:sz w:val="24"/>
          <w:szCs w:val="24"/>
          <w:highlight w:val="none"/>
        </w:rPr>
      </w:pPr>
      <w:r>
        <w:rPr>
          <w:rFonts w:hint="eastAsia" w:hAnsi="宋体" w:cs="宋体"/>
          <w:sz w:val="24"/>
          <w:szCs w:val="24"/>
          <w:highlight w:val="none"/>
        </w:rPr>
        <w:t>我单位被</w:t>
      </w:r>
      <w:r>
        <w:rPr>
          <w:rFonts w:hint="eastAsia" w:hAnsi="宋体" w:cs="宋体"/>
          <w:sz w:val="24"/>
          <w:szCs w:val="24"/>
          <w:highlight w:val="none"/>
          <w:u w:val="single"/>
        </w:rPr>
        <w:t xml:space="preserve">              </w:t>
      </w:r>
      <w:r>
        <w:rPr>
          <w:rFonts w:hint="eastAsia" w:hAnsi="宋体" w:cs="宋体"/>
          <w:sz w:val="24"/>
          <w:szCs w:val="24"/>
          <w:highlight w:val="none"/>
        </w:rPr>
        <w:t>单位控股。</w:t>
      </w:r>
    </w:p>
    <w:p>
      <w:pPr>
        <w:spacing w:line="500" w:lineRule="exact"/>
        <w:ind w:firstLine="480" w:firstLineChars="200"/>
        <w:rPr>
          <w:rFonts w:hAnsi="宋体" w:cs="宋体"/>
          <w:sz w:val="24"/>
          <w:szCs w:val="24"/>
          <w:highlight w:val="none"/>
          <w:u w:val="single"/>
        </w:rPr>
      </w:pPr>
      <w:r>
        <w:rPr>
          <w:rFonts w:hint="eastAsia" w:hAnsi="宋体" w:cs="宋体"/>
          <w:sz w:val="24"/>
          <w:szCs w:val="24"/>
          <w:highlight w:val="none"/>
        </w:rPr>
        <w:t>1.3单位负责人：</w:t>
      </w:r>
      <w:r>
        <w:rPr>
          <w:rFonts w:hint="eastAsia" w:hAnsi="宋体" w:cs="宋体"/>
          <w:sz w:val="24"/>
          <w:szCs w:val="24"/>
          <w:highlight w:val="none"/>
          <w:u w:val="single"/>
        </w:rPr>
        <w:t xml:space="preserve">                </w:t>
      </w:r>
    </w:p>
    <w:p>
      <w:pPr>
        <w:spacing w:line="500" w:lineRule="exact"/>
        <w:ind w:firstLine="480" w:firstLineChars="200"/>
        <w:rPr>
          <w:rFonts w:hAnsi="宋体" w:cs="宋体"/>
          <w:sz w:val="24"/>
          <w:szCs w:val="24"/>
          <w:highlight w:val="none"/>
        </w:rPr>
      </w:pPr>
      <w:r>
        <w:rPr>
          <w:rFonts w:hint="eastAsia" w:hAnsi="宋体" w:cs="宋体"/>
          <w:sz w:val="24"/>
          <w:szCs w:val="24"/>
          <w:highlight w:val="none"/>
        </w:rPr>
        <w:t>2.</w:t>
      </w:r>
      <w:r>
        <w:rPr>
          <w:rFonts w:hint="eastAsia" w:hAnsi="宋体" w:cs="宋体"/>
          <w:sz w:val="24"/>
          <w:szCs w:val="24"/>
          <w:highlight w:val="none"/>
          <w:u w:val="single"/>
        </w:rPr>
        <w:t xml:space="preserve">              </w:t>
      </w:r>
      <w:r>
        <w:rPr>
          <w:rFonts w:hint="eastAsia" w:hAnsi="宋体" w:cs="宋体"/>
          <w:sz w:val="24"/>
          <w:szCs w:val="24"/>
          <w:highlight w:val="none"/>
        </w:rPr>
        <w:t>（是或否，没有填否）为采购项目提供整体设计、规范编制或者项目管理、监理、检测等服务的</w:t>
      </w:r>
      <w:r>
        <w:rPr>
          <w:rFonts w:hint="eastAsia" w:hAnsi="宋体" w:eastAsia="宋体" w:cs="宋体"/>
          <w:sz w:val="24"/>
          <w:szCs w:val="24"/>
          <w:highlight w:val="none"/>
          <w:lang w:eastAsia="zh-CN"/>
        </w:rPr>
        <w:t>投标人</w:t>
      </w:r>
      <w:r>
        <w:rPr>
          <w:rFonts w:hint="eastAsia" w:hAnsi="宋体" w:cs="宋体"/>
          <w:sz w:val="24"/>
          <w:szCs w:val="24"/>
          <w:highlight w:val="none"/>
        </w:rPr>
        <w:t>。</w:t>
      </w:r>
    </w:p>
    <w:p>
      <w:pPr>
        <w:spacing w:line="500" w:lineRule="exact"/>
        <w:ind w:firstLine="480" w:firstLineChars="200"/>
        <w:rPr>
          <w:rFonts w:hAnsi="宋体" w:cs="宋体"/>
          <w:sz w:val="24"/>
          <w:szCs w:val="24"/>
          <w:highlight w:val="none"/>
          <w:u w:val="single"/>
        </w:rPr>
      </w:pPr>
      <w:r>
        <w:rPr>
          <w:rFonts w:hint="eastAsia" w:hAnsi="宋体" w:cs="宋体"/>
          <w:sz w:val="24"/>
          <w:szCs w:val="24"/>
          <w:highlight w:val="none"/>
        </w:rPr>
        <w:t>3.其他与本项目有关的利害关系说明：</w:t>
      </w:r>
      <w:r>
        <w:rPr>
          <w:rFonts w:hint="eastAsia" w:hAnsi="宋体" w:cs="宋体"/>
          <w:sz w:val="24"/>
          <w:szCs w:val="24"/>
          <w:highlight w:val="none"/>
          <w:u w:val="single"/>
        </w:rPr>
        <w:t xml:space="preserve">                               </w:t>
      </w:r>
    </w:p>
    <w:p>
      <w:pPr>
        <w:spacing w:line="500" w:lineRule="exact"/>
        <w:ind w:firstLine="480" w:firstLineChars="200"/>
        <w:rPr>
          <w:rFonts w:hAnsi="宋体" w:cs="宋体"/>
          <w:sz w:val="24"/>
          <w:szCs w:val="24"/>
          <w:highlight w:val="none"/>
        </w:rPr>
      </w:pPr>
      <w:r>
        <w:rPr>
          <w:rFonts w:hint="eastAsia" w:hAnsi="宋体" w:cs="宋体"/>
          <w:sz w:val="24"/>
          <w:szCs w:val="24"/>
          <w:highlight w:val="none"/>
        </w:rPr>
        <w:t>我单位承诺以上说明真实有效，无虚假内容或隐瞒。</w:t>
      </w:r>
    </w:p>
    <w:p>
      <w:pPr>
        <w:spacing w:line="500" w:lineRule="exact"/>
        <w:rPr>
          <w:rFonts w:hAnsi="宋体" w:cs="宋体"/>
          <w:sz w:val="24"/>
          <w:szCs w:val="24"/>
          <w:highlight w:val="none"/>
        </w:rPr>
      </w:pPr>
    </w:p>
    <w:p>
      <w:pPr>
        <w:spacing w:line="500" w:lineRule="exact"/>
        <w:rPr>
          <w:rFonts w:hint="eastAsia" w:hAnsi="宋体" w:cs="宋体"/>
          <w:sz w:val="24"/>
          <w:szCs w:val="24"/>
          <w:highlight w:val="none"/>
        </w:rPr>
      </w:pPr>
    </w:p>
    <w:p>
      <w:pPr>
        <w:snapToGrid w:val="0"/>
        <w:spacing w:line="360" w:lineRule="auto"/>
        <w:ind w:firstLine="2944" w:firstLineChars="1227"/>
        <w:rPr>
          <w:rFonts w:hint="eastAsia" w:ascii="宋体" w:hAnsi="宋体" w:eastAsia="宋体" w:cs="宋体"/>
          <w:color w:val="auto"/>
          <w:sz w:val="24"/>
          <w:szCs w:val="24"/>
          <w:highlight w:val="none"/>
          <w:lang w:val="en-US" w:eastAsia="zh-CN"/>
        </w:rPr>
      </w:pPr>
    </w:p>
    <w:p>
      <w:pPr>
        <w:snapToGrid w:val="0"/>
        <w:spacing w:line="360" w:lineRule="auto"/>
        <w:ind w:firstLine="2944" w:firstLineChars="1227"/>
        <w:rPr>
          <w:rFonts w:hint="eastAsia" w:ascii="宋体" w:hAnsi="宋体" w:eastAsia="宋体" w:cs="宋体"/>
          <w:color w:val="auto"/>
          <w:sz w:val="24"/>
          <w:szCs w:val="24"/>
          <w:highlight w:val="none"/>
          <w:lang w:val="en-US" w:eastAsia="zh-CN"/>
        </w:rPr>
      </w:pPr>
    </w:p>
    <w:p>
      <w:pPr>
        <w:snapToGrid w:val="0"/>
        <w:spacing w:line="360" w:lineRule="auto"/>
        <w:ind w:firstLine="2944" w:firstLineChars="12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投标人</w:t>
      </w:r>
      <w:r>
        <w:rPr>
          <w:rFonts w:hint="eastAsia" w:ascii="宋体" w:hAnsi="宋体" w:eastAsia="宋体" w:cs="宋体"/>
          <w:color w:val="auto"/>
          <w:sz w:val="24"/>
          <w:szCs w:val="24"/>
          <w:highlight w:val="none"/>
          <w:u w:val="single"/>
        </w:rPr>
        <w:t xml:space="preserve">名称）       </w:t>
      </w:r>
    </w:p>
    <w:p>
      <w:pPr>
        <w:snapToGrid w:val="0"/>
        <w:spacing w:line="360" w:lineRule="auto"/>
        <w:ind w:firstLine="2944" w:firstLineChars="122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法定代表人或被授权人（签字或盖章）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snapToGrid w:val="0"/>
        <w:spacing w:line="360" w:lineRule="auto"/>
        <w:ind w:firstLine="2944" w:firstLineChars="122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autoSpaceDE w:val="0"/>
        <w:autoSpaceDN w:val="0"/>
        <w:adjustRightInd w:val="0"/>
        <w:jc w:val="center"/>
        <w:rPr>
          <w:rFonts w:hint="eastAsia" w:hAnsi="宋体" w:cs="华文仿宋"/>
          <w:b/>
          <w:color w:val="000000"/>
          <w:sz w:val="28"/>
          <w:szCs w:val="28"/>
          <w:highlight w:val="none"/>
        </w:rPr>
      </w:pPr>
      <w:r>
        <w:rPr>
          <w:rFonts w:hint="eastAsia" w:ascii="宋体" w:hAnsi="宋体" w:cs="宋体"/>
          <w:sz w:val="32"/>
          <w:highlight w:val="none"/>
        </w:rPr>
        <w:br w:type="page"/>
      </w:r>
      <w:bookmarkStart w:id="120" w:name="_Toc17797"/>
    </w:p>
    <w:p>
      <w:pPr>
        <w:spacing w:beforeLines="50" w:line="360" w:lineRule="auto"/>
        <w:jc w:val="both"/>
        <w:rPr>
          <w:rFonts w:hint="eastAsia" w:ascii="宋体" w:hAnsi="宋体" w:eastAsia="Arial" w:cs="宋体"/>
          <w:b/>
          <w:bCs/>
          <w:snapToGrid w:val="0"/>
          <w:color w:val="000000"/>
          <w:kern w:val="2"/>
          <w:sz w:val="28"/>
          <w:szCs w:val="28"/>
          <w:highlight w:val="none"/>
          <w:lang w:val="zh-CN"/>
        </w:rPr>
      </w:pPr>
      <w:r>
        <w:rPr>
          <w:rFonts w:hint="eastAsia" w:ascii="宋体" w:hAnsi="宋体" w:eastAsia="Arial" w:cs="宋体"/>
          <w:b/>
          <w:bCs/>
          <w:snapToGrid w:val="0"/>
          <w:color w:val="000000"/>
          <w:kern w:val="2"/>
          <w:sz w:val="28"/>
          <w:szCs w:val="28"/>
          <w:highlight w:val="none"/>
        </w:rPr>
        <w:t>附件</w:t>
      </w:r>
      <w:r>
        <w:rPr>
          <w:rFonts w:hint="eastAsia" w:ascii="宋体" w:hAnsi="宋体" w:cs="宋体"/>
          <w:b/>
          <w:bCs/>
          <w:snapToGrid w:val="0"/>
          <w:color w:val="000000"/>
          <w:kern w:val="2"/>
          <w:sz w:val="28"/>
          <w:szCs w:val="28"/>
          <w:highlight w:val="none"/>
          <w:lang w:val="en-US" w:eastAsia="zh-CN"/>
        </w:rPr>
        <w:t>6</w:t>
      </w:r>
      <w:r>
        <w:rPr>
          <w:rFonts w:hint="eastAsia" w:ascii="宋体" w:hAnsi="宋体" w:eastAsia="Arial" w:cs="宋体"/>
          <w:b/>
          <w:bCs/>
          <w:snapToGrid w:val="0"/>
          <w:color w:val="000000"/>
          <w:kern w:val="2"/>
          <w:sz w:val="28"/>
          <w:szCs w:val="28"/>
          <w:highlight w:val="none"/>
        </w:rPr>
        <w:t>：</w:t>
      </w:r>
    </w:p>
    <w:p>
      <w:pPr>
        <w:pStyle w:val="4"/>
        <w:keepNext w:val="0"/>
        <w:keepLines w:val="0"/>
        <w:widowControl w:val="0"/>
        <w:spacing w:beforeLines="50" w:after="0" w:line="360" w:lineRule="auto"/>
        <w:ind w:left="0"/>
        <w:jc w:val="center"/>
        <w:outlineLvl w:val="2"/>
        <w:rPr>
          <w:rFonts w:hint="eastAsia" w:ascii="宋体" w:hAnsi="宋体" w:eastAsia="Arial" w:cs="宋体"/>
          <w:b/>
          <w:bCs/>
          <w:snapToGrid w:val="0"/>
          <w:color w:val="000000"/>
          <w:kern w:val="0"/>
          <w:sz w:val="32"/>
          <w:szCs w:val="32"/>
          <w:highlight w:val="none"/>
          <w:lang w:val="zh-CN" w:eastAsia="zh-CN"/>
        </w:rPr>
      </w:pPr>
      <w:bookmarkStart w:id="121" w:name="_Toc5584"/>
      <w:r>
        <w:rPr>
          <w:rFonts w:hint="eastAsia" w:ascii="宋体" w:hAnsi="宋体" w:eastAsia="Arial" w:cs="宋体"/>
          <w:b/>
          <w:bCs/>
          <w:snapToGrid w:val="0"/>
          <w:color w:val="000000"/>
          <w:kern w:val="0"/>
          <w:sz w:val="32"/>
          <w:szCs w:val="32"/>
          <w:highlight w:val="none"/>
          <w:lang w:val="zh-CN" w:eastAsia="zh-CN"/>
        </w:rPr>
        <w:t>非联合体不分包投标声明</w:t>
      </w:r>
      <w:bookmarkEnd w:id="121"/>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Ansi="宋体" w:cs="华文仿宋"/>
          <w:color w:val="000000"/>
          <w:sz w:val="24"/>
          <w:szCs w:val="24"/>
          <w:highlight w:val="none"/>
        </w:rPr>
      </w:pPr>
      <w:r>
        <w:rPr>
          <w:rFonts w:hint="eastAsia" w:hAnsi="宋体" w:cs="华文仿宋"/>
          <w:color w:val="000000"/>
          <w:sz w:val="24"/>
          <w:szCs w:val="24"/>
          <w:highlight w:val="none"/>
        </w:rPr>
        <w:t>本单位郑重声明，参加</w:t>
      </w:r>
      <w:r>
        <w:rPr>
          <w:rFonts w:hint="eastAsia" w:hAnsi="宋体" w:cs="华文仿宋"/>
          <w:color w:val="000000"/>
          <w:sz w:val="24"/>
          <w:szCs w:val="24"/>
          <w:highlight w:val="none"/>
          <w:u w:val="single"/>
        </w:rPr>
        <w:t xml:space="preserve">（采购人名称）    </w:t>
      </w:r>
      <w:r>
        <w:rPr>
          <w:rFonts w:hint="eastAsia" w:hAnsi="宋体" w:cs="华文仿宋"/>
          <w:color w:val="000000"/>
          <w:sz w:val="24"/>
          <w:szCs w:val="24"/>
          <w:highlight w:val="none"/>
        </w:rPr>
        <w:t>的</w:t>
      </w:r>
      <w:r>
        <w:rPr>
          <w:rFonts w:hint="eastAsia" w:hAnsi="宋体" w:cs="华文仿宋"/>
          <w:color w:val="000000"/>
          <w:sz w:val="24"/>
          <w:szCs w:val="24"/>
          <w:highlight w:val="none"/>
          <w:u w:val="single"/>
        </w:rPr>
        <w:t xml:space="preserve">（项目名称  ）   </w:t>
      </w:r>
      <w:r>
        <w:rPr>
          <w:rFonts w:hint="eastAsia" w:hAnsi="宋体" w:cs="华文仿宋"/>
          <w:color w:val="000000"/>
          <w:sz w:val="24"/>
          <w:szCs w:val="24"/>
          <w:highlight w:val="none"/>
        </w:rPr>
        <w:t>（项目编号：</w:t>
      </w:r>
      <w:r>
        <w:rPr>
          <w:rFonts w:hint="eastAsia" w:hAnsi="宋体" w:cs="华文仿宋"/>
          <w:color w:val="000000"/>
          <w:sz w:val="24"/>
          <w:szCs w:val="24"/>
          <w:highlight w:val="none"/>
          <w:u w:val="single"/>
        </w:rPr>
        <w:t xml:space="preserve">           </w:t>
      </w:r>
      <w:r>
        <w:rPr>
          <w:rFonts w:hAnsi="宋体" w:cs="华文仿宋"/>
          <w:color w:val="000000"/>
          <w:sz w:val="24"/>
          <w:szCs w:val="24"/>
          <w:highlight w:val="none"/>
          <w:u w:val="single"/>
        </w:rPr>
        <w:t xml:space="preserve"> </w:t>
      </w:r>
      <w:r>
        <w:rPr>
          <w:rFonts w:hint="eastAsia" w:hAnsi="宋体" w:cs="华文仿宋"/>
          <w:color w:val="000000"/>
          <w:sz w:val="24"/>
          <w:szCs w:val="24"/>
          <w:highlight w:val="none"/>
        </w:rPr>
        <w:t>）采购活动，为非联合体投标，本项目实施过程由本单位独立承担。</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Ansi="宋体" w:cs="华文仿宋"/>
          <w:color w:val="000000"/>
          <w:sz w:val="24"/>
          <w:szCs w:val="24"/>
          <w:highlight w:val="none"/>
        </w:rPr>
      </w:pPr>
      <w:r>
        <w:rPr>
          <w:rFonts w:hint="eastAsia" w:hAnsi="宋体" w:cs="华文仿宋"/>
          <w:color w:val="000000"/>
          <w:sz w:val="24"/>
          <w:szCs w:val="24"/>
          <w:highlight w:val="none"/>
        </w:rPr>
        <w:t>本单位对上述声明的真实性负责。如有虚假，将依法承担相应责任。</w:t>
      </w:r>
    </w:p>
    <w:p>
      <w:pPr>
        <w:snapToGrid w:val="0"/>
        <w:spacing w:line="360" w:lineRule="auto"/>
        <w:ind w:firstLine="2944" w:firstLineChars="1227"/>
        <w:rPr>
          <w:rFonts w:hint="eastAsia" w:ascii="宋体" w:hAnsi="宋体" w:eastAsia="宋体" w:cs="宋体"/>
          <w:color w:val="auto"/>
          <w:sz w:val="24"/>
          <w:szCs w:val="24"/>
          <w:highlight w:val="none"/>
          <w:lang w:val="en-US" w:eastAsia="zh-CN"/>
        </w:rPr>
      </w:pPr>
    </w:p>
    <w:p>
      <w:pPr>
        <w:snapToGrid w:val="0"/>
        <w:spacing w:line="360" w:lineRule="auto"/>
        <w:ind w:firstLine="2944" w:firstLineChars="1227"/>
        <w:rPr>
          <w:rFonts w:hint="eastAsia" w:ascii="宋体" w:hAnsi="宋体" w:eastAsia="宋体" w:cs="宋体"/>
          <w:color w:val="auto"/>
          <w:sz w:val="24"/>
          <w:szCs w:val="24"/>
          <w:highlight w:val="none"/>
          <w:lang w:val="en-US" w:eastAsia="zh-CN"/>
        </w:rPr>
      </w:pPr>
    </w:p>
    <w:p>
      <w:pPr>
        <w:snapToGrid w:val="0"/>
        <w:spacing w:line="360" w:lineRule="auto"/>
        <w:ind w:firstLine="2944" w:firstLineChars="1227"/>
        <w:rPr>
          <w:rFonts w:hint="eastAsia" w:ascii="宋体" w:hAnsi="宋体" w:eastAsia="宋体" w:cs="宋体"/>
          <w:color w:val="auto"/>
          <w:sz w:val="24"/>
          <w:szCs w:val="24"/>
          <w:highlight w:val="none"/>
          <w:lang w:val="en-US" w:eastAsia="zh-CN"/>
        </w:rPr>
      </w:pPr>
    </w:p>
    <w:p>
      <w:pPr>
        <w:snapToGrid w:val="0"/>
        <w:spacing w:line="360" w:lineRule="auto"/>
        <w:ind w:firstLine="2944" w:firstLineChars="1227"/>
        <w:rPr>
          <w:rFonts w:hint="eastAsia" w:ascii="宋体" w:hAnsi="宋体" w:eastAsia="宋体" w:cs="宋体"/>
          <w:color w:val="auto"/>
          <w:sz w:val="24"/>
          <w:szCs w:val="24"/>
          <w:highlight w:val="none"/>
          <w:lang w:val="en-US" w:eastAsia="zh-CN"/>
        </w:rPr>
      </w:pPr>
    </w:p>
    <w:p>
      <w:pPr>
        <w:snapToGrid w:val="0"/>
        <w:spacing w:line="360" w:lineRule="auto"/>
        <w:ind w:firstLine="2944" w:firstLineChars="1227"/>
        <w:rPr>
          <w:rFonts w:hint="eastAsia" w:ascii="宋体" w:hAnsi="宋体" w:eastAsia="宋体" w:cs="宋体"/>
          <w:color w:val="auto"/>
          <w:sz w:val="24"/>
          <w:szCs w:val="24"/>
          <w:highlight w:val="none"/>
          <w:lang w:val="en-US" w:eastAsia="zh-CN"/>
        </w:rPr>
      </w:pPr>
    </w:p>
    <w:p>
      <w:pPr>
        <w:snapToGrid w:val="0"/>
        <w:spacing w:line="360" w:lineRule="auto"/>
        <w:ind w:firstLine="2944" w:firstLineChars="12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投标人</w:t>
      </w:r>
      <w:r>
        <w:rPr>
          <w:rFonts w:hint="eastAsia" w:ascii="宋体" w:hAnsi="宋体" w:eastAsia="宋体" w:cs="宋体"/>
          <w:color w:val="auto"/>
          <w:sz w:val="24"/>
          <w:szCs w:val="24"/>
          <w:highlight w:val="none"/>
          <w:u w:val="single"/>
        </w:rPr>
        <w:t xml:space="preserve">名称）       </w:t>
      </w:r>
    </w:p>
    <w:p>
      <w:pPr>
        <w:snapToGrid w:val="0"/>
        <w:spacing w:line="360" w:lineRule="auto"/>
        <w:ind w:firstLine="2944" w:firstLineChars="122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法定代表人或被授权人（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p>
    <w:p>
      <w:pPr>
        <w:snapToGrid w:val="0"/>
        <w:spacing w:line="360" w:lineRule="auto"/>
        <w:ind w:firstLine="2944" w:firstLineChars="122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rPr>
          <w:rFonts w:hint="eastAsia" w:ascii="宋体" w:hAnsi="宋体" w:cs="宋体"/>
          <w:sz w:val="28"/>
          <w:szCs w:val="28"/>
          <w:highlight w:val="none"/>
        </w:rPr>
      </w:pPr>
      <w:r>
        <w:rPr>
          <w:rFonts w:hint="eastAsia" w:ascii="宋体" w:hAnsi="宋体" w:cs="宋体"/>
          <w:sz w:val="28"/>
          <w:szCs w:val="28"/>
          <w:highlight w:val="none"/>
        </w:rPr>
        <w:br w:type="page"/>
      </w:r>
    </w:p>
    <w:p>
      <w:pPr>
        <w:spacing w:beforeLines="50" w:line="360" w:lineRule="auto"/>
        <w:jc w:val="both"/>
        <w:rPr>
          <w:rFonts w:hint="eastAsia" w:ascii="宋体" w:hAnsi="宋体" w:eastAsia="Arial" w:cs="宋体"/>
          <w:b/>
          <w:bCs/>
          <w:snapToGrid w:val="0"/>
          <w:color w:val="000000"/>
          <w:kern w:val="2"/>
          <w:sz w:val="28"/>
          <w:szCs w:val="28"/>
          <w:highlight w:val="none"/>
        </w:rPr>
      </w:pPr>
      <w:r>
        <w:rPr>
          <w:rFonts w:hint="eastAsia" w:ascii="宋体" w:hAnsi="宋体" w:eastAsia="Arial" w:cs="宋体"/>
          <w:b/>
          <w:bCs/>
          <w:snapToGrid w:val="0"/>
          <w:color w:val="000000"/>
          <w:kern w:val="2"/>
          <w:sz w:val="28"/>
          <w:szCs w:val="28"/>
          <w:highlight w:val="none"/>
        </w:rPr>
        <w:t>附件</w:t>
      </w:r>
      <w:bookmarkEnd w:id="120"/>
      <w:r>
        <w:rPr>
          <w:rFonts w:hint="eastAsia" w:ascii="宋体" w:hAnsi="宋体" w:eastAsia="Arial" w:cs="宋体"/>
          <w:b/>
          <w:bCs/>
          <w:snapToGrid w:val="0"/>
          <w:color w:val="000000"/>
          <w:kern w:val="2"/>
          <w:sz w:val="28"/>
          <w:szCs w:val="28"/>
          <w:highlight w:val="none"/>
          <w:lang w:val="en-US" w:eastAsia="zh-CN"/>
        </w:rPr>
        <w:t>7</w:t>
      </w:r>
      <w:r>
        <w:rPr>
          <w:rFonts w:hint="eastAsia" w:ascii="宋体" w:hAnsi="宋体" w:eastAsia="Arial" w:cs="宋体"/>
          <w:b/>
          <w:bCs/>
          <w:snapToGrid w:val="0"/>
          <w:color w:val="000000"/>
          <w:kern w:val="2"/>
          <w:sz w:val="28"/>
          <w:szCs w:val="28"/>
          <w:highlight w:val="none"/>
        </w:rPr>
        <w:t>：（如是）</w:t>
      </w:r>
    </w:p>
    <w:p>
      <w:pPr>
        <w:pStyle w:val="4"/>
        <w:keepNext w:val="0"/>
        <w:keepLines w:val="0"/>
        <w:widowControl w:val="0"/>
        <w:spacing w:beforeLines="50" w:after="0" w:line="360" w:lineRule="auto"/>
        <w:ind w:left="0"/>
        <w:jc w:val="center"/>
        <w:outlineLvl w:val="2"/>
        <w:rPr>
          <w:rFonts w:hint="eastAsia" w:ascii="宋体" w:hAnsi="宋体" w:eastAsia="Arial" w:cs="宋体"/>
          <w:b/>
          <w:bCs/>
          <w:snapToGrid w:val="0"/>
          <w:color w:val="000000"/>
          <w:kern w:val="0"/>
          <w:sz w:val="32"/>
          <w:szCs w:val="32"/>
          <w:highlight w:val="none"/>
          <w:lang w:val="zh-CN" w:eastAsia="zh-CN"/>
        </w:rPr>
      </w:pPr>
      <w:bookmarkStart w:id="122" w:name="_Toc822"/>
      <w:bookmarkStart w:id="123" w:name="_Toc2270"/>
      <w:bookmarkStart w:id="124" w:name="_Toc2462"/>
      <w:r>
        <w:rPr>
          <w:rFonts w:hint="eastAsia" w:ascii="宋体" w:hAnsi="宋体" w:eastAsia="Arial" w:cs="宋体"/>
          <w:b/>
          <w:bCs/>
          <w:snapToGrid w:val="0"/>
          <w:color w:val="000000"/>
          <w:kern w:val="0"/>
          <w:sz w:val="32"/>
          <w:szCs w:val="32"/>
          <w:highlight w:val="none"/>
          <w:lang w:val="zh-CN" w:eastAsia="zh-CN"/>
        </w:rPr>
        <w:t>中小企业声明函（工程、服务）</w:t>
      </w:r>
      <w:bookmarkEnd w:id="122"/>
      <w:bookmarkEnd w:id="123"/>
    </w:p>
    <w:p>
      <w:pPr>
        <w:pStyle w:val="10"/>
        <w:keepLines w:val="0"/>
        <w:pageBreakBefore w:val="0"/>
        <w:widowControl/>
        <w:kinsoku w:val="0"/>
        <w:wordWrap/>
        <w:overflowPunct/>
        <w:topLinePunct w:val="0"/>
        <w:autoSpaceDE w:val="0"/>
        <w:autoSpaceDN w:val="0"/>
        <w:bidi w:val="0"/>
        <w:adjustRightInd w:val="0"/>
        <w:snapToGrid w:val="0"/>
        <w:spacing w:before="55" w:after="0" w:line="360" w:lineRule="auto"/>
        <w:ind w:firstLine="640"/>
        <w:textAlignment w:val="baseline"/>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本公司（联合体）郑重声明，根据《政府采购促进中小企业发展管理办法》（财库﹝2020﹞46 号）的规定，本公司（联合体）参加</w:t>
      </w:r>
      <w:r>
        <w:rPr>
          <w:rFonts w:hint="eastAsia" w:ascii="宋体" w:hAnsi="宋体" w:eastAsia="宋体" w:cs="宋体"/>
          <w:spacing w:val="-2"/>
          <w:sz w:val="24"/>
          <w:szCs w:val="24"/>
          <w:highlight w:val="none"/>
          <w:u w:val="single"/>
        </w:rPr>
        <w:t>（单位名称）</w:t>
      </w:r>
      <w:r>
        <w:rPr>
          <w:rFonts w:hint="eastAsia" w:ascii="宋体" w:hAnsi="宋体" w:eastAsia="宋体" w:cs="宋体"/>
          <w:spacing w:val="-2"/>
          <w:sz w:val="24"/>
          <w:szCs w:val="24"/>
          <w:highlight w:val="none"/>
        </w:rPr>
        <w:t>的</w:t>
      </w:r>
      <w:r>
        <w:rPr>
          <w:rFonts w:hint="eastAsia" w:ascii="宋体" w:hAnsi="宋体" w:eastAsia="宋体" w:cs="宋体"/>
          <w:spacing w:val="-2"/>
          <w:sz w:val="24"/>
          <w:szCs w:val="24"/>
          <w:highlight w:val="none"/>
          <w:u w:val="single"/>
        </w:rPr>
        <w:t>（项目名称）</w:t>
      </w:r>
      <w:r>
        <w:rPr>
          <w:rFonts w:hint="eastAsia" w:ascii="宋体" w:hAnsi="宋体" w:eastAsia="宋体" w:cs="宋体"/>
          <w:spacing w:val="-2"/>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41"/>
        <w:keepLines w:val="0"/>
        <w:pageBreakBefore w:val="0"/>
        <w:widowControl/>
        <w:kinsoku w:val="0"/>
        <w:wordWrap/>
        <w:overflowPunct/>
        <w:topLinePunct w:val="0"/>
        <w:autoSpaceDE w:val="0"/>
        <w:autoSpaceDN w:val="0"/>
        <w:bidi w:val="0"/>
        <w:adjustRightInd w:val="0"/>
        <w:snapToGrid w:val="0"/>
        <w:spacing w:line="360" w:lineRule="auto"/>
        <w:ind w:firstLine="48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u w:val="single"/>
          <w:lang w:val="zh-CN"/>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lang w:val="zh-CN"/>
        </w:rPr>
        <w:t>（采购文件中明确的所属行业）</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pPr>
        <w:pStyle w:val="41"/>
        <w:keepLines w:val="0"/>
        <w:pageBreakBefore w:val="0"/>
        <w:widowControl/>
        <w:kinsoku w:val="0"/>
        <w:wordWrap/>
        <w:overflowPunct/>
        <w:topLinePunct w:val="0"/>
        <w:autoSpaceDE w:val="0"/>
        <w:autoSpaceDN w:val="0"/>
        <w:bidi w:val="0"/>
        <w:adjustRightInd w:val="0"/>
        <w:snapToGrid w:val="0"/>
        <w:spacing w:line="360" w:lineRule="auto"/>
        <w:ind w:firstLine="48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u w:val="single"/>
          <w:lang w:val="zh-CN"/>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lang w:val="zh-CN"/>
        </w:rPr>
        <w:t>（采购文件中明确的所属行业）</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pPr>
        <w:pStyle w:val="41"/>
        <w:keepLines w:val="0"/>
        <w:pageBreakBefore w:val="0"/>
        <w:widowControl/>
        <w:kinsoku w:val="0"/>
        <w:wordWrap/>
        <w:overflowPunct/>
        <w:topLinePunct w:val="0"/>
        <w:autoSpaceDE w:val="0"/>
        <w:autoSpaceDN w:val="0"/>
        <w:bidi w:val="0"/>
        <w:adjustRightInd w:val="0"/>
        <w:snapToGrid w:val="0"/>
        <w:spacing w:line="360" w:lineRule="auto"/>
        <w:ind w:firstLine="480"/>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p>
    <w:p>
      <w:pPr>
        <w:pStyle w:val="41"/>
        <w:keepLines w:val="0"/>
        <w:pageBreakBefore w:val="0"/>
        <w:widowControl/>
        <w:kinsoku w:val="0"/>
        <w:wordWrap/>
        <w:overflowPunct/>
        <w:topLinePunct w:val="0"/>
        <w:autoSpaceDE w:val="0"/>
        <w:autoSpaceDN w:val="0"/>
        <w:bidi w:val="0"/>
        <w:adjustRightInd w:val="0"/>
        <w:snapToGrid w:val="0"/>
        <w:spacing w:line="360" w:lineRule="auto"/>
        <w:ind w:firstLine="480"/>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以上企业，不属于大企业的分支机构，不存在控股股东为大企业的情形，也不存在与大企业的负责人为同一人的情形。</w:t>
      </w:r>
    </w:p>
    <w:p>
      <w:pPr>
        <w:pStyle w:val="41"/>
        <w:keepLines w:val="0"/>
        <w:pageBreakBefore w:val="0"/>
        <w:widowControl/>
        <w:kinsoku w:val="0"/>
        <w:wordWrap/>
        <w:overflowPunct/>
        <w:topLinePunct w:val="0"/>
        <w:autoSpaceDE w:val="0"/>
        <w:autoSpaceDN w:val="0"/>
        <w:bidi w:val="0"/>
        <w:adjustRightInd w:val="0"/>
        <w:snapToGrid w:val="0"/>
        <w:spacing w:line="360" w:lineRule="auto"/>
        <w:ind w:firstLine="480"/>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本企业对上述声明内容的真实性负责。如有虚假，将依法承担相应责任。</w:t>
      </w:r>
    </w:p>
    <w:p>
      <w:pPr>
        <w:pStyle w:val="41"/>
        <w:keepLines w:val="0"/>
        <w:pageBreakBefore w:val="0"/>
        <w:widowControl/>
        <w:kinsoku w:val="0"/>
        <w:wordWrap/>
        <w:overflowPunct/>
        <w:topLinePunct w:val="0"/>
        <w:autoSpaceDE w:val="0"/>
        <w:autoSpaceDN w:val="0"/>
        <w:bidi w:val="0"/>
        <w:adjustRightInd w:val="0"/>
        <w:snapToGrid w:val="0"/>
        <w:spacing w:line="360" w:lineRule="auto"/>
        <w:ind w:firstLine="480"/>
        <w:textAlignment w:val="baseline"/>
        <w:rPr>
          <w:rFonts w:hint="eastAsia" w:ascii="宋体" w:hAnsi="宋体" w:eastAsia="宋体" w:cs="宋体"/>
          <w:sz w:val="24"/>
          <w:szCs w:val="24"/>
          <w:highlight w:val="none"/>
        </w:rPr>
      </w:pPr>
    </w:p>
    <w:p>
      <w:pPr>
        <w:pStyle w:val="41"/>
        <w:keepLines w:val="0"/>
        <w:pageBreakBefore w:val="0"/>
        <w:widowControl/>
        <w:kinsoku w:val="0"/>
        <w:wordWrap/>
        <w:overflowPunct/>
        <w:topLinePunct w:val="0"/>
        <w:autoSpaceDE w:val="0"/>
        <w:autoSpaceDN w:val="0"/>
        <w:bidi w:val="0"/>
        <w:adjustRightInd w:val="0"/>
        <w:snapToGrid w:val="0"/>
        <w:spacing w:line="360" w:lineRule="auto"/>
        <w:ind w:firstLine="4560" w:firstLineChars="19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p>
    <w:p>
      <w:pPr>
        <w:pStyle w:val="41"/>
        <w:keepLines w:val="0"/>
        <w:pageBreakBefore w:val="0"/>
        <w:widowControl/>
        <w:kinsoku w:val="0"/>
        <w:wordWrap/>
        <w:overflowPunct/>
        <w:topLinePunct w:val="0"/>
        <w:autoSpaceDE w:val="0"/>
        <w:autoSpaceDN w:val="0"/>
        <w:bidi w:val="0"/>
        <w:adjustRightInd w:val="0"/>
        <w:snapToGrid w:val="0"/>
        <w:spacing w:line="360" w:lineRule="auto"/>
        <w:ind w:firstLine="4560" w:firstLineChars="19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pPr>
        <w:pStyle w:val="41"/>
        <w:keepLines w:val="0"/>
        <w:pageBreakBefore w:val="0"/>
        <w:widowControl/>
        <w:kinsoku w:val="0"/>
        <w:wordWrap/>
        <w:overflowPunct/>
        <w:topLinePunct w:val="0"/>
        <w:autoSpaceDE w:val="0"/>
        <w:autoSpaceDN w:val="0"/>
        <w:bidi w:val="0"/>
        <w:adjustRightInd w:val="0"/>
        <w:snapToGrid w:val="0"/>
        <w:spacing w:line="360" w:lineRule="auto"/>
        <w:ind w:firstLine="480"/>
        <w:textAlignment w:val="baseline"/>
        <w:rPr>
          <w:rFonts w:hint="eastAsia" w:ascii="宋体" w:hAnsi="宋体" w:eastAsia="宋体" w:cs="宋体"/>
          <w:sz w:val="24"/>
          <w:szCs w:val="24"/>
          <w:highlight w:val="none"/>
        </w:rPr>
      </w:pPr>
    </w:p>
    <w:p>
      <w:pPr>
        <w:pStyle w:val="41"/>
        <w:keepLines w:val="0"/>
        <w:pageBreakBefore w:val="0"/>
        <w:widowControl/>
        <w:kinsoku w:val="0"/>
        <w:wordWrap/>
        <w:overflowPunct/>
        <w:topLinePunct w:val="0"/>
        <w:autoSpaceDE w:val="0"/>
        <w:autoSpaceDN w:val="0"/>
        <w:bidi w:val="0"/>
        <w:adjustRightInd w:val="0"/>
        <w:snapToGrid w:val="0"/>
        <w:spacing w:line="360" w:lineRule="auto"/>
        <w:ind w:firstLine="480"/>
        <w:textAlignment w:val="baseline"/>
        <w:rPr>
          <w:rFonts w:hint="eastAsia" w:ascii="宋体" w:hAnsi="宋体" w:eastAsia="宋体" w:cs="宋体"/>
          <w:sz w:val="24"/>
          <w:szCs w:val="24"/>
          <w:highlight w:val="none"/>
        </w:rPr>
      </w:pPr>
    </w:p>
    <w:p>
      <w:pPr>
        <w:pStyle w:val="41"/>
        <w:keepLines w:val="0"/>
        <w:pageBreakBefore w:val="0"/>
        <w:widowControl/>
        <w:kinsoku w:val="0"/>
        <w:wordWrap/>
        <w:overflowPunct/>
        <w:topLinePunct w:val="0"/>
        <w:autoSpaceDE w:val="0"/>
        <w:autoSpaceDN w:val="0"/>
        <w:bidi w:val="0"/>
        <w:adjustRightInd w:val="0"/>
        <w:snapToGrid w:val="0"/>
        <w:spacing w:line="360" w:lineRule="auto"/>
        <w:ind w:firstLine="480"/>
        <w:textAlignment w:val="baseline"/>
        <w:rPr>
          <w:rFonts w:hint="eastAsia" w:ascii="宋体" w:hAnsi="宋体" w:eastAsia="宋体" w:cs="宋体"/>
          <w:sz w:val="24"/>
          <w:szCs w:val="24"/>
          <w:highlight w:val="none"/>
        </w:rPr>
      </w:pPr>
    </w:p>
    <w:p>
      <w:pPr>
        <w:pStyle w:val="41"/>
        <w:keepLines w:val="0"/>
        <w:pageBreakBefore w:val="0"/>
        <w:widowControl/>
        <w:kinsoku w:val="0"/>
        <w:wordWrap/>
        <w:overflowPunct/>
        <w:topLinePunct w:val="0"/>
        <w:autoSpaceDE w:val="0"/>
        <w:autoSpaceDN w:val="0"/>
        <w:bidi w:val="0"/>
        <w:adjustRightInd w:val="0"/>
        <w:snapToGrid w:val="0"/>
        <w:spacing w:line="360" w:lineRule="auto"/>
        <w:ind w:left="630" w:hanging="720" w:hangingChars="300"/>
        <w:textAlignment w:val="baseline"/>
        <w:rPr>
          <w:rFonts w:hint="eastAsia" w:ascii="宋体" w:hAnsi="宋体" w:eastAsia="宋体" w:cs="宋体"/>
          <w:spacing w:val="-8"/>
          <w:sz w:val="24"/>
          <w:szCs w:val="24"/>
          <w:highlight w:val="none"/>
        </w:rPr>
      </w:pPr>
      <w:r>
        <w:rPr>
          <w:rFonts w:hint="eastAsia" w:ascii="宋体" w:hAnsi="宋体" w:eastAsia="宋体" w:cs="宋体"/>
          <w:sz w:val="24"/>
          <w:szCs w:val="24"/>
          <w:highlight w:val="none"/>
        </w:rPr>
        <w:t>备注：1.</w:t>
      </w:r>
      <w:r>
        <w:rPr>
          <w:rFonts w:hint="eastAsia" w:ascii="宋体" w:hAnsi="宋体" w:eastAsia="宋体" w:cs="宋体"/>
          <w:spacing w:val="-8"/>
          <w:sz w:val="24"/>
          <w:szCs w:val="24"/>
          <w:highlight w:val="none"/>
        </w:rPr>
        <w:t>中小企业参加政府采购活动，应当按照《政府采购促进中小企业发展管理办法》（财库〔2020〕46号）规定和《中小企业划型标准规定》（工信部联企业〔2011〕300号），如实填写并提交本《中小企业声明函》。</w:t>
      </w:r>
    </w:p>
    <w:p>
      <w:pPr>
        <w:pStyle w:val="41"/>
        <w:keepLines w:val="0"/>
        <w:pageBreakBefore w:val="0"/>
        <w:widowControl/>
        <w:kinsoku w:val="0"/>
        <w:wordWrap/>
        <w:overflowPunct/>
        <w:topLinePunct w:val="0"/>
        <w:autoSpaceDE w:val="0"/>
        <w:autoSpaceDN w:val="0"/>
        <w:bidi w:val="0"/>
        <w:adjustRightInd w:val="0"/>
        <w:snapToGrid w:val="0"/>
        <w:spacing w:line="360" w:lineRule="auto"/>
        <w:ind w:left="615" w:leftChars="293" w:firstLine="22" w:firstLineChars="10"/>
        <w:textAlignment w:val="baseline"/>
        <w:rPr>
          <w:rFonts w:hint="eastAsia" w:ascii="宋体" w:hAnsi="宋体" w:eastAsia="宋体" w:cs="宋体"/>
          <w:sz w:val="24"/>
          <w:szCs w:val="24"/>
          <w:highlight w:val="none"/>
          <w:lang w:eastAsia="zh-CN"/>
        </w:rPr>
      </w:pPr>
      <w:r>
        <w:rPr>
          <w:rFonts w:hint="eastAsia" w:ascii="宋体" w:hAnsi="宋体" w:eastAsia="宋体" w:cs="宋体"/>
          <w:spacing w:val="-8"/>
          <w:sz w:val="24"/>
          <w:szCs w:val="24"/>
          <w:highlight w:val="none"/>
        </w:rPr>
        <w:t>2.从业人员、营业收入、资产总额填报上一年度数据，无上一年度数据的新成立企业可不填报。</w:t>
      </w:r>
    </w:p>
    <w:bookmarkEnd w:id="124"/>
    <w:p>
      <w:pPr>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sz w:val="24"/>
          <w:szCs w:val="24"/>
          <w:highlight w:val="none"/>
        </w:rPr>
      </w:pPr>
      <w:bookmarkStart w:id="125" w:name="_Toc13088"/>
      <w:r>
        <w:rPr>
          <w:rFonts w:hint="eastAsia" w:ascii="宋体" w:hAnsi="宋体" w:eastAsia="宋体" w:cs="宋体"/>
          <w:b/>
          <w:sz w:val="24"/>
          <w:szCs w:val="24"/>
          <w:highlight w:val="none"/>
        </w:rPr>
        <w:br w:type="page"/>
      </w:r>
    </w:p>
    <w:p>
      <w:pPr>
        <w:outlineLvl w:val="9"/>
        <w:rPr>
          <w:rFonts w:hAnsi="宋体" w:cs="宋体"/>
          <w:b/>
          <w:sz w:val="28"/>
          <w:szCs w:val="28"/>
          <w:highlight w:val="none"/>
        </w:rPr>
      </w:pPr>
      <w:r>
        <w:rPr>
          <w:rFonts w:hint="eastAsia" w:hAnsi="宋体" w:cs="宋体"/>
          <w:b/>
          <w:sz w:val="28"/>
          <w:szCs w:val="28"/>
          <w:highlight w:val="none"/>
        </w:rPr>
        <w:t>附件</w:t>
      </w:r>
      <w:bookmarkEnd w:id="125"/>
      <w:r>
        <w:rPr>
          <w:rFonts w:hint="eastAsia" w:hAnsi="宋体" w:cs="宋体"/>
          <w:b/>
          <w:sz w:val="28"/>
          <w:szCs w:val="28"/>
          <w:highlight w:val="none"/>
          <w:lang w:val="en-US" w:eastAsia="zh-CN"/>
        </w:rPr>
        <w:t>8</w:t>
      </w:r>
      <w:r>
        <w:rPr>
          <w:rFonts w:hint="eastAsia" w:hAnsi="宋体" w:cs="宋体"/>
          <w:b/>
          <w:sz w:val="28"/>
          <w:szCs w:val="28"/>
          <w:highlight w:val="none"/>
        </w:rPr>
        <w:t>（如是）：</w:t>
      </w:r>
    </w:p>
    <w:p>
      <w:pPr>
        <w:pStyle w:val="4"/>
        <w:keepNext w:val="0"/>
        <w:keepLines w:val="0"/>
        <w:widowControl w:val="0"/>
        <w:spacing w:beforeLines="50" w:after="0" w:line="360" w:lineRule="auto"/>
        <w:ind w:left="0"/>
        <w:jc w:val="center"/>
        <w:outlineLvl w:val="2"/>
        <w:rPr>
          <w:rFonts w:hint="eastAsia" w:ascii="宋体" w:hAnsi="宋体" w:eastAsia="Arial" w:cs="宋体"/>
          <w:b/>
          <w:bCs/>
          <w:snapToGrid w:val="0"/>
          <w:color w:val="000000"/>
          <w:kern w:val="0"/>
          <w:sz w:val="32"/>
          <w:szCs w:val="32"/>
          <w:highlight w:val="none"/>
          <w:lang w:val="zh-CN" w:eastAsia="zh-CN"/>
        </w:rPr>
      </w:pPr>
      <w:bookmarkStart w:id="126" w:name="OLE_LINK14"/>
      <w:bookmarkStart w:id="127" w:name="_Toc1629"/>
      <w:bookmarkStart w:id="128" w:name="_Toc17495"/>
      <w:bookmarkStart w:id="129" w:name="OLE_LINK13"/>
      <w:r>
        <w:rPr>
          <w:rFonts w:hint="eastAsia" w:ascii="宋体" w:hAnsi="宋体" w:eastAsia="Arial" w:cs="宋体"/>
          <w:b/>
          <w:bCs/>
          <w:snapToGrid w:val="0"/>
          <w:color w:val="000000"/>
          <w:kern w:val="0"/>
          <w:sz w:val="32"/>
          <w:szCs w:val="32"/>
          <w:highlight w:val="none"/>
          <w:lang w:val="zh-CN" w:eastAsia="zh-CN"/>
        </w:rPr>
        <w:t>残疾人福利性单位声明函</w:t>
      </w:r>
      <w:bookmarkEnd w:id="126"/>
      <w:bookmarkEnd w:id="127"/>
      <w:bookmarkEnd w:id="128"/>
      <w:bookmarkEnd w:id="129"/>
    </w:p>
    <w:p>
      <w:pPr>
        <w:spacing w:line="588" w:lineRule="exact"/>
        <w:ind w:firstLine="504" w:firstLineChars="200"/>
        <w:rPr>
          <w:rFonts w:hAnsi="宋体" w:cs="宋体"/>
          <w:spacing w:val="6"/>
          <w:sz w:val="24"/>
          <w:szCs w:val="24"/>
          <w:highlight w:val="none"/>
        </w:rPr>
      </w:pPr>
      <w:r>
        <w:rPr>
          <w:rFonts w:hint="eastAsia" w:hAnsi="宋体" w:cs="宋体"/>
          <w:spacing w:val="6"/>
          <w:sz w:val="24"/>
          <w:szCs w:val="24"/>
          <w:highlight w:val="none"/>
        </w:rPr>
        <w:t>本单位郑重声明，根据《财政部 民政部 中国残疾人联合会关于促进残疾人就业政府采购政策的通知》（财库</w:t>
      </w:r>
      <w:r>
        <w:rPr>
          <w:rFonts w:hint="eastAsia" w:hAnsi="宋体" w:cs="宋体"/>
          <w:sz w:val="24"/>
          <w:szCs w:val="24"/>
          <w:highlight w:val="none"/>
        </w:rPr>
        <w:t>〔2017〕141</w:t>
      </w:r>
      <w:r>
        <w:rPr>
          <w:rFonts w:hint="eastAsia" w:hAnsi="宋体" w:cs="宋体"/>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Ansi="宋体" w:cs="宋体"/>
          <w:spacing w:val="6"/>
          <w:sz w:val="24"/>
          <w:szCs w:val="24"/>
          <w:highlight w:val="none"/>
        </w:rPr>
      </w:pPr>
      <w:r>
        <w:rPr>
          <w:rFonts w:hint="eastAsia" w:hAnsi="宋体" w:cs="宋体"/>
          <w:spacing w:val="6"/>
          <w:sz w:val="24"/>
          <w:szCs w:val="24"/>
          <w:highlight w:val="none"/>
        </w:rPr>
        <w:t>本单位对上述声明的真实性负责。如有虚假，将依法承担相应责任。</w:t>
      </w:r>
    </w:p>
    <w:p>
      <w:pPr>
        <w:spacing w:line="588" w:lineRule="exact"/>
        <w:ind w:firstLine="504" w:firstLineChars="200"/>
        <w:rPr>
          <w:rFonts w:hAnsi="宋体" w:cs="宋体"/>
          <w:spacing w:val="6"/>
          <w:sz w:val="24"/>
          <w:szCs w:val="24"/>
          <w:highlight w:val="none"/>
        </w:rPr>
      </w:pPr>
    </w:p>
    <w:p>
      <w:pPr>
        <w:spacing w:line="588" w:lineRule="exact"/>
        <w:ind w:firstLine="504" w:firstLineChars="200"/>
        <w:rPr>
          <w:rFonts w:hAnsi="宋体" w:cs="宋体"/>
          <w:spacing w:val="6"/>
          <w:sz w:val="24"/>
          <w:szCs w:val="24"/>
          <w:highlight w:val="none"/>
        </w:rPr>
      </w:pPr>
    </w:p>
    <w:p>
      <w:pPr>
        <w:spacing w:line="588" w:lineRule="exact"/>
        <w:ind w:firstLine="504" w:firstLineChars="200"/>
        <w:rPr>
          <w:rFonts w:hAnsi="宋体" w:cs="宋体"/>
          <w:spacing w:val="6"/>
          <w:sz w:val="24"/>
          <w:szCs w:val="24"/>
          <w:highlight w:val="none"/>
        </w:rPr>
      </w:pPr>
    </w:p>
    <w:p>
      <w:pPr>
        <w:spacing w:line="588" w:lineRule="exact"/>
        <w:ind w:firstLine="504" w:firstLineChars="200"/>
        <w:rPr>
          <w:rFonts w:hAnsi="宋体" w:cs="宋体"/>
          <w:spacing w:val="6"/>
          <w:sz w:val="24"/>
          <w:szCs w:val="24"/>
          <w:highlight w:val="none"/>
        </w:rPr>
      </w:pPr>
    </w:p>
    <w:p>
      <w:pPr>
        <w:tabs>
          <w:tab w:val="left" w:pos="4860"/>
        </w:tabs>
        <w:spacing w:line="720" w:lineRule="auto"/>
        <w:ind w:right="1560" w:firstLine="504" w:firstLineChars="200"/>
        <w:jc w:val="center"/>
        <w:rPr>
          <w:rFonts w:hAnsi="宋体" w:cs="宋体"/>
          <w:spacing w:val="6"/>
          <w:sz w:val="24"/>
          <w:szCs w:val="24"/>
          <w:highlight w:val="none"/>
        </w:rPr>
      </w:pPr>
      <w:r>
        <w:rPr>
          <w:rFonts w:hint="eastAsia" w:hAnsi="宋体" w:cs="宋体"/>
          <w:spacing w:val="6"/>
          <w:sz w:val="24"/>
          <w:szCs w:val="24"/>
          <w:highlight w:val="none"/>
        </w:rPr>
        <w:t xml:space="preserve">               </w:t>
      </w:r>
      <w:r>
        <w:rPr>
          <w:rFonts w:hint="eastAsia" w:hAnsi="宋体" w:eastAsia="宋体" w:cs="宋体"/>
          <w:spacing w:val="6"/>
          <w:sz w:val="24"/>
          <w:szCs w:val="24"/>
          <w:highlight w:val="none"/>
          <w:lang w:val="en-US" w:eastAsia="zh-CN"/>
        </w:rPr>
        <w:t xml:space="preserve">                </w:t>
      </w:r>
      <w:r>
        <w:rPr>
          <w:rFonts w:hint="eastAsia" w:hAnsi="宋体" w:cs="宋体"/>
          <w:spacing w:val="6"/>
          <w:sz w:val="24"/>
          <w:szCs w:val="24"/>
          <w:highlight w:val="none"/>
        </w:rPr>
        <w:t>单位名称：</w:t>
      </w:r>
      <w:r>
        <w:rPr>
          <w:rFonts w:hint="eastAsia" w:hAnsi="宋体" w:cs="宋体"/>
          <w:spacing w:val="6"/>
          <w:sz w:val="24"/>
          <w:szCs w:val="24"/>
          <w:highlight w:val="none"/>
          <w:u w:val="single"/>
        </w:rPr>
        <w:t xml:space="preserve">                 </w:t>
      </w:r>
      <w:r>
        <w:rPr>
          <w:rFonts w:hint="eastAsia" w:hAnsi="宋体" w:cs="宋体"/>
          <w:spacing w:val="6"/>
          <w:sz w:val="24"/>
          <w:szCs w:val="24"/>
          <w:highlight w:val="none"/>
        </w:rPr>
        <w:t>（盖章）</w:t>
      </w:r>
    </w:p>
    <w:p>
      <w:pPr>
        <w:adjustRightInd w:val="0"/>
        <w:snapToGrid w:val="0"/>
        <w:spacing w:line="720" w:lineRule="auto"/>
        <w:ind w:firstLine="3360" w:firstLineChars="1400"/>
        <w:rPr>
          <w:rFonts w:hAnsi="宋体" w:cs="宋体"/>
          <w:sz w:val="24"/>
          <w:szCs w:val="24"/>
          <w:highlight w:val="none"/>
        </w:rPr>
      </w:pPr>
      <w:r>
        <w:rPr>
          <w:rFonts w:hint="eastAsia" w:hAnsi="宋体" w:cs="宋体"/>
          <w:sz w:val="24"/>
          <w:szCs w:val="24"/>
          <w:highlight w:val="none"/>
        </w:rPr>
        <w:t>日     期：</w:t>
      </w:r>
      <w:r>
        <w:rPr>
          <w:rFonts w:hint="eastAsia" w:hAnsi="宋体" w:cs="宋体"/>
          <w:sz w:val="24"/>
          <w:szCs w:val="24"/>
          <w:highlight w:val="none"/>
          <w:u w:val="single"/>
        </w:rPr>
        <w:t xml:space="preserve">         </w:t>
      </w:r>
      <w:r>
        <w:rPr>
          <w:rFonts w:hint="eastAsia" w:hAnsi="宋体" w:cs="宋体"/>
          <w:sz w:val="24"/>
          <w:szCs w:val="24"/>
          <w:highlight w:val="none"/>
        </w:rPr>
        <w:t>年</w:t>
      </w:r>
      <w:r>
        <w:rPr>
          <w:rFonts w:hint="eastAsia" w:hAnsi="宋体" w:cs="宋体"/>
          <w:sz w:val="24"/>
          <w:szCs w:val="24"/>
          <w:highlight w:val="none"/>
          <w:u w:val="single"/>
        </w:rPr>
        <w:t xml:space="preserve">       </w:t>
      </w:r>
      <w:r>
        <w:rPr>
          <w:rFonts w:hint="eastAsia" w:hAnsi="宋体" w:cs="宋体"/>
          <w:sz w:val="24"/>
          <w:szCs w:val="24"/>
          <w:highlight w:val="none"/>
        </w:rPr>
        <w:t>月</w:t>
      </w:r>
      <w:r>
        <w:rPr>
          <w:rFonts w:hint="eastAsia" w:hAnsi="宋体" w:cs="宋体"/>
          <w:sz w:val="24"/>
          <w:szCs w:val="24"/>
          <w:highlight w:val="none"/>
          <w:u w:val="single"/>
        </w:rPr>
        <w:t xml:space="preserve">      </w:t>
      </w:r>
      <w:r>
        <w:rPr>
          <w:rFonts w:hint="eastAsia" w:hAnsi="宋体" w:cs="宋体"/>
          <w:sz w:val="24"/>
          <w:szCs w:val="24"/>
          <w:highlight w:val="none"/>
        </w:rPr>
        <w:t>日</w:t>
      </w:r>
    </w:p>
    <w:p>
      <w:pPr>
        <w:tabs>
          <w:tab w:val="left" w:pos="1620"/>
          <w:tab w:val="left" w:pos="1800"/>
        </w:tabs>
        <w:spacing w:line="440" w:lineRule="exact"/>
        <w:ind w:right="540" w:rightChars="257"/>
        <w:rPr>
          <w:rFonts w:hAnsi="宋体" w:cs="宋体"/>
          <w:sz w:val="24"/>
          <w:szCs w:val="24"/>
          <w:highlight w:val="none"/>
        </w:rPr>
      </w:pPr>
    </w:p>
    <w:p>
      <w:pPr>
        <w:tabs>
          <w:tab w:val="left" w:pos="1620"/>
          <w:tab w:val="left" w:pos="1800"/>
        </w:tabs>
        <w:spacing w:line="440" w:lineRule="exact"/>
        <w:ind w:right="540" w:rightChars="257"/>
        <w:rPr>
          <w:rFonts w:hAnsi="宋体" w:cs="宋体"/>
          <w:sz w:val="24"/>
          <w:szCs w:val="24"/>
          <w:highlight w:val="none"/>
        </w:rPr>
      </w:pPr>
    </w:p>
    <w:p>
      <w:pPr>
        <w:pStyle w:val="10"/>
        <w:rPr>
          <w:rFonts w:ascii="宋体" w:hAnsi="宋体" w:cs="宋体"/>
          <w:sz w:val="24"/>
          <w:szCs w:val="24"/>
          <w:highlight w:val="none"/>
        </w:rPr>
      </w:pPr>
    </w:p>
    <w:p>
      <w:pPr>
        <w:spacing w:line="360" w:lineRule="auto"/>
        <w:ind w:firstLine="480" w:firstLineChars="200"/>
        <w:rPr>
          <w:rFonts w:hAnsi="宋体" w:cs="宋体"/>
          <w:sz w:val="24"/>
          <w:szCs w:val="24"/>
          <w:highlight w:val="none"/>
        </w:rPr>
      </w:pPr>
      <w:r>
        <w:rPr>
          <w:rFonts w:hint="eastAsia" w:hAnsi="宋体" w:cs="宋体"/>
          <w:sz w:val="24"/>
          <w:szCs w:val="24"/>
          <w:highlight w:val="none"/>
        </w:rPr>
        <w:t>备注：符合条件的残疾人福利性单位在参加政府采购活动时，应当提供《残疾人福利性单位声明函》，并对声明的真实性负责；非残疾人福利性单位无需</w:t>
      </w:r>
      <w:r>
        <w:rPr>
          <w:rFonts w:hint="eastAsia" w:hAnsi="宋体" w:eastAsia="宋体" w:cs="宋体"/>
          <w:sz w:val="24"/>
          <w:szCs w:val="24"/>
          <w:highlight w:val="none"/>
          <w:lang w:val="en-US" w:eastAsia="zh-CN"/>
        </w:rPr>
        <w:t>填写保留格式</w:t>
      </w:r>
      <w:r>
        <w:rPr>
          <w:rFonts w:hint="eastAsia" w:hAnsi="宋体" w:cs="宋体"/>
          <w:sz w:val="24"/>
          <w:szCs w:val="24"/>
          <w:highlight w:val="none"/>
        </w:rPr>
        <w:t>。</w:t>
      </w:r>
    </w:p>
    <w:p>
      <w:pPr>
        <w:rPr>
          <w:highlight w:val="none"/>
        </w:rPr>
      </w:pPr>
    </w:p>
    <w:p>
      <w:pPr>
        <w:pStyle w:val="10"/>
        <w:rPr>
          <w:rFonts w:ascii="宋体" w:hAnsi="宋体" w:cs="宋体"/>
          <w:highlight w:val="none"/>
        </w:rPr>
      </w:pPr>
    </w:p>
    <w:p>
      <w:pPr>
        <w:pStyle w:val="10"/>
        <w:rPr>
          <w:rFonts w:ascii="宋体" w:hAnsi="宋体" w:cs="宋体"/>
          <w:highlight w:val="none"/>
        </w:rPr>
      </w:pPr>
    </w:p>
    <w:p>
      <w:pPr>
        <w:pStyle w:val="10"/>
        <w:rPr>
          <w:rFonts w:ascii="宋体" w:hAnsi="宋体" w:cs="宋体"/>
          <w:highlight w:val="none"/>
        </w:rPr>
      </w:pPr>
    </w:p>
    <w:p>
      <w:pPr>
        <w:pStyle w:val="10"/>
        <w:rPr>
          <w:rFonts w:ascii="宋体" w:hAnsi="宋体" w:cs="宋体"/>
          <w:highlight w:val="none"/>
        </w:rPr>
      </w:pPr>
    </w:p>
    <w:p>
      <w:pPr>
        <w:rPr>
          <w:rFonts w:hint="eastAsia" w:ascii="宋体" w:hAnsi="宋体" w:cs="宋体"/>
          <w:b/>
          <w:bCs/>
          <w:spacing w:val="6"/>
          <w:kern w:val="0"/>
          <w:sz w:val="30"/>
          <w:szCs w:val="30"/>
          <w:highlight w:val="none"/>
        </w:rPr>
      </w:pPr>
      <w:bookmarkStart w:id="130" w:name="_Toc2237"/>
      <w:r>
        <w:rPr>
          <w:rFonts w:hint="eastAsia" w:ascii="宋体" w:hAnsi="宋体" w:cs="宋体"/>
          <w:b/>
          <w:bCs/>
          <w:spacing w:val="6"/>
          <w:kern w:val="0"/>
          <w:sz w:val="30"/>
          <w:szCs w:val="30"/>
          <w:highlight w:val="none"/>
        </w:rPr>
        <w:br w:type="page"/>
      </w:r>
    </w:p>
    <w:p>
      <w:pPr>
        <w:pStyle w:val="10"/>
        <w:outlineLvl w:val="9"/>
        <w:rPr>
          <w:rFonts w:ascii="宋体" w:hAnsi="宋体" w:cs="宋体"/>
          <w:b/>
          <w:bCs/>
          <w:spacing w:val="6"/>
          <w:sz w:val="30"/>
          <w:szCs w:val="30"/>
          <w:highlight w:val="none"/>
        </w:rPr>
      </w:pPr>
      <w:r>
        <w:rPr>
          <w:rFonts w:hint="eastAsia" w:ascii="宋体" w:hAnsi="宋体" w:cs="宋体"/>
          <w:b/>
          <w:bCs/>
          <w:spacing w:val="6"/>
          <w:kern w:val="0"/>
          <w:sz w:val="30"/>
          <w:szCs w:val="30"/>
          <w:highlight w:val="none"/>
        </w:rPr>
        <w:t>附件</w:t>
      </w:r>
      <w:bookmarkEnd w:id="130"/>
      <w:r>
        <w:rPr>
          <w:rFonts w:hint="eastAsia" w:ascii="宋体" w:hAnsi="宋体" w:cs="宋体"/>
          <w:b/>
          <w:bCs/>
          <w:spacing w:val="6"/>
          <w:kern w:val="0"/>
          <w:sz w:val="30"/>
          <w:szCs w:val="30"/>
          <w:highlight w:val="none"/>
          <w:lang w:val="en-US" w:eastAsia="zh-CN"/>
        </w:rPr>
        <w:t>9</w:t>
      </w:r>
      <w:r>
        <w:rPr>
          <w:rFonts w:hint="eastAsia" w:hAnsi="宋体" w:cs="仿宋"/>
          <w:b/>
          <w:bCs/>
          <w:spacing w:val="6"/>
          <w:sz w:val="28"/>
          <w:szCs w:val="28"/>
          <w:highlight w:val="none"/>
        </w:rPr>
        <w:t>（如是）：</w:t>
      </w:r>
    </w:p>
    <w:p>
      <w:pPr>
        <w:pStyle w:val="4"/>
        <w:keepNext w:val="0"/>
        <w:keepLines w:val="0"/>
        <w:widowControl w:val="0"/>
        <w:spacing w:beforeLines="50" w:after="0" w:line="360" w:lineRule="auto"/>
        <w:ind w:left="0"/>
        <w:jc w:val="center"/>
        <w:outlineLvl w:val="2"/>
        <w:rPr>
          <w:rFonts w:hint="eastAsia" w:ascii="宋体" w:hAnsi="宋体" w:eastAsia="Arial" w:cs="宋体"/>
          <w:b/>
          <w:bCs/>
          <w:snapToGrid w:val="0"/>
          <w:color w:val="000000"/>
          <w:kern w:val="0"/>
          <w:sz w:val="32"/>
          <w:szCs w:val="32"/>
          <w:highlight w:val="none"/>
          <w:lang w:val="zh-CN" w:eastAsia="zh-CN"/>
        </w:rPr>
      </w:pPr>
      <w:bookmarkStart w:id="131" w:name="_Toc32281"/>
      <w:bookmarkStart w:id="132" w:name="_Toc18765"/>
      <w:r>
        <w:rPr>
          <w:rFonts w:hint="eastAsia" w:ascii="宋体" w:hAnsi="宋体" w:eastAsia="Arial" w:cs="宋体"/>
          <w:b/>
          <w:bCs/>
          <w:snapToGrid w:val="0"/>
          <w:color w:val="000000"/>
          <w:kern w:val="0"/>
          <w:sz w:val="32"/>
          <w:szCs w:val="32"/>
          <w:highlight w:val="none"/>
          <w:lang w:val="zh-CN" w:eastAsia="zh-CN"/>
        </w:rPr>
        <w:t>监狱企业证明文件</w:t>
      </w:r>
      <w:bookmarkEnd w:id="131"/>
      <w:bookmarkEnd w:id="132"/>
    </w:p>
    <w:p>
      <w:pPr>
        <w:rPr>
          <w:highlight w:val="none"/>
        </w:rPr>
      </w:pPr>
    </w:p>
    <w:p>
      <w:pPr>
        <w:spacing w:line="500" w:lineRule="exact"/>
        <w:ind w:firstLine="420" w:firstLineChars="200"/>
        <w:jc w:val="left"/>
        <w:rPr>
          <w:rFonts w:hAnsi="宋体" w:cs="宋体"/>
          <w:highlight w:val="none"/>
        </w:rPr>
      </w:pPr>
      <w:r>
        <w:rPr>
          <w:rFonts w:hint="eastAsia" w:hAnsi="宋体" w:cs="宋体"/>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20" w:firstLineChars="200"/>
        <w:rPr>
          <w:rFonts w:hint="eastAsia" w:hAnsi="宋体" w:cs="宋体"/>
          <w:szCs w:val="24"/>
          <w:highlight w:val="none"/>
        </w:rPr>
      </w:pPr>
    </w:p>
    <w:p>
      <w:pPr>
        <w:spacing w:line="360" w:lineRule="auto"/>
        <w:ind w:firstLine="420" w:firstLineChars="200"/>
        <w:rPr>
          <w:rFonts w:hint="eastAsia" w:hAnsi="宋体" w:cs="宋体"/>
          <w:szCs w:val="24"/>
          <w:highlight w:val="none"/>
        </w:rPr>
      </w:pPr>
      <w:r>
        <w:rPr>
          <w:rFonts w:hint="eastAsia" w:hAnsi="宋体" w:cs="宋体"/>
          <w:szCs w:val="24"/>
          <w:highlight w:val="none"/>
        </w:rPr>
        <w:t>监狱企业参加政府采购活动时，应当提供由省级以上监狱管理局、戒毒管理局（含新疆生产建设兵团）出具的属于监狱企业的证明文件，非监狱企业无需</w:t>
      </w:r>
      <w:r>
        <w:rPr>
          <w:rFonts w:hint="eastAsia" w:hAnsi="宋体" w:cs="宋体"/>
          <w:szCs w:val="24"/>
          <w:highlight w:val="none"/>
          <w:lang w:val="en-US" w:eastAsia="zh-CN"/>
        </w:rPr>
        <w:t>填写保留格式</w:t>
      </w:r>
      <w:r>
        <w:rPr>
          <w:rFonts w:hint="eastAsia" w:hAnsi="宋体" w:cs="宋体"/>
          <w:szCs w:val="24"/>
          <w:highlight w:val="none"/>
        </w:rPr>
        <w:t>。</w:t>
      </w:r>
    </w:p>
    <w:p>
      <w:pPr>
        <w:tabs>
          <w:tab w:val="left" w:pos="4860"/>
        </w:tabs>
        <w:spacing w:line="720" w:lineRule="auto"/>
        <w:ind w:right="1560" w:firstLine="444" w:firstLineChars="200"/>
        <w:jc w:val="center"/>
        <w:rPr>
          <w:rFonts w:hint="eastAsia" w:hAnsi="宋体" w:eastAsia="宋体" w:cs="宋体"/>
          <w:spacing w:val="6"/>
          <w:szCs w:val="24"/>
          <w:highlight w:val="none"/>
          <w:lang w:val="en-US" w:eastAsia="zh-CN"/>
        </w:rPr>
      </w:pPr>
      <w:r>
        <w:rPr>
          <w:rFonts w:hint="eastAsia" w:hAnsi="宋体" w:cs="宋体"/>
          <w:spacing w:val="6"/>
          <w:szCs w:val="24"/>
          <w:highlight w:val="none"/>
        </w:rPr>
        <w:t xml:space="preserve">   </w:t>
      </w:r>
      <w:r>
        <w:rPr>
          <w:rFonts w:hint="eastAsia" w:hAnsi="宋体" w:eastAsia="宋体" w:cs="宋体"/>
          <w:spacing w:val="6"/>
          <w:szCs w:val="24"/>
          <w:highlight w:val="none"/>
          <w:lang w:val="en-US" w:eastAsia="zh-CN"/>
        </w:rPr>
        <w:t xml:space="preserve">             </w:t>
      </w:r>
    </w:p>
    <w:p>
      <w:pPr>
        <w:tabs>
          <w:tab w:val="left" w:pos="4860"/>
        </w:tabs>
        <w:spacing w:line="720" w:lineRule="auto"/>
        <w:ind w:right="1560" w:firstLine="444" w:firstLineChars="200"/>
        <w:jc w:val="center"/>
        <w:rPr>
          <w:rFonts w:hint="eastAsia" w:hAnsi="宋体" w:eastAsia="宋体" w:cs="宋体"/>
          <w:spacing w:val="6"/>
          <w:szCs w:val="24"/>
          <w:highlight w:val="none"/>
          <w:lang w:val="en-US" w:eastAsia="zh-CN"/>
        </w:rPr>
      </w:pPr>
    </w:p>
    <w:p>
      <w:pPr>
        <w:tabs>
          <w:tab w:val="left" w:pos="4860"/>
        </w:tabs>
        <w:spacing w:line="720" w:lineRule="auto"/>
        <w:ind w:right="1560" w:firstLine="444" w:firstLineChars="200"/>
        <w:jc w:val="center"/>
        <w:rPr>
          <w:rFonts w:hint="eastAsia" w:hAnsi="宋体" w:eastAsia="宋体" w:cs="宋体"/>
          <w:spacing w:val="6"/>
          <w:szCs w:val="24"/>
          <w:highlight w:val="none"/>
          <w:lang w:val="en-US" w:eastAsia="zh-CN"/>
        </w:rPr>
      </w:pPr>
    </w:p>
    <w:p>
      <w:pPr>
        <w:tabs>
          <w:tab w:val="left" w:pos="4860"/>
        </w:tabs>
        <w:spacing w:line="720" w:lineRule="auto"/>
        <w:ind w:right="1560" w:firstLine="444" w:firstLineChars="200"/>
        <w:jc w:val="center"/>
        <w:rPr>
          <w:rFonts w:hAnsi="宋体" w:cs="宋体"/>
          <w:spacing w:val="6"/>
          <w:szCs w:val="24"/>
          <w:highlight w:val="none"/>
        </w:rPr>
      </w:pPr>
      <w:r>
        <w:rPr>
          <w:rFonts w:hint="eastAsia" w:hAnsi="宋体" w:eastAsia="宋体" w:cs="宋体"/>
          <w:spacing w:val="6"/>
          <w:szCs w:val="24"/>
          <w:highlight w:val="none"/>
          <w:lang w:val="en-US" w:eastAsia="zh-CN"/>
        </w:rPr>
        <w:t xml:space="preserve">                                    </w:t>
      </w:r>
      <w:r>
        <w:rPr>
          <w:rFonts w:hint="eastAsia" w:hAnsi="宋体" w:cs="宋体"/>
          <w:spacing w:val="6"/>
          <w:szCs w:val="24"/>
          <w:highlight w:val="none"/>
        </w:rPr>
        <w:t>单位名称：</w:t>
      </w:r>
      <w:r>
        <w:rPr>
          <w:rFonts w:hint="eastAsia" w:hAnsi="宋体" w:cs="宋体"/>
          <w:spacing w:val="6"/>
          <w:szCs w:val="24"/>
          <w:highlight w:val="none"/>
          <w:u w:val="single"/>
        </w:rPr>
        <w:t xml:space="preserve">               </w:t>
      </w:r>
      <w:r>
        <w:rPr>
          <w:rFonts w:hint="eastAsia" w:hAnsi="宋体" w:eastAsia="宋体" w:cs="宋体"/>
          <w:spacing w:val="6"/>
          <w:szCs w:val="24"/>
          <w:highlight w:val="none"/>
          <w:u w:val="single"/>
          <w:lang w:val="en-US" w:eastAsia="zh-CN"/>
        </w:rPr>
        <w:t xml:space="preserve">                    </w:t>
      </w:r>
      <w:r>
        <w:rPr>
          <w:rFonts w:hint="eastAsia" w:hAnsi="宋体" w:cs="宋体"/>
          <w:spacing w:val="6"/>
          <w:szCs w:val="24"/>
          <w:highlight w:val="none"/>
          <w:u w:val="single"/>
        </w:rPr>
        <w:t xml:space="preserve">  </w:t>
      </w:r>
      <w:r>
        <w:rPr>
          <w:rFonts w:hint="eastAsia" w:hAnsi="宋体" w:cs="宋体"/>
          <w:spacing w:val="6"/>
          <w:szCs w:val="24"/>
          <w:highlight w:val="none"/>
        </w:rPr>
        <w:t>（盖</w:t>
      </w:r>
      <w:r>
        <w:rPr>
          <w:rFonts w:hint="eastAsia" w:hAnsi="宋体" w:eastAsia="宋体" w:cs="宋体"/>
          <w:spacing w:val="6"/>
          <w:szCs w:val="24"/>
          <w:highlight w:val="none"/>
          <w:lang w:val="en-US" w:eastAsia="zh-CN"/>
        </w:rPr>
        <w:t>章</w:t>
      </w:r>
      <w:r>
        <w:rPr>
          <w:rFonts w:hint="eastAsia" w:hAnsi="宋体" w:cs="宋体"/>
          <w:spacing w:val="6"/>
          <w:szCs w:val="24"/>
          <w:highlight w:val="none"/>
        </w:rPr>
        <w:t>）</w:t>
      </w:r>
    </w:p>
    <w:p>
      <w:pPr>
        <w:adjustRightInd w:val="0"/>
        <w:snapToGrid w:val="0"/>
        <w:spacing w:line="720" w:lineRule="auto"/>
        <w:ind w:firstLine="3150" w:firstLineChars="1500"/>
        <w:rPr>
          <w:rFonts w:hint="eastAsia" w:hAnsi="宋体" w:cs="宋体"/>
          <w:highlight w:val="none"/>
        </w:rPr>
      </w:pPr>
      <w:r>
        <w:rPr>
          <w:rFonts w:hint="eastAsia" w:hAnsi="宋体" w:cs="宋体"/>
          <w:highlight w:val="none"/>
        </w:rPr>
        <w:t>日     期：</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pPr>
        <w:pStyle w:val="10"/>
        <w:rPr>
          <w:rFonts w:hint="eastAsia"/>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spacing w:line="480" w:lineRule="auto"/>
        <w:jc w:val="center"/>
        <w:outlineLvl w:val="0"/>
        <w:rPr>
          <w:rFonts w:hint="eastAsia" w:ascii="宋体" w:hAnsi="宋体" w:eastAsia="宋体" w:cs="宋体"/>
          <w:b/>
          <w:sz w:val="24"/>
          <w:highlight w:val="none"/>
        </w:rPr>
      </w:pPr>
      <w:bookmarkStart w:id="133" w:name="_Toc12697"/>
      <w:bookmarkStart w:id="134" w:name="_Toc6774"/>
      <w:r>
        <w:rPr>
          <w:rFonts w:hint="eastAsia" w:ascii="宋体" w:hAnsi="宋体" w:eastAsia="宋体" w:cs="宋体"/>
          <w:b/>
          <w:sz w:val="32"/>
          <w:szCs w:val="32"/>
          <w:highlight w:val="none"/>
          <w:lang w:val="en-US" w:eastAsia="zh-CN"/>
        </w:rPr>
        <w:t>四、投标人</w:t>
      </w:r>
      <w:r>
        <w:rPr>
          <w:rFonts w:hint="eastAsia" w:ascii="宋体" w:hAnsi="宋体" w:eastAsia="宋体" w:cs="宋体"/>
          <w:b/>
          <w:sz w:val="32"/>
          <w:szCs w:val="32"/>
          <w:highlight w:val="none"/>
        </w:rPr>
        <w:t>基本情况表</w:t>
      </w:r>
      <w:bookmarkEnd w:id="133"/>
      <w:bookmarkEnd w:id="134"/>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4"/>
        <w:gridCol w:w="4260"/>
        <w:gridCol w:w="34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2" w:hRule="atLeast"/>
          <w:jc w:val="center"/>
        </w:trPr>
        <w:tc>
          <w:tcPr>
            <w:tcW w:w="964"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673" w:type="dxa"/>
            <w:gridSpan w:val="2"/>
            <w:noWrap w:val="0"/>
            <w:vAlign w:val="center"/>
          </w:tcPr>
          <w:p>
            <w:pPr>
              <w:ind w:firstLine="100"/>
              <w:rPr>
                <w:rFonts w:hint="eastAsia" w:ascii="宋体" w:hAnsi="宋体" w:eastAsia="宋体" w:cs="宋体"/>
                <w:sz w:val="24"/>
                <w:szCs w:val="24"/>
                <w:highlight w:val="none"/>
              </w:rPr>
            </w:pPr>
            <w:r>
              <w:rPr>
                <w:rFonts w:hint="eastAsia" w:ascii="宋体" w:hAnsi="宋体" w:eastAsia="宋体" w:cs="宋体"/>
                <w:sz w:val="24"/>
                <w:szCs w:val="24"/>
                <w:highlight w:val="none"/>
              </w:rPr>
              <w:t>企业名称：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964"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673" w:type="dxa"/>
            <w:gridSpan w:val="2"/>
            <w:noWrap w:val="0"/>
            <w:vAlign w:val="center"/>
          </w:tcPr>
          <w:p>
            <w:pPr>
              <w:ind w:firstLine="100"/>
              <w:rPr>
                <w:rFonts w:hint="eastAsia" w:ascii="宋体" w:hAnsi="宋体" w:eastAsia="宋体" w:cs="宋体"/>
                <w:sz w:val="24"/>
                <w:szCs w:val="24"/>
                <w:highlight w:val="none"/>
              </w:rPr>
            </w:pPr>
            <w:r>
              <w:rPr>
                <w:rFonts w:hint="eastAsia" w:ascii="宋体" w:hAnsi="宋体" w:eastAsia="宋体" w:cs="宋体"/>
                <w:sz w:val="24"/>
                <w:szCs w:val="24"/>
                <w:highlight w:val="none"/>
              </w:rPr>
              <w:t>经营地址：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964"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4260" w:type="dxa"/>
            <w:noWrap w:val="0"/>
            <w:vAlign w:val="center"/>
          </w:tcPr>
          <w:p>
            <w:pPr>
              <w:ind w:firstLine="100"/>
              <w:rPr>
                <w:rFonts w:hint="eastAsia" w:ascii="宋体" w:hAnsi="宋体" w:eastAsia="宋体" w:cs="宋体"/>
                <w:sz w:val="24"/>
                <w:szCs w:val="24"/>
                <w:highlight w:val="none"/>
              </w:rPr>
            </w:pPr>
            <w:r>
              <w:rPr>
                <w:rFonts w:hint="eastAsia" w:ascii="宋体" w:hAnsi="宋体" w:eastAsia="宋体" w:cs="宋体"/>
                <w:sz w:val="24"/>
                <w:szCs w:val="24"/>
                <w:highlight w:val="none"/>
              </w:rPr>
              <w:t>法人代表：</w:t>
            </w:r>
          </w:p>
        </w:tc>
        <w:tc>
          <w:tcPr>
            <w:tcW w:w="3413" w:type="dxa"/>
            <w:noWrap w:val="0"/>
            <w:vAlign w:val="center"/>
          </w:tcPr>
          <w:p>
            <w:pPr>
              <w:ind w:firstLine="100"/>
              <w:rPr>
                <w:rFonts w:hint="eastAsia" w:ascii="宋体" w:hAnsi="宋体" w:eastAsia="宋体" w:cs="宋体"/>
                <w:sz w:val="24"/>
                <w:szCs w:val="24"/>
                <w:highlight w:val="none"/>
              </w:rPr>
            </w:pPr>
            <w:r>
              <w:rPr>
                <w:rFonts w:hint="eastAsia" w:ascii="宋体" w:hAnsi="宋体" w:eastAsia="宋体" w:cs="宋体"/>
                <w:sz w:val="24"/>
                <w:szCs w:val="24"/>
                <w:highlight w:val="none"/>
              </w:rPr>
              <w:t>企业性质：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3" w:hRule="atLeast"/>
          <w:jc w:val="center"/>
        </w:trPr>
        <w:tc>
          <w:tcPr>
            <w:tcW w:w="964"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4260" w:type="dxa"/>
            <w:noWrap w:val="0"/>
            <w:vAlign w:val="center"/>
          </w:tcPr>
          <w:p>
            <w:pPr>
              <w:ind w:firstLine="100"/>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3413" w:type="dxa"/>
            <w:noWrap w:val="0"/>
            <w:vAlign w:val="center"/>
          </w:tcPr>
          <w:p>
            <w:pPr>
              <w:ind w:firstLine="100"/>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7" w:hRule="atLeast"/>
          <w:jc w:val="center"/>
        </w:trPr>
        <w:tc>
          <w:tcPr>
            <w:tcW w:w="964"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4260" w:type="dxa"/>
            <w:noWrap w:val="0"/>
            <w:vAlign w:val="center"/>
          </w:tcPr>
          <w:p>
            <w:pPr>
              <w:ind w:firstLine="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注册地：       </w:t>
            </w:r>
          </w:p>
        </w:tc>
        <w:tc>
          <w:tcPr>
            <w:tcW w:w="3413" w:type="dxa"/>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注册年份：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4" w:hRule="atLeast"/>
          <w:jc w:val="center"/>
        </w:trPr>
        <w:tc>
          <w:tcPr>
            <w:tcW w:w="964"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7673" w:type="dxa"/>
            <w:gridSpan w:val="2"/>
            <w:noWrap w:val="0"/>
            <w:vAlign w:val="center"/>
          </w:tcPr>
          <w:p>
            <w:pPr>
              <w:ind w:firstLine="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公司资质等级证书号：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9" w:hRule="atLeast"/>
          <w:jc w:val="center"/>
        </w:trPr>
        <w:tc>
          <w:tcPr>
            <w:tcW w:w="964"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7673" w:type="dxa"/>
            <w:gridSpan w:val="2"/>
            <w:noWrap w:val="0"/>
            <w:vAlign w:val="center"/>
          </w:tcPr>
          <w:p>
            <w:pPr>
              <w:ind w:left="72" w:firstLine="28"/>
              <w:rPr>
                <w:rFonts w:hint="eastAsia" w:ascii="宋体" w:hAnsi="宋体" w:eastAsia="宋体" w:cs="宋体"/>
                <w:sz w:val="24"/>
                <w:szCs w:val="24"/>
                <w:highlight w:val="none"/>
              </w:rPr>
            </w:pPr>
            <w:r>
              <w:rPr>
                <w:rFonts w:hint="eastAsia" w:ascii="宋体" w:hAnsi="宋体" w:eastAsia="宋体" w:cs="宋体"/>
                <w:sz w:val="24"/>
                <w:szCs w:val="24"/>
                <w:highlight w:val="none"/>
              </w:rPr>
              <w:t>公司</w:t>
            </w:r>
            <w:r>
              <w:rPr>
                <w:rFonts w:hint="eastAsia" w:ascii="宋体" w:hAnsi="宋体" w:eastAsia="宋体" w:cs="宋体"/>
                <w:sz w:val="24"/>
                <w:szCs w:val="24"/>
                <w:highlight w:val="none"/>
                <w:u w:val="single"/>
              </w:rPr>
              <w:t xml:space="preserve">     （是否通过，何种）    </w:t>
            </w:r>
            <w:r>
              <w:rPr>
                <w:rFonts w:hint="eastAsia" w:ascii="宋体" w:hAnsi="宋体" w:eastAsia="宋体" w:cs="宋体"/>
                <w:sz w:val="24"/>
                <w:szCs w:val="24"/>
                <w:highlight w:val="none"/>
              </w:rPr>
              <w:t>质量保证体系认证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73" w:hRule="atLeast"/>
          <w:jc w:val="center"/>
        </w:trPr>
        <w:tc>
          <w:tcPr>
            <w:tcW w:w="964"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7673" w:type="dxa"/>
            <w:gridSpan w:val="2"/>
            <w:noWrap w:val="0"/>
            <w:vAlign w:val="top"/>
          </w:tcPr>
          <w:p>
            <w:pPr>
              <w:spacing w:line="360" w:lineRule="auto"/>
              <w:ind w:firstLine="100"/>
              <w:rPr>
                <w:rFonts w:hint="eastAsia" w:ascii="宋体" w:hAnsi="宋体" w:eastAsia="宋体" w:cs="宋体"/>
                <w:sz w:val="24"/>
                <w:szCs w:val="24"/>
                <w:highlight w:val="none"/>
              </w:rPr>
            </w:pPr>
          </w:p>
          <w:p>
            <w:pPr>
              <w:spacing w:line="360" w:lineRule="auto"/>
              <w:ind w:firstLine="100"/>
              <w:rPr>
                <w:rFonts w:hint="eastAsia" w:ascii="宋体" w:hAnsi="宋体" w:eastAsia="宋体" w:cs="宋体"/>
                <w:sz w:val="24"/>
                <w:szCs w:val="24"/>
                <w:highlight w:val="none"/>
              </w:rPr>
            </w:pPr>
          </w:p>
          <w:p>
            <w:pPr>
              <w:spacing w:line="360" w:lineRule="auto"/>
              <w:ind w:firstLine="100"/>
              <w:rPr>
                <w:rFonts w:hint="eastAsia" w:ascii="宋体" w:hAnsi="宋体" w:eastAsia="宋体" w:cs="宋体"/>
                <w:sz w:val="24"/>
                <w:szCs w:val="24"/>
                <w:highlight w:val="none"/>
              </w:rPr>
            </w:pPr>
            <w:r>
              <w:rPr>
                <w:rFonts w:hint="eastAsia" w:ascii="宋体" w:hAnsi="宋体" w:eastAsia="宋体" w:cs="宋体"/>
                <w:sz w:val="24"/>
                <w:szCs w:val="24"/>
                <w:highlight w:val="none"/>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15" w:hRule="atLeast"/>
          <w:jc w:val="center"/>
        </w:trPr>
        <w:tc>
          <w:tcPr>
            <w:tcW w:w="964"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7673" w:type="dxa"/>
            <w:gridSpan w:val="2"/>
            <w:noWrap w:val="0"/>
            <w:vAlign w:val="center"/>
          </w:tcPr>
          <w:p>
            <w:pPr>
              <w:ind w:firstLine="76" w:firstLineChars="32"/>
              <w:rPr>
                <w:rFonts w:hint="eastAsia" w:ascii="宋体" w:hAnsi="宋体" w:eastAsia="宋体" w:cs="宋体"/>
                <w:sz w:val="24"/>
                <w:szCs w:val="24"/>
                <w:highlight w:val="none"/>
              </w:rPr>
            </w:pPr>
            <w:r>
              <w:rPr>
                <w:rFonts w:hint="eastAsia" w:ascii="宋体" w:hAnsi="宋体" w:eastAsia="宋体" w:cs="宋体"/>
                <w:sz w:val="24"/>
                <w:szCs w:val="24"/>
                <w:highlight w:val="none"/>
              </w:rPr>
              <w:t>其他需要说明的情况：</w:t>
            </w:r>
          </w:p>
        </w:tc>
      </w:tr>
    </w:tbl>
    <w:p>
      <w:pPr>
        <w:spacing w:before="156" w:beforeLines="50"/>
        <w:ind w:firstLine="2880" w:firstLineChars="1200"/>
        <w:rPr>
          <w:rFonts w:hint="eastAsia" w:ascii="宋体" w:hAnsi="宋体" w:eastAsia="宋体" w:cs="宋体"/>
          <w:kern w:val="0"/>
          <w:sz w:val="24"/>
          <w:highlight w:val="none"/>
        </w:rPr>
      </w:pPr>
    </w:p>
    <w:p>
      <w:pPr>
        <w:snapToGrid w:val="0"/>
        <w:spacing w:line="360" w:lineRule="auto"/>
        <w:ind w:firstLine="3664" w:firstLineChars="15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投标人</w:t>
      </w:r>
      <w:r>
        <w:rPr>
          <w:rFonts w:hint="eastAsia" w:ascii="宋体" w:hAnsi="宋体" w:eastAsia="宋体" w:cs="宋体"/>
          <w:color w:val="auto"/>
          <w:sz w:val="24"/>
          <w:szCs w:val="24"/>
          <w:highlight w:val="none"/>
          <w:u w:val="single"/>
        </w:rPr>
        <w:t xml:space="preserve">名称）       </w:t>
      </w:r>
    </w:p>
    <w:p>
      <w:pPr>
        <w:snapToGrid w:val="0"/>
        <w:spacing w:line="360" w:lineRule="auto"/>
        <w:ind w:firstLine="3600" w:firstLineChars="15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法定代表人或被授权人（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3600" w:firstLineChars="1500"/>
        <w:textAlignment w:val="auto"/>
        <w:rPr>
          <w:rFonts w:hint="eastAsia" w:ascii="宋体" w:hAnsi="宋体" w:eastAsia="宋体" w:cs="宋体"/>
          <w:sz w:val="28"/>
          <w:szCs w:val="28"/>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5"/>
        <w:rPr>
          <w:highlight w:val="none"/>
        </w:rPr>
      </w:pPr>
    </w:p>
    <w:p>
      <w:pPr>
        <w:rPr>
          <w:rFonts w:hint="eastAsia" w:hAnsi="宋体" w:cs="宋体"/>
          <w:szCs w:val="24"/>
          <w:highlight w:val="none"/>
        </w:rPr>
      </w:pPr>
      <w:r>
        <w:rPr>
          <w:rFonts w:hint="eastAsia" w:hAnsi="宋体" w:cs="宋体"/>
          <w:szCs w:val="24"/>
          <w:highlight w:val="none"/>
        </w:rPr>
        <w:br w:type="page"/>
      </w:r>
    </w:p>
    <w:p>
      <w:pPr>
        <w:pStyle w:val="2"/>
        <w:keepNext w:val="0"/>
        <w:keepLines w:val="0"/>
        <w:widowControl w:val="0"/>
        <w:spacing w:beforeLines="50" w:after="0" w:line="360" w:lineRule="auto"/>
        <w:ind w:left="0"/>
        <w:jc w:val="center"/>
        <w:rPr>
          <w:rFonts w:hint="eastAsia" w:ascii="宋体" w:hAnsi="宋体" w:eastAsia="Arial" w:cs="宋体"/>
          <w:b/>
          <w:bCs/>
          <w:snapToGrid w:val="0"/>
          <w:color w:val="000000"/>
          <w:kern w:val="0"/>
          <w:sz w:val="32"/>
          <w:szCs w:val="32"/>
          <w:highlight w:val="none"/>
          <w:lang w:val="zh-CN" w:eastAsia="zh-CN"/>
        </w:rPr>
      </w:pPr>
      <w:r>
        <w:rPr>
          <w:rFonts w:hint="eastAsia" w:ascii="宋体" w:hAnsi="宋体" w:eastAsia="Arial" w:cs="宋体"/>
          <w:b/>
          <w:bCs/>
          <w:snapToGrid w:val="0"/>
          <w:color w:val="000000"/>
          <w:kern w:val="0"/>
          <w:sz w:val="32"/>
          <w:szCs w:val="32"/>
          <w:highlight w:val="none"/>
          <w:lang w:val="en-US" w:eastAsia="zh-CN"/>
        </w:rPr>
        <w:t>五、</w:t>
      </w:r>
      <w:r>
        <w:rPr>
          <w:rFonts w:hint="eastAsia" w:ascii="宋体" w:hAnsi="宋体" w:eastAsia="Arial" w:cs="宋体"/>
          <w:b/>
          <w:bCs/>
          <w:snapToGrid w:val="0"/>
          <w:color w:val="000000"/>
          <w:kern w:val="0"/>
          <w:sz w:val="32"/>
          <w:szCs w:val="32"/>
          <w:highlight w:val="none"/>
          <w:lang w:val="zh-CN" w:eastAsia="zh-CN"/>
        </w:rPr>
        <w:t>投标人承诺书</w:t>
      </w:r>
    </w:p>
    <w:p>
      <w:pPr>
        <w:spacing w:beforeLines="50" w:line="360" w:lineRule="auto"/>
        <w:ind w:firstLine="480" w:firstLineChars="200"/>
        <w:jc w:val="both"/>
        <w:rPr>
          <w:rFonts w:hAnsi="宋体" w:cs="宋体"/>
          <w:b/>
          <w:bCs/>
          <w:sz w:val="24"/>
          <w:szCs w:val="24"/>
          <w:highlight w:val="none"/>
        </w:rPr>
      </w:pPr>
      <w:r>
        <w:rPr>
          <w:rFonts w:hint="eastAsia" w:hAnsi="宋体" w:cs="宋体"/>
          <w:b/>
          <w:bCs/>
          <w:sz w:val="24"/>
          <w:szCs w:val="24"/>
          <w:highlight w:val="none"/>
        </w:rPr>
        <w:t>陕西省政府采购</w:t>
      </w:r>
      <w:r>
        <w:rPr>
          <w:rFonts w:hint="eastAsia" w:hAnsi="宋体" w:eastAsia="宋体" w:cs="宋体"/>
          <w:b/>
          <w:bCs/>
          <w:sz w:val="24"/>
          <w:szCs w:val="24"/>
          <w:highlight w:val="none"/>
          <w:lang w:eastAsia="zh-CN"/>
        </w:rPr>
        <w:t>投标人</w:t>
      </w:r>
      <w:r>
        <w:rPr>
          <w:rFonts w:hint="eastAsia" w:hAnsi="宋体" w:cs="宋体"/>
          <w:b/>
          <w:bCs/>
          <w:sz w:val="24"/>
          <w:szCs w:val="24"/>
          <w:highlight w:val="none"/>
        </w:rPr>
        <w:t>拒绝政府采购领域商业贿赂承诺书</w:t>
      </w:r>
    </w:p>
    <w:p>
      <w:pPr>
        <w:widowControl/>
        <w:spacing w:line="360" w:lineRule="auto"/>
        <w:ind w:firstLine="480" w:firstLineChars="200"/>
        <w:rPr>
          <w:rFonts w:hAnsi="宋体" w:cs="宋体"/>
          <w:sz w:val="24"/>
          <w:szCs w:val="24"/>
          <w:highlight w:val="none"/>
        </w:rPr>
      </w:pPr>
      <w:r>
        <w:rPr>
          <w:rFonts w:hint="eastAsia" w:hAnsi="宋体" w:cs="宋体"/>
          <w:sz w:val="24"/>
          <w:szCs w:val="24"/>
          <w:highlight w:val="none"/>
        </w:rPr>
        <w:t>为响应党中央、国务院关于治理政府采购领域商业贿赂行为的号召，我公司在此庄严承诺：</w:t>
      </w:r>
    </w:p>
    <w:p>
      <w:pPr>
        <w:widowControl/>
        <w:spacing w:line="360" w:lineRule="auto"/>
        <w:ind w:firstLine="480" w:firstLineChars="200"/>
        <w:rPr>
          <w:rFonts w:hAnsi="宋体" w:cs="宋体"/>
          <w:sz w:val="24"/>
          <w:szCs w:val="24"/>
          <w:highlight w:val="none"/>
        </w:rPr>
      </w:pPr>
      <w:r>
        <w:rPr>
          <w:rFonts w:hint="eastAsia" w:hAnsi="宋体" w:cs="宋体"/>
          <w:sz w:val="24"/>
          <w:szCs w:val="24"/>
          <w:highlight w:val="none"/>
        </w:rPr>
        <w:t>1.在参与政府采购活动中遵纪守法、诚信经营、公平竞标。</w:t>
      </w:r>
    </w:p>
    <w:p>
      <w:pPr>
        <w:widowControl/>
        <w:spacing w:line="360" w:lineRule="auto"/>
        <w:ind w:firstLine="480" w:firstLineChars="200"/>
        <w:rPr>
          <w:rFonts w:hAnsi="宋体" w:cs="宋体"/>
          <w:sz w:val="24"/>
          <w:szCs w:val="24"/>
          <w:highlight w:val="none"/>
        </w:rPr>
      </w:pPr>
      <w:r>
        <w:rPr>
          <w:rFonts w:hint="eastAsia" w:hAnsi="宋体" w:cs="宋体"/>
          <w:sz w:val="24"/>
          <w:szCs w:val="24"/>
          <w:highlight w:val="none"/>
        </w:rPr>
        <w:t>2.不向政府采购人、采购代理机构和政府采购评审专家进行任何形式的商业贿赂以谋取交易机会。</w:t>
      </w:r>
    </w:p>
    <w:p>
      <w:pPr>
        <w:widowControl/>
        <w:spacing w:line="360" w:lineRule="auto"/>
        <w:ind w:firstLine="480" w:firstLineChars="200"/>
        <w:rPr>
          <w:rFonts w:hAnsi="宋体" w:cs="宋体"/>
          <w:sz w:val="24"/>
          <w:szCs w:val="24"/>
          <w:highlight w:val="none"/>
        </w:rPr>
      </w:pPr>
      <w:r>
        <w:rPr>
          <w:rFonts w:hint="eastAsia" w:hAnsi="宋体" w:cs="宋体"/>
          <w:sz w:val="24"/>
          <w:szCs w:val="24"/>
          <w:highlight w:val="none"/>
        </w:rPr>
        <w:t>3.不向政府采购代理机构和采购人提供虚假资质文件或采用虚假应标方式参与政府采购市场竞争并谋取中标、成交。</w:t>
      </w:r>
    </w:p>
    <w:p>
      <w:pPr>
        <w:widowControl/>
        <w:spacing w:line="360" w:lineRule="auto"/>
        <w:ind w:firstLine="480" w:firstLineChars="200"/>
        <w:rPr>
          <w:rFonts w:hAnsi="宋体" w:cs="宋体"/>
          <w:sz w:val="24"/>
          <w:szCs w:val="24"/>
          <w:highlight w:val="none"/>
        </w:rPr>
      </w:pPr>
      <w:r>
        <w:rPr>
          <w:rFonts w:hint="eastAsia" w:hAnsi="宋体" w:cs="宋体"/>
          <w:sz w:val="24"/>
          <w:szCs w:val="24"/>
          <w:highlight w:val="none"/>
        </w:rPr>
        <w:t>4.不采取“围标、陪标”等商业欺诈手段获得政府采购定单。</w:t>
      </w:r>
    </w:p>
    <w:p>
      <w:pPr>
        <w:widowControl/>
        <w:spacing w:line="360" w:lineRule="auto"/>
        <w:ind w:firstLine="480" w:firstLineChars="200"/>
        <w:rPr>
          <w:rFonts w:hAnsi="宋体" w:cs="宋体"/>
          <w:sz w:val="24"/>
          <w:szCs w:val="24"/>
          <w:highlight w:val="none"/>
        </w:rPr>
      </w:pPr>
      <w:r>
        <w:rPr>
          <w:rFonts w:hint="eastAsia" w:hAnsi="宋体" w:cs="宋体"/>
          <w:sz w:val="24"/>
          <w:szCs w:val="24"/>
          <w:highlight w:val="none"/>
        </w:rPr>
        <w:t>5.不采取不正当手段诋毁、排挤其他</w:t>
      </w:r>
      <w:r>
        <w:rPr>
          <w:rFonts w:hint="eastAsia" w:hAnsi="宋体" w:eastAsia="宋体" w:cs="宋体"/>
          <w:sz w:val="24"/>
          <w:szCs w:val="24"/>
          <w:highlight w:val="none"/>
          <w:lang w:eastAsia="zh-CN"/>
        </w:rPr>
        <w:t>投标人</w:t>
      </w:r>
      <w:r>
        <w:rPr>
          <w:rFonts w:hint="eastAsia" w:hAnsi="宋体" w:cs="宋体"/>
          <w:sz w:val="24"/>
          <w:szCs w:val="24"/>
          <w:highlight w:val="none"/>
        </w:rPr>
        <w:t>。</w:t>
      </w:r>
    </w:p>
    <w:p>
      <w:pPr>
        <w:widowControl/>
        <w:spacing w:line="360" w:lineRule="auto"/>
        <w:ind w:firstLine="480" w:firstLineChars="200"/>
        <w:rPr>
          <w:rFonts w:hAnsi="宋体" w:cs="宋体"/>
          <w:sz w:val="24"/>
          <w:szCs w:val="24"/>
          <w:highlight w:val="none"/>
        </w:rPr>
      </w:pPr>
      <w:r>
        <w:rPr>
          <w:rFonts w:hint="eastAsia" w:hAnsi="宋体" w:cs="宋体"/>
          <w:sz w:val="24"/>
          <w:szCs w:val="24"/>
          <w:highlight w:val="none"/>
        </w:rPr>
        <w:t>6.不在提供商品和服务时“偷梁换柱、以次充好”损害采购人的合法权益。</w:t>
      </w:r>
    </w:p>
    <w:p>
      <w:pPr>
        <w:widowControl/>
        <w:spacing w:line="360" w:lineRule="auto"/>
        <w:ind w:firstLine="480" w:firstLineChars="200"/>
        <w:rPr>
          <w:rFonts w:hAnsi="宋体" w:cs="宋体"/>
          <w:sz w:val="24"/>
          <w:szCs w:val="24"/>
          <w:highlight w:val="none"/>
        </w:rPr>
      </w:pPr>
      <w:r>
        <w:rPr>
          <w:rFonts w:hint="eastAsia" w:hAnsi="宋体" w:cs="宋体"/>
          <w:sz w:val="24"/>
          <w:szCs w:val="24"/>
          <w:highlight w:val="none"/>
        </w:rPr>
        <w:t>7.不与采购人、采购代理机构政府采购评审专家或其它</w:t>
      </w:r>
      <w:r>
        <w:rPr>
          <w:rFonts w:hint="eastAsia" w:hAnsi="宋体" w:eastAsia="宋体" w:cs="宋体"/>
          <w:sz w:val="24"/>
          <w:szCs w:val="24"/>
          <w:highlight w:val="none"/>
          <w:lang w:eastAsia="zh-CN"/>
        </w:rPr>
        <w:t>投标人</w:t>
      </w:r>
      <w:r>
        <w:rPr>
          <w:rFonts w:hint="eastAsia" w:hAnsi="宋体" w:cs="宋体"/>
          <w:sz w:val="24"/>
          <w:szCs w:val="24"/>
          <w:highlight w:val="none"/>
        </w:rPr>
        <w:t>恶意串通，进行质疑和投诉，维护政府采购市场秩序。</w:t>
      </w:r>
    </w:p>
    <w:p>
      <w:pPr>
        <w:widowControl/>
        <w:spacing w:line="360" w:lineRule="auto"/>
        <w:ind w:firstLine="480" w:firstLineChars="200"/>
        <w:rPr>
          <w:rFonts w:hAnsi="宋体" w:cs="宋体"/>
          <w:sz w:val="24"/>
          <w:szCs w:val="24"/>
          <w:highlight w:val="none"/>
        </w:rPr>
      </w:pPr>
      <w:r>
        <w:rPr>
          <w:rFonts w:hint="eastAsia" w:hAnsi="宋体" w:cs="宋体"/>
          <w:sz w:val="24"/>
          <w:szCs w:val="24"/>
          <w:highlight w:val="none"/>
        </w:rPr>
        <w:t>8.尊重和接受政府采购监督管理部门的监督和政府采购代理机构招标采购要求，承担因违约行为给采购人造成的损失。</w:t>
      </w:r>
    </w:p>
    <w:p>
      <w:pPr>
        <w:widowControl/>
        <w:spacing w:line="360" w:lineRule="auto"/>
        <w:ind w:firstLine="480" w:firstLineChars="200"/>
        <w:rPr>
          <w:rFonts w:hAnsi="宋体" w:cs="宋体"/>
          <w:sz w:val="24"/>
          <w:szCs w:val="24"/>
          <w:highlight w:val="none"/>
        </w:rPr>
      </w:pPr>
      <w:r>
        <w:rPr>
          <w:rFonts w:hint="eastAsia" w:hAnsi="宋体" w:cs="宋体"/>
          <w:sz w:val="24"/>
          <w:szCs w:val="24"/>
          <w:highlight w:val="none"/>
        </w:rPr>
        <w:t>9.不发生其他有悖于政府采购公开、公平、公正和诚信原则的行为。</w:t>
      </w:r>
    </w:p>
    <w:p>
      <w:pPr>
        <w:keepNext w:val="0"/>
        <w:keepLines w:val="0"/>
        <w:pageBreakBefore w:val="0"/>
        <w:widowControl/>
        <w:kinsoku/>
        <w:wordWrap/>
        <w:overflowPunct/>
        <w:topLinePunct w:val="0"/>
        <w:autoSpaceDE/>
        <w:autoSpaceDN/>
        <w:bidi w:val="0"/>
        <w:adjustRightInd/>
        <w:snapToGrid/>
        <w:spacing w:line="480" w:lineRule="auto"/>
        <w:ind w:left="0" w:leftChars="0" w:firstLine="3600" w:firstLineChars="1500"/>
        <w:jc w:val="left"/>
        <w:textAlignment w:val="auto"/>
        <w:rPr>
          <w:rFonts w:hint="eastAsia" w:hAnsi="宋体" w:cs="宋体"/>
          <w:sz w:val="24"/>
          <w:szCs w:val="24"/>
          <w:highlight w:val="none"/>
        </w:rPr>
      </w:pPr>
      <w:r>
        <w:rPr>
          <w:rFonts w:hint="eastAsia" w:hAnsi="宋体" w:cs="宋体"/>
          <w:sz w:val="24"/>
          <w:szCs w:val="24"/>
          <w:highlight w:val="none"/>
        </w:rPr>
        <w:t>承诺单位：</w:t>
      </w:r>
      <w:r>
        <w:rPr>
          <w:rFonts w:hint="eastAsia" w:hAnsi="宋体" w:cs="宋体"/>
          <w:sz w:val="24"/>
          <w:szCs w:val="24"/>
          <w:highlight w:val="none"/>
          <w:u w:val="single"/>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投标人</w:t>
      </w:r>
      <w:r>
        <w:rPr>
          <w:rFonts w:hint="eastAsia" w:ascii="宋体" w:hAnsi="宋体" w:eastAsia="宋体" w:cs="宋体"/>
          <w:color w:val="auto"/>
          <w:sz w:val="24"/>
          <w:szCs w:val="24"/>
          <w:highlight w:val="none"/>
          <w:u w:val="single"/>
        </w:rPr>
        <w:t xml:space="preserve">名称） </w:t>
      </w:r>
      <w:r>
        <w:rPr>
          <w:rFonts w:hint="eastAsia" w:hAnsi="宋体" w:cs="宋体"/>
          <w:sz w:val="24"/>
          <w:szCs w:val="24"/>
          <w:highlight w:val="none"/>
          <w:u w:val="single"/>
        </w:rPr>
        <w:t xml:space="preserve">   </w:t>
      </w:r>
      <w:r>
        <w:rPr>
          <w:rFonts w:hint="eastAsia" w:hAnsi="宋体" w:cs="宋体"/>
          <w:sz w:val="24"/>
          <w:szCs w:val="24"/>
          <w:highlight w:val="none"/>
        </w:rPr>
        <w:t>（盖章）</w:t>
      </w:r>
    </w:p>
    <w:p>
      <w:pPr>
        <w:keepNext w:val="0"/>
        <w:keepLines w:val="0"/>
        <w:pageBreakBefore w:val="0"/>
        <w:widowControl/>
        <w:kinsoku/>
        <w:wordWrap/>
        <w:overflowPunct/>
        <w:topLinePunct w:val="0"/>
        <w:autoSpaceDE/>
        <w:autoSpaceDN/>
        <w:bidi w:val="0"/>
        <w:adjustRightInd/>
        <w:snapToGrid/>
        <w:spacing w:line="480" w:lineRule="auto"/>
        <w:ind w:left="0" w:leftChars="0" w:firstLine="3600" w:firstLineChars="1500"/>
        <w:jc w:val="left"/>
        <w:textAlignment w:val="auto"/>
        <w:rPr>
          <w:rFonts w:hint="eastAsia" w:hAnsi="宋体" w:cs="宋体"/>
          <w:sz w:val="24"/>
          <w:szCs w:val="24"/>
          <w:highlight w:val="none"/>
        </w:rPr>
      </w:pPr>
      <w:r>
        <w:rPr>
          <w:rFonts w:hint="eastAsia" w:hAnsi="宋体" w:cs="宋体"/>
          <w:sz w:val="24"/>
          <w:szCs w:val="24"/>
          <w:highlight w:val="none"/>
        </w:rPr>
        <w:t>被授权人：</w:t>
      </w:r>
      <w:r>
        <w:rPr>
          <w:rFonts w:hint="eastAsia" w:hAnsi="宋体" w:cs="宋体"/>
          <w:sz w:val="24"/>
          <w:szCs w:val="24"/>
          <w:highlight w:val="none"/>
          <w:u w:val="single"/>
        </w:rPr>
        <w:t xml:space="preserve">                       </w:t>
      </w:r>
      <w:r>
        <w:rPr>
          <w:rFonts w:hint="eastAsia" w:hAnsi="宋体" w:cs="宋体"/>
          <w:sz w:val="24"/>
          <w:szCs w:val="24"/>
          <w:highlight w:val="none"/>
        </w:rPr>
        <w:t>（签字</w:t>
      </w:r>
      <w:r>
        <w:rPr>
          <w:rFonts w:hint="eastAsia" w:hAnsi="宋体" w:eastAsia="宋体" w:cs="宋体"/>
          <w:sz w:val="24"/>
          <w:szCs w:val="24"/>
          <w:highlight w:val="none"/>
          <w:lang w:val="en-US" w:eastAsia="zh-CN"/>
        </w:rPr>
        <w:t>或盖章</w:t>
      </w:r>
      <w:r>
        <w:rPr>
          <w:rFonts w:hint="eastAsia" w:hAnsi="宋体" w:cs="宋体"/>
          <w:sz w:val="24"/>
          <w:szCs w:val="24"/>
          <w:highlight w:val="none"/>
        </w:rPr>
        <w:t>）</w:t>
      </w:r>
    </w:p>
    <w:p>
      <w:pPr>
        <w:keepNext w:val="0"/>
        <w:keepLines w:val="0"/>
        <w:pageBreakBefore w:val="0"/>
        <w:widowControl/>
        <w:kinsoku/>
        <w:wordWrap/>
        <w:overflowPunct/>
        <w:topLinePunct w:val="0"/>
        <w:autoSpaceDE/>
        <w:autoSpaceDN/>
        <w:bidi w:val="0"/>
        <w:adjustRightInd/>
        <w:snapToGrid/>
        <w:spacing w:line="480" w:lineRule="auto"/>
        <w:ind w:left="0" w:leftChars="0" w:firstLine="3600" w:firstLineChars="1500"/>
        <w:jc w:val="left"/>
        <w:textAlignment w:val="auto"/>
        <w:rPr>
          <w:rFonts w:hint="default" w:hAnsi="宋体" w:eastAsia="宋体" w:cs="宋体"/>
          <w:sz w:val="24"/>
          <w:szCs w:val="24"/>
          <w:highlight w:val="none"/>
          <w:lang w:val="en-US" w:eastAsia="zh-CN"/>
        </w:rPr>
      </w:pPr>
      <w:r>
        <w:rPr>
          <w:rFonts w:hint="eastAsia" w:hAnsi="宋体" w:cs="宋体"/>
          <w:sz w:val="24"/>
          <w:szCs w:val="24"/>
          <w:highlight w:val="none"/>
        </w:rPr>
        <w:t>地</w:t>
      </w:r>
      <w:r>
        <w:rPr>
          <w:rFonts w:hint="eastAsia" w:hAnsi="宋体" w:cs="宋体"/>
          <w:sz w:val="24"/>
          <w:szCs w:val="24"/>
          <w:highlight w:val="none"/>
          <w:lang w:val="en-US" w:eastAsia="zh-CN"/>
        </w:rPr>
        <w:t xml:space="preserve">    </w:t>
      </w:r>
      <w:r>
        <w:rPr>
          <w:rFonts w:hint="eastAsia" w:hAnsi="宋体" w:cs="宋体"/>
          <w:sz w:val="24"/>
          <w:szCs w:val="24"/>
          <w:highlight w:val="none"/>
        </w:rPr>
        <w:t>址：</w:t>
      </w:r>
      <w:r>
        <w:rPr>
          <w:rFonts w:hint="eastAsia" w:hAnsi="宋体" w:cs="宋体"/>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auto"/>
        <w:ind w:left="0" w:leftChars="0" w:firstLine="3600" w:firstLineChars="1500"/>
        <w:jc w:val="left"/>
        <w:textAlignment w:val="auto"/>
        <w:rPr>
          <w:rFonts w:hint="eastAsia" w:hAnsi="宋体" w:cs="宋体"/>
          <w:sz w:val="24"/>
          <w:szCs w:val="24"/>
          <w:highlight w:val="none"/>
          <w:u w:val="single"/>
        </w:rPr>
      </w:pPr>
      <w:r>
        <w:rPr>
          <w:rFonts w:hint="eastAsia" w:hAnsi="宋体" w:cs="宋体"/>
          <w:sz w:val="24"/>
          <w:szCs w:val="24"/>
          <w:highlight w:val="none"/>
        </w:rPr>
        <w:t>邮</w:t>
      </w:r>
      <w:r>
        <w:rPr>
          <w:rFonts w:hint="eastAsia" w:hAnsi="宋体" w:cs="宋体"/>
          <w:sz w:val="24"/>
          <w:szCs w:val="24"/>
          <w:highlight w:val="none"/>
          <w:lang w:val="en-US" w:eastAsia="zh-CN"/>
        </w:rPr>
        <w:t xml:space="preserve">    </w:t>
      </w:r>
      <w:r>
        <w:rPr>
          <w:rFonts w:hint="eastAsia" w:hAnsi="宋体" w:cs="宋体"/>
          <w:sz w:val="24"/>
          <w:szCs w:val="24"/>
          <w:highlight w:val="none"/>
        </w:rPr>
        <w:t>编：</w:t>
      </w:r>
      <w:r>
        <w:rPr>
          <w:rFonts w:hint="eastAsia" w:hAnsi="宋体" w:cs="宋体"/>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480" w:lineRule="auto"/>
        <w:ind w:left="0" w:leftChars="0" w:firstLine="3600" w:firstLineChars="1500"/>
        <w:jc w:val="left"/>
        <w:textAlignment w:val="auto"/>
        <w:rPr>
          <w:rFonts w:hint="default" w:hAnsi="宋体" w:eastAsia="宋体" w:cs="宋体"/>
          <w:sz w:val="24"/>
          <w:szCs w:val="24"/>
          <w:highlight w:val="none"/>
          <w:u w:val="single"/>
          <w:lang w:val="en-US" w:eastAsia="zh-CN"/>
        </w:rPr>
      </w:pPr>
      <w:r>
        <w:rPr>
          <w:rFonts w:hint="eastAsia" w:hAnsi="宋体" w:cs="宋体"/>
          <w:sz w:val="24"/>
          <w:szCs w:val="24"/>
          <w:highlight w:val="none"/>
        </w:rPr>
        <w:t>电</w:t>
      </w:r>
      <w:r>
        <w:rPr>
          <w:rFonts w:hint="eastAsia" w:hAnsi="宋体" w:cs="宋体"/>
          <w:sz w:val="24"/>
          <w:szCs w:val="24"/>
          <w:highlight w:val="none"/>
          <w:lang w:val="en-US" w:eastAsia="zh-CN"/>
        </w:rPr>
        <w:t xml:space="preserve">    </w:t>
      </w:r>
      <w:r>
        <w:rPr>
          <w:rFonts w:hint="eastAsia" w:hAnsi="宋体" w:cs="宋体"/>
          <w:sz w:val="24"/>
          <w:szCs w:val="24"/>
          <w:highlight w:val="none"/>
        </w:rPr>
        <w:t>话：</w:t>
      </w:r>
      <w:r>
        <w:rPr>
          <w:rFonts w:hint="eastAsia" w:hAnsi="宋体" w:cs="宋体"/>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auto"/>
        <w:ind w:left="0" w:leftChars="0" w:firstLine="3600" w:firstLineChars="1500"/>
        <w:jc w:val="left"/>
        <w:textAlignment w:val="auto"/>
        <w:rPr>
          <w:rFonts w:hAnsi="宋体" w:cs="宋体"/>
          <w:sz w:val="24"/>
          <w:szCs w:val="24"/>
          <w:highlight w:val="none"/>
        </w:rPr>
      </w:pPr>
      <w:r>
        <w:rPr>
          <w:rFonts w:hint="eastAsia" w:hAnsi="宋体" w:cs="宋体"/>
          <w:sz w:val="24"/>
          <w:szCs w:val="24"/>
          <w:highlight w:val="none"/>
          <w:lang w:val="en-US" w:eastAsia="zh-CN"/>
        </w:rPr>
        <w:t>日    期：</w:t>
      </w:r>
      <w:r>
        <w:rPr>
          <w:rFonts w:hint="eastAsia" w:hAnsi="宋体" w:cs="宋体"/>
          <w:sz w:val="24"/>
          <w:szCs w:val="24"/>
          <w:highlight w:val="none"/>
          <w:u w:val="single"/>
          <w:lang w:val="en-US" w:eastAsia="zh-CN"/>
        </w:rPr>
        <w:t xml:space="preserve">       </w:t>
      </w:r>
      <w:r>
        <w:rPr>
          <w:rFonts w:hint="eastAsia" w:hAnsi="宋体" w:cs="宋体"/>
          <w:sz w:val="24"/>
          <w:szCs w:val="24"/>
          <w:highlight w:val="none"/>
        </w:rPr>
        <w:t>年</w:t>
      </w:r>
      <w:r>
        <w:rPr>
          <w:rFonts w:hint="eastAsia" w:hAnsi="宋体" w:cs="宋体"/>
          <w:sz w:val="24"/>
          <w:szCs w:val="24"/>
          <w:highlight w:val="none"/>
          <w:u w:val="single"/>
          <w:lang w:val="en-US" w:eastAsia="zh-CN"/>
        </w:rPr>
        <w:t xml:space="preserve">       </w:t>
      </w:r>
      <w:r>
        <w:rPr>
          <w:rFonts w:hint="eastAsia" w:hAnsi="宋体" w:cs="宋体"/>
          <w:sz w:val="24"/>
          <w:szCs w:val="24"/>
          <w:highlight w:val="none"/>
        </w:rPr>
        <w:t>月</w:t>
      </w:r>
      <w:r>
        <w:rPr>
          <w:rFonts w:hint="eastAsia" w:hAnsi="宋体" w:cs="宋体"/>
          <w:sz w:val="24"/>
          <w:szCs w:val="24"/>
          <w:highlight w:val="none"/>
          <w:u w:val="single"/>
          <w:lang w:val="en-US" w:eastAsia="zh-CN"/>
        </w:rPr>
        <w:t xml:space="preserve">     </w:t>
      </w:r>
      <w:r>
        <w:rPr>
          <w:rFonts w:hint="eastAsia" w:hAnsi="宋体" w:cs="宋体"/>
          <w:sz w:val="24"/>
          <w:szCs w:val="24"/>
          <w:highlight w:val="none"/>
        </w:rPr>
        <w:t>日</w:t>
      </w:r>
    </w:p>
    <w:p>
      <w:pPr>
        <w:pStyle w:val="2"/>
        <w:keepNext w:val="0"/>
        <w:keepLines w:val="0"/>
        <w:widowControl w:val="0"/>
        <w:spacing w:beforeLines="50" w:after="0" w:line="360" w:lineRule="auto"/>
        <w:ind w:left="0"/>
        <w:jc w:val="center"/>
        <w:rPr>
          <w:rFonts w:hint="eastAsia" w:ascii="宋体" w:hAnsi="宋体" w:eastAsia="Arial" w:cs="宋体"/>
          <w:b/>
          <w:bCs/>
          <w:snapToGrid w:val="0"/>
          <w:color w:val="000000"/>
          <w:kern w:val="0"/>
          <w:sz w:val="32"/>
          <w:szCs w:val="32"/>
          <w:highlight w:val="none"/>
        </w:rPr>
      </w:pPr>
      <w:r>
        <w:rPr>
          <w:rFonts w:hint="eastAsia"/>
          <w:highlight w:val="none"/>
        </w:rPr>
        <w:br w:type="page"/>
      </w:r>
      <w:r>
        <w:rPr>
          <w:rFonts w:hint="eastAsia" w:ascii="宋体" w:hAnsi="宋体" w:eastAsia="宋体" w:cs="宋体"/>
          <w:b/>
          <w:bCs/>
          <w:snapToGrid w:val="0"/>
          <w:color w:val="000000"/>
          <w:kern w:val="0"/>
          <w:sz w:val="32"/>
          <w:szCs w:val="32"/>
          <w:highlight w:val="none"/>
          <w:lang w:val="en-US" w:eastAsia="zh-CN"/>
        </w:rPr>
        <w:t>六</w:t>
      </w:r>
      <w:r>
        <w:rPr>
          <w:rFonts w:hint="eastAsia" w:ascii="宋体" w:hAnsi="宋体" w:eastAsia="Arial" w:cs="宋体"/>
          <w:b/>
          <w:bCs/>
          <w:snapToGrid w:val="0"/>
          <w:color w:val="000000"/>
          <w:kern w:val="0"/>
          <w:sz w:val="32"/>
          <w:szCs w:val="32"/>
          <w:highlight w:val="none"/>
        </w:rPr>
        <w:t>、投标方案说明书</w:t>
      </w:r>
    </w:p>
    <w:p>
      <w:pPr>
        <w:keepNext w:val="0"/>
        <w:keepLines w:val="0"/>
        <w:pageBreakBefore w:val="0"/>
        <w:widowControl w:val="0"/>
        <w:kinsoku w:val="0"/>
        <w:wordWrap/>
        <w:overflowPunct/>
        <w:topLinePunct w:val="0"/>
        <w:autoSpaceDE/>
        <w:autoSpaceDN/>
        <w:bidi w:val="0"/>
        <w:adjustRightInd/>
        <w:snapToGrid/>
        <w:spacing w:line="58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按</w:t>
      </w:r>
      <w:r>
        <w:rPr>
          <w:rFonts w:hint="eastAsia"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的要求，依据评审方</w:t>
      </w:r>
      <w:r>
        <w:rPr>
          <w:rFonts w:hint="eastAsia" w:ascii="宋体" w:hAnsi="宋体" w:eastAsia="宋体" w:cs="宋体"/>
          <w:b w:val="0"/>
          <w:bCs w:val="0"/>
          <w:color w:val="auto"/>
          <w:sz w:val="24"/>
          <w:szCs w:val="24"/>
          <w:highlight w:val="none"/>
          <w:lang w:val="en-US" w:eastAsia="zh-CN"/>
        </w:rPr>
        <w:t>法</w:t>
      </w:r>
      <w:r>
        <w:rPr>
          <w:rFonts w:hint="eastAsia" w:ascii="宋体" w:hAnsi="宋体" w:eastAsia="宋体" w:cs="宋体"/>
          <w:b/>
          <w:bCs/>
          <w:color w:val="auto"/>
          <w:sz w:val="24"/>
          <w:szCs w:val="24"/>
          <w:highlight w:val="none"/>
          <w:lang w:val="en-US" w:eastAsia="zh-CN"/>
        </w:rPr>
        <w:t>“评标因素及权重分值表”</w:t>
      </w:r>
      <w:r>
        <w:rPr>
          <w:rFonts w:hint="eastAsia" w:ascii="宋体" w:hAnsi="宋体" w:eastAsia="宋体" w:cs="宋体"/>
          <w:color w:val="auto"/>
          <w:sz w:val="24"/>
          <w:szCs w:val="24"/>
          <w:highlight w:val="none"/>
          <w:lang w:val="en-US" w:eastAsia="zh-CN"/>
        </w:rPr>
        <w:t>相关内容编写</w:t>
      </w:r>
      <w:r>
        <w:rPr>
          <w:rFonts w:hint="eastAsia" w:ascii="宋体" w:hAnsi="宋体" w:eastAsia="宋体" w:cs="宋体"/>
          <w:color w:val="auto"/>
          <w:sz w:val="22"/>
          <w:szCs w:val="22"/>
          <w:highlight w:val="none"/>
          <w:lang w:val="en-US" w:eastAsia="zh-CN"/>
        </w:rPr>
        <w:t>，</w:t>
      </w:r>
      <w:r>
        <w:rPr>
          <w:rFonts w:hint="eastAsia" w:ascii="宋体" w:hAnsi="宋体" w:eastAsia="宋体" w:cs="宋体"/>
          <w:b/>
          <w:bCs/>
          <w:color w:val="auto"/>
          <w:sz w:val="28"/>
          <w:szCs w:val="28"/>
          <w:highlight w:val="none"/>
          <w:lang w:val="en-US" w:eastAsia="zh-CN"/>
        </w:rPr>
        <w:t>格式自拟</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评标因素及权重分值表要求内容，在投标方案说明书中必须逐项对应编制。</w:t>
      </w:r>
    </w:p>
    <w:p>
      <w:pPr>
        <w:outlineLvl w:val="9"/>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br w:type="page"/>
      </w:r>
      <w:r>
        <w:rPr>
          <w:rFonts w:hint="eastAsia" w:ascii="宋体" w:hAnsi="宋体" w:eastAsia="宋体" w:cs="宋体"/>
          <w:b/>
          <w:bCs/>
          <w:color w:val="auto"/>
          <w:sz w:val="24"/>
          <w:szCs w:val="24"/>
          <w:highlight w:val="none"/>
          <w:lang w:val="en-US" w:eastAsia="zh-CN"/>
        </w:rPr>
        <w:t>附件1：</w:t>
      </w:r>
    </w:p>
    <w:p>
      <w:pPr>
        <w:jc w:val="center"/>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投入项目其他人员汇总表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900"/>
        <w:gridCol w:w="720"/>
        <w:gridCol w:w="1260"/>
        <w:gridCol w:w="720"/>
        <w:gridCol w:w="720"/>
        <w:gridCol w:w="126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10" w:type="dxa"/>
            <w:noWrap w:val="0"/>
            <w:vAlign w:val="center"/>
          </w:tcPr>
          <w:p>
            <w:pPr>
              <w:jc w:val="center"/>
              <w:rPr>
                <w:rFonts w:hint="eastAsia" w:ascii="宋体" w:hAnsi="宋体"/>
                <w:color w:val="000000"/>
                <w:sz w:val="24"/>
                <w:highlight w:val="none"/>
              </w:rPr>
            </w:pPr>
            <w:r>
              <w:rPr>
                <w:rFonts w:hint="eastAsia" w:ascii="宋体" w:hAnsi="宋体"/>
                <w:color w:val="000000"/>
                <w:sz w:val="24"/>
                <w:highlight w:val="none"/>
              </w:rPr>
              <w:t>序号</w:t>
            </w:r>
          </w:p>
        </w:tc>
        <w:tc>
          <w:tcPr>
            <w:tcW w:w="900" w:type="dxa"/>
            <w:noWrap w:val="0"/>
            <w:vAlign w:val="center"/>
          </w:tcPr>
          <w:p>
            <w:pPr>
              <w:jc w:val="center"/>
              <w:rPr>
                <w:rFonts w:hint="eastAsia" w:ascii="宋体" w:hAnsi="宋体"/>
                <w:color w:val="000000"/>
                <w:sz w:val="24"/>
                <w:highlight w:val="none"/>
              </w:rPr>
            </w:pPr>
            <w:r>
              <w:rPr>
                <w:rFonts w:hint="eastAsia" w:ascii="宋体" w:hAnsi="宋体"/>
                <w:color w:val="000000"/>
                <w:sz w:val="24"/>
                <w:highlight w:val="none"/>
              </w:rPr>
              <w:t>姓名</w:t>
            </w:r>
          </w:p>
        </w:tc>
        <w:tc>
          <w:tcPr>
            <w:tcW w:w="720" w:type="dxa"/>
            <w:noWrap w:val="0"/>
            <w:vAlign w:val="center"/>
          </w:tcPr>
          <w:p>
            <w:pPr>
              <w:jc w:val="center"/>
              <w:rPr>
                <w:rFonts w:hint="eastAsia" w:ascii="宋体" w:hAnsi="宋体"/>
                <w:color w:val="000000"/>
                <w:sz w:val="24"/>
                <w:highlight w:val="none"/>
              </w:rPr>
            </w:pPr>
            <w:r>
              <w:rPr>
                <w:rFonts w:hint="eastAsia" w:ascii="宋体" w:hAnsi="宋体"/>
                <w:color w:val="000000"/>
                <w:sz w:val="24"/>
                <w:highlight w:val="none"/>
              </w:rPr>
              <w:t>性别</w:t>
            </w:r>
          </w:p>
        </w:tc>
        <w:tc>
          <w:tcPr>
            <w:tcW w:w="1260" w:type="dxa"/>
            <w:noWrap w:val="0"/>
            <w:vAlign w:val="center"/>
          </w:tcPr>
          <w:p>
            <w:pPr>
              <w:jc w:val="center"/>
              <w:rPr>
                <w:rFonts w:hint="eastAsia" w:ascii="宋体" w:hAnsi="宋体"/>
                <w:color w:val="000000"/>
                <w:sz w:val="24"/>
                <w:highlight w:val="none"/>
              </w:rPr>
            </w:pPr>
            <w:r>
              <w:rPr>
                <w:rFonts w:hint="eastAsia" w:ascii="宋体" w:hAnsi="宋体"/>
                <w:color w:val="000000"/>
                <w:sz w:val="24"/>
                <w:highlight w:val="none"/>
              </w:rPr>
              <w:t>出生日期</w:t>
            </w:r>
          </w:p>
        </w:tc>
        <w:tc>
          <w:tcPr>
            <w:tcW w:w="720" w:type="dxa"/>
            <w:noWrap w:val="0"/>
            <w:vAlign w:val="center"/>
          </w:tcPr>
          <w:p>
            <w:pPr>
              <w:jc w:val="center"/>
              <w:rPr>
                <w:rFonts w:hint="eastAsia" w:ascii="宋体" w:hAnsi="宋体"/>
                <w:color w:val="000000"/>
                <w:sz w:val="24"/>
                <w:highlight w:val="none"/>
              </w:rPr>
            </w:pPr>
            <w:r>
              <w:rPr>
                <w:rFonts w:hint="eastAsia" w:ascii="宋体" w:hAnsi="宋体"/>
                <w:color w:val="000000"/>
                <w:sz w:val="24"/>
                <w:highlight w:val="none"/>
              </w:rPr>
              <w:t>学历</w:t>
            </w:r>
          </w:p>
        </w:tc>
        <w:tc>
          <w:tcPr>
            <w:tcW w:w="720" w:type="dxa"/>
            <w:noWrap w:val="0"/>
            <w:vAlign w:val="center"/>
          </w:tcPr>
          <w:p>
            <w:pPr>
              <w:jc w:val="center"/>
              <w:rPr>
                <w:rFonts w:hint="eastAsia" w:ascii="宋体" w:hAnsi="宋体"/>
                <w:color w:val="000000"/>
                <w:sz w:val="24"/>
                <w:highlight w:val="none"/>
              </w:rPr>
            </w:pPr>
            <w:r>
              <w:rPr>
                <w:rFonts w:hint="eastAsia" w:ascii="宋体" w:hAnsi="宋体"/>
                <w:color w:val="000000"/>
                <w:sz w:val="24"/>
                <w:highlight w:val="none"/>
              </w:rPr>
              <w:t>专业</w:t>
            </w:r>
          </w:p>
        </w:tc>
        <w:tc>
          <w:tcPr>
            <w:tcW w:w="1260" w:type="dxa"/>
            <w:noWrap w:val="0"/>
            <w:vAlign w:val="center"/>
          </w:tcPr>
          <w:p>
            <w:pPr>
              <w:jc w:val="center"/>
              <w:rPr>
                <w:rFonts w:hint="eastAsia" w:ascii="宋体" w:hAnsi="宋体"/>
                <w:color w:val="000000"/>
                <w:sz w:val="24"/>
                <w:highlight w:val="none"/>
              </w:rPr>
            </w:pPr>
            <w:r>
              <w:rPr>
                <w:rFonts w:hint="eastAsia" w:ascii="宋体" w:hAnsi="宋体"/>
                <w:color w:val="000000"/>
                <w:sz w:val="24"/>
                <w:highlight w:val="none"/>
              </w:rPr>
              <w:t>技术职称</w:t>
            </w:r>
          </w:p>
        </w:tc>
        <w:tc>
          <w:tcPr>
            <w:tcW w:w="2474" w:type="dxa"/>
            <w:noWrap w:val="0"/>
            <w:vAlign w:val="center"/>
          </w:tcPr>
          <w:p>
            <w:pPr>
              <w:jc w:val="center"/>
              <w:rPr>
                <w:rFonts w:hint="eastAsia" w:ascii="宋体" w:hAnsi="宋体"/>
                <w:color w:val="000000"/>
                <w:sz w:val="24"/>
                <w:highlight w:val="none"/>
              </w:rPr>
            </w:pPr>
            <w:r>
              <w:rPr>
                <w:rFonts w:hint="eastAsia" w:ascii="宋体" w:hAnsi="宋体"/>
                <w:color w:val="000000"/>
                <w:sz w:val="24"/>
                <w:highlight w:val="none"/>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10" w:type="dxa"/>
            <w:noWrap w:val="0"/>
            <w:vAlign w:val="center"/>
          </w:tcPr>
          <w:p>
            <w:pPr>
              <w:jc w:val="center"/>
              <w:rPr>
                <w:rFonts w:hint="eastAsia" w:ascii="宋体" w:hAnsi="宋体"/>
                <w:color w:val="000000"/>
                <w:sz w:val="24"/>
                <w:highlight w:val="none"/>
              </w:rPr>
            </w:pPr>
          </w:p>
        </w:tc>
        <w:tc>
          <w:tcPr>
            <w:tcW w:w="90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126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1260" w:type="dxa"/>
            <w:noWrap w:val="0"/>
            <w:vAlign w:val="center"/>
          </w:tcPr>
          <w:p>
            <w:pPr>
              <w:jc w:val="center"/>
              <w:rPr>
                <w:rFonts w:hint="eastAsia" w:ascii="宋体" w:hAnsi="宋体"/>
                <w:color w:val="000000"/>
                <w:sz w:val="24"/>
                <w:highlight w:val="none"/>
              </w:rPr>
            </w:pPr>
          </w:p>
        </w:tc>
        <w:tc>
          <w:tcPr>
            <w:tcW w:w="2474" w:type="dxa"/>
            <w:noWrap w:val="0"/>
            <w:vAlign w:val="center"/>
          </w:tcPr>
          <w:p>
            <w:pPr>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10" w:type="dxa"/>
            <w:noWrap w:val="0"/>
            <w:vAlign w:val="center"/>
          </w:tcPr>
          <w:p>
            <w:pPr>
              <w:jc w:val="center"/>
              <w:rPr>
                <w:rFonts w:hint="eastAsia" w:ascii="宋体" w:hAnsi="宋体"/>
                <w:color w:val="000000"/>
                <w:sz w:val="24"/>
                <w:highlight w:val="none"/>
              </w:rPr>
            </w:pPr>
          </w:p>
        </w:tc>
        <w:tc>
          <w:tcPr>
            <w:tcW w:w="90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126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1260" w:type="dxa"/>
            <w:noWrap w:val="0"/>
            <w:vAlign w:val="center"/>
          </w:tcPr>
          <w:p>
            <w:pPr>
              <w:jc w:val="center"/>
              <w:rPr>
                <w:rFonts w:hint="eastAsia" w:ascii="宋体" w:hAnsi="宋体"/>
                <w:color w:val="000000"/>
                <w:sz w:val="24"/>
                <w:highlight w:val="none"/>
              </w:rPr>
            </w:pPr>
          </w:p>
        </w:tc>
        <w:tc>
          <w:tcPr>
            <w:tcW w:w="2474" w:type="dxa"/>
            <w:noWrap w:val="0"/>
            <w:vAlign w:val="center"/>
          </w:tcPr>
          <w:p>
            <w:pPr>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10" w:type="dxa"/>
            <w:noWrap w:val="0"/>
            <w:vAlign w:val="center"/>
          </w:tcPr>
          <w:p>
            <w:pPr>
              <w:jc w:val="center"/>
              <w:rPr>
                <w:rFonts w:hint="eastAsia" w:ascii="宋体" w:hAnsi="宋体"/>
                <w:color w:val="000000"/>
                <w:sz w:val="24"/>
                <w:highlight w:val="none"/>
              </w:rPr>
            </w:pPr>
          </w:p>
        </w:tc>
        <w:tc>
          <w:tcPr>
            <w:tcW w:w="90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126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1260" w:type="dxa"/>
            <w:noWrap w:val="0"/>
            <w:vAlign w:val="center"/>
          </w:tcPr>
          <w:p>
            <w:pPr>
              <w:jc w:val="center"/>
              <w:rPr>
                <w:rFonts w:hint="eastAsia" w:ascii="宋体" w:hAnsi="宋体"/>
                <w:color w:val="000000"/>
                <w:sz w:val="24"/>
                <w:highlight w:val="none"/>
              </w:rPr>
            </w:pPr>
          </w:p>
        </w:tc>
        <w:tc>
          <w:tcPr>
            <w:tcW w:w="2474" w:type="dxa"/>
            <w:noWrap w:val="0"/>
            <w:vAlign w:val="center"/>
          </w:tcPr>
          <w:p>
            <w:pPr>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10" w:type="dxa"/>
            <w:noWrap w:val="0"/>
            <w:vAlign w:val="center"/>
          </w:tcPr>
          <w:p>
            <w:pPr>
              <w:jc w:val="center"/>
              <w:rPr>
                <w:rFonts w:hint="eastAsia" w:ascii="宋体" w:hAnsi="宋体"/>
                <w:color w:val="000000"/>
                <w:sz w:val="24"/>
                <w:highlight w:val="none"/>
              </w:rPr>
            </w:pPr>
          </w:p>
        </w:tc>
        <w:tc>
          <w:tcPr>
            <w:tcW w:w="90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126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1260" w:type="dxa"/>
            <w:noWrap w:val="0"/>
            <w:vAlign w:val="center"/>
          </w:tcPr>
          <w:p>
            <w:pPr>
              <w:jc w:val="center"/>
              <w:rPr>
                <w:rFonts w:hint="eastAsia" w:ascii="宋体" w:hAnsi="宋体"/>
                <w:color w:val="000000"/>
                <w:sz w:val="24"/>
                <w:highlight w:val="none"/>
              </w:rPr>
            </w:pPr>
          </w:p>
        </w:tc>
        <w:tc>
          <w:tcPr>
            <w:tcW w:w="2474" w:type="dxa"/>
            <w:noWrap w:val="0"/>
            <w:vAlign w:val="center"/>
          </w:tcPr>
          <w:p>
            <w:pPr>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10" w:type="dxa"/>
            <w:noWrap w:val="0"/>
            <w:vAlign w:val="center"/>
          </w:tcPr>
          <w:p>
            <w:pPr>
              <w:jc w:val="center"/>
              <w:rPr>
                <w:rFonts w:hint="eastAsia" w:ascii="宋体" w:hAnsi="宋体"/>
                <w:color w:val="000000"/>
                <w:sz w:val="24"/>
                <w:highlight w:val="none"/>
              </w:rPr>
            </w:pPr>
          </w:p>
        </w:tc>
        <w:tc>
          <w:tcPr>
            <w:tcW w:w="90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126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1260" w:type="dxa"/>
            <w:noWrap w:val="0"/>
            <w:vAlign w:val="center"/>
          </w:tcPr>
          <w:p>
            <w:pPr>
              <w:jc w:val="center"/>
              <w:rPr>
                <w:rFonts w:hint="eastAsia" w:ascii="宋体" w:hAnsi="宋体"/>
                <w:color w:val="000000"/>
                <w:sz w:val="24"/>
                <w:highlight w:val="none"/>
              </w:rPr>
            </w:pPr>
          </w:p>
        </w:tc>
        <w:tc>
          <w:tcPr>
            <w:tcW w:w="2474" w:type="dxa"/>
            <w:noWrap w:val="0"/>
            <w:vAlign w:val="center"/>
          </w:tcPr>
          <w:p>
            <w:pPr>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10" w:type="dxa"/>
            <w:noWrap w:val="0"/>
            <w:vAlign w:val="center"/>
          </w:tcPr>
          <w:p>
            <w:pPr>
              <w:jc w:val="center"/>
              <w:rPr>
                <w:rFonts w:hint="eastAsia" w:ascii="宋体" w:hAnsi="宋体"/>
                <w:color w:val="000000"/>
                <w:sz w:val="24"/>
                <w:highlight w:val="none"/>
              </w:rPr>
            </w:pPr>
          </w:p>
        </w:tc>
        <w:tc>
          <w:tcPr>
            <w:tcW w:w="90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126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1260" w:type="dxa"/>
            <w:noWrap w:val="0"/>
            <w:vAlign w:val="center"/>
          </w:tcPr>
          <w:p>
            <w:pPr>
              <w:jc w:val="center"/>
              <w:rPr>
                <w:rFonts w:hint="eastAsia" w:ascii="宋体" w:hAnsi="宋体"/>
                <w:color w:val="000000"/>
                <w:sz w:val="24"/>
                <w:highlight w:val="none"/>
              </w:rPr>
            </w:pPr>
          </w:p>
        </w:tc>
        <w:tc>
          <w:tcPr>
            <w:tcW w:w="2474" w:type="dxa"/>
            <w:noWrap w:val="0"/>
            <w:vAlign w:val="center"/>
          </w:tcPr>
          <w:p>
            <w:pPr>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10" w:type="dxa"/>
            <w:noWrap w:val="0"/>
            <w:vAlign w:val="center"/>
          </w:tcPr>
          <w:p>
            <w:pPr>
              <w:jc w:val="center"/>
              <w:rPr>
                <w:rFonts w:hint="eastAsia" w:ascii="宋体" w:hAnsi="宋体"/>
                <w:color w:val="000000"/>
                <w:sz w:val="24"/>
                <w:highlight w:val="none"/>
              </w:rPr>
            </w:pPr>
          </w:p>
        </w:tc>
        <w:tc>
          <w:tcPr>
            <w:tcW w:w="90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126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1260" w:type="dxa"/>
            <w:noWrap w:val="0"/>
            <w:vAlign w:val="center"/>
          </w:tcPr>
          <w:p>
            <w:pPr>
              <w:jc w:val="center"/>
              <w:rPr>
                <w:rFonts w:hint="eastAsia" w:ascii="宋体" w:hAnsi="宋体"/>
                <w:color w:val="000000"/>
                <w:sz w:val="24"/>
                <w:highlight w:val="none"/>
              </w:rPr>
            </w:pPr>
          </w:p>
        </w:tc>
        <w:tc>
          <w:tcPr>
            <w:tcW w:w="2474" w:type="dxa"/>
            <w:noWrap w:val="0"/>
            <w:vAlign w:val="center"/>
          </w:tcPr>
          <w:p>
            <w:pPr>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10" w:type="dxa"/>
            <w:noWrap w:val="0"/>
            <w:vAlign w:val="center"/>
          </w:tcPr>
          <w:p>
            <w:pPr>
              <w:jc w:val="center"/>
              <w:rPr>
                <w:rFonts w:hint="eastAsia" w:ascii="宋体" w:hAnsi="宋体"/>
                <w:color w:val="000000"/>
                <w:sz w:val="24"/>
                <w:highlight w:val="none"/>
              </w:rPr>
            </w:pPr>
          </w:p>
        </w:tc>
        <w:tc>
          <w:tcPr>
            <w:tcW w:w="90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126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1260" w:type="dxa"/>
            <w:noWrap w:val="0"/>
            <w:vAlign w:val="center"/>
          </w:tcPr>
          <w:p>
            <w:pPr>
              <w:jc w:val="center"/>
              <w:rPr>
                <w:rFonts w:hint="eastAsia" w:ascii="宋体" w:hAnsi="宋体"/>
                <w:color w:val="000000"/>
                <w:sz w:val="24"/>
                <w:highlight w:val="none"/>
              </w:rPr>
            </w:pPr>
          </w:p>
        </w:tc>
        <w:tc>
          <w:tcPr>
            <w:tcW w:w="2474" w:type="dxa"/>
            <w:noWrap w:val="0"/>
            <w:vAlign w:val="center"/>
          </w:tcPr>
          <w:p>
            <w:pPr>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10" w:type="dxa"/>
            <w:noWrap w:val="0"/>
            <w:vAlign w:val="center"/>
          </w:tcPr>
          <w:p>
            <w:pPr>
              <w:jc w:val="center"/>
              <w:rPr>
                <w:rFonts w:hint="eastAsia" w:ascii="宋体" w:hAnsi="宋体"/>
                <w:color w:val="000000"/>
                <w:sz w:val="24"/>
                <w:highlight w:val="none"/>
              </w:rPr>
            </w:pPr>
          </w:p>
        </w:tc>
        <w:tc>
          <w:tcPr>
            <w:tcW w:w="90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126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720" w:type="dxa"/>
            <w:noWrap w:val="0"/>
            <w:vAlign w:val="center"/>
          </w:tcPr>
          <w:p>
            <w:pPr>
              <w:jc w:val="center"/>
              <w:rPr>
                <w:rFonts w:hint="eastAsia" w:ascii="宋体" w:hAnsi="宋体"/>
                <w:color w:val="000000"/>
                <w:sz w:val="24"/>
                <w:highlight w:val="none"/>
              </w:rPr>
            </w:pPr>
          </w:p>
        </w:tc>
        <w:tc>
          <w:tcPr>
            <w:tcW w:w="1260" w:type="dxa"/>
            <w:noWrap w:val="0"/>
            <w:vAlign w:val="center"/>
          </w:tcPr>
          <w:p>
            <w:pPr>
              <w:jc w:val="center"/>
              <w:rPr>
                <w:rFonts w:hint="eastAsia" w:ascii="宋体" w:hAnsi="宋体"/>
                <w:color w:val="000000"/>
                <w:sz w:val="24"/>
                <w:highlight w:val="none"/>
              </w:rPr>
            </w:pPr>
          </w:p>
        </w:tc>
        <w:tc>
          <w:tcPr>
            <w:tcW w:w="2474" w:type="dxa"/>
            <w:noWrap w:val="0"/>
            <w:vAlign w:val="center"/>
          </w:tcPr>
          <w:p>
            <w:pPr>
              <w:jc w:val="center"/>
              <w:rPr>
                <w:rFonts w:hint="eastAsia" w:ascii="宋体" w:hAnsi="宋体"/>
                <w:color w:val="000000"/>
                <w:sz w:val="24"/>
                <w:highlight w:val="none"/>
              </w:rPr>
            </w:pPr>
          </w:p>
        </w:tc>
      </w:tr>
    </w:tbl>
    <w:p>
      <w:pPr>
        <w:snapToGrid w:val="0"/>
        <w:spacing w:line="360" w:lineRule="auto"/>
        <w:ind w:firstLine="2944" w:firstLineChars="1227"/>
        <w:rPr>
          <w:rFonts w:hint="eastAsia" w:ascii="宋体" w:hAnsi="宋体" w:eastAsia="宋体" w:cs="宋体"/>
          <w:color w:val="auto"/>
          <w:sz w:val="24"/>
          <w:szCs w:val="24"/>
          <w:highlight w:val="none"/>
          <w:lang w:val="en-US" w:eastAsia="zh-CN"/>
        </w:rPr>
      </w:pPr>
    </w:p>
    <w:p>
      <w:pPr>
        <w:snapToGrid w:val="0"/>
        <w:spacing w:line="360" w:lineRule="auto"/>
        <w:ind w:firstLine="2944" w:firstLineChars="1227"/>
        <w:rPr>
          <w:rFonts w:hint="eastAsia" w:ascii="宋体" w:hAnsi="宋体" w:eastAsia="宋体" w:cs="宋体"/>
          <w:color w:val="auto"/>
          <w:sz w:val="24"/>
          <w:szCs w:val="24"/>
          <w:highlight w:val="none"/>
          <w:lang w:val="en-US" w:eastAsia="zh-CN"/>
        </w:rPr>
      </w:pPr>
    </w:p>
    <w:p>
      <w:pPr>
        <w:snapToGrid w:val="0"/>
        <w:spacing w:line="360" w:lineRule="auto"/>
        <w:ind w:firstLine="2944" w:firstLineChars="12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投标人</w:t>
      </w:r>
      <w:r>
        <w:rPr>
          <w:rFonts w:hint="eastAsia" w:ascii="宋体" w:hAnsi="宋体" w:eastAsia="宋体" w:cs="宋体"/>
          <w:color w:val="auto"/>
          <w:sz w:val="24"/>
          <w:szCs w:val="24"/>
          <w:highlight w:val="none"/>
          <w:u w:val="single"/>
        </w:rPr>
        <w:t xml:space="preserve">名称）       </w:t>
      </w:r>
    </w:p>
    <w:p>
      <w:pPr>
        <w:snapToGrid w:val="0"/>
        <w:spacing w:line="360" w:lineRule="auto"/>
        <w:ind w:firstLine="2944" w:firstLineChars="122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法定代表人或被授权人（签字或盖章）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snapToGrid w:val="0"/>
        <w:spacing w:line="360" w:lineRule="auto"/>
        <w:ind w:firstLine="2944" w:firstLineChars="122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snapToGrid/>
        <w:spacing w:line="240" w:lineRule="auto"/>
        <w:ind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br w:type="page"/>
      </w:r>
    </w:p>
    <w:p>
      <w:pPr>
        <w:spacing w:after="0" w:afterAutospacing="0" w:line="240" w:lineRule="auto"/>
        <w:jc w:val="both"/>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附件2：</w:t>
      </w:r>
    </w:p>
    <w:p>
      <w:pPr>
        <w:spacing w:after="0" w:afterAutospacing="0" w:line="240" w:lineRule="auto"/>
        <w:jc w:val="center"/>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拟投入主要其他人员简历表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1167"/>
        <w:gridCol w:w="1052"/>
        <w:gridCol w:w="842"/>
        <w:gridCol w:w="360"/>
        <w:gridCol w:w="900"/>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07"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姓  名</w:t>
            </w:r>
          </w:p>
        </w:tc>
        <w:tc>
          <w:tcPr>
            <w:tcW w:w="1167" w:type="dxa"/>
            <w:noWrap w:val="0"/>
            <w:vAlign w:val="center"/>
          </w:tcPr>
          <w:p>
            <w:pPr>
              <w:jc w:val="center"/>
              <w:rPr>
                <w:rFonts w:hint="eastAsia" w:ascii="宋体" w:hAnsi="宋体" w:eastAsia="宋体" w:cs="宋体"/>
                <w:color w:val="000000"/>
                <w:sz w:val="24"/>
                <w:szCs w:val="24"/>
                <w:highlight w:val="none"/>
              </w:rPr>
            </w:pPr>
          </w:p>
        </w:tc>
        <w:tc>
          <w:tcPr>
            <w:tcW w:w="1052"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性别</w:t>
            </w:r>
          </w:p>
        </w:tc>
        <w:tc>
          <w:tcPr>
            <w:tcW w:w="842" w:type="dxa"/>
            <w:noWrap w:val="0"/>
            <w:vAlign w:val="center"/>
          </w:tcPr>
          <w:p>
            <w:pPr>
              <w:jc w:val="center"/>
              <w:rPr>
                <w:rFonts w:hint="eastAsia" w:ascii="宋体" w:hAnsi="宋体" w:eastAsia="宋体" w:cs="宋体"/>
                <w:color w:val="000000"/>
                <w:sz w:val="24"/>
                <w:szCs w:val="24"/>
                <w:highlight w:val="none"/>
              </w:rPr>
            </w:pPr>
          </w:p>
        </w:tc>
        <w:tc>
          <w:tcPr>
            <w:tcW w:w="1260" w:type="dxa"/>
            <w:gridSpan w:val="2"/>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出生日期</w:t>
            </w:r>
          </w:p>
        </w:tc>
        <w:tc>
          <w:tcPr>
            <w:tcW w:w="2540"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07"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毕业院校专业</w:t>
            </w:r>
          </w:p>
        </w:tc>
        <w:tc>
          <w:tcPr>
            <w:tcW w:w="3061" w:type="dxa"/>
            <w:gridSpan w:val="3"/>
            <w:noWrap w:val="0"/>
            <w:vAlign w:val="center"/>
          </w:tcPr>
          <w:p>
            <w:pPr>
              <w:jc w:val="center"/>
              <w:rPr>
                <w:rFonts w:hint="eastAsia" w:ascii="宋体" w:hAnsi="宋体" w:eastAsia="宋体" w:cs="宋体"/>
                <w:color w:val="000000"/>
                <w:sz w:val="24"/>
                <w:szCs w:val="24"/>
                <w:highlight w:val="none"/>
              </w:rPr>
            </w:pPr>
          </w:p>
        </w:tc>
        <w:tc>
          <w:tcPr>
            <w:tcW w:w="1260" w:type="dxa"/>
            <w:gridSpan w:val="2"/>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毕业时间</w:t>
            </w:r>
          </w:p>
        </w:tc>
        <w:tc>
          <w:tcPr>
            <w:tcW w:w="2540" w:type="dxa"/>
            <w:noWrap w:val="0"/>
            <w:vAlign w:val="center"/>
          </w:tcPr>
          <w:p>
            <w:pPr>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07"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从事本专业时间</w:t>
            </w:r>
          </w:p>
        </w:tc>
        <w:tc>
          <w:tcPr>
            <w:tcW w:w="2219" w:type="dxa"/>
            <w:gridSpan w:val="2"/>
            <w:noWrap w:val="0"/>
            <w:vAlign w:val="center"/>
          </w:tcPr>
          <w:p>
            <w:pPr>
              <w:jc w:val="center"/>
              <w:rPr>
                <w:rFonts w:hint="eastAsia" w:ascii="宋体" w:hAnsi="宋体" w:eastAsia="宋体" w:cs="宋体"/>
                <w:color w:val="000000"/>
                <w:sz w:val="24"/>
                <w:szCs w:val="24"/>
                <w:highlight w:val="none"/>
              </w:rPr>
            </w:pPr>
          </w:p>
        </w:tc>
        <w:tc>
          <w:tcPr>
            <w:tcW w:w="2102" w:type="dxa"/>
            <w:gridSpan w:val="3"/>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为</w:t>
            </w:r>
            <w:r>
              <w:rPr>
                <w:rFonts w:hint="eastAsia" w:ascii="宋体" w:hAnsi="宋体" w:eastAsia="宋体" w:cs="宋体"/>
                <w:color w:val="000000"/>
                <w:sz w:val="24"/>
                <w:szCs w:val="24"/>
                <w:highlight w:val="none"/>
                <w:lang w:val="en-US" w:eastAsia="zh-CN"/>
              </w:rPr>
              <w:t>供应商</w:t>
            </w:r>
          </w:p>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服务时间</w:t>
            </w:r>
          </w:p>
        </w:tc>
        <w:tc>
          <w:tcPr>
            <w:tcW w:w="2540" w:type="dxa"/>
            <w:noWrap w:val="0"/>
            <w:vAlign w:val="center"/>
          </w:tcPr>
          <w:p>
            <w:pPr>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07"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执业注册</w:t>
            </w:r>
          </w:p>
        </w:tc>
        <w:tc>
          <w:tcPr>
            <w:tcW w:w="2219" w:type="dxa"/>
            <w:gridSpan w:val="2"/>
            <w:noWrap w:val="0"/>
            <w:vAlign w:val="center"/>
          </w:tcPr>
          <w:p>
            <w:pPr>
              <w:jc w:val="center"/>
              <w:rPr>
                <w:rFonts w:hint="eastAsia" w:ascii="宋体" w:hAnsi="宋体" w:eastAsia="宋体" w:cs="宋体"/>
                <w:color w:val="000000"/>
                <w:sz w:val="24"/>
                <w:szCs w:val="24"/>
                <w:highlight w:val="none"/>
              </w:rPr>
            </w:pPr>
          </w:p>
        </w:tc>
        <w:tc>
          <w:tcPr>
            <w:tcW w:w="2102" w:type="dxa"/>
            <w:gridSpan w:val="3"/>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    称</w:t>
            </w:r>
          </w:p>
        </w:tc>
        <w:tc>
          <w:tcPr>
            <w:tcW w:w="2540" w:type="dxa"/>
            <w:noWrap w:val="0"/>
            <w:vAlign w:val="center"/>
          </w:tcPr>
          <w:p>
            <w:pPr>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126" w:type="dxa"/>
            <w:gridSpan w:val="3"/>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 本 项 目 拟 任 职 务</w:t>
            </w:r>
          </w:p>
        </w:tc>
        <w:tc>
          <w:tcPr>
            <w:tcW w:w="4642" w:type="dxa"/>
            <w:gridSpan w:val="4"/>
            <w:noWrap w:val="0"/>
            <w:vAlign w:val="center"/>
          </w:tcPr>
          <w:p>
            <w:pPr>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768" w:type="dxa"/>
            <w:gridSpan w:val="7"/>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07"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时  间</w:t>
            </w:r>
          </w:p>
        </w:tc>
        <w:tc>
          <w:tcPr>
            <w:tcW w:w="3421" w:type="dxa"/>
            <w:gridSpan w:val="4"/>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参加过的</w:t>
            </w:r>
            <w:r>
              <w:rPr>
                <w:rFonts w:hint="eastAsia" w:ascii="宋体" w:hAnsi="宋体" w:eastAsia="宋体" w:cs="宋体"/>
                <w:color w:val="000000"/>
                <w:sz w:val="24"/>
                <w:szCs w:val="24"/>
                <w:highlight w:val="none"/>
                <w:lang w:val="en-US" w:eastAsia="zh-CN"/>
              </w:rPr>
              <w:t>类似</w:t>
            </w:r>
            <w:r>
              <w:rPr>
                <w:rFonts w:hint="eastAsia" w:ascii="宋体" w:hAnsi="宋体" w:eastAsia="宋体" w:cs="宋体"/>
                <w:color w:val="000000"/>
                <w:sz w:val="24"/>
                <w:szCs w:val="24"/>
                <w:highlight w:val="none"/>
              </w:rPr>
              <w:t>项目</w:t>
            </w:r>
          </w:p>
        </w:tc>
        <w:tc>
          <w:tcPr>
            <w:tcW w:w="3440" w:type="dxa"/>
            <w:gridSpan w:val="2"/>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907" w:type="dxa"/>
            <w:noWrap w:val="0"/>
            <w:vAlign w:val="center"/>
          </w:tcPr>
          <w:p>
            <w:pPr>
              <w:jc w:val="center"/>
              <w:rPr>
                <w:rFonts w:hint="eastAsia" w:ascii="宋体" w:hAnsi="宋体" w:eastAsia="宋体" w:cs="宋体"/>
                <w:color w:val="000000"/>
                <w:sz w:val="24"/>
                <w:szCs w:val="24"/>
                <w:highlight w:val="none"/>
              </w:rPr>
            </w:pPr>
          </w:p>
        </w:tc>
        <w:tc>
          <w:tcPr>
            <w:tcW w:w="3421" w:type="dxa"/>
            <w:gridSpan w:val="4"/>
            <w:noWrap w:val="0"/>
            <w:vAlign w:val="center"/>
          </w:tcPr>
          <w:p>
            <w:pPr>
              <w:jc w:val="center"/>
              <w:rPr>
                <w:rFonts w:hint="eastAsia" w:ascii="宋体" w:hAnsi="宋体" w:eastAsia="宋体" w:cs="宋体"/>
                <w:color w:val="000000"/>
                <w:sz w:val="24"/>
                <w:szCs w:val="24"/>
                <w:highlight w:val="none"/>
              </w:rPr>
            </w:pPr>
          </w:p>
        </w:tc>
        <w:tc>
          <w:tcPr>
            <w:tcW w:w="3440" w:type="dxa"/>
            <w:gridSpan w:val="2"/>
            <w:noWrap w:val="0"/>
            <w:vAlign w:val="center"/>
          </w:tcPr>
          <w:p>
            <w:pPr>
              <w:jc w:val="center"/>
              <w:rPr>
                <w:rFonts w:hint="eastAsia" w:ascii="宋体" w:hAnsi="宋体" w:eastAsia="宋体" w:cs="宋体"/>
                <w:color w:val="000000"/>
                <w:sz w:val="24"/>
                <w:szCs w:val="24"/>
                <w:highlight w:val="none"/>
              </w:rPr>
            </w:pPr>
          </w:p>
        </w:tc>
      </w:tr>
    </w:tbl>
    <w:p>
      <w:pPr>
        <w:spacing w:line="360" w:lineRule="auto"/>
        <w:ind w:firstLine="482" w:firstLineChars="200"/>
        <w:rPr>
          <w:rFonts w:hint="eastAsia" w:ascii="宋体" w:hAnsi="宋体"/>
          <w:b/>
          <w:bCs/>
          <w:color w:val="000000"/>
          <w:sz w:val="24"/>
          <w:highlight w:val="none"/>
        </w:rPr>
      </w:pPr>
      <w:r>
        <w:rPr>
          <w:rFonts w:hint="eastAsia" w:ascii="宋体" w:hAnsi="宋体" w:eastAsia="宋体"/>
          <w:b/>
          <w:bCs/>
          <w:color w:val="000000"/>
          <w:sz w:val="24"/>
          <w:highlight w:val="none"/>
          <w:lang w:val="en-US" w:eastAsia="zh-CN"/>
        </w:rPr>
        <w:t>注：</w:t>
      </w:r>
      <w:r>
        <w:rPr>
          <w:rFonts w:hint="eastAsia" w:ascii="宋体" w:hAnsi="宋体"/>
          <w:b/>
          <w:bCs/>
          <w:color w:val="000000"/>
          <w:sz w:val="24"/>
          <w:highlight w:val="none"/>
        </w:rPr>
        <w:t>表后附身份证、毕业证、职称证、执业资格证</w:t>
      </w:r>
      <w:r>
        <w:rPr>
          <w:rFonts w:hint="eastAsia" w:ascii="宋体" w:hAnsi="宋体" w:eastAsia="宋体"/>
          <w:b/>
          <w:bCs/>
          <w:color w:val="000000"/>
          <w:sz w:val="24"/>
          <w:highlight w:val="none"/>
          <w:lang w:val="en-US" w:eastAsia="zh-CN"/>
        </w:rPr>
        <w:t>等</w:t>
      </w:r>
      <w:r>
        <w:rPr>
          <w:rFonts w:hint="eastAsia" w:ascii="宋体" w:hAnsi="宋体"/>
          <w:b/>
          <w:bCs/>
          <w:color w:val="000000"/>
          <w:sz w:val="24"/>
          <w:highlight w:val="none"/>
          <w:lang w:eastAsia="zh-CN"/>
        </w:rPr>
        <w:t>扫描件</w:t>
      </w:r>
      <w:r>
        <w:rPr>
          <w:rFonts w:hint="eastAsia" w:ascii="宋体" w:hAnsi="宋体"/>
          <w:b/>
          <w:bCs/>
          <w:color w:val="000000"/>
          <w:sz w:val="24"/>
          <w:highlight w:val="none"/>
        </w:rPr>
        <w:t>。</w:t>
      </w:r>
    </w:p>
    <w:p>
      <w:pPr>
        <w:spacing w:line="360" w:lineRule="auto"/>
        <w:ind w:firstLine="480" w:firstLineChars="200"/>
        <w:rPr>
          <w:rFonts w:hint="eastAsia" w:ascii="宋体" w:hAnsi="宋体"/>
          <w:b/>
          <w:bCs/>
          <w:color w:val="000000"/>
          <w:sz w:val="24"/>
          <w:highlight w:val="none"/>
        </w:rPr>
      </w:pPr>
    </w:p>
    <w:p>
      <w:pPr>
        <w:spacing w:line="360" w:lineRule="auto"/>
        <w:ind w:firstLine="480" w:firstLineChars="200"/>
        <w:rPr>
          <w:rFonts w:hint="eastAsia" w:ascii="宋体" w:hAnsi="宋体"/>
          <w:b/>
          <w:bCs/>
          <w:color w:val="000000"/>
          <w:sz w:val="24"/>
          <w:highlight w:val="none"/>
        </w:rPr>
      </w:pPr>
    </w:p>
    <w:p>
      <w:pPr>
        <w:snapToGrid w:val="0"/>
        <w:spacing w:line="360" w:lineRule="auto"/>
        <w:ind w:firstLine="2944" w:firstLineChars="1227"/>
        <w:rPr>
          <w:rFonts w:hint="eastAsia" w:ascii="宋体" w:hAnsi="宋体" w:eastAsia="宋体" w:cs="宋体"/>
          <w:color w:val="auto"/>
          <w:sz w:val="24"/>
          <w:szCs w:val="24"/>
          <w:highlight w:val="none"/>
          <w:lang w:val="en-US" w:eastAsia="zh-CN"/>
        </w:rPr>
      </w:pPr>
    </w:p>
    <w:p>
      <w:pPr>
        <w:snapToGrid w:val="0"/>
        <w:spacing w:line="360" w:lineRule="auto"/>
        <w:ind w:firstLine="2944" w:firstLineChars="12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投标人</w:t>
      </w:r>
      <w:r>
        <w:rPr>
          <w:rFonts w:hint="eastAsia" w:ascii="宋体" w:hAnsi="宋体" w:eastAsia="宋体" w:cs="宋体"/>
          <w:color w:val="auto"/>
          <w:sz w:val="24"/>
          <w:szCs w:val="24"/>
          <w:highlight w:val="none"/>
          <w:u w:val="single"/>
        </w:rPr>
        <w:t xml:space="preserve">名称）       </w:t>
      </w:r>
    </w:p>
    <w:p>
      <w:pPr>
        <w:snapToGrid w:val="0"/>
        <w:spacing w:line="360" w:lineRule="auto"/>
        <w:ind w:firstLine="2944" w:firstLineChars="122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法定代表人或被授权人（签字或盖章）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snapToGrid w:val="0"/>
        <w:spacing w:line="360" w:lineRule="auto"/>
        <w:ind w:firstLine="2944" w:firstLineChars="122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2"/>
        <w:outlineLvl w:val="9"/>
        <w:rPr>
          <w:rFonts w:hint="eastAsia"/>
          <w:highlight w:val="none"/>
        </w:rPr>
      </w:pP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spacing w:before="0" w:line="240" w:lineRule="auto"/>
        <w:outlineLvl w:val="9"/>
        <w:rPr>
          <w:rFonts w:hint="eastAsia" w:ascii="宋体" w:hAnsi="宋体" w:eastAsia="宋体" w:cs="宋体"/>
          <w:b/>
          <w:bCs/>
          <w:color w:val="auto"/>
          <w:spacing w:val="0"/>
          <w:sz w:val="28"/>
          <w:szCs w:val="28"/>
          <w:highlight w:val="none"/>
          <w:lang w:val="en-US" w:eastAsia="zh-CN"/>
        </w:rPr>
      </w:pPr>
      <w:r>
        <w:rPr>
          <w:rFonts w:hint="eastAsia" w:ascii="宋体" w:hAnsi="宋体" w:eastAsia="宋体" w:cs="宋体"/>
          <w:b/>
          <w:bCs/>
          <w:color w:val="auto"/>
          <w:spacing w:val="0"/>
          <w:sz w:val="28"/>
          <w:szCs w:val="28"/>
          <w:highlight w:val="none"/>
          <w:lang w:val="en-US" w:eastAsia="zh-CN"/>
        </w:rPr>
        <w:t>附件3：</w:t>
      </w:r>
    </w:p>
    <w:p>
      <w:pPr>
        <w:spacing w:line="240" w:lineRule="auto"/>
        <w:jc w:val="center"/>
        <w:outlineLvl w:val="2"/>
        <w:rPr>
          <w:rFonts w:hint="eastAsia" w:ascii="宋体" w:hAnsi="宋体" w:eastAsia="宋体" w:cs="宋体"/>
          <w:b/>
          <w:bCs/>
          <w:color w:val="auto"/>
          <w:sz w:val="32"/>
          <w:szCs w:val="32"/>
          <w:highlight w:val="none"/>
          <w:lang w:val="en-US" w:eastAsia="zh-CN"/>
        </w:rPr>
      </w:pPr>
    </w:p>
    <w:p>
      <w:pPr>
        <w:spacing w:line="240" w:lineRule="auto"/>
        <w:jc w:val="center"/>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投标人2020年至今所承担同类项目情况一览表（格式）</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1650"/>
        <w:gridCol w:w="1600"/>
        <w:gridCol w:w="1550"/>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14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color w:val="000000"/>
                <w:sz w:val="24"/>
                <w:highlight w:val="none"/>
              </w:rPr>
            </w:pPr>
            <w:r>
              <w:rPr>
                <w:rFonts w:hint="eastAsia" w:ascii="宋体" w:hAnsi="宋体"/>
                <w:color w:val="000000"/>
                <w:sz w:val="24"/>
                <w:highlight w:val="none"/>
              </w:rPr>
              <w:t>项目名称</w:t>
            </w:r>
          </w:p>
        </w:tc>
        <w:tc>
          <w:tcPr>
            <w:tcW w:w="165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color w:val="000000"/>
                <w:sz w:val="24"/>
                <w:highlight w:val="none"/>
              </w:rPr>
            </w:pPr>
            <w:r>
              <w:rPr>
                <w:rFonts w:hint="eastAsia" w:ascii="宋体" w:hAnsi="宋体"/>
                <w:color w:val="000000"/>
                <w:sz w:val="24"/>
                <w:highlight w:val="none"/>
              </w:rPr>
              <w:t>类型</w:t>
            </w:r>
          </w:p>
        </w:tc>
        <w:tc>
          <w:tcPr>
            <w:tcW w:w="160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color w:val="000000"/>
                <w:sz w:val="24"/>
                <w:highlight w:val="none"/>
              </w:rPr>
            </w:pPr>
            <w:r>
              <w:rPr>
                <w:rFonts w:hint="eastAsia" w:ascii="宋体" w:hAnsi="宋体" w:eastAsia="宋体"/>
                <w:color w:val="000000"/>
                <w:sz w:val="24"/>
                <w:highlight w:val="none"/>
                <w:lang w:val="en-US" w:eastAsia="zh-CN"/>
              </w:rPr>
              <w:t>合同</w:t>
            </w:r>
            <w:r>
              <w:rPr>
                <w:rFonts w:hint="eastAsia" w:ascii="宋体" w:hAnsi="宋体"/>
                <w:color w:val="000000"/>
                <w:sz w:val="24"/>
                <w:highlight w:val="none"/>
              </w:rPr>
              <w:t>日期</w:t>
            </w:r>
          </w:p>
        </w:tc>
        <w:tc>
          <w:tcPr>
            <w:tcW w:w="155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color w:val="000000"/>
                <w:sz w:val="24"/>
                <w:highlight w:val="none"/>
              </w:rPr>
            </w:pPr>
            <w:r>
              <w:rPr>
                <w:rFonts w:hint="eastAsia" w:ascii="宋体" w:hAnsi="宋体"/>
                <w:color w:val="000000"/>
                <w:sz w:val="24"/>
                <w:highlight w:val="none"/>
              </w:rPr>
              <w:t>合同价格</w:t>
            </w:r>
          </w:p>
        </w:tc>
        <w:tc>
          <w:tcPr>
            <w:tcW w:w="197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color w:val="000000"/>
                <w:sz w:val="24"/>
                <w:highlight w:val="none"/>
              </w:rPr>
            </w:pPr>
            <w:r>
              <w:rPr>
                <w:rFonts w:hint="eastAsia" w:ascii="宋体" w:hAnsi="宋体"/>
                <w:color w:val="000000"/>
                <w:sz w:val="24"/>
                <w:highlight w:val="none"/>
              </w:rPr>
              <w:t>质量达到标准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145" w:type="dxa"/>
            <w:noWrap w:val="0"/>
            <w:vAlign w:val="top"/>
          </w:tcPr>
          <w:p>
            <w:pPr>
              <w:spacing w:line="480" w:lineRule="exact"/>
              <w:rPr>
                <w:rFonts w:hint="eastAsia" w:ascii="宋体" w:hAnsi="宋体"/>
                <w:color w:val="000000"/>
                <w:sz w:val="24"/>
                <w:highlight w:val="none"/>
              </w:rPr>
            </w:pPr>
          </w:p>
        </w:tc>
        <w:tc>
          <w:tcPr>
            <w:tcW w:w="1650" w:type="dxa"/>
            <w:noWrap w:val="0"/>
            <w:vAlign w:val="top"/>
          </w:tcPr>
          <w:p>
            <w:pPr>
              <w:spacing w:line="480" w:lineRule="exact"/>
              <w:rPr>
                <w:rFonts w:hint="eastAsia" w:ascii="宋体" w:hAnsi="宋体"/>
                <w:color w:val="000000"/>
                <w:sz w:val="24"/>
                <w:highlight w:val="none"/>
              </w:rPr>
            </w:pPr>
          </w:p>
        </w:tc>
        <w:tc>
          <w:tcPr>
            <w:tcW w:w="1600" w:type="dxa"/>
            <w:noWrap w:val="0"/>
            <w:vAlign w:val="top"/>
          </w:tcPr>
          <w:p>
            <w:pPr>
              <w:spacing w:line="480" w:lineRule="exact"/>
              <w:rPr>
                <w:rFonts w:hint="eastAsia" w:ascii="宋体" w:hAnsi="宋体"/>
                <w:color w:val="000000"/>
                <w:sz w:val="24"/>
                <w:highlight w:val="none"/>
              </w:rPr>
            </w:pPr>
          </w:p>
        </w:tc>
        <w:tc>
          <w:tcPr>
            <w:tcW w:w="1550" w:type="dxa"/>
            <w:noWrap w:val="0"/>
            <w:vAlign w:val="top"/>
          </w:tcPr>
          <w:p>
            <w:pPr>
              <w:spacing w:line="480" w:lineRule="exact"/>
              <w:rPr>
                <w:rFonts w:hint="eastAsia" w:ascii="宋体" w:hAnsi="宋体"/>
                <w:color w:val="000000"/>
                <w:sz w:val="24"/>
                <w:highlight w:val="none"/>
              </w:rPr>
            </w:pPr>
          </w:p>
        </w:tc>
        <w:tc>
          <w:tcPr>
            <w:tcW w:w="1974" w:type="dxa"/>
            <w:noWrap w:val="0"/>
            <w:vAlign w:val="top"/>
          </w:tcPr>
          <w:p>
            <w:pPr>
              <w:spacing w:line="480" w:lineRule="exact"/>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145" w:type="dxa"/>
            <w:noWrap w:val="0"/>
            <w:vAlign w:val="top"/>
          </w:tcPr>
          <w:p>
            <w:pPr>
              <w:spacing w:line="480" w:lineRule="exact"/>
              <w:rPr>
                <w:rFonts w:hint="eastAsia" w:ascii="宋体" w:hAnsi="宋体"/>
                <w:color w:val="000000"/>
                <w:sz w:val="24"/>
                <w:highlight w:val="none"/>
              </w:rPr>
            </w:pPr>
          </w:p>
        </w:tc>
        <w:tc>
          <w:tcPr>
            <w:tcW w:w="1650" w:type="dxa"/>
            <w:noWrap w:val="0"/>
            <w:vAlign w:val="top"/>
          </w:tcPr>
          <w:p>
            <w:pPr>
              <w:spacing w:line="480" w:lineRule="exact"/>
              <w:rPr>
                <w:rFonts w:hint="eastAsia" w:ascii="宋体" w:hAnsi="宋体"/>
                <w:color w:val="000000"/>
                <w:sz w:val="24"/>
                <w:highlight w:val="none"/>
              </w:rPr>
            </w:pPr>
          </w:p>
        </w:tc>
        <w:tc>
          <w:tcPr>
            <w:tcW w:w="1600" w:type="dxa"/>
            <w:noWrap w:val="0"/>
            <w:vAlign w:val="top"/>
          </w:tcPr>
          <w:p>
            <w:pPr>
              <w:spacing w:line="480" w:lineRule="exact"/>
              <w:rPr>
                <w:rFonts w:hint="eastAsia" w:ascii="宋体" w:hAnsi="宋体"/>
                <w:color w:val="000000"/>
                <w:sz w:val="24"/>
                <w:highlight w:val="none"/>
              </w:rPr>
            </w:pPr>
          </w:p>
        </w:tc>
        <w:tc>
          <w:tcPr>
            <w:tcW w:w="1550" w:type="dxa"/>
            <w:noWrap w:val="0"/>
            <w:vAlign w:val="top"/>
          </w:tcPr>
          <w:p>
            <w:pPr>
              <w:spacing w:line="480" w:lineRule="exact"/>
              <w:rPr>
                <w:rFonts w:hint="eastAsia" w:ascii="宋体" w:hAnsi="宋体"/>
                <w:color w:val="000000"/>
                <w:sz w:val="24"/>
                <w:highlight w:val="none"/>
              </w:rPr>
            </w:pPr>
          </w:p>
        </w:tc>
        <w:tc>
          <w:tcPr>
            <w:tcW w:w="1974" w:type="dxa"/>
            <w:noWrap w:val="0"/>
            <w:vAlign w:val="top"/>
          </w:tcPr>
          <w:p>
            <w:pPr>
              <w:spacing w:line="480" w:lineRule="exact"/>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145" w:type="dxa"/>
            <w:noWrap w:val="0"/>
            <w:vAlign w:val="top"/>
          </w:tcPr>
          <w:p>
            <w:pPr>
              <w:spacing w:line="480" w:lineRule="exact"/>
              <w:rPr>
                <w:rFonts w:hint="eastAsia" w:ascii="宋体" w:hAnsi="宋体"/>
                <w:color w:val="000000"/>
                <w:sz w:val="24"/>
                <w:highlight w:val="none"/>
              </w:rPr>
            </w:pPr>
          </w:p>
        </w:tc>
        <w:tc>
          <w:tcPr>
            <w:tcW w:w="1650" w:type="dxa"/>
            <w:noWrap w:val="0"/>
            <w:vAlign w:val="top"/>
          </w:tcPr>
          <w:p>
            <w:pPr>
              <w:spacing w:line="480" w:lineRule="exact"/>
              <w:rPr>
                <w:rFonts w:hint="eastAsia" w:ascii="宋体" w:hAnsi="宋体"/>
                <w:color w:val="000000"/>
                <w:sz w:val="24"/>
                <w:highlight w:val="none"/>
              </w:rPr>
            </w:pPr>
          </w:p>
        </w:tc>
        <w:tc>
          <w:tcPr>
            <w:tcW w:w="1600" w:type="dxa"/>
            <w:noWrap w:val="0"/>
            <w:vAlign w:val="top"/>
          </w:tcPr>
          <w:p>
            <w:pPr>
              <w:spacing w:line="480" w:lineRule="exact"/>
              <w:rPr>
                <w:rFonts w:hint="eastAsia" w:ascii="宋体" w:hAnsi="宋体"/>
                <w:color w:val="000000"/>
                <w:sz w:val="24"/>
                <w:highlight w:val="none"/>
              </w:rPr>
            </w:pPr>
          </w:p>
        </w:tc>
        <w:tc>
          <w:tcPr>
            <w:tcW w:w="1550" w:type="dxa"/>
            <w:noWrap w:val="0"/>
            <w:vAlign w:val="top"/>
          </w:tcPr>
          <w:p>
            <w:pPr>
              <w:spacing w:line="480" w:lineRule="exact"/>
              <w:rPr>
                <w:rFonts w:hint="eastAsia" w:ascii="宋体" w:hAnsi="宋体"/>
                <w:color w:val="000000"/>
                <w:sz w:val="24"/>
                <w:highlight w:val="none"/>
              </w:rPr>
            </w:pPr>
          </w:p>
        </w:tc>
        <w:tc>
          <w:tcPr>
            <w:tcW w:w="1974" w:type="dxa"/>
            <w:noWrap w:val="0"/>
            <w:vAlign w:val="top"/>
          </w:tcPr>
          <w:p>
            <w:pPr>
              <w:spacing w:line="480" w:lineRule="exact"/>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145" w:type="dxa"/>
            <w:noWrap w:val="0"/>
            <w:vAlign w:val="top"/>
          </w:tcPr>
          <w:p>
            <w:pPr>
              <w:spacing w:line="480" w:lineRule="exact"/>
              <w:rPr>
                <w:rFonts w:hint="eastAsia" w:ascii="宋体" w:hAnsi="宋体"/>
                <w:color w:val="000000"/>
                <w:sz w:val="24"/>
                <w:highlight w:val="none"/>
              </w:rPr>
            </w:pPr>
          </w:p>
        </w:tc>
        <w:tc>
          <w:tcPr>
            <w:tcW w:w="1650" w:type="dxa"/>
            <w:noWrap w:val="0"/>
            <w:vAlign w:val="top"/>
          </w:tcPr>
          <w:p>
            <w:pPr>
              <w:spacing w:line="480" w:lineRule="exact"/>
              <w:rPr>
                <w:rFonts w:hint="eastAsia" w:ascii="宋体" w:hAnsi="宋体"/>
                <w:color w:val="000000"/>
                <w:sz w:val="24"/>
                <w:highlight w:val="none"/>
              </w:rPr>
            </w:pPr>
          </w:p>
        </w:tc>
        <w:tc>
          <w:tcPr>
            <w:tcW w:w="1600" w:type="dxa"/>
            <w:noWrap w:val="0"/>
            <w:vAlign w:val="top"/>
          </w:tcPr>
          <w:p>
            <w:pPr>
              <w:spacing w:line="480" w:lineRule="exact"/>
              <w:rPr>
                <w:rFonts w:hint="eastAsia" w:ascii="宋体" w:hAnsi="宋体"/>
                <w:color w:val="000000"/>
                <w:sz w:val="24"/>
                <w:highlight w:val="none"/>
              </w:rPr>
            </w:pPr>
          </w:p>
        </w:tc>
        <w:tc>
          <w:tcPr>
            <w:tcW w:w="1550" w:type="dxa"/>
            <w:noWrap w:val="0"/>
            <w:vAlign w:val="top"/>
          </w:tcPr>
          <w:p>
            <w:pPr>
              <w:spacing w:line="480" w:lineRule="exact"/>
              <w:rPr>
                <w:rFonts w:hint="eastAsia" w:ascii="宋体" w:hAnsi="宋体"/>
                <w:color w:val="000000"/>
                <w:sz w:val="24"/>
                <w:highlight w:val="none"/>
              </w:rPr>
            </w:pPr>
          </w:p>
        </w:tc>
        <w:tc>
          <w:tcPr>
            <w:tcW w:w="1974" w:type="dxa"/>
            <w:noWrap w:val="0"/>
            <w:vAlign w:val="top"/>
          </w:tcPr>
          <w:p>
            <w:pPr>
              <w:spacing w:line="480" w:lineRule="exact"/>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145" w:type="dxa"/>
            <w:noWrap w:val="0"/>
            <w:vAlign w:val="top"/>
          </w:tcPr>
          <w:p>
            <w:pPr>
              <w:spacing w:line="480" w:lineRule="exact"/>
              <w:rPr>
                <w:rFonts w:hint="eastAsia" w:ascii="宋体" w:hAnsi="宋体"/>
                <w:color w:val="000000"/>
                <w:sz w:val="24"/>
                <w:highlight w:val="none"/>
              </w:rPr>
            </w:pPr>
          </w:p>
        </w:tc>
        <w:tc>
          <w:tcPr>
            <w:tcW w:w="1650" w:type="dxa"/>
            <w:noWrap w:val="0"/>
            <w:vAlign w:val="top"/>
          </w:tcPr>
          <w:p>
            <w:pPr>
              <w:spacing w:line="480" w:lineRule="exact"/>
              <w:rPr>
                <w:rFonts w:hint="eastAsia" w:ascii="宋体" w:hAnsi="宋体"/>
                <w:color w:val="000000"/>
                <w:sz w:val="24"/>
                <w:highlight w:val="none"/>
              </w:rPr>
            </w:pPr>
          </w:p>
        </w:tc>
        <w:tc>
          <w:tcPr>
            <w:tcW w:w="1600" w:type="dxa"/>
            <w:noWrap w:val="0"/>
            <w:vAlign w:val="top"/>
          </w:tcPr>
          <w:p>
            <w:pPr>
              <w:spacing w:line="480" w:lineRule="exact"/>
              <w:rPr>
                <w:rFonts w:hint="eastAsia" w:ascii="宋体" w:hAnsi="宋体"/>
                <w:color w:val="000000"/>
                <w:sz w:val="24"/>
                <w:highlight w:val="none"/>
              </w:rPr>
            </w:pPr>
          </w:p>
        </w:tc>
        <w:tc>
          <w:tcPr>
            <w:tcW w:w="1550" w:type="dxa"/>
            <w:noWrap w:val="0"/>
            <w:vAlign w:val="top"/>
          </w:tcPr>
          <w:p>
            <w:pPr>
              <w:spacing w:line="480" w:lineRule="exact"/>
              <w:rPr>
                <w:rFonts w:hint="eastAsia" w:ascii="宋体" w:hAnsi="宋体"/>
                <w:color w:val="000000"/>
                <w:sz w:val="24"/>
                <w:highlight w:val="none"/>
              </w:rPr>
            </w:pPr>
          </w:p>
        </w:tc>
        <w:tc>
          <w:tcPr>
            <w:tcW w:w="1974" w:type="dxa"/>
            <w:noWrap w:val="0"/>
            <w:vAlign w:val="top"/>
          </w:tcPr>
          <w:p>
            <w:pPr>
              <w:spacing w:line="480" w:lineRule="exact"/>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145" w:type="dxa"/>
            <w:noWrap w:val="0"/>
            <w:vAlign w:val="top"/>
          </w:tcPr>
          <w:p>
            <w:pPr>
              <w:spacing w:line="480" w:lineRule="exact"/>
              <w:rPr>
                <w:rFonts w:hint="eastAsia" w:ascii="宋体" w:hAnsi="宋体"/>
                <w:color w:val="000000"/>
                <w:sz w:val="24"/>
                <w:highlight w:val="none"/>
              </w:rPr>
            </w:pPr>
          </w:p>
        </w:tc>
        <w:tc>
          <w:tcPr>
            <w:tcW w:w="1650" w:type="dxa"/>
            <w:noWrap w:val="0"/>
            <w:vAlign w:val="top"/>
          </w:tcPr>
          <w:p>
            <w:pPr>
              <w:spacing w:line="480" w:lineRule="exact"/>
              <w:rPr>
                <w:rFonts w:hint="eastAsia" w:ascii="宋体" w:hAnsi="宋体"/>
                <w:color w:val="000000"/>
                <w:sz w:val="24"/>
                <w:highlight w:val="none"/>
              </w:rPr>
            </w:pPr>
          </w:p>
        </w:tc>
        <w:tc>
          <w:tcPr>
            <w:tcW w:w="1600" w:type="dxa"/>
            <w:noWrap w:val="0"/>
            <w:vAlign w:val="top"/>
          </w:tcPr>
          <w:p>
            <w:pPr>
              <w:spacing w:line="480" w:lineRule="exact"/>
              <w:rPr>
                <w:rFonts w:hint="eastAsia" w:ascii="宋体" w:hAnsi="宋体"/>
                <w:color w:val="000000"/>
                <w:sz w:val="24"/>
                <w:highlight w:val="none"/>
              </w:rPr>
            </w:pPr>
          </w:p>
        </w:tc>
        <w:tc>
          <w:tcPr>
            <w:tcW w:w="1550" w:type="dxa"/>
            <w:noWrap w:val="0"/>
            <w:vAlign w:val="top"/>
          </w:tcPr>
          <w:p>
            <w:pPr>
              <w:spacing w:line="480" w:lineRule="exact"/>
              <w:rPr>
                <w:rFonts w:hint="eastAsia" w:ascii="宋体" w:hAnsi="宋体"/>
                <w:color w:val="000000"/>
                <w:sz w:val="24"/>
                <w:highlight w:val="none"/>
              </w:rPr>
            </w:pPr>
          </w:p>
        </w:tc>
        <w:tc>
          <w:tcPr>
            <w:tcW w:w="1974" w:type="dxa"/>
            <w:noWrap w:val="0"/>
            <w:vAlign w:val="top"/>
          </w:tcPr>
          <w:p>
            <w:pPr>
              <w:spacing w:line="480" w:lineRule="exact"/>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145" w:type="dxa"/>
            <w:noWrap w:val="0"/>
            <w:vAlign w:val="top"/>
          </w:tcPr>
          <w:p>
            <w:pPr>
              <w:spacing w:line="480" w:lineRule="exact"/>
              <w:rPr>
                <w:rFonts w:hint="eastAsia" w:ascii="宋体" w:hAnsi="宋体"/>
                <w:color w:val="000000"/>
                <w:sz w:val="24"/>
                <w:highlight w:val="none"/>
              </w:rPr>
            </w:pPr>
          </w:p>
        </w:tc>
        <w:tc>
          <w:tcPr>
            <w:tcW w:w="1650" w:type="dxa"/>
            <w:noWrap w:val="0"/>
            <w:vAlign w:val="top"/>
          </w:tcPr>
          <w:p>
            <w:pPr>
              <w:spacing w:line="480" w:lineRule="exact"/>
              <w:rPr>
                <w:rFonts w:hint="eastAsia" w:ascii="宋体" w:hAnsi="宋体"/>
                <w:color w:val="000000"/>
                <w:sz w:val="24"/>
                <w:highlight w:val="none"/>
              </w:rPr>
            </w:pPr>
          </w:p>
        </w:tc>
        <w:tc>
          <w:tcPr>
            <w:tcW w:w="1600" w:type="dxa"/>
            <w:noWrap w:val="0"/>
            <w:vAlign w:val="top"/>
          </w:tcPr>
          <w:p>
            <w:pPr>
              <w:spacing w:line="480" w:lineRule="exact"/>
              <w:rPr>
                <w:rFonts w:hint="eastAsia" w:ascii="宋体" w:hAnsi="宋体"/>
                <w:color w:val="000000"/>
                <w:sz w:val="24"/>
                <w:highlight w:val="none"/>
              </w:rPr>
            </w:pPr>
          </w:p>
        </w:tc>
        <w:tc>
          <w:tcPr>
            <w:tcW w:w="1550" w:type="dxa"/>
            <w:noWrap w:val="0"/>
            <w:vAlign w:val="top"/>
          </w:tcPr>
          <w:p>
            <w:pPr>
              <w:spacing w:line="480" w:lineRule="exact"/>
              <w:rPr>
                <w:rFonts w:hint="eastAsia" w:ascii="宋体" w:hAnsi="宋体"/>
                <w:color w:val="000000"/>
                <w:sz w:val="24"/>
                <w:highlight w:val="none"/>
              </w:rPr>
            </w:pPr>
          </w:p>
        </w:tc>
        <w:tc>
          <w:tcPr>
            <w:tcW w:w="1974" w:type="dxa"/>
            <w:noWrap w:val="0"/>
            <w:vAlign w:val="top"/>
          </w:tcPr>
          <w:p>
            <w:pPr>
              <w:spacing w:line="480" w:lineRule="exact"/>
              <w:rPr>
                <w:rFonts w:hint="eastAsia" w:ascii="宋体" w:hAnsi="宋体"/>
                <w:color w:val="000000"/>
                <w:sz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Times New Roman"/>
          <w:b w:val="0"/>
          <w:bCs/>
          <w:snapToGrid/>
          <w:color w:val="000000"/>
          <w:kern w:val="2"/>
          <w:sz w:val="21"/>
          <w:szCs w:val="21"/>
          <w:highlight w:val="none"/>
          <w:lang w:val="en-US" w:eastAsia="zh-CN" w:bidi="ar-SA"/>
        </w:rPr>
      </w:pPr>
      <w:r>
        <w:rPr>
          <w:rFonts w:hint="eastAsia" w:ascii="宋体" w:hAnsi="宋体" w:eastAsia="宋体" w:cs="Times New Roman"/>
          <w:b w:val="0"/>
          <w:bCs/>
          <w:snapToGrid/>
          <w:color w:val="000000"/>
          <w:kern w:val="2"/>
          <w:sz w:val="21"/>
          <w:szCs w:val="21"/>
          <w:highlight w:val="none"/>
          <w:lang w:val="en-US" w:eastAsia="zh-CN" w:bidi="ar-SA"/>
        </w:rPr>
        <w:t>注：1.投标人应随此表附上相关的业绩证明（提供合同或经行政主管部门备案的中标通知书等资料的扫描件）。</w:t>
      </w:r>
    </w:p>
    <w:p>
      <w:pPr>
        <w:snapToGrid w:val="0"/>
        <w:spacing w:line="360" w:lineRule="auto"/>
        <w:ind w:firstLine="2944" w:firstLineChars="1227"/>
        <w:rPr>
          <w:rFonts w:hint="eastAsia" w:ascii="宋体" w:hAnsi="宋体" w:eastAsia="宋体" w:cs="宋体"/>
          <w:color w:val="auto"/>
          <w:sz w:val="24"/>
          <w:szCs w:val="24"/>
          <w:highlight w:val="none"/>
          <w:lang w:val="en-US" w:eastAsia="zh-CN"/>
        </w:rPr>
      </w:pPr>
    </w:p>
    <w:p>
      <w:pPr>
        <w:snapToGrid w:val="0"/>
        <w:spacing w:line="360" w:lineRule="auto"/>
        <w:ind w:firstLine="2944" w:firstLineChars="1227"/>
        <w:rPr>
          <w:rFonts w:hint="eastAsia" w:ascii="宋体" w:hAnsi="宋体" w:eastAsia="宋体" w:cs="宋体"/>
          <w:color w:val="auto"/>
          <w:sz w:val="24"/>
          <w:szCs w:val="24"/>
          <w:highlight w:val="none"/>
          <w:lang w:val="en-US" w:eastAsia="zh-CN"/>
        </w:rPr>
      </w:pPr>
    </w:p>
    <w:p>
      <w:pPr>
        <w:snapToGrid w:val="0"/>
        <w:spacing w:line="360" w:lineRule="auto"/>
        <w:ind w:firstLine="2944" w:firstLineChars="1227"/>
        <w:rPr>
          <w:rFonts w:hint="eastAsia" w:ascii="宋体" w:hAnsi="宋体" w:eastAsia="宋体" w:cs="宋体"/>
          <w:color w:val="auto"/>
          <w:sz w:val="24"/>
          <w:szCs w:val="24"/>
          <w:highlight w:val="none"/>
          <w:lang w:val="en-US" w:eastAsia="zh-CN"/>
        </w:rPr>
      </w:pPr>
    </w:p>
    <w:p>
      <w:pPr>
        <w:snapToGrid w:val="0"/>
        <w:spacing w:line="360" w:lineRule="auto"/>
        <w:ind w:firstLine="2944" w:firstLineChars="12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投标人</w:t>
      </w:r>
      <w:r>
        <w:rPr>
          <w:rFonts w:hint="eastAsia" w:ascii="宋体" w:hAnsi="宋体" w:eastAsia="宋体" w:cs="宋体"/>
          <w:color w:val="auto"/>
          <w:sz w:val="24"/>
          <w:szCs w:val="24"/>
          <w:highlight w:val="none"/>
          <w:u w:val="single"/>
        </w:rPr>
        <w:t xml:space="preserve">名称）       </w:t>
      </w:r>
    </w:p>
    <w:p>
      <w:pPr>
        <w:snapToGrid w:val="0"/>
        <w:spacing w:line="360" w:lineRule="auto"/>
        <w:ind w:firstLine="2944" w:firstLineChars="122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法定代表人或被授权人（签字或盖章）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snapToGrid w:val="0"/>
        <w:spacing w:line="360" w:lineRule="auto"/>
        <w:ind w:firstLine="2944" w:firstLineChars="122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rPr>
          <w:rFonts w:hint="eastAsia"/>
          <w:highlight w:val="none"/>
        </w:rPr>
      </w:pPr>
      <w:r>
        <w:rPr>
          <w:rFonts w:hint="eastAsia"/>
          <w:highlight w:val="none"/>
        </w:rPr>
        <w:br w:type="page"/>
      </w:r>
    </w:p>
    <w:p>
      <w:pPr>
        <w:pStyle w:val="2"/>
        <w:keepNext w:val="0"/>
        <w:keepLines w:val="0"/>
        <w:widowControl w:val="0"/>
        <w:spacing w:beforeLines="50" w:after="0" w:line="360" w:lineRule="auto"/>
        <w:ind w:left="0"/>
        <w:jc w:val="center"/>
        <w:rPr>
          <w:rFonts w:hint="eastAsia" w:ascii="宋体" w:hAnsi="宋体" w:eastAsia="宋体" w:cs="宋体"/>
          <w:bCs/>
          <w:snapToGrid/>
          <w:color w:val="auto"/>
          <w:kern w:val="0"/>
          <w:sz w:val="24"/>
          <w:szCs w:val="24"/>
          <w:highlight w:val="none"/>
          <w:lang w:val="en-US" w:eastAsia="zh-CN" w:bidi="ar-SA"/>
        </w:rPr>
      </w:pPr>
      <w:bookmarkStart w:id="135" w:name="书签4"/>
      <w:bookmarkEnd w:id="135"/>
      <w:r>
        <w:rPr>
          <w:rFonts w:hint="eastAsia" w:ascii="宋体" w:hAnsi="宋体" w:cs="宋体"/>
          <w:b/>
          <w:bCs/>
          <w:snapToGrid w:val="0"/>
          <w:color w:val="000000"/>
          <w:kern w:val="0"/>
          <w:sz w:val="32"/>
          <w:szCs w:val="32"/>
          <w:highlight w:val="none"/>
          <w:lang w:val="en-US" w:eastAsia="zh-CN"/>
        </w:rPr>
        <w:t>七、商务</w:t>
      </w:r>
      <w:r>
        <w:rPr>
          <w:rFonts w:hint="eastAsia" w:ascii="宋体" w:hAnsi="宋体" w:eastAsia="Arial" w:cs="宋体"/>
          <w:b/>
          <w:bCs/>
          <w:snapToGrid w:val="0"/>
          <w:color w:val="000000"/>
          <w:kern w:val="0"/>
          <w:sz w:val="32"/>
          <w:szCs w:val="32"/>
          <w:highlight w:val="none"/>
          <w:lang w:val="zh-CN" w:eastAsia="zh-CN"/>
        </w:rPr>
        <w:t>偏</w:t>
      </w:r>
      <w:r>
        <w:rPr>
          <w:rFonts w:hint="eastAsia" w:ascii="宋体" w:hAnsi="宋体" w:eastAsia="Arial" w:cs="宋体"/>
          <w:b/>
          <w:bCs/>
          <w:snapToGrid w:val="0"/>
          <w:color w:val="000000"/>
          <w:kern w:val="0"/>
          <w:sz w:val="32"/>
          <w:szCs w:val="32"/>
          <w:highlight w:val="none"/>
          <w:lang w:val="en-US" w:eastAsia="zh-CN"/>
        </w:rPr>
        <w:t>离</w:t>
      </w:r>
      <w:r>
        <w:rPr>
          <w:rFonts w:hint="eastAsia" w:ascii="宋体" w:hAnsi="宋体" w:eastAsia="Arial" w:cs="宋体"/>
          <w:b/>
          <w:bCs/>
          <w:snapToGrid w:val="0"/>
          <w:color w:val="000000"/>
          <w:kern w:val="0"/>
          <w:sz w:val="32"/>
          <w:szCs w:val="32"/>
          <w:highlight w:val="none"/>
          <w:lang w:val="zh-CN" w:eastAsia="zh-CN"/>
        </w:rPr>
        <w:t>表</w:t>
      </w:r>
    </w:p>
    <w:p>
      <w:pPr>
        <w:widowControl w:val="0"/>
        <w:kinsoku/>
        <w:autoSpaceDE/>
        <w:autoSpaceDN/>
        <w:adjustRightInd w:val="0"/>
        <w:snapToGrid w:val="0"/>
        <w:spacing w:line="360" w:lineRule="auto"/>
        <w:ind w:firstLine="480" w:firstLineChars="200"/>
        <w:jc w:val="left"/>
        <w:textAlignment w:val="auto"/>
        <w:rPr>
          <w:rFonts w:hint="eastAsia" w:ascii="宋体" w:hAnsi="宋体" w:eastAsia="宋体" w:cs="宋体"/>
          <w:bCs/>
          <w:snapToGrid/>
          <w:color w:val="auto"/>
          <w:kern w:val="0"/>
          <w:sz w:val="24"/>
          <w:szCs w:val="24"/>
          <w:highlight w:val="none"/>
          <w:lang w:val="en-US" w:eastAsia="zh-CN" w:bidi="ar-SA"/>
        </w:rPr>
      </w:pPr>
      <w:r>
        <w:rPr>
          <w:rFonts w:hint="eastAsia" w:ascii="宋体" w:hAnsi="宋体" w:eastAsia="宋体" w:cs="宋体"/>
          <w:bCs/>
          <w:snapToGrid/>
          <w:color w:val="auto"/>
          <w:kern w:val="0"/>
          <w:sz w:val="24"/>
          <w:szCs w:val="24"/>
          <w:highlight w:val="none"/>
          <w:lang w:val="en-US" w:eastAsia="zh-CN" w:bidi="ar-SA"/>
        </w:rPr>
        <w:t xml:space="preserve">项目名称：                   </w:t>
      </w:r>
    </w:p>
    <w:p>
      <w:pPr>
        <w:widowControl w:val="0"/>
        <w:kinsoku/>
        <w:autoSpaceDE/>
        <w:autoSpaceDN/>
        <w:adjustRightInd w:val="0"/>
        <w:snapToGrid w:val="0"/>
        <w:spacing w:line="360" w:lineRule="auto"/>
        <w:ind w:firstLine="480" w:firstLineChars="200"/>
        <w:jc w:val="left"/>
        <w:textAlignment w:val="auto"/>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Cs/>
          <w:snapToGrid/>
          <w:color w:val="auto"/>
          <w:kern w:val="0"/>
          <w:sz w:val="24"/>
          <w:szCs w:val="24"/>
          <w:highlight w:val="none"/>
          <w:lang w:val="en-US" w:eastAsia="zh-CN" w:bidi="ar-SA"/>
        </w:rPr>
        <w:t xml:space="preserve">项目编号：      </w:t>
      </w:r>
    </w:p>
    <w:tbl>
      <w:tblPr>
        <w:tblStyle w:val="22"/>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40"/>
        <w:gridCol w:w="2427"/>
        <w:gridCol w:w="2415"/>
        <w:gridCol w:w="1260"/>
        <w:gridCol w:w="193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951" w:hRule="atLeast"/>
          <w:jc w:val="center"/>
        </w:trPr>
        <w:tc>
          <w:tcPr>
            <w:tcW w:w="840" w:type="dxa"/>
            <w:tcBorders>
              <w:top w:val="single" w:color="auto" w:sz="4" w:space="0"/>
              <w:left w:val="single" w:color="auto" w:sz="4" w:space="0"/>
              <w:bottom w:val="single" w:color="000000"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序号</w:t>
            </w:r>
          </w:p>
        </w:tc>
        <w:tc>
          <w:tcPr>
            <w:tcW w:w="2427" w:type="dxa"/>
            <w:tcBorders>
              <w:top w:val="single" w:color="auto" w:sz="4" w:space="0"/>
              <w:left w:val="single" w:color="000000"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招标文件要求</w:t>
            </w:r>
          </w:p>
        </w:tc>
        <w:tc>
          <w:tcPr>
            <w:tcW w:w="2415" w:type="dxa"/>
            <w:tcBorders>
              <w:top w:val="single" w:color="auto" w:sz="4" w:space="0"/>
              <w:left w:val="single" w:color="000000"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投标文件响应</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偏离</w:t>
            </w:r>
          </w:p>
        </w:tc>
        <w:tc>
          <w:tcPr>
            <w:tcW w:w="1938" w:type="dxa"/>
            <w:tcBorders>
              <w:top w:val="single" w:color="auto" w:sz="4" w:space="0"/>
              <w:left w:val="single" w:color="000000" w:sz="4" w:space="0"/>
              <w:bottom w:val="single" w:color="000000" w:sz="4" w:space="0"/>
              <w:right w:val="single" w:color="auto"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说明</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4" w:space="0"/>
              <w:left w:val="single" w:color="auto" w:sz="4" w:space="0"/>
              <w:bottom w:val="single" w:color="000000"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c>
          <w:tcPr>
            <w:tcW w:w="242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c>
          <w:tcPr>
            <w:tcW w:w="1938" w:type="dxa"/>
            <w:tcBorders>
              <w:top w:val="single" w:color="000000" w:sz="4" w:space="0"/>
              <w:left w:val="single" w:color="000000" w:sz="4" w:space="0"/>
              <w:bottom w:val="single" w:color="000000" w:sz="4" w:space="0"/>
              <w:right w:val="single" w:color="auto"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4" w:space="0"/>
              <w:left w:val="single" w:color="auto" w:sz="4" w:space="0"/>
              <w:bottom w:val="single" w:color="000000"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c>
          <w:tcPr>
            <w:tcW w:w="242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c>
          <w:tcPr>
            <w:tcW w:w="1938" w:type="dxa"/>
            <w:tcBorders>
              <w:top w:val="single" w:color="000000" w:sz="4" w:space="0"/>
              <w:left w:val="single" w:color="000000" w:sz="4" w:space="0"/>
              <w:bottom w:val="single" w:color="000000" w:sz="4" w:space="0"/>
              <w:right w:val="single" w:color="auto"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4" w:space="0"/>
              <w:left w:val="single" w:color="auto" w:sz="4" w:space="0"/>
              <w:bottom w:val="single" w:color="000000"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c>
          <w:tcPr>
            <w:tcW w:w="242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c>
          <w:tcPr>
            <w:tcW w:w="1938" w:type="dxa"/>
            <w:tcBorders>
              <w:top w:val="single" w:color="000000" w:sz="4" w:space="0"/>
              <w:left w:val="single" w:color="000000" w:sz="4" w:space="0"/>
              <w:bottom w:val="single" w:color="000000" w:sz="4" w:space="0"/>
              <w:right w:val="single" w:color="auto"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4" w:space="0"/>
              <w:left w:val="single" w:color="auto" w:sz="4" w:space="0"/>
              <w:bottom w:val="single" w:color="000000"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c>
          <w:tcPr>
            <w:tcW w:w="2427"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c>
          <w:tcPr>
            <w:tcW w:w="1938" w:type="dxa"/>
            <w:tcBorders>
              <w:top w:val="single" w:color="000000" w:sz="4" w:space="0"/>
              <w:left w:val="single" w:color="000000" w:sz="4" w:space="0"/>
              <w:bottom w:val="single" w:color="000000" w:sz="4" w:space="0"/>
              <w:right w:val="single" w:color="auto"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840" w:type="dxa"/>
            <w:tcBorders>
              <w:top w:val="single" w:color="000000" w:sz="4" w:space="0"/>
              <w:left w:val="single" w:color="auto" w:sz="4" w:space="0"/>
              <w:bottom w:val="single" w:color="auto"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c>
          <w:tcPr>
            <w:tcW w:w="2427" w:type="dxa"/>
            <w:tcBorders>
              <w:top w:val="single" w:color="000000" w:sz="4" w:space="0"/>
              <w:left w:val="single" w:color="000000" w:sz="4" w:space="0"/>
              <w:bottom w:val="single" w:color="auto"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w:t>
            </w:r>
          </w:p>
        </w:tc>
        <w:tc>
          <w:tcPr>
            <w:tcW w:w="2415" w:type="dxa"/>
            <w:tcBorders>
              <w:top w:val="single" w:color="000000" w:sz="4" w:space="0"/>
              <w:left w:val="single" w:color="000000" w:sz="4" w:space="0"/>
              <w:bottom w:val="single" w:color="auto"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c>
          <w:tcPr>
            <w:tcW w:w="1260" w:type="dxa"/>
            <w:tcBorders>
              <w:top w:val="single" w:color="000000" w:sz="4" w:space="0"/>
              <w:left w:val="single" w:color="000000" w:sz="4" w:space="0"/>
              <w:bottom w:val="single" w:color="auto" w:sz="4" w:space="0"/>
              <w:right w:val="single" w:color="000000"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c>
          <w:tcPr>
            <w:tcW w:w="1938" w:type="dxa"/>
            <w:tcBorders>
              <w:top w:val="single" w:color="000000" w:sz="4" w:space="0"/>
              <w:left w:val="single" w:color="000000" w:sz="4" w:space="0"/>
              <w:bottom w:val="single" w:color="auto" w:sz="4" w:space="0"/>
              <w:right w:val="single" w:color="auto" w:sz="4" w:space="0"/>
            </w:tcBorders>
            <w:noWrap w:val="0"/>
            <w:vAlign w:val="center"/>
          </w:tcPr>
          <w:p>
            <w:pPr>
              <w:widowControl w:val="0"/>
              <w:kinsoku/>
              <w:autoSpaceDE/>
              <w:autoSpaceDN/>
              <w:adjustRightInd w:val="0"/>
              <w:snapToGrid w:val="0"/>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r>
    </w:tbl>
    <w:p>
      <w:pPr>
        <w:widowControl w:val="0"/>
        <w:kinsoku/>
        <w:autoSpaceDE/>
        <w:autoSpaceDN/>
        <w:adjustRightInd/>
        <w:snapToGrid w:val="0"/>
        <w:spacing w:line="360" w:lineRule="auto"/>
        <w:ind w:right="-197" w:rightChars="-94" w:firstLine="480" w:firstLineChars="200"/>
        <w:jc w:val="left"/>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说明：</w:t>
      </w:r>
    </w:p>
    <w:p>
      <w:pPr>
        <w:widowControl w:val="0"/>
        <w:kinsoku/>
        <w:autoSpaceDE/>
        <w:autoSpaceDN/>
        <w:adjustRightInd/>
        <w:snapToGrid w:val="0"/>
        <w:spacing w:line="360" w:lineRule="auto"/>
        <w:ind w:right="-197" w:rightChars="-94" w:firstLine="480" w:firstLineChars="200"/>
        <w:jc w:val="left"/>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1.本表只填写投标文件中与招标文件有偏离（包括正偏离和负偏离）的内容，投标文件中技术响应与招标文件要求完全一致的，不用在此表中列出，但须提供空白表。</w:t>
      </w:r>
    </w:p>
    <w:p>
      <w:pPr>
        <w:widowControl w:val="0"/>
        <w:kinsoku/>
        <w:autoSpaceDE/>
        <w:autoSpaceDN/>
        <w:adjustRightInd/>
        <w:snapToGrid w:val="0"/>
        <w:spacing w:line="360" w:lineRule="auto"/>
        <w:ind w:right="-197" w:rightChars="-94" w:firstLine="480" w:firstLineChars="200"/>
        <w:jc w:val="left"/>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2.偏离填写：正偏离、负偏离、相同。</w:t>
      </w:r>
    </w:p>
    <w:p>
      <w:pPr>
        <w:widowControl w:val="0"/>
        <w:kinsoku/>
        <w:autoSpaceDE/>
        <w:autoSpaceDN/>
        <w:adjustRightInd/>
        <w:snapToGrid w:val="0"/>
        <w:spacing w:line="360" w:lineRule="auto"/>
        <w:ind w:right="-197" w:rightChars="-94" w:firstLine="480" w:firstLineChars="200"/>
        <w:jc w:val="left"/>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3.投标人必须据实填写，不得虚假响应，否则将取消其投标或中标资格，并按有关规定进行处罚。</w:t>
      </w:r>
    </w:p>
    <w:p>
      <w:pPr>
        <w:snapToGrid w:val="0"/>
        <w:spacing w:line="360" w:lineRule="auto"/>
        <w:ind w:firstLine="2944" w:firstLineChars="1227"/>
        <w:rPr>
          <w:rFonts w:hint="eastAsia" w:ascii="宋体" w:hAnsi="宋体" w:eastAsia="宋体" w:cs="宋体"/>
          <w:color w:val="auto"/>
          <w:sz w:val="24"/>
          <w:szCs w:val="24"/>
          <w:highlight w:val="none"/>
          <w:lang w:val="en-US" w:eastAsia="zh-CN"/>
        </w:rPr>
      </w:pPr>
    </w:p>
    <w:p>
      <w:pPr>
        <w:snapToGrid w:val="0"/>
        <w:spacing w:line="360" w:lineRule="auto"/>
        <w:ind w:firstLine="2944" w:firstLineChars="1227"/>
        <w:rPr>
          <w:rFonts w:hint="eastAsia" w:ascii="宋体" w:hAnsi="宋体" w:eastAsia="宋体" w:cs="宋体"/>
          <w:color w:val="auto"/>
          <w:sz w:val="24"/>
          <w:szCs w:val="24"/>
          <w:highlight w:val="none"/>
          <w:lang w:val="en-US" w:eastAsia="zh-CN"/>
        </w:rPr>
      </w:pPr>
    </w:p>
    <w:p>
      <w:pPr>
        <w:snapToGrid w:val="0"/>
        <w:spacing w:line="360" w:lineRule="auto"/>
        <w:ind w:firstLine="2944" w:firstLineChars="12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投标人</w:t>
      </w:r>
      <w:r>
        <w:rPr>
          <w:rFonts w:hint="eastAsia" w:ascii="宋体" w:hAnsi="宋体" w:eastAsia="宋体" w:cs="宋体"/>
          <w:color w:val="auto"/>
          <w:sz w:val="24"/>
          <w:szCs w:val="24"/>
          <w:highlight w:val="none"/>
          <w:u w:val="single"/>
        </w:rPr>
        <w:t xml:space="preserve">名称）       </w:t>
      </w:r>
    </w:p>
    <w:p>
      <w:pPr>
        <w:snapToGrid w:val="0"/>
        <w:spacing w:line="360" w:lineRule="auto"/>
        <w:ind w:firstLine="2944" w:firstLineChars="122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法定代表人或被授权人（签字或盖章）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ind w:firstLine="2880" w:firstLineChars="1200"/>
        <w:rPr>
          <w:rFonts w:hint="eastAsia"/>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rPr>
          <w:rFonts w:hint="eastAsia"/>
          <w:highlight w:val="none"/>
        </w:rPr>
      </w:pPr>
      <w:r>
        <w:rPr>
          <w:rFonts w:hint="eastAsia"/>
          <w:highlight w:val="none"/>
        </w:rPr>
        <w:br w:type="page"/>
      </w:r>
    </w:p>
    <w:p>
      <w:pPr>
        <w:pStyle w:val="2"/>
        <w:keepNext w:val="0"/>
        <w:keepLines w:val="0"/>
        <w:widowControl w:val="0"/>
        <w:spacing w:beforeLines="50" w:after="0" w:line="360" w:lineRule="auto"/>
        <w:ind w:left="0"/>
        <w:jc w:val="center"/>
        <w:rPr>
          <w:rFonts w:hint="eastAsia" w:ascii="宋体" w:hAnsi="宋体" w:eastAsia="Arial" w:cs="宋体"/>
          <w:b/>
          <w:bCs/>
          <w:snapToGrid w:val="0"/>
          <w:color w:val="000000"/>
          <w:kern w:val="0"/>
          <w:sz w:val="32"/>
          <w:szCs w:val="32"/>
          <w:highlight w:val="none"/>
          <w:lang w:val="zh-CN" w:eastAsia="zh-CN"/>
        </w:rPr>
      </w:pPr>
      <w:bookmarkStart w:id="136" w:name="_Toc20477"/>
      <w:bookmarkStart w:id="137" w:name="_Toc15343"/>
      <w:r>
        <w:rPr>
          <w:rFonts w:hint="eastAsia" w:ascii="宋体" w:hAnsi="宋体" w:cs="宋体"/>
          <w:b/>
          <w:bCs/>
          <w:snapToGrid w:val="0"/>
          <w:color w:val="000000"/>
          <w:kern w:val="0"/>
          <w:sz w:val="32"/>
          <w:szCs w:val="32"/>
          <w:highlight w:val="none"/>
          <w:lang w:val="en-US" w:eastAsia="zh-CN"/>
        </w:rPr>
        <w:t>八</w:t>
      </w:r>
      <w:r>
        <w:rPr>
          <w:rFonts w:hint="eastAsia" w:ascii="宋体" w:hAnsi="宋体" w:eastAsia="Arial" w:cs="宋体"/>
          <w:b/>
          <w:bCs/>
          <w:snapToGrid w:val="0"/>
          <w:color w:val="000000"/>
          <w:kern w:val="0"/>
          <w:sz w:val="32"/>
          <w:szCs w:val="32"/>
          <w:highlight w:val="none"/>
          <w:lang w:val="zh-CN" w:eastAsia="zh-CN"/>
        </w:rPr>
        <w:t>、其他资料</w:t>
      </w:r>
      <w:bookmarkEnd w:id="105"/>
      <w:bookmarkEnd w:id="106"/>
      <w:bookmarkEnd w:id="136"/>
      <w:bookmarkEnd w:id="13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宋体"/>
          <w:bCs/>
          <w:sz w:val="24"/>
          <w:szCs w:val="24"/>
          <w:highlight w:val="none"/>
        </w:rPr>
      </w:pPr>
      <w:r>
        <w:rPr>
          <w:rFonts w:hint="eastAsia" w:hAnsi="宋体" w:cs="宋体"/>
          <w:bCs/>
          <w:sz w:val="24"/>
          <w:szCs w:val="24"/>
          <w:highlight w:val="none"/>
        </w:rPr>
        <w:t>1.依据招标文件要求，</w:t>
      </w:r>
      <w:r>
        <w:rPr>
          <w:rFonts w:hint="eastAsia" w:hAnsi="宋体" w:eastAsia="宋体" w:cs="宋体"/>
          <w:bCs/>
          <w:sz w:val="24"/>
          <w:szCs w:val="24"/>
          <w:highlight w:val="none"/>
          <w:lang w:eastAsia="zh-CN"/>
        </w:rPr>
        <w:t>投标人</w:t>
      </w:r>
      <w:r>
        <w:rPr>
          <w:rFonts w:hint="eastAsia" w:hAnsi="宋体" w:cs="宋体"/>
          <w:bCs/>
          <w:sz w:val="24"/>
          <w:szCs w:val="24"/>
          <w:highlight w:val="none"/>
        </w:rPr>
        <w:t>认为有必要说明的其他内容。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宋体"/>
          <w:bCs/>
          <w:sz w:val="24"/>
          <w:szCs w:val="24"/>
          <w:highlight w:val="none"/>
        </w:rPr>
      </w:pPr>
      <w:r>
        <w:rPr>
          <w:rFonts w:hint="eastAsia" w:hAnsi="宋体" w:cs="宋体"/>
          <w:bCs/>
          <w:sz w:val="24"/>
          <w:szCs w:val="24"/>
          <w:highlight w:val="none"/>
          <w:lang w:val="en-US" w:eastAsia="zh-CN"/>
        </w:rPr>
        <w:t>2.</w:t>
      </w:r>
      <w:r>
        <w:rPr>
          <w:rFonts w:hint="eastAsia" w:hAnsi="宋体" w:cs="宋体"/>
          <w:bCs/>
          <w:sz w:val="24"/>
          <w:szCs w:val="24"/>
          <w:highlight w:val="none"/>
        </w:rPr>
        <w:t>其他可以证明</w:t>
      </w:r>
      <w:r>
        <w:rPr>
          <w:rFonts w:hint="eastAsia" w:hAnsi="宋体" w:eastAsia="宋体" w:cs="宋体"/>
          <w:bCs/>
          <w:sz w:val="24"/>
          <w:szCs w:val="24"/>
          <w:highlight w:val="none"/>
          <w:lang w:eastAsia="zh-CN"/>
        </w:rPr>
        <w:t>投标人</w:t>
      </w:r>
      <w:r>
        <w:rPr>
          <w:rFonts w:hint="eastAsia" w:hAnsi="宋体" w:cs="宋体"/>
          <w:bCs/>
          <w:sz w:val="24"/>
          <w:szCs w:val="24"/>
          <w:highlight w:val="none"/>
        </w:rPr>
        <w:t>实力的文件。</w:t>
      </w:r>
    </w:p>
    <w:bookmarkEnd w:id="107"/>
    <w:bookmarkEnd w:id="108"/>
    <w:bookmarkEnd w:id="109"/>
    <w:bookmarkEnd w:id="110"/>
    <w:bookmarkEnd w:id="111"/>
    <w:bookmarkEnd w:id="112"/>
    <w:bookmarkEnd w:id="113"/>
    <w:bookmarkEnd w:id="114"/>
    <w:p>
      <w:pPr>
        <w:ind w:firstLine="560" w:firstLineChars="200"/>
        <w:rPr>
          <w:rFonts w:hAnsi="宋体" w:cs="宋体"/>
          <w:b/>
          <w:sz w:val="28"/>
          <w:szCs w:val="28"/>
          <w:highlight w:val="none"/>
        </w:rPr>
      </w:pPr>
    </w:p>
    <w:sectPr>
      <w:type w:val="continuous"/>
      <w:pgSz w:w="11906" w:h="16839"/>
      <w:pgMar w:top="1417" w:right="1417" w:bottom="1417" w:left="1417" w:header="1020" w:footer="0" w:gutter="0"/>
      <w:pgNumType w:fmt="decimal"/>
      <w:cols w:space="425"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posOffset>2842260</wp:posOffset>
              </wp:positionH>
              <wp:positionV relativeFrom="paragraph">
                <wp:posOffset>-666750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b/>
                              <w:bCs/>
                              <w:sz w:val="24"/>
                              <w:szCs w:val="24"/>
                            </w:rPr>
                          </w:pPr>
                          <w:r>
                            <w:rPr>
                              <w:b/>
                              <w:bCs/>
                              <w:sz w:val="24"/>
                              <w:szCs w:val="24"/>
                            </w:rPr>
                            <w:t xml:space="preserve">— </w:t>
                          </w:r>
                          <w:r>
                            <w:rPr>
                              <w:b/>
                              <w:bCs/>
                              <w:sz w:val="24"/>
                              <w:szCs w:val="24"/>
                            </w:rPr>
                            <w:fldChar w:fldCharType="begin"/>
                          </w:r>
                          <w:r>
                            <w:rPr>
                              <w:b/>
                              <w:bCs/>
                              <w:sz w:val="24"/>
                              <w:szCs w:val="24"/>
                            </w:rPr>
                            <w:instrText xml:space="preserve"> PAGE  \* MERGEFORMAT </w:instrText>
                          </w:r>
                          <w:r>
                            <w:rPr>
                              <w:b/>
                              <w:bCs/>
                              <w:sz w:val="24"/>
                              <w:szCs w:val="24"/>
                            </w:rPr>
                            <w:fldChar w:fldCharType="separate"/>
                          </w:r>
                          <w:r>
                            <w:rPr>
                              <w:b/>
                              <w:bCs/>
                              <w:sz w:val="24"/>
                              <w:szCs w:val="24"/>
                            </w:rPr>
                            <w:t>7</w:t>
                          </w:r>
                          <w:r>
                            <w:rPr>
                              <w:b/>
                              <w:bCs/>
                              <w:sz w:val="24"/>
                              <w:szCs w:val="24"/>
                            </w:rPr>
                            <w:fldChar w:fldCharType="end"/>
                          </w:r>
                          <w:r>
                            <w:rPr>
                              <w:b/>
                              <w:bCs/>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8pt;margin-top:-52.5pt;height:144pt;width:144pt;mso-position-horizontal-relative:margin;mso-wrap-style:none;z-index:251661312;mso-width-relative:page;mso-height-relative:page;" filled="f" stroked="f" coordsize="21600,21600" o:gfxdata="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cuZVbZAAAADAEAAA8AAAAAAAAAAQAgAAAAIgAAAGRycy9kb3ducmV2Lnht&#10;bFBLAQIUABQAAAAIAIdO4kAkgka0MQIAAGEEAAAOAAAAAAAAAAEAIAAAACgBAABkcnMvZTJvRG9j&#10;LnhtbFBLBQYAAAAABgAGAFkBAADLBQAAAAA=&#10;">
              <v:fill on="f" focussize="0,0"/>
              <v:stroke on="f" weight="0.5pt"/>
              <v:imagedata o:title=""/>
              <o:lock v:ext="edit" aspectratio="f"/>
              <v:textbox inset="0mm,0mm,0mm,0mm" style="mso-fit-shape-to-text:t;">
                <w:txbxContent>
                  <w:p>
                    <w:pPr>
                      <w:pStyle w:val="15"/>
                      <w:rPr>
                        <w:b/>
                        <w:bCs/>
                        <w:sz w:val="24"/>
                        <w:szCs w:val="24"/>
                      </w:rPr>
                    </w:pPr>
                    <w:r>
                      <w:rPr>
                        <w:b/>
                        <w:bCs/>
                        <w:sz w:val="24"/>
                        <w:szCs w:val="24"/>
                      </w:rPr>
                      <w:t xml:space="preserve">— </w:t>
                    </w:r>
                    <w:r>
                      <w:rPr>
                        <w:b/>
                        <w:bCs/>
                        <w:sz w:val="24"/>
                        <w:szCs w:val="24"/>
                      </w:rPr>
                      <w:fldChar w:fldCharType="begin"/>
                    </w:r>
                    <w:r>
                      <w:rPr>
                        <w:b/>
                        <w:bCs/>
                        <w:sz w:val="24"/>
                        <w:szCs w:val="24"/>
                      </w:rPr>
                      <w:instrText xml:space="preserve"> PAGE  \* MERGEFORMAT </w:instrText>
                    </w:r>
                    <w:r>
                      <w:rPr>
                        <w:b/>
                        <w:bCs/>
                        <w:sz w:val="24"/>
                        <w:szCs w:val="24"/>
                      </w:rPr>
                      <w:fldChar w:fldCharType="separate"/>
                    </w:r>
                    <w:r>
                      <w:rPr>
                        <w:b/>
                        <w:bCs/>
                        <w:sz w:val="24"/>
                        <w:szCs w:val="24"/>
                      </w:rPr>
                      <w:t>7</w:t>
                    </w:r>
                    <w:r>
                      <w:rPr>
                        <w:b/>
                        <w:bCs/>
                        <w:sz w:val="24"/>
                        <w:szCs w:val="24"/>
                      </w:rPr>
                      <w:fldChar w:fldCharType="end"/>
                    </w:r>
                    <w:r>
                      <w:rPr>
                        <w:b/>
                        <w:bCs/>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315"/>
      <w:rPr>
        <w:rFonts w:hint="eastAsia" w:ascii="宋体" w:hAnsi="宋体" w:eastAsia="宋体" w:cs="宋体"/>
        <w:sz w:val="20"/>
        <w:szCs w:val="20"/>
        <w:lang w:eastAsia="zh-CN"/>
      </w:rPr>
    </w:pPr>
    <w:r>
      <w:pict>
        <v:shape id="_x0000_s2100" o:spid="_x0000_s2100" o:spt="202" type="#_x0000_t202" style="position:absolute;left:0pt;margin-left:422.8pt;margin-top:-0.95pt;height:14.35pt;width:43.2pt;z-index:251660288;mso-width-relative:page;mso-height-relative:page;" filled="f" stroked="f" coordsize="21600,21600">
          <v:path/>
          <v:fill on="f" focussize="0,0"/>
          <v:stroke on="f"/>
          <v:imagedata o:title=""/>
          <o:lock v:ext="edit" aspectratio="f"/>
          <v:textbox inset="0mm,0mm,0mm,0mm">
            <w:txbxContent>
              <w:p>
                <w:pPr>
                  <w:spacing w:before="19" w:line="228" w:lineRule="auto"/>
                  <w:rPr>
                    <w:rFonts w:ascii="宋体" w:hAnsi="宋体" w:eastAsia="宋体" w:cs="宋体"/>
                    <w:sz w:val="20"/>
                    <w:szCs w:val="20"/>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3F0E0"/>
    <w:multiLevelType w:val="singleLevel"/>
    <w:tmpl w:val="8FB3F0E0"/>
    <w:lvl w:ilvl="0" w:tentative="0">
      <w:start w:val="1"/>
      <w:numFmt w:val="decimal"/>
      <w:lvlText w:val="%1."/>
      <w:lvlJc w:val="left"/>
      <w:pPr>
        <w:tabs>
          <w:tab w:val="left" w:pos="312"/>
        </w:tabs>
      </w:pPr>
    </w:lvl>
  </w:abstractNum>
  <w:abstractNum w:abstractNumId="1">
    <w:nsid w:val="BE833E68"/>
    <w:multiLevelType w:val="singleLevel"/>
    <w:tmpl w:val="BE833E68"/>
    <w:lvl w:ilvl="0" w:tentative="0">
      <w:start w:val="2"/>
      <w:numFmt w:val="decimal"/>
      <w:suff w:val="space"/>
      <w:lvlText w:val="（%1）"/>
      <w:lvlJc w:val="left"/>
    </w:lvl>
  </w:abstractNum>
  <w:abstractNum w:abstractNumId="2">
    <w:nsid w:val="D5DB3F11"/>
    <w:multiLevelType w:val="singleLevel"/>
    <w:tmpl w:val="D5DB3F11"/>
    <w:lvl w:ilvl="0" w:tentative="0">
      <w:start w:val="3"/>
      <w:numFmt w:val="decimal"/>
      <w:suff w:val="nothing"/>
      <w:lvlText w:val="%1、"/>
      <w:lvlJc w:val="left"/>
    </w:lvl>
  </w:abstractNum>
  <w:abstractNum w:abstractNumId="3">
    <w:nsid w:val="00841FD3"/>
    <w:multiLevelType w:val="singleLevel"/>
    <w:tmpl w:val="00841FD3"/>
    <w:lvl w:ilvl="0" w:tentative="0">
      <w:start w:val="3"/>
      <w:numFmt w:val="decimal"/>
      <w:suff w:val="nothing"/>
      <w:lvlText w:val="（%1）"/>
      <w:lvlJc w:val="left"/>
    </w:lvl>
  </w:abstractNum>
  <w:abstractNum w:abstractNumId="4">
    <w:nsid w:val="38090108"/>
    <w:multiLevelType w:val="multilevel"/>
    <w:tmpl w:val="38090108"/>
    <w:lvl w:ilvl="0" w:tentative="0">
      <w:start w:val="1"/>
      <w:numFmt w:val="decimal"/>
      <w:pStyle w:val="3"/>
      <w:lvlText w:val="%1."/>
      <w:lvlJc w:val="left"/>
      <w:pPr>
        <w:tabs>
          <w:tab w:val="left" w:pos="425"/>
        </w:tabs>
        <w:ind w:left="425" w:hanging="425"/>
      </w:pPr>
      <w:rPr>
        <w:rFonts w:hint="eastAsia" w:eastAsia="宋体"/>
        <w:b/>
        <w:i w:val="0"/>
        <w:sz w:val="24"/>
        <w:szCs w:val="24"/>
      </w:rPr>
    </w:lvl>
    <w:lvl w:ilvl="1" w:tentative="0">
      <w:start w:val="1"/>
      <w:numFmt w:val="decimal"/>
      <w:lvlText w:val="%1.%2."/>
      <w:lvlJc w:val="left"/>
      <w:pPr>
        <w:tabs>
          <w:tab w:val="left" w:pos="567"/>
        </w:tabs>
        <w:ind w:left="567" w:hanging="567"/>
      </w:pPr>
      <w:rPr>
        <w:rFonts w:hint="eastAsia" w:ascii="宋体" w:hAnsi="宋体" w:eastAsia="宋体"/>
        <w:b/>
        <w:i w:val="0"/>
        <w:color w:val="auto"/>
        <w:sz w:val="24"/>
        <w:szCs w:val="24"/>
        <w:u w:val="none"/>
      </w:rPr>
    </w:lvl>
    <w:lvl w:ilvl="2" w:tentative="0">
      <w:start w:val="1"/>
      <w:numFmt w:val="decimal"/>
      <w:lvlText w:val="%1.%2.%3."/>
      <w:lvlJc w:val="left"/>
      <w:pPr>
        <w:tabs>
          <w:tab w:val="left" w:pos="709"/>
        </w:tabs>
        <w:ind w:left="709" w:hanging="709"/>
      </w:pPr>
      <w:rPr>
        <w:rFonts w:hint="eastAsia" w:ascii="宋体" w:hAnsi="宋体" w:eastAsia="宋体"/>
        <w:caps w:val="0"/>
        <w:strike w:val="0"/>
        <w:dstrike w:val="0"/>
        <w:vanish w:val="0"/>
        <w:vertAlign w:val="baseline"/>
        <w:lang w:val="en-US"/>
      </w:rPr>
    </w:lvl>
    <w:lvl w:ilvl="3" w:tentative="0">
      <w:start w:val="1"/>
      <w:numFmt w:val="decimal"/>
      <w:lvlText w:val="%1.%2.%3.%4."/>
      <w:lvlJc w:val="left"/>
      <w:pPr>
        <w:tabs>
          <w:tab w:val="left" w:pos="851"/>
        </w:tabs>
        <w:ind w:left="851" w:hanging="851"/>
      </w:pPr>
      <w:rPr>
        <w:rFonts w:hint="eastAsia" w:ascii="宋体" w:hAnsi="宋体" w:eastAsia="宋体"/>
        <w:b/>
        <w:sz w:val="24"/>
        <w:szCs w:val="24"/>
      </w:rPr>
    </w:lvl>
    <w:lvl w:ilvl="4" w:tentative="0">
      <w:start w:val="1"/>
      <w:numFmt w:val="decimal"/>
      <w:lvlText w:val="%1.%2.%3.%4.%5."/>
      <w:lvlJc w:val="left"/>
      <w:pPr>
        <w:tabs>
          <w:tab w:val="left" w:pos="992"/>
        </w:tabs>
        <w:ind w:left="992" w:hanging="992"/>
      </w:pPr>
      <w:rPr>
        <w:rFonts w:hint="eastAsia"/>
        <w:b/>
        <w:i w:val="0"/>
        <w:sz w:val="24"/>
        <w:szCs w:val="24"/>
      </w:rPr>
    </w:lvl>
    <w:lvl w:ilvl="5" w:tentative="0">
      <w:start w:val="1"/>
      <w:numFmt w:val="decimal"/>
      <w:lvlText w:val="%1.%2.%3.%4.%5.%6."/>
      <w:lvlJc w:val="left"/>
      <w:pPr>
        <w:tabs>
          <w:tab w:val="left" w:pos="1134"/>
        </w:tabs>
        <w:ind w:left="1134" w:hanging="1134"/>
      </w:pPr>
      <w:rPr>
        <w:rFonts w:hint="eastAsia" w:ascii="宋体" w:hAnsi="宋体" w:eastAsia="宋体"/>
      </w:rPr>
    </w:lvl>
    <w:lvl w:ilvl="6" w:tentative="0">
      <w:start w:val="1"/>
      <w:numFmt w:val="decimal"/>
      <w:lvlText w:val="%1.%2.%3.%4.%5.%6.%7."/>
      <w:lvlJc w:val="left"/>
      <w:pPr>
        <w:tabs>
          <w:tab w:val="left" w:pos="1276"/>
        </w:tabs>
        <w:ind w:left="1276" w:hanging="1276"/>
      </w:pPr>
      <w:rPr>
        <w:rFonts w:hint="eastAsia" w:ascii="宋体" w:hAnsi="宋体" w:eastAsia="宋体"/>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5AA64E2D"/>
    <w:multiLevelType w:val="singleLevel"/>
    <w:tmpl w:val="5AA64E2D"/>
    <w:lvl w:ilvl="0" w:tentative="0">
      <w:start w:val="3"/>
      <w:numFmt w:val="decimal"/>
      <w:suff w:val="space"/>
      <w:lvlText w:val="（%1）"/>
      <w:lvlJc w:val="left"/>
    </w:lvl>
  </w:abstractNum>
  <w:abstractNum w:abstractNumId="6">
    <w:nsid w:val="5DF2E83B"/>
    <w:multiLevelType w:val="singleLevel"/>
    <w:tmpl w:val="5DF2E83B"/>
    <w:lvl w:ilvl="0" w:tentative="0">
      <w:start w:val="1"/>
      <w:numFmt w:val="decimal"/>
      <w:suff w:val="space"/>
      <w:lvlText w:val="（%1）"/>
      <w:lvlJc w:val="left"/>
    </w:lvl>
  </w:abstractNum>
  <w:num w:numId="1">
    <w:abstractNumId w:val="4"/>
  </w:num>
  <w:num w:numId="2">
    <w:abstractNumId w:val="3"/>
  </w:num>
  <w:num w:numId="3">
    <w:abstractNumId w:val="2"/>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g5MDgxOGNkNDBiYzZkNjIwN2M1OTY3OTM3ZjgzNzQifQ=="/>
  </w:docVars>
  <w:rsids>
    <w:rsidRoot w:val="00000000"/>
    <w:rsid w:val="000C47E0"/>
    <w:rsid w:val="013B0DE8"/>
    <w:rsid w:val="014F3C7D"/>
    <w:rsid w:val="01A15A8C"/>
    <w:rsid w:val="029A0418"/>
    <w:rsid w:val="02AD1871"/>
    <w:rsid w:val="02CC4935"/>
    <w:rsid w:val="035C086D"/>
    <w:rsid w:val="036123C7"/>
    <w:rsid w:val="03974DF6"/>
    <w:rsid w:val="04A80D30"/>
    <w:rsid w:val="04C06F21"/>
    <w:rsid w:val="05015B58"/>
    <w:rsid w:val="052E656D"/>
    <w:rsid w:val="056A4671"/>
    <w:rsid w:val="06180A16"/>
    <w:rsid w:val="06982838"/>
    <w:rsid w:val="06FC0DE9"/>
    <w:rsid w:val="07115EB5"/>
    <w:rsid w:val="07701543"/>
    <w:rsid w:val="0823486A"/>
    <w:rsid w:val="08422D85"/>
    <w:rsid w:val="087010E6"/>
    <w:rsid w:val="08DB2D17"/>
    <w:rsid w:val="09660D3B"/>
    <w:rsid w:val="0A2C17A5"/>
    <w:rsid w:val="0AD2253B"/>
    <w:rsid w:val="0B315FD7"/>
    <w:rsid w:val="0B7D54E6"/>
    <w:rsid w:val="0BF83BD6"/>
    <w:rsid w:val="0C033624"/>
    <w:rsid w:val="0C104C1F"/>
    <w:rsid w:val="0C7B7987"/>
    <w:rsid w:val="0CB1557C"/>
    <w:rsid w:val="0D2B4C32"/>
    <w:rsid w:val="0D682F64"/>
    <w:rsid w:val="0D783105"/>
    <w:rsid w:val="0D7C37AF"/>
    <w:rsid w:val="0D8C5246"/>
    <w:rsid w:val="0DCF3B2A"/>
    <w:rsid w:val="0E0F33E0"/>
    <w:rsid w:val="0E107158"/>
    <w:rsid w:val="0E5822CF"/>
    <w:rsid w:val="0E694FA6"/>
    <w:rsid w:val="0F086E0E"/>
    <w:rsid w:val="0F210A79"/>
    <w:rsid w:val="0F277D2D"/>
    <w:rsid w:val="10347723"/>
    <w:rsid w:val="103F3734"/>
    <w:rsid w:val="10BF69EE"/>
    <w:rsid w:val="10DB2CC4"/>
    <w:rsid w:val="114C223A"/>
    <w:rsid w:val="116F4196"/>
    <w:rsid w:val="1240040C"/>
    <w:rsid w:val="12E954C9"/>
    <w:rsid w:val="12F02E1F"/>
    <w:rsid w:val="135E3453"/>
    <w:rsid w:val="14013F61"/>
    <w:rsid w:val="142B09A0"/>
    <w:rsid w:val="14AB481E"/>
    <w:rsid w:val="1510485B"/>
    <w:rsid w:val="15B526AD"/>
    <w:rsid w:val="15F51B0A"/>
    <w:rsid w:val="16597938"/>
    <w:rsid w:val="165F72C3"/>
    <w:rsid w:val="16692350"/>
    <w:rsid w:val="16983242"/>
    <w:rsid w:val="16B4171B"/>
    <w:rsid w:val="171C091C"/>
    <w:rsid w:val="17826377"/>
    <w:rsid w:val="17974DC1"/>
    <w:rsid w:val="17D24696"/>
    <w:rsid w:val="17F559D0"/>
    <w:rsid w:val="182F6BE1"/>
    <w:rsid w:val="183E5246"/>
    <w:rsid w:val="185B5E04"/>
    <w:rsid w:val="18DA45EA"/>
    <w:rsid w:val="1997653E"/>
    <w:rsid w:val="19AD1CFF"/>
    <w:rsid w:val="1A2C3B02"/>
    <w:rsid w:val="1A4E7BC2"/>
    <w:rsid w:val="1B412331"/>
    <w:rsid w:val="1B530684"/>
    <w:rsid w:val="1B6B6A0B"/>
    <w:rsid w:val="1B711985"/>
    <w:rsid w:val="1C063143"/>
    <w:rsid w:val="1C32514F"/>
    <w:rsid w:val="1C3A1F70"/>
    <w:rsid w:val="1CB65729"/>
    <w:rsid w:val="1DB22149"/>
    <w:rsid w:val="1EB11002"/>
    <w:rsid w:val="1FE06EDA"/>
    <w:rsid w:val="20657133"/>
    <w:rsid w:val="20724671"/>
    <w:rsid w:val="209E23A2"/>
    <w:rsid w:val="20C03FCA"/>
    <w:rsid w:val="20C640EA"/>
    <w:rsid w:val="21077850"/>
    <w:rsid w:val="210D5707"/>
    <w:rsid w:val="213157CD"/>
    <w:rsid w:val="220D1A6D"/>
    <w:rsid w:val="22297D19"/>
    <w:rsid w:val="22711C11"/>
    <w:rsid w:val="22CE62A8"/>
    <w:rsid w:val="22F52371"/>
    <w:rsid w:val="2302235F"/>
    <w:rsid w:val="23576068"/>
    <w:rsid w:val="23935FE5"/>
    <w:rsid w:val="23B27E2D"/>
    <w:rsid w:val="23FE7D27"/>
    <w:rsid w:val="25444AB3"/>
    <w:rsid w:val="25501A97"/>
    <w:rsid w:val="255641C8"/>
    <w:rsid w:val="255823FA"/>
    <w:rsid w:val="259F4BF2"/>
    <w:rsid w:val="25D94FA6"/>
    <w:rsid w:val="25E20C9E"/>
    <w:rsid w:val="25E71D3E"/>
    <w:rsid w:val="26492CC4"/>
    <w:rsid w:val="26913EC4"/>
    <w:rsid w:val="271F378B"/>
    <w:rsid w:val="27F0531A"/>
    <w:rsid w:val="281C69CE"/>
    <w:rsid w:val="299959C8"/>
    <w:rsid w:val="29B4657B"/>
    <w:rsid w:val="2AA1282F"/>
    <w:rsid w:val="2AFF774D"/>
    <w:rsid w:val="2B013CEA"/>
    <w:rsid w:val="2B0F1914"/>
    <w:rsid w:val="2BB752F8"/>
    <w:rsid w:val="2BE37D65"/>
    <w:rsid w:val="2BEE0987"/>
    <w:rsid w:val="2C4604BD"/>
    <w:rsid w:val="2CDD697F"/>
    <w:rsid w:val="2D371952"/>
    <w:rsid w:val="2D681DE7"/>
    <w:rsid w:val="2DB5450D"/>
    <w:rsid w:val="2DD20378"/>
    <w:rsid w:val="2DDA2821"/>
    <w:rsid w:val="2DE75388"/>
    <w:rsid w:val="2ECA07D2"/>
    <w:rsid w:val="2F2A282C"/>
    <w:rsid w:val="2FCD1C02"/>
    <w:rsid w:val="2FEC4ED7"/>
    <w:rsid w:val="30B4367E"/>
    <w:rsid w:val="30E700F6"/>
    <w:rsid w:val="313034EA"/>
    <w:rsid w:val="315F185A"/>
    <w:rsid w:val="31AF5092"/>
    <w:rsid w:val="321E77E6"/>
    <w:rsid w:val="322D5960"/>
    <w:rsid w:val="324B1E5B"/>
    <w:rsid w:val="328E0217"/>
    <w:rsid w:val="32A21A03"/>
    <w:rsid w:val="32BF2D77"/>
    <w:rsid w:val="32CB1DD5"/>
    <w:rsid w:val="330802DE"/>
    <w:rsid w:val="33905770"/>
    <w:rsid w:val="346F4C16"/>
    <w:rsid w:val="34B84079"/>
    <w:rsid w:val="35170BC1"/>
    <w:rsid w:val="359F072B"/>
    <w:rsid w:val="35A82394"/>
    <w:rsid w:val="36032F7B"/>
    <w:rsid w:val="360E2E9B"/>
    <w:rsid w:val="375D490D"/>
    <w:rsid w:val="37CB2D9B"/>
    <w:rsid w:val="38096FEA"/>
    <w:rsid w:val="38394C4C"/>
    <w:rsid w:val="38E01351"/>
    <w:rsid w:val="391B200F"/>
    <w:rsid w:val="39C12F31"/>
    <w:rsid w:val="3A1A0E55"/>
    <w:rsid w:val="3A8A7A5D"/>
    <w:rsid w:val="3AF410E4"/>
    <w:rsid w:val="3B292616"/>
    <w:rsid w:val="3B3B2CBA"/>
    <w:rsid w:val="3B714E2B"/>
    <w:rsid w:val="3BD7332B"/>
    <w:rsid w:val="3BDE455E"/>
    <w:rsid w:val="3C1C7C27"/>
    <w:rsid w:val="3D0468B2"/>
    <w:rsid w:val="3D923E71"/>
    <w:rsid w:val="3DA4123E"/>
    <w:rsid w:val="3DC832E8"/>
    <w:rsid w:val="3DFD29A6"/>
    <w:rsid w:val="3E763403"/>
    <w:rsid w:val="3EB00EB5"/>
    <w:rsid w:val="3EBE0387"/>
    <w:rsid w:val="3F352CF5"/>
    <w:rsid w:val="3F434789"/>
    <w:rsid w:val="3FB33E13"/>
    <w:rsid w:val="3FCD0DAE"/>
    <w:rsid w:val="3FD9024B"/>
    <w:rsid w:val="3FEA088C"/>
    <w:rsid w:val="404C2D5F"/>
    <w:rsid w:val="406C0FA7"/>
    <w:rsid w:val="407E25E0"/>
    <w:rsid w:val="40EB1D66"/>
    <w:rsid w:val="416E7A1D"/>
    <w:rsid w:val="41BB5B1D"/>
    <w:rsid w:val="41C37DD5"/>
    <w:rsid w:val="41D12417"/>
    <w:rsid w:val="41E06CA1"/>
    <w:rsid w:val="4231219D"/>
    <w:rsid w:val="42A930FC"/>
    <w:rsid w:val="42E03DA9"/>
    <w:rsid w:val="42E5654F"/>
    <w:rsid w:val="43064505"/>
    <w:rsid w:val="43A6660D"/>
    <w:rsid w:val="444058F7"/>
    <w:rsid w:val="44A83C31"/>
    <w:rsid w:val="45D74323"/>
    <w:rsid w:val="46295027"/>
    <w:rsid w:val="46925AB3"/>
    <w:rsid w:val="46C30AA8"/>
    <w:rsid w:val="46F224F1"/>
    <w:rsid w:val="476B562B"/>
    <w:rsid w:val="47FC6227"/>
    <w:rsid w:val="47FF273F"/>
    <w:rsid w:val="492A6155"/>
    <w:rsid w:val="492E634C"/>
    <w:rsid w:val="49BD016E"/>
    <w:rsid w:val="49DE0BDC"/>
    <w:rsid w:val="4A06662F"/>
    <w:rsid w:val="4A4A06C9"/>
    <w:rsid w:val="4A7047A0"/>
    <w:rsid w:val="4A861153"/>
    <w:rsid w:val="4A884CF5"/>
    <w:rsid w:val="4A8A55C1"/>
    <w:rsid w:val="4B00559A"/>
    <w:rsid w:val="4B9A5CD8"/>
    <w:rsid w:val="4BAD5A0B"/>
    <w:rsid w:val="4BAF5431"/>
    <w:rsid w:val="4C312198"/>
    <w:rsid w:val="4C404189"/>
    <w:rsid w:val="4C520360"/>
    <w:rsid w:val="4C6E4F29"/>
    <w:rsid w:val="4C885B30"/>
    <w:rsid w:val="4CDF25AC"/>
    <w:rsid w:val="4D935553"/>
    <w:rsid w:val="4DDD6129"/>
    <w:rsid w:val="4E013DEC"/>
    <w:rsid w:val="4EE65C45"/>
    <w:rsid w:val="4EF851EF"/>
    <w:rsid w:val="4F5C353A"/>
    <w:rsid w:val="4F954038"/>
    <w:rsid w:val="4F9E3301"/>
    <w:rsid w:val="4FF4424F"/>
    <w:rsid w:val="502F619C"/>
    <w:rsid w:val="50446212"/>
    <w:rsid w:val="51122012"/>
    <w:rsid w:val="522838C5"/>
    <w:rsid w:val="5288789D"/>
    <w:rsid w:val="52AF02BB"/>
    <w:rsid w:val="52B4414D"/>
    <w:rsid w:val="52DD6CFF"/>
    <w:rsid w:val="52FE71B7"/>
    <w:rsid w:val="536C2239"/>
    <w:rsid w:val="53E41AB0"/>
    <w:rsid w:val="53F10DC5"/>
    <w:rsid w:val="54241AE5"/>
    <w:rsid w:val="54864B2C"/>
    <w:rsid w:val="54C50B9A"/>
    <w:rsid w:val="54E37454"/>
    <w:rsid w:val="54EF6A0B"/>
    <w:rsid w:val="550146D2"/>
    <w:rsid w:val="55093A31"/>
    <w:rsid w:val="55255CE3"/>
    <w:rsid w:val="556233C2"/>
    <w:rsid w:val="55DD766C"/>
    <w:rsid w:val="56137B46"/>
    <w:rsid w:val="56CD1FB1"/>
    <w:rsid w:val="56F543FC"/>
    <w:rsid w:val="573B38A3"/>
    <w:rsid w:val="57A04676"/>
    <w:rsid w:val="580A0E3D"/>
    <w:rsid w:val="580A21FF"/>
    <w:rsid w:val="582610E3"/>
    <w:rsid w:val="582B3DC3"/>
    <w:rsid w:val="584A6390"/>
    <w:rsid w:val="58555460"/>
    <w:rsid w:val="58A15BF6"/>
    <w:rsid w:val="58C9181F"/>
    <w:rsid w:val="58F5279F"/>
    <w:rsid w:val="59077A8C"/>
    <w:rsid w:val="5915074C"/>
    <w:rsid w:val="59A654A4"/>
    <w:rsid w:val="5A3F74E6"/>
    <w:rsid w:val="5A4B1222"/>
    <w:rsid w:val="5AF076C2"/>
    <w:rsid w:val="5B206F0E"/>
    <w:rsid w:val="5BCC0BFD"/>
    <w:rsid w:val="5BE755A7"/>
    <w:rsid w:val="5C401F83"/>
    <w:rsid w:val="5C5D62E2"/>
    <w:rsid w:val="5C665027"/>
    <w:rsid w:val="5C764DF0"/>
    <w:rsid w:val="5CA23B09"/>
    <w:rsid w:val="5CE345F1"/>
    <w:rsid w:val="5CE458F6"/>
    <w:rsid w:val="5D5A3E03"/>
    <w:rsid w:val="5D7C523D"/>
    <w:rsid w:val="5E0943D3"/>
    <w:rsid w:val="5EAA7D26"/>
    <w:rsid w:val="5F2A273D"/>
    <w:rsid w:val="602C30AE"/>
    <w:rsid w:val="60410D8B"/>
    <w:rsid w:val="604E47ED"/>
    <w:rsid w:val="604E7E90"/>
    <w:rsid w:val="609A3376"/>
    <w:rsid w:val="612358EA"/>
    <w:rsid w:val="62276E83"/>
    <w:rsid w:val="62E55633"/>
    <w:rsid w:val="62E95063"/>
    <w:rsid w:val="63564CD0"/>
    <w:rsid w:val="6410410C"/>
    <w:rsid w:val="6444170D"/>
    <w:rsid w:val="64677C45"/>
    <w:rsid w:val="65A72415"/>
    <w:rsid w:val="65D72426"/>
    <w:rsid w:val="660C15FB"/>
    <w:rsid w:val="66263933"/>
    <w:rsid w:val="664363FD"/>
    <w:rsid w:val="666902A6"/>
    <w:rsid w:val="66A34FF2"/>
    <w:rsid w:val="66D66AC5"/>
    <w:rsid w:val="674A6A84"/>
    <w:rsid w:val="678C3850"/>
    <w:rsid w:val="68440564"/>
    <w:rsid w:val="689F39A2"/>
    <w:rsid w:val="68E56092"/>
    <w:rsid w:val="691C66B3"/>
    <w:rsid w:val="69424784"/>
    <w:rsid w:val="69667033"/>
    <w:rsid w:val="697C0071"/>
    <w:rsid w:val="6A2640AA"/>
    <w:rsid w:val="6A270143"/>
    <w:rsid w:val="6A306848"/>
    <w:rsid w:val="6A3D7B02"/>
    <w:rsid w:val="6A4610AD"/>
    <w:rsid w:val="6A6D2E29"/>
    <w:rsid w:val="6A961A6F"/>
    <w:rsid w:val="6AA33E09"/>
    <w:rsid w:val="6B0A20DA"/>
    <w:rsid w:val="6B8974A3"/>
    <w:rsid w:val="6B8F08DB"/>
    <w:rsid w:val="6C2E004A"/>
    <w:rsid w:val="6C511D45"/>
    <w:rsid w:val="6C74577D"/>
    <w:rsid w:val="6C784C21"/>
    <w:rsid w:val="6C9F7C7C"/>
    <w:rsid w:val="6CA55F4C"/>
    <w:rsid w:val="6CED6A53"/>
    <w:rsid w:val="6D9E0203"/>
    <w:rsid w:val="6DD10C8D"/>
    <w:rsid w:val="6E183B1D"/>
    <w:rsid w:val="6E7A264F"/>
    <w:rsid w:val="6EAC5256"/>
    <w:rsid w:val="6EB77D8C"/>
    <w:rsid w:val="6EE05F0F"/>
    <w:rsid w:val="6EE77B78"/>
    <w:rsid w:val="6EFA6420"/>
    <w:rsid w:val="6F367103"/>
    <w:rsid w:val="6FA220B1"/>
    <w:rsid w:val="6FD607DD"/>
    <w:rsid w:val="700C7562"/>
    <w:rsid w:val="704D3FB5"/>
    <w:rsid w:val="70C20CC0"/>
    <w:rsid w:val="70F42666"/>
    <w:rsid w:val="71365D4B"/>
    <w:rsid w:val="71465206"/>
    <w:rsid w:val="71DF193B"/>
    <w:rsid w:val="71E116BB"/>
    <w:rsid w:val="71E31AFD"/>
    <w:rsid w:val="71E573FD"/>
    <w:rsid w:val="72C84615"/>
    <w:rsid w:val="73947C19"/>
    <w:rsid w:val="73D67E93"/>
    <w:rsid w:val="745D2CF4"/>
    <w:rsid w:val="7460720F"/>
    <w:rsid w:val="74A9506F"/>
    <w:rsid w:val="74EE7509"/>
    <w:rsid w:val="7585185D"/>
    <w:rsid w:val="759E3B4B"/>
    <w:rsid w:val="75B9535C"/>
    <w:rsid w:val="75E55C1E"/>
    <w:rsid w:val="7670455E"/>
    <w:rsid w:val="76812B64"/>
    <w:rsid w:val="77FD7967"/>
    <w:rsid w:val="780D398B"/>
    <w:rsid w:val="78A53ADE"/>
    <w:rsid w:val="78F57EFF"/>
    <w:rsid w:val="7937517C"/>
    <w:rsid w:val="79746811"/>
    <w:rsid w:val="797777B2"/>
    <w:rsid w:val="797D43BF"/>
    <w:rsid w:val="79B01C1D"/>
    <w:rsid w:val="79CB17D1"/>
    <w:rsid w:val="79DD5C7F"/>
    <w:rsid w:val="7A096760"/>
    <w:rsid w:val="7A140357"/>
    <w:rsid w:val="7A4A5618"/>
    <w:rsid w:val="7A63515A"/>
    <w:rsid w:val="7A6535D9"/>
    <w:rsid w:val="7A7E219D"/>
    <w:rsid w:val="7A875F76"/>
    <w:rsid w:val="7B38059E"/>
    <w:rsid w:val="7BAD4BF5"/>
    <w:rsid w:val="7BF344C5"/>
    <w:rsid w:val="7BFA6EF3"/>
    <w:rsid w:val="7C3242E3"/>
    <w:rsid w:val="7C6E0129"/>
    <w:rsid w:val="7C964B73"/>
    <w:rsid w:val="7D57394F"/>
    <w:rsid w:val="7D6015ED"/>
    <w:rsid w:val="7D6E6DC6"/>
    <w:rsid w:val="7D9525E0"/>
    <w:rsid w:val="7DB61057"/>
    <w:rsid w:val="7DC03599"/>
    <w:rsid w:val="7DDD290B"/>
    <w:rsid w:val="7DF53835"/>
    <w:rsid w:val="7E040C0B"/>
    <w:rsid w:val="7E0B68D2"/>
    <w:rsid w:val="7E491FC4"/>
    <w:rsid w:val="7EFB30E3"/>
    <w:rsid w:val="7F1629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9"/>
    <w:pPr>
      <w:keepNext/>
      <w:keepLines/>
      <w:numPr>
        <w:ilvl w:val="0"/>
        <w:numId w:val="1"/>
      </w:numPr>
      <w:spacing w:before="340" w:after="330" w:line="576" w:lineRule="auto"/>
      <w:outlineLvl w:val="0"/>
    </w:pPr>
    <w:rPr>
      <w:b/>
      <w:kern w:val="44"/>
      <w:sz w:val="44"/>
      <w:szCs w:val="20"/>
    </w:rPr>
  </w:style>
  <w:style w:type="paragraph" w:styleId="2">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qFormat/>
    <w:uiPriority w:val="0"/>
    <w:pPr>
      <w:keepNext/>
      <w:spacing w:beforeLines="200" w:line="400" w:lineRule="exact"/>
      <w:jc w:val="center"/>
      <w:outlineLvl w:val="2"/>
    </w:pPr>
    <w:rPr>
      <w:rFonts w:ascii="Times New Roman"/>
      <w:b/>
      <w:bCs/>
      <w:kern w:val="2"/>
      <w:szCs w:val="24"/>
    </w:rPr>
  </w:style>
  <w:style w:type="paragraph" w:styleId="5">
    <w:name w:val="heading 4"/>
    <w:basedOn w:val="1"/>
    <w:next w:val="1"/>
    <w:qFormat/>
    <w:uiPriority w:val="0"/>
    <w:pPr>
      <w:keepNext/>
      <w:keepLines/>
      <w:tabs>
        <w:tab w:val="left" w:pos="864"/>
      </w:tabs>
      <w:spacing w:before="120" w:beforeLines="0" w:line="360" w:lineRule="auto"/>
      <w:ind w:left="864" w:hanging="864"/>
      <w:outlineLvl w:val="3"/>
    </w:pPr>
    <w:rPr>
      <w:rFonts w:ascii="Arial" w:hAnsi="Arial"/>
      <w:bCs/>
      <w:kern w:val="2"/>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1"/>
    </w:rPr>
  </w:style>
  <w:style w:type="paragraph" w:styleId="8">
    <w:name w:val="toc 4"/>
    <w:basedOn w:val="1"/>
    <w:next w:val="1"/>
    <w:unhideWhenUsed/>
    <w:qFormat/>
    <w:uiPriority w:val="39"/>
  </w:style>
  <w:style w:type="paragraph" w:styleId="9">
    <w:name w:val="annotation text"/>
    <w:basedOn w:val="1"/>
    <w:qFormat/>
    <w:uiPriority w:val="0"/>
    <w:pPr>
      <w:jc w:val="left"/>
    </w:pPr>
  </w:style>
  <w:style w:type="paragraph" w:styleId="10">
    <w:name w:val="Body Text"/>
    <w:basedOn w:val="1"/>
    <w:next w:val="1"/>
    <w:qFormat/>
    <w:uiPriority w:val="0"/>
    <w:pPr>
      <w:spacing w:after="120"/>
    </w:pPr>
    <w:rPr>
      <w:rFonts w:ascii="Times New Roman"/>
      <w:kern w:val="2"/>
      <w:sz w:val="21"/>
    </w:rPr>
  </w:style>
  <w:style w:type="paragraph" w:styleId="11">
    <w:name w:val="HTML Address"/>
    <w:qFormat/>
    <w:uiPriority w:val="0"/>
    <w:rPr>
      <w:rFonts w:ascii="宋体" w:hAnsi="宋体" w:eastAsia="宋体" w:cs="宋体"/>
      <w:i/>
      <w:sz w:val="24"/>
      <w:szCs w:val="24"/>
      <w:lang w:val="en-US" w:eastAsia="zh-CN" w:bidi="ar-SA"/>
    </w:rPr>
  </w:style>
  <w:style w:type="paragraph" w:styleId="12">
    <w:name w:val="toc 3"/>
    <w:basedOn w:val="1"/>
    <w:next w:val="1"/>
    <w:qFormat/>
    <w:uiPriority w:val="0"/>
    <w:pPr>
      <w:ind w:left="840" w:leftChars="400"/>
    </w:pPr>
  </w:style>
  <w:style w:type="paragraph" w:styleId="13">
    <w:name w:val="Plain Text"/>
    <w:basedOn w:val="1"/>
    <w:next w:val="1"/>
    <w:qFormat/>
    <w:uiPriority w:val="0"/>
    <w:rPr>
      <w:rFonts w:ascii="宋体" w:hAnsi="Courier New"/>
    </w:rPr>
  </w:style>
  <w:style w:type="paragraph" w:styleId="14">
    <w:name w:val="Date"/>
    <w:basedOn w:val="1"/>
    <w:next w:val="1"/>
    <w:qFormat/>
    <w:uiPriority w:val="0"/>
    <w:rPr>
      <w:rFonts w:ascii="Times New Roman"/>
      <w:kern w:val="2"/>
      <w:sz w:val="28"/>
    </w:rPr>
  </w:style>
  <w:style w:type="paragraph" w:styleId="15">
    <w:name w:val="footer"/>
    <w:basedOn w:val="1"/>
    <w:next w:val="10"/>
    <w:qFormat/>
    <w:uiPriority w:val="0"/>
    <w:pPr>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2"/>
    <w:basedOn w:val="1"/>
    <w:next w:val="1"/>
    <w:qFormat/>
    <w:uiPriority w:val="0"/>
    <w:pPr>
      <w:ind w:left="420" w:leftChars="200"/>
    </w:pPr>
  </w:style>
  <w:style w:type="paragraph" w:styleId="18">
    <w:name w:val="Body Text 2"/>
    <w:basedOn w:val="1"/>
    <w:qFormat/>
    <w:uiPriority w:val="0"/>
    <w:rPr>
      <w:rFonts w:ascii="楷体_GB2312" w:hAnsi="Copperplate Gothic Bold" w:eastAsia="楷体_GB2312"/>
      <w:kern w:val="2"/>
      <w:sz w:val="28"/>
    </w:rPr>
  </w:style>
  <w:style w:type="paragraph" w:styleId="19">
    <w:name w:val="HTML Preformatted"/>
    <w:basedOn w:val="1"/>
    <w:qFormat/>
    <w:uiPriority w:val="0"/>
    <w:pPr>
      <w:jc w:val="left"/>
    </w:pPr>
    <w:rPr>
      <w:rFonts w:ascii="Arial" w:hAnsi="Arial" w:cs="Arial"/>
      <w:kern w:val="0"/>
      <w:sz w:val="24"/>
    </w:rPr>
  </w:style>
  <w:style w:type="paragraph" w:styleId="20">
    <w:name w:val="Normal (Web)"/>
    <w:basedOn w:val="1"/>
    <w:qFormat/>
    <w:uiPriority w:val="99"/>
    <w:pPr>
      <w:spacing w:before="100" w:beforeAutospacing="1" w:after="100" w:afterAutospacing="1" w:line="320" w:lineRule="atLeast"/>
    </w:pPr>
    <w:rPr>
      <w:rFonts w:cs="Times New Roman"/>
      <w:sz w:val="18"/>
      <w:szCs w:val="18"/>
    </w:rPr>
  </w:style>
  <w:style w:type="paragraph" w:styleId="21">
    <w:name w:val="Body Text First Indent"/>
    <w:basedOn w:val="10"/>
    <w:next w:val="1"/>
    <w:unhideWhenUsed/>
    <w:qFormat/>
    <w:uiPriority w:val="99"/>
    <w:pPr>
      <w:ind w:firstLine="420" w:firstLineChars="100"/>
    </w:pPr>
    <w:rPr>
      <w:szCs w:val="24"/>
    </w:rPr>
  </w:style>
  <w:style w:type="table" w:styleId="2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FollowedHyperlink"/>
    <w:basedOn w:val="24"/>
    <w:qFormat/>
    <w:uiPriority w:val="0"/>
    <w:rPr>
      <w:color w:val="800080"/>
      <w:u w:val="none"/>
    </w:rPr>
  </w:style>
  <w:style w:type="character" w:styleId="27">
    <w:name w:val="Emphasis"/>
    <w:basedOn w:val="24"/>
    <w:qFormat/>
    <w:uiPriority w:val="0"/>
    <w:rPr>
      <w:b/>
      <w:bCs/>
    </w:rPr>
  </w:style>
  <w:style w:type="character" w:styleId="28">
    <w:name w:val="HTML Definition"/>
    <w:basedOn w:val="24"/>
    <w:qFormat/>
    <w:uiPriority w:val="0"/>
  </w:style>
  <w:style w:type="character" w:styleId="29">
    <w:name w:val="HTML Typewriter"/>
    <w:basedOn w:val="24"/>
    <w:qFormat/>
    <w:uiPriority w:val="0"/>
    <w:rPr>
      <w:rFonts w:hint="default"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0"/>
    <w:rPr>
      <w:color w:val="0000FF"/>
      <w:u w:val="none"/>
    </w:rPr>
  </w:style>
  <w:style w:type="character" w:styleId="33">
    <w:name w:val="HTML Code"/>
    <w:basedOn w:val="24"/>
    <w:qFormat/>
    <w:uiPriority w:val="0"/>
    <w:rPr>
      <w:rFonts w:hint="default" w:ascii="monospace" w:hAnsi="monospace" w:eastAsia="monospace" w:cs="monospace"/>
      <w:sz w:val="20"/>
    </w:rPr>
  </w:style>
  <w:style w:type="character" w:styleId="34">
    <w:name w:val="HTML Cite"/>
    <w:basedOn w:val="24"/>
    <w:qFormat/>
    <w:uiPriority w:val="0"/>
  </w:style>
  <w:style w:type="character" w:styleId="35">
    <w:name w:val="HTML Keyboard"/>
    <w:basedOn w:val="24"/>
    <w:qFormat/>
    <w:uiPriority w:val="0"/>
    <w:rPr>
      <w:rFonts w:hint="default" w:ascii="monospace" w:hAnsi="monospace" w:eastAsia="monospace" w:cs="monospace"/>
      <w:sz w:val="20"/>
      <w:bdr w:val="single" w:color="C2C4CB" w:sz="6" w:space="0"/>
      <w:shd w:val="clear" w:fill="FFFFFF"/>
    </w:rPr>
  </w:style>
  <w:style w:type="character" w:styleId="36">
    <w:name w:val="HTML Sample"/>
    <w:basedOn w:val="24"/>
    <w:qFormat/>
    <w:uiPriority w:val="0"/>
    <w:rPr>
      <w:rFonts w:ascii="monospace" w:hAnsi="monospace" w:eastAsia="monospace" w:cs="monospace"/>
    </w:rPr>
  </w:style>
  <w:style w:type="paragraph" w:customStyle="1" w:styleId="37">
    <w:name w:val="标题 2 Char1"/>
    <w:basedOn w:val="1"/>
    <w:qFormat/>
    <w:uiPriority w:val="0"/>
  </w:style>
  <w:style w:type="paragraph" w:customStyle="1" w:styleId="38">
    <w:name w:val="列出段落1"/>
    <w:basedOn w:val="1"/>
    <w:qFormat/>
    <w:uiPriority w:val="0"/>
    <w:pPr>
      <w:widowControl/>
      <w:ind w:firstLine="420" w:firstLineChars="200"/>
      <w:jc w:val="left"/>
    </w:pPr>
    <w:rPr>
      <w:rFonts w:ascii="宋体" w:hAnsi="宋体" w:cs="宋体"/>
      <w:kern w:val="0"/>
      <w:sz w:val="24"/>
      <w:szCs w:val="24"/>
    </w:rPr>
  </w:style>
  <w:style w:type="table" w:customStyle="1" w:styleId="39">
    <w:name w:val="Table Normal"/>
    <w:semiHidden/>
    <w:unhideWhenUsed/>
    <w:qFormat/>
    <w:uiPriority w:val="0"/>
    <w:tblPr>
      <w:tblCellMar>
        <w:top w:w="0" w:type="dxa"/>
        <w:left w:w="0" w:type="dxa"/>
        <w:bottom w:w="0" w:type="dxa"/>
        <w:right w:w="0" w:type="dxa"/>
      </w:tblCellMar>
    </w:tblPr>
  </w:style>
  <w:style w:type="paragraph" w:customStyle="1" w:styleId="40">
    <w:name w:val="Table Paragraph"/>
    <w:basedOn w:val="1"/>
    <w:qFormat/>
    <w:uiPriority w:val="1"/>
    <w:rPr>
      <w:rFonts w:ascii="宋体" w:hAnsi="宋体" w:eastAsia="宋体" w:cs="宋体"/>
      <w:lang w:val="en-US" w:eastAsia="zh-CN" w:bidi="ar-SA"/>
    </w:rPr>
  </w:style>
  <w:style w:type="paragraph" w:customStyle="1" w:styleId="41">
    <w:name w:val="正文缩进1"/>
    <w:basedOn w:val="1"/>
    <w:qFormat/>
    <w:uiPriority w:val="0"/>
    <w:pPr>
      <w:ind w:firstLine="420" w:firstLineChars="200"/>
    </w:pPr>
  </w:style>
  <w:style w:type="paragraph" w:customStyle="1" w:styleId="4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3">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表格文字中"/>
    <w:basedOn w:val="1"/>
    <w:qFormat/>
    <w:uiPriority w:val="0"/>
    <w:pPr>
      <w:adjustRightInd w:val="0"/>
      <w:snapToGrid w:val="0"/>
      <w:ind w:left="22" w:leftChars="8"/>
      <w:jc w:val="center"/>
    </w:pPr>
    <w:rPr>
      <w:szCs w:val="24"/>
    </w:rPr>
  </w:style>
  <w:style w:type="character" w:customStyle="1" w:styleId="46">
    <w:name w:val="layui-layer-tabnow"/>
    <w:basedOn w:val="24"/>
    <w:qFormat/>
    <w:uiPriority w:val="0"/>
    <w:rPr>
      <w:bdr w:val="single" w:color="CCCCCC" w:sz="6" w:space="0"/>
      <w:shd w:val="clear" w:fill="FFFFFF"/>
    </w:rPr>
  </w:style>
  <w:style w:type="character" w:customStyle="1" w:styleId="47">
    <w:name w:val="first-child"/>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210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81</Pages>
  <Words>41851</Words>
  <Characters>45568</Characters>
  <TotalTime>17</TotalTime>
  <ScaleCrop>false</ScaleCrop>
  <LinksUpToDate>false</LinksUpToDate>
  <CharactersWithSpaces>49334</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2022-11-18T14:25:00Z</dcterms:created>
  <dc:creator>YXZ-002</dc:creator>
  <cp:lastModifiedBy>深海夜未眠</cp:lastModifiedBy>
  <dcterms:modified xsi:type="dcterms:W3CDTF">2023-03-06T02:52:16Z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2022-11-22T11:50:23Z</vt:filetime>
  </property>
  <property fmtid="{D5CDD505-2E9C-101B-9397-08002B2CF9AE}" pid="4" name="KSOProductBuildVer">
    <vt:lpwstr>2052-11.1.0.13703</vt:lpwstr>
  </property>
  <property fmtid="{D5CDD505-2E9C-101B-9397-08002B2CF9AE}" pid="5" name="ICV">
    <vt:lpwstr>FFDD6611422B44498FA3E5F964F88AF1</vt:lpwstr>
  </property>
</Properties>
</file>