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
          <w:sz w:val="32"/>
          <w:szCs w:val="32"/>
        </w:rPr>
      </w:pPr>
      <w:r>
        <w:rPr>
          <w:rFonts w:hint="eastAsia" w:ascii="仿宋" w:hAnsi="仿宋" w:eastAsia="仿宋"/>
          <w:b/>
          <w:sz w:val="32"/>
          <w:szCs w:val="32"/>
        </w:rPr>
        <w:t>附件1：政府采购需求书范本（货物类）</w:t>
      </w:r>
    </w:p>
    <w:tbl>
      <w:tblPr>
        <w:tblStyle w:val="1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8"/>
                <w:szCs w:val="28"/>
                <w:lang w:val="zh-CN"/>
                <w14:textFill>
                  <w14:solidFill>
                    <w14:schemeClr w14:val="tx1"/>
                  </w14:solidFill>
                </w14:textFill>
              </w:rPr>
              <w:t>序号</w:t>
            </w:r>
          </w:p>
        </w:tc>
        <w:tc>
          <w:tcPr>
            <w:tcW w:w="1556" w:type="dxa"/>
            <w:vAlign w:val="center"/>
          </w:tcPr>
          <w:p>
            <w:pPr>
              <w:pStyle w:val="34"/>
              <w:ind w:left="38"/>
              <w:jc w:val="center"/>
              <w:rPr>
                <w:b/>
                <w:color w:val="000000" w:themeColor="text1"/>
                <w:kern w:val="2"/>
                <w:lang w:val="zh-CN"/>
                <w14:textFill>
                  <w14:solidFill>
                    <w14:schemeClr w14:val="tx1"/>
                  </w14:solidFill>
                </w14:textFill>
              </w:rPr>
            </w:pPr>
            <w:r>
              <w:rPr>
                <w:rFonts w:hint="eastAsia"/>
                <w:b/>
                <w:color w:val="000000" w:themeColor="text1"/>
                <w:kern w:val="2"/>
                <w:sz w:val="28"/>
                <w:szCs w:val="28"/>
                <w:lang w:val="zh-CN"/>
                <w14:textFill>
                  <w14:solidFill>
                    <w14:schemeClr w14:val="tx1"/>
                  </w14:solidFill>
                </w14:textFill>
              </w:rPr>
              <w:t>关键事项</w:t>
            </w:r>
          </w:p>
        </w:tc>
        <w:tc>
          <w:tcPr>
            <w:tcW w:w="7067" w:type="dxa"/>
            <w:vAlign w:val="center"/>
          </w:tcPr>
          <w:p>
            <w:pPr>
              <w:pStyle w:val="34"/>
              <w:jc w:val="center"/>
              <w:rPr>
                <w:b/>
                <w:color w:val="000000" w:themeColor="text1"/>
                <w:kern w:val="2"/>
                <w:lang w:val="zh-CN"/>
                <w14:textFill>
                  <w14:solidFill>
                    <w14:schemeClr w14:val="tx1"/>
                  </w14:solidFill>
                </w14:textFill>
              </w:rPr>
            </w:pPr>
            <w:r>
              <w:rPr>
                <w:rFonts w:hint="eastAsia"/>
                <w:b/>
                <w:color w:val="000000" w:themeColor="text1"/>
                <w:kern w:val="2"/>
                <w:sz w:val="28"/>
                <w:szCs w:val="28"/>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8"/>
                <w:szCs w:val="28"/>
                <w:lang w:val="zh-CN"/>
                <w14:textFill>
                  <w14:solidFill>
                    <w14:schemeClr w14:val="tx1"/>
                  </w14:solidFill>
                </w14:textFill>
              </w:rPr>
            </w:pPr>
            <w:r>
              <w:rPr>
                <w:rFonts w:ascii="宋体" w:hAnsi="宋体"/>
                <w:bCs/>
                <w:color w:val="000000" w:themeColor="text1"/>
                <w:sz w:val="28"/>
                <w:szCs w:val="28"/>
                <w:lang w:val="zh-CN"/>
                <w14:textFill>
                  <w14:solidFill>
                    <w14:schemeClr w14:val="tx1"/>
                  </w14:solidFill>
                </w14:textFill>
              </w:rPr>
              <w:t>1</w:t>
            </w:r>
          </w:p>
        </w:tc>
        <w:tc>
          <w:tcPr>
            <w:tcW w:w="1556" w:type="dxa"/>
            <w:vAlign w:val="center"/>
          </w:tcPr>
          <w:p>
            <w:pPr>
              <w:pStyle w:val="34"/>
              <w:ind w:left="38"/>
              <w:jc w:val="center"/>
              <w:rPr>
                <w:bCs/>
                <w:color w:val="000000" w:themeColor="text1"/>
                <w:kern w:val="2"/>
                <w:lang w:val="zh-CN"/>
                <w14:textFill>
                  <w14:solidFill>
                    <w14:schemeClr w14:val="tx1"/>
                  </w14:solidFill>
                </w14:textFill>
              </w:rPr>
            </w:pPr>
            <w:r>
              <w:rPr>
                <w:rFonts w:hint="eastAsia"/>
                <w:bCs/>
                <w:color w:val="000000" w:themeColor="text1"/>
                <w:kern w:val="2"/>
                <w:lang w:val="zh-CN"/>
                <w14:textFill>
                  <w14:solidFill>
                    <w14:schemeClr w14:val="tx1"/>
                  </w14:solidFill>
                </w14:textFill>
              </w:rPr>
              <w:t>采购预算</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rFonts w:hint="eastAsia"/>
                <w:b/>
                <w:color w:val="000000" w:themeColor="text1"/>
                <w:kern w:val="2"/>
                <w:u w:val="single"/>
                <w:lang w:val="en-US" w:eastAsia="zh-CN"/>
                <w14:textFill>
                  <w14:solidFill>
                    <w14:schemeClr w14:val="tx1"/>
                  </w14:solidFill>
                </w14:textFill>
              </w:rPr>
              <w:t xml:space="preserve"> 1452096.20</w:t>
            </w:r>
            <w:r>
              <w:rPr>
                <w:rFonts w:hint="eastAsia"/>
                <w:b/>
                <w:color w:val="000000" w:themeColor="text1"/>
                <w:kern w:val="2"/>
                <w:lang w:val="zh-CN"/>
                <w14:textFill>
                  <w14:solidFill>
                    <w14:schemeClr w14:val="tx1"/>
                  </w14:solidFill>
                </w14:textFill>
              </w:rPr>
              <w:t>元</w:t>
            </w:r>
          </w:p>
          <w:p>
            <w:pPr>
              <w:pStyle w:val="34"/>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8"/>
                <w:szCs w:val="28"/>
                <w:lang w:val="zh-CN"/>
                <w14:textFill>
                  <w14:solidFill>
                    <w14:schemeClr w14:val="tx1"/>
                  </w14:solidFill>
                </w14:textFill>
              </w:rPr>
            </w:pPr>
            <w:r>
              <w:rPr>
                <w:rFonts w:ascii="宋体" w:hAnsi="宋体"/>
                <w:bCs/>
                <w:color w:val="000000" w:themeColor="text1"/>
                <w:sz w:val="28"/>
                <w:szCs w:val="28"/>
                <w:lang w:val="zh-CN"/>
                <w14:textFill>
                  <w14:solidFill>
                    <w14:schemeClr w14:val="tx1"/>
                  </w14:solidFill>
                </w14:textFill>
              </w:rPr>
              <w:t>2</w:t>
            </w:r>
          </w:p>
        </w:tc>
        <w:tc>
          <w:tcPr>
            <w:tcW w:w="1556" w:type="dxa"/>
            <w:vAlign w:val="center"/>
          </w:tcPr>
          <w:p>
            <w:pPr>
              <w:pStyle w:val="34"/>
              <w:ind w:left="38"/>
              <w:jc w:val="center"/>
              <w:rPr>
                <w:bCs/>
                <w:color w:val="000000" w:themeColor="text1"/>
                <w:kern w:val="2"/>
                <w:lang w:val="zh-CN"/>
                <w14:textFill>
                  <w14:solidFill>
                    <w14:schemeClr w14:val="tx1"/>
                  </w14:solidFill>
                </w14:textFill>
              </w:rPr>
            </w:pPr>
            <w:r>
              <w:rPr>
                <w:rFonts w:hint="eastAsia"/>
                <w:bCs/>
                <w:color w:val="000000" w:themeColor="text1"/>
                <w:kern w:val="2"/>
                <w:lang w:val="zh-CN"/>
                <w14:textFill>
                  <w14:solidFill>
                    <w14:schemeClr w14:val="tx1"/>
                  </w14:solidFill>
                </w14:textFill>
              </w:rPr>
              <w:t>最高限价</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人民币</w:t>
            </w:r>
            <w:r>
              <w:rPr>
                <w:rFonts w:hint="eastAsia"/>
                <w:b/>
                <w:color w:val="000000" w:themeColor="text1"/>
                <w:kern w:val="2"/>
                <w:u w:val="single"/>
                <w:lang w:val="en-US" w:eastAsia="zh-CN"/>
                <w14:textFill>
                  <w14:solidFill>
                    <w14:schemeClr w14:val="tx1"/>
                  </w14:solidFill>
                </w14:textFill>
              </w:rPr>
              <w:t xml:space="preserve"> 1452096.20</w:t>
            </w:r>
            <w:r>
              <w:rPr>
                <w:rFonts w:hint="eastAsia"/>
                <w:b/>
                <w:color w:val="000000" w:themeColor="text1"/>
                <w:kern w:val="2"/>
                <w:lang w:val="zh-CN"/>
                <w14:textFill>
                  <w14:solidFill>
                    <w14:schemeClr w14:val="tx1"/>
                  </w14:solidFill>
                </w14:textFill>
              </w:rPr>
              <w:t>元</w:t>
            </w:r>
          </w:p>
          <w:p>
            <w:pPr>
              <w:pStyle w:val="34"/>
              <w:ind w:left="38"/>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Cs/>
                <w:color w:val="000000" w:themeColor="text1"/>
                <w:sz w:val="28"/>
                <w:szCs w:val="28"/>
                <w:lang w:val="zh-CN"/>
                <w14:textFill>
                  <w14:solidFill>
                    <w14:schemeClr w14:val="tx1"/>
                  </w14:solidFill>
                </w14:textFill>
              </w:rPr>
            </w:pPr>
            <w:r>
              <w:rPr>
                <w:rFonts w:ascii="宋体" w:hAnsi="宋体"/>
                <w:bCs/>
                <w:color w:val="000000" w:themeColor="text1"/>
                <w:sz w:val="28"/>
                <w:szCs w:val="28"/>
                <w:lang w:val="zh-CN"/>
                <w14:textFill>
                  <w14:solidFill>
                    <w14:schemeClr w14:val="tx1"/>
                  </w14:solidFill>
                </w14:textFill>
              </w:rPr>
              <w:t>3</w:t>
            </w:r>
          </w:p>
        </w:tc>
        <w:tc>
          <w:tcPr>
            <w:tcW w:w="1556" w:type="dxa"/>
            <w:vMerge w:val="restart"/>
            <w:vAlign w:val="center"/>
          </w:tcPr>
          <w:p>
            <w:pPr>
              <w:pStyle w:val="34"/>
              <w:ind w:left="38"/>
              <w:jc w:val="center"/>
              <w:rPr>
                <w:bCs/>
                <w:color w:val="000000" w:themeColor="text1"/>
                <w:kern w:val="2"/>
                <w:lang w:val="zh-CN"/>
                <w14:textFill>
                  <w14:solidFill>
                    <w14:schemeClr w14:val="tx1"/>
                  </w14:solidFill>
                </w14:textFill>
              </w:rPr>
            </w:pPr>
            <w:r>
              <w:rPr>
                <w:rFonts w:hint="eastAsia"/>
                <w:bCs/>
                <w:color w:val="000000" w:themeColor="text1"/>
                <w:kern w:val="2"/>
                <w:lang w:val="zh-CN"/>
                <w14:textFill>
                  <w14:solidFill>
                    <w14:schemeClr w14:val="tx1"/>
                  </w14:solidFill>
                </w14:textFill>
              </w:rPr>
              <w:t>项目性质</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ascii="宋体" w:hAnsi="宋体" w:cs="宋体"/>
                <w:b/>
                <w:sz w:val="24"/>
                <w:szCs w:val="24"/>
                <w:highlight w:val="none"/>
                <w:lang w:val="zh-CN"/>
              </w:rPr>
              <w:t>●</w:t>
            </w:r>
            <w:r>
              <w:rPr>
                <w:rFonts w:hint="eastAsia"/>
                <w:b/>
                <w:color w:val="000000" w:themeColor="text1"/>
                <w:kern w:val="2"/>
                <w:lang w:val="zh-CN"/>
                <w14:textFill>
                  <w14:solidFill>
                    <w14:schemeClr w14:val="tx1"/>
                  </w14:solidFill>
                </w14:textFill>
              </w:rPr>
              <w:t>专门面向中小企业采购</w:t>
            </w:r>
          </w:p>
          <w:p>
            <w:pPr>
              <w:pStyle w:val="34"/>
              <w:ind w:left="38"/>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Cs/>
                <w:color w:val="000000" w:themeColor="text1"/>
                <w:sz w:val="28"/>
                <w:szCs w:val="28"/>
                <w:lang w:val="zh-CN"/>
                <w14:textFill>
                  <w14:solidFill>
                    <w14:schemeClr w14:val="tx1"/>
                  </w14:solidFill>
                </w14:textFill>
              </w:rPr>
            </w:pPr>
          </w:p>
        </w:tc>
        <w:tc>
          <w:tcPr>
            <w:tcW w:w="1556" w:type="dxa"/>
            <w:vMerge w:val="continue"/>
            <w:vAlign w:val="center"/>
          </w:tcPr>
          <w:p>
            <w:pPr>
              <w:pStyle w:val="34"/>
              <w:ind w:left="96"/>
              <w:jc w:val="center"/>
              <w:rPr>
                <w:bCs/>
                <w:color w:val="000000" w:themeColor="text1"/>
                <w:kern w:val="2"/>
                <w:lang w:val="zh-CN"/>
                <w14:textFill>
                  <w14:solidFill>
                    <w14:schemeClr w14:val="tx1"/>
                  </w14:solidFill>
                </w14:textFill>
              </w:rPr>
            </w:pPr>
          </w:p>
        </w:tc>
        <w:tc>
          <w:tcPr>
            <w:tcW w:w="7067" w:type="dxa"/>
            <w:vAlign w:val="center"/>
          </w:tcPr>
          <w:p>
            <w:pPr>
              <w:rPr>
                <w:rFonts w:ascii="宋体" w:hAnsi="宋体" w:cs="宋体"/>
                <w:b/>
                <w:color w:val="000000" w:themeColor="text1"/>
                <w:sz w:val="24"/>
                <w:szCs w:val="24"/>
                <w:lang w:val="zh-CN"/>
                <w14:textFill>
                  <w14:solidFill>
                    <w14:schemeClr w14:val="tx1"/>
                  </w14:solidFill>
                </w14:textFill>
              </w:rPr>
            </w:pPr>
            <w:r>
              <w:rPr>
                <w:rFonts w:ascii="宋体" w:hAnsi="宋体" w:cs="宋体"/>
                <w:b/>
                <w:color w:val="000000" w:themeColor="text1"/>
                <w:sz w:val="24"/>
                <w:szCs w:val="24"/>
                <w:lang w:val="zh-CN"/>
                <w14:textFill>
                  <w14:solidFill>
                    <w14:schemeClr w14:val="tx1"/>
                  </w14:solidFill>
                </w14:textFill>
              </w:rPr>
              <w:t>○</w:t>
            </w:r>
            <w:r>
              <w:rPr>
                <w:rFonts w:hint="eastAsia" w:ascii="宋体" w:hAnsi="宋体" w:cs="宋体"/>
                <w:b/>
                <w:color w:val="000000" w:themeColor="text1"/>
                <w:sz w:val="24"/>
                <w:szCs w:val="24"/>
                <w:lang w:val="zh-CN"/>
                <w14:textFill>
                  <w14:solidFill>
                    <w14:schemeClr w14:val="tx1"/>
                  </w14:solidFill>
                </w14:textFill>
              </w:rPr>
              <w:t>非专门面向中小企业采购</w:t>
            </w:r>
          </w:p>
          <w:p>
            <w:pPr>
              <w:ind w:right="94" w:rightChars="45"/>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给予___%（6%-</w:t>
            </w:r>
            <w:r>
              <w:rPr>
                <w:rFonts w:ascii="宋体" w:hAnsi="宋体" w:cs="宋体"/>
                <w:b/>
                <w:color w:val="000000" w:themeColor="text1"/>
                <w:kern w:val="0"/>
                <w:szCs w:val="21"/>
                <w:lang w:val="zh-CN"/>
                <w14:textFill>
                  <w14:solidFill>
                    <w14:schemeClr w14:val="tx1"/>
                  </w14:solidFill>
                </w14:textFill>
              </w:rPr>
              <w:t>10%</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bCs/>
                <w:color w:val="000000" w:themeColor="text1"/>
                <w:kern w:val="0"/>
                <w:szCs w:val="21"/>
                <w:lang w:val="zh-CN"/>
                <w14:textFill>
                  <w14:solidFill>
                    <w14:schemeClr w14:val="tx1"/>
                  </w14:solidFill>
                </w14:textFill>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4</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对供应商的</w:t>
            </w:r>
            <w:r>
              <w:rPr>
                <w:bCs/>
                <w:color w:val="000000" w:themeColor="text1"/>
                <w:kern w:val="2"/>
                <w:lang w:val="zh-CN"/>
                <w14:textFill>
                  <w14:solidFill>
                    <w14:schemeClr w14:val="tx1"/>
                  </w14:solidFill>
                </w14:textFill>
              </w:rPr>
              <w:br w:type="textWrapping"/>
            </w:r>
            <w:r>
              <w:rPr>
                <w:bCs/>
                <w:color w:val="000000" w:themeColor="text1"/>
                <w:kern w:val="2"/>
                <w:lang w:val="zh-CN"/>
                <w14:textFill>
                  <w14:solidFill>
                    <w14:schemeClr w14:val="tx1"/>
                  </w14:solidFill>
                </w14:textFill>
              </w:rPr>
              <w:t>资格要求</w:t>
            </w:r>
          </w:p>
        </w:tc>
        <w:tc>
          <w:tcPr>
            <w:tcW w:w="7067" w:type="dxa"/>
            <w:vAlign w:val="center"/>
          </w:tcPr>
          <w:p>
            <w:pPr>
              <w:pStyle w:val="34"/>
              <w:numPr>
                <w:ilvl w:val="0"/>
                <w:numId w:val="1"/>
              </w:numPr>
              <w:jc w:val="both"/>
              <w:rPr>
                <w:rFonts w:hint="eastAsia"/>
                <w:bCs/>
                <w:color w:val="000000" w:themeColor="text1"/>
                <w:kern w:val="2"/>
                <w:sz w:val="21"/>
                <w:szCs w:val="21"/>
                <w:lang w:val="zh-CN"/>
                <w14:textFill>
                  <w14:solidFill>
                    <w14:schemeClr w14:val="tx1"/>
                  </w14:solidFill>
                </w14:textFill>
              </w:rPr>
            </w:pPr>
            <w:r>
              <w:rPr>
                <w:rFonts w:hint="eastAsia" w:ascii="宋体" w:hAnsi="宋体" w:eastAsia="宋体" w:cs="宋体"/>
                <w:bCs/>
                <w:color w:val="000000" w:themeColor="text1"/>
                <w:kern w:val="2"/>
                <w:sz w:val="21"/>
                <w:szCs w:val="21"/>
                <w:lang w:val="zh-CN"/>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(2)财务状况报告：提供2021年度至今任一年度的财务审计报告（至少包括资产负债表和利润表，成立时间至提交响应文件截止时间不足一年的可提供成立后任意时段的资产负债表），或开标前三个月内基本存款账户开户银行出具的资信证明；</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(3)税收缴纳证明：提供上一年度至今已缴纳的至少一个月的纳税证明或完税证明，依法免税的单位应提供相关证明材料；</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(4)社会保障资金缴纳证明：提供上一年度至今已缴存的至少一个月的社会保障资金缴存单据或社保机构开具的社会保险参保缴费情况证明，依法不需要缴纳社会保障资金的单位应提供相关证明材料；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(5)书面声明：参加本次政府采购活动前三年内在经营活动中没有重大违纪，以及未被列入失信被执行人、重大税收违法案件当事人名单、政府采购严重违法失信行为记录名单的书面声明；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(6)供应商不得为“信用中国”网站（www.creditchina.gov.cn ）中列入失信被执行人和重大税收违法案件当事人名单的单位，不得为中国政府采购网（www.ccgp.gov.cn ）政府采购严重违法失信行为记录名单中被财政部门禁止参加政府采购活动的单位；</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(7)具有履行合同所必需的产品和专业技术能力的承诺函；</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(8)法定代表人授权书及被授权人身份证原件（法定代表人直接磋商只须提交其身份证原件）；</w:t>
            </w:r>
            <w:r>
              <w:rPr>
                <w:rFonts w:hint="eastAsia" w:ascii="宋体" w:hAnsi="宋体" w:eastAsia="宋体" w:cs="宋体"/>
                <w:bCs/>
                <w:color w:val="000000" w:themeColor="text1"/>
                <w:kern w:val="2"/>
                <w:sz w:val="21"/>
                <w:szCs w:val="21"/>
                <w:lang w:val="zh-CN"/>
                <w14:textFill>
                  <w14:solidFill>
                    <w14:schemeClr w14:val="tx1"/>
                  </w14:solidFill>
                </w14:textFill>
              </w:rPr>
              <w:br w:type="textWrapping"/>
            </w:r>
            <w:r>
              <w:rPr>
                <w:rFonts w:hint="eastAsia" w:ascii="宋体" w:hAnsi="宋体" w:eastAsia="宋体" w:cs="宋体"/>
                <w:bCs/>
                <w:color w:val="000000" w:themeColor="text1"/>
                <w:kern w:val="2"/>
                <w:sz w:val="21"/>
                <w:szCs w:val="21"/>
                <w:lang w:val="zh-CN"/>
                <w14:textFill>
                  <w14:solidFill>
                    <w14:schemeClr w14:val="tx1"/>
                  </w14:solidFill>
                </w14:textFill>
              </w:rPr>
              <w:t>(9)本项目不接受联合体磋商（提供非联合体声明）。</w:t>
            </w:r>
          </w:p>
          <w:p>
            <w:pPr>
              <w:pStyle w:val="34"/>
              <w:numPr>
                <w:ilvl w:val="0"/>
                <w:numId w:val="0"/>
              </w:numPr>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5</w:t>
            </w:r>
          </w:p>
        </w:tc>
        <w:tc>
          <w:tcPr>
            <w:tcW w:w="1556" w:type="dxa"/>
            <w:vMerge w:val="restart"/>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是否允许</w:t>
            </w:r>
            <w:r>
              <w:rPr>
                <w:bCs/>
                <w:color w:val="000000" w:themeColor="text1"/>
                <w:kern w:val="2"/>
                <w:lang w:val="zh-CN"/>
                <w14:textFill>
                  <w14:solidFill>
                    <w14:schemeClr w14:val="tx1"/>
                  </w14:solidFill>
                </w14:textFill>
              </w:rPr>
              <w:br w:type="textWrapping"/>
            </w:r>
            <w:r>
              <w:rPr>
                <w:bCs/>
                <w:color w:val="000000" w:themeColor="text1"/>
                <w:kern w:val="2"/>
                <w:lang w:val="zh-CN"/>
                <w14:textFill>
                  <w14:solidFill>
                    <w14:schemeClr w14:val="tx1"/>
                  </w14:solidFill>
                </w14:textFill>
              </w:rPr>
              <w:t>进口产品</w:t>
            </w:r>
          </w:p>
        </w:tc>
        <w:tc>
          <w:tcPr>
            <w:tcW w:w="7067" w:type="dxa"/>
            <w:vAlign w:val="center"/>
          </w:tcPr>
          <w:p>
            <w:pPr>
              <w:pStyle w:val="34"/>
              <w:jc w:val="both"/>
              <w:rPr>
                <w:bCs/>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w:t>
            </w:r>
            <w:r>
              <w:rPr>
                <w:b/>
                <w:color w:val="000000" w:themeColor="text1"/>
                <w:kern w:val="2"/>
                <w:lang w:val="zh-CN"/>
                <w14:textFill>
                  <w14:solidFill>
                    <w14:schemeClr w14:val="tx1"/>
                  </w14:solidFill>
                </w14:textFill>
              </w:rPr>
              <w:t>允许</w:t>
            </w:r>
            <w:r>
              <w:rPr>
                <w:bCs/>
                <w:color w:val="000000" w:themeColor="text1"/>
                <w:kern w:val="2"/>
                <w:lang w:val="zh-CN"/>
                <w14:textFill>
                  <w14:solidFill>
                    <w14:schemeClr w14:val="tx1"/>
                  </w14:solidFill>
                </w14:textFill>
              </w:rPr>
              <w:t>（须提供财政部门审核通过的复印件）</w:t>
            </w:r>
          </w:p>
          <w:p>
            <w:pPr>
              <w:pStyle w:val="34"/>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w:t>
            </w:r>
            <w:r>
              <w:rPr>
                <w:bCs/>
                <w:color w:val="000000" w:themeColor="text1"/>
                <w:kern w:val="2"/>
                <w:sz w:val="21"/>
                <w:szCs w:val="21"/>
                <w:lang w:val="zh-CN"/>
                <w14:textFill>
                  <w14:solidFill>
                    <w14:schemeClr w14:val="tx1"/>
                  </w14:solidFill>
                </w14:textFill>
              </w:rPr>
              <w:t>“进口产品的认定”参见</w:t>
            </w:r>
            <w:r>
              <w:rPr>
                <w:rFonts w:hint="eastAsia"/>
                <w:bCs/>
                <w:color w:val="000000" w:themeColor="text1"/>
                <w:kern w:val="2"/>
                <w:sz w:val="21"/>
                <w:szCs w:val="21"/>
                <w:lang w:val="zh-CN"/>
                <w14:textFill>
                  <w14:solidFill>
                    <w14:schemeClr w14:val="tx1"/>
                  </w14:solidFill>
                </w14:textFill>
              </w:rPr>
              <w:t>《关于政府采购进口产品管理有关问题的通知》（财办库〔2008〕248号）文件有关规定。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Cs/>
                <w:color w:val="000000" w:themeColor="text1"/>
                <w:sz w:val="24"/>
                <w14:textFill>
                  <w14:solidFill>
                    <w14:schemeClr w14:val="tx1"/>
                  </w14:solidFill>
                </w14:textFill>
              </w:rPr>
            </w:pPr>
          </w:p>
        </w:tc>
        <w:tc>
          <w:tcPr>
            <w:tcW w:w="1556" w:type="dxa"/>
            <w:vMerge w:val="continue"/>
            <w:vAlign w:val="center"/>
          </w:tcPr>
          <w:p>
            <w:pPr>
              <w:pStyle w:val="34"/>
              <w:ind w:left="96"/>
              <w:jc w:val="center"/>
              <w:rPr>
                <w:bCs/>
                <w:color w:val="000000" w:themeColor="text1"/>
                <w:kern w:val="2"/>
                <w:lang w:val="zh-CN"/>
                <w14:textFill>
                  <w14:solidFill>
                    <w14:schemeClr w14:val="tx1"/>
                  </w14:solidFill>
                </w14:textFill>
              </w:rPr>
            </w:pP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ascii="宋体" w:hAnsi="宋体" w:cs="宋体"/>
                <w:b/>
                <w:sz w:val="24"/>
                <w:szCs w:val="24"/>
                <w:highlight w:val="none"/>
                <w:lang w:val="zh-CN"/>
              </w:rPr>
              <w:t>●</w:t>
            </w:r>
            <w:r>
              <w:rPr>
                <w:b/>
                <w:color w:val="000000" w:themeColor="text1"/>
                <w:kern w:val="2"/>
                <w:lang w:val="zh-CN"/>
                <w14:textFill>
                  <w14:solidFill>
                    <w14:schemeClr w14:val="tx1"/>
                  </w14:solidFill>
                </w14:textFill>
              </w:rPr>
              <w:t>不允许</w:t>
            </w:r>
          </w:p>
          <w:p>
            <w:pPr>
              <w:pStyle w:val="34"/>
              <w:jc w:val="both"/>
              <w:rPr>
                <w:bCs/>
                <w:color w:val="000000" w:themeColor="text1"/>
                <w:kern w:val="2"/>
                <w:lang w:val="zh-CN"/>
                <w14:textFill>
                  <w14:solidFill>
                    <w14:schemeClr w14:val="tx1"/>
                  </w14:solidFill>
                </w14:textFill>
              </w:rPr>
            </w:pPr>
            <w:r>
              <w:rPr>
                <w:bCs/>
                <w:color w:val="000000" w:themeColor="text1"/>
                <w:kern w:val="2"/>
                <w:sz w:val="21"/>
                <w:szCs w:val="21"/>
                <w:lang w:val="zh-CN"/>
                <w14:textFill>
                  <w14:solidFill>
                    <w14:schemeClr w14:val="tx1"/>
                  </w14:solidFill>
                </w14:textFill>
              </w:rPr>
              <w:t>所投产品为进口产品时，将被视为无效投标。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6</w:t>
            </w:r>
          </w:p>
        </w:tc>
        <w:tc>
          <w:tcPr>
            <w:tcW w:w="1556" w:type="dxa"/>
            <w:vMerge w:val="restart"/>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是否</w:t>
            </w:r>
            <w:r>
              <w:rPr>
                <w:rFonts w:hint="eastAsia"/>
                <w:bCs/>
                <w:color w:val="000000" w:themeColor="text1"/>
                <w:kern w:val="2"/>
                <w:lang w:val="zh-CN"/>
                <w14:textFill>
                  <w14:solidFill>
                    <w14:schemeClr w14:val="tx1"/>
                  </w14:solidFill>
                </w14:textFill>
              </w:rPr>
              <w:t>接受</w:t>
            </w:r>
            <w:r>
              <w:rPr>
                <w:bCs/>
                <w:color w:val="000000" w:themeColor="text1"/>
                <w:kern w:val="2"/>
                <w:lang w:val="zh-CN"/>
                <w14:textFill>
                  <w14:solidFill>
                    <w14:schemeClr w14:val="tx1"/>
                  </w14:solidFill>
                </w14:textFill>
              </w:rPr>
              <w:br w:type="textWrapping"/>
            </w:r>
            <w:r>
              <w:rPr>
                <w:bCs/>
                <w:color w:val="000000" w:themeColor="text1"/>
                <w:kern w:val="2"/>
                <w:lang w:val="zh-CN"/>
                <w14:textFill>
                  <w14:solidFill>
                    <w14:schemeClr w14:val="tx1"/>
                  </w14:solidFill>
                </w14:textFill>
              </w:rPr>
              <w:t>联合体投标</w:t>
            </w:r>
          </w:p>
        </w:tc>
        <w:tc>
          <w:tcPr>
            <w:tcW w:w="7067" w:type="dxa"/>
            <w:vAlign w:val="center"/>
          </w:tcPr>
          <w:p>
            <w:pPr>
              <w:pStyle w:val="34"/>
              <w:jc w:val="both"/>
              <w:rPr>
                <w:b/>
                <w:color w:val="000000" w:themeColor="text1"/>
                <w:kern w:val="2"/>
                <w:lang w:val="zh-CN"/>
                <w14:textFill>
                  <w14:solidFill>
                    <w14:schemeClr w14:val="tx1"/>
                  </w14:solidFill>
                </w14:textFill>
              </w:rPr>
            </w:pPr>
            <w:r>
              <w:rPr>
                <w:rFonts w:hint="eastAsia"/>
                <w:b/>
                <w:color w:val="000000" w:themeColor="text1"/>
                <w:kern w:val="2"/>
                <w:lang w:val="zh-CN"/>
                <w14:textFill>
                  <w14:solidFill>
                    <w14:schemeClr w14:val="tx1"/>
                  </w14:solidFill>
                </w14:textFill>
              </w:rPr>
              <w:t>○接受</w:t>
            </w:r>
          </w:p>
          <w:p>
            <w:pPr>
              <w:pStyle w:val="34"/>
              <w:jc w:val="both"/>
              <w:rPr>
                <w:bCs/>
                <w:color w:val="000000" w:themeColor="text1"/>
                <w:kern w:val="2"/>
                <w:lang w:val="zh-CN"/>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对于联合体协议或者分包意向协议约定小微企业的合同份额占到合同总金额30%以上的，对联合体或者大中型企业的报价</w:t>
            </w:r>
            <w:r>
              <w:rPr>
                <w:rFonts w:hint="eastAsia"/>
                <w:b/>
                <w:color w:val="000000" w:themeColor="text1"/>
                <w:kern w:val="2"/>
                <w:sz w:val="21"/>
                <w:szCs w:val="21"/>
                <w:lang w:val="zh-CN"/>
                <w14:textFill>
                  <w14:solidFill>
                    <w14:schemeClr w14:val="tx1"/>
                  </w14:solidFill>
                </w14:textFill>
              </w:rPr>
              <w:t>给予___%（2%-</w:t>
            </w:r>
            <w:r>
              <w:rPr>
                <w:b/>
                <w:color w:val="000000" w:themeColor="text1"/>
                <w:kern w:val="2"/>
                <w:sz w:val="21"/>
                <w:szCs w:val="21"/>
                <w:lang w:val="zh-CN"/>
                <w14:textFill>
                  <w14:solidFill>
                    <w14:schemeClr w14:val="tx1"/>
                  </w14:solidFill>
                </w14:textFill>
              </w:rPr>
              <w:t>3%</w:t>
            </w:r>
            <w:r>
              <w:rPr>
                <w:rFonts w:hint="eastAsia"/>
                <w:b/>
                <w:color w:val="000000" w:themeColor="text1"/>
                <w:kern w:val="2"/>
                <w:sz w:val="21"/>
                <w:szCs w:val="21"/>
                <w:lang w:val="zh-CN"/>
                <w14:textFill>
                  <w14:solidFill>
                    <w14:schemeClr w14:val="tx1"/>
                  </w14:solidFill>
                </w14:textFill>
              </w:rPr>
              <w:t>）的扣除</w:t>
            </w:r>
            <w:r>
              <w:rPr>
                <w:rFonts w:hint="eastAsia"/>
                <w:bCs/>
                <w:color w:val="000000" w:themeColor="text1"/>
                <w:kern w:val="2"/>
                <w:sz w:val="21"/>
                <w:szCs w:val="21"/>
                <w:lang w:val="zh-CN"/>
                <w14:textFill>
                  <w14:solidFill>
                    <w14:schemeClr w14:val="tx1"/>
                  </w14:solidFill>
                </w14:textFill>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Cs/>
                <w:color w:val="000000" w:themeColor="text1"/>
                <w:sz w:val="24"/>
                <w14:textFill>
                  <w14:solidFill>
                    <w14:schemeClr w14:val="tx1"/>
                  </w14:solidFill>
                </w14:textFill>
              </w:rPr>
            </w:pPr>
          </w:p>
        </w:tc>
        <w:tc>
          <w:tcPr>
            <w:tcW w:w="1556" w:type="dxa"/>
            <w:vMerge w:val="continue"/>
            <w:vAlign w:val="center"/>
          </w:tcPr>
          <w:p>
            <w:pPr>
              <w:pStyle w:val="34"/>
              <w:ind w:left="96"/>
              <w:jc w:val="center"/>
              <w:rPr>
                <w:bCs/>
                <w:color w:val="000000" w:themeColor="text1"/>
                <w:kern w:val="2"/>
                <w:lang w:val="zh-CN"/>
                <w14:textFill>
                  <w14:solidFill>
                    <w14:schemeClr w14:val="tx1"/>
                  </w14:solidFill>
                </w14:textFill>
              </w:rPr>
            </w:pPr>
          </w:p>
        </w:tc>
        <w:tc>
          <w:tcPr>
            <w:tcW w:w="7067" w:type="dxa"/>
            <w:vAlign w:val="center"/>
          </w:tcPr>
          <w:p>
            <w:pPr>
              <w:pStyle w:val="34"/>
              <w:jc w:val="both"/>
              <w:rPr>
                <w:bCs/>
                <w:color w:val="000000" w:themeColor="text1"/>
                <w:kern w:val="2"/>
                <w:lang w:val="zh-CN"/>
                <w14:textFill>
                  <w14:solidFill>
                    <w14:schemeClr w14:val="tx1"/>
                  </w14:solidFill>
                </w14:textFill>
              </w:rPr>
            </w:pPr>
            <w:r>
              <w:rPr>
                <w:rFonts w:hint="eastAsia" w:ascii="宋体" w:hAnsi="宋体" w:cs="宋体"/>
                <w:b/>
                <w:sz w:val="24"/>
                <w:szCs w:val="24"/>
                <w:highlight w:val="none"/>
                <w:lang w:val="zh-CN"/>
              </w:rPr>
              <w:t>●</w:t>
            </w:r>
            <w:r>
              <w:rPr>
                <w:rFonts w:hint="eastAsia"/>
                <w:b/>
                <w:color w:val="000000" w:themeColor="text1"/>
                <w:kern w:val="2"/>
                <w:lang w:val="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7</w:t>
            </w:r>
          </w:p>
        </w:tc>
        <w:tc>
          <w:tcPr>
            <w:tcW w:w="1556" w:type="dxa"/>
            <w:vMerge w:val="restart"/>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履约保证金</w:t>
            </w:r>
          </w:p>
        </w:tc>
        <w:tc>
          <w:tcPr>
            <w:tcW w:w="7067" w:type="dxa"/>
            <w:vAlign w:val="center"/>
          </w:tcPr>
          <w:p>
            <w:pPr>
              <w:ind w:right="94" w:rightChars="45"/>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占政府采购合同金额的</w:t>
            </w:r>
            <w:r>
              <w:rPr>
                <w:rFonts w:hint="eastAsia" w:ascii="宋体" w:hAnsi="宋体"/>
                <w:b/>
                <w:color w:val="000000" w:themeColor="text1"/>
                <w:sz w:val="24"/>
                <w14:textFill>
                  <w14:solidFill>
                    <w14:schemeClr w14:val="tx1"/>
                  </w14:solidFill>
                </w14:textFill>
              </w:rPr>
              <w:t>__</w:t>
            </w:r>
            <w:r>
              <w:rPr>
                <w:rFonts w:hint="eastAsia" w:ascii="宋体" w:hAnsi="宋体"/>
                <w:b/>
                <w:sz w:val="24"/>
                <w:u w:val="single"/>
                <w:lang w:val="en-US" w:eastAsia="zh-CN"/>
              </w:rPr>
              <w:t>/</w:t>
            </w:r>
            <w:r>
              <w:rPr>
                <w:rFonts w:hint="eastAsia" w:ascii="宋体" w:hAnsi="宋体"/>
                <w:b/>
                <w:color w:val="000000" w:themeColor="text1"/>
                <w:sz w:val="24"/>
                <w14:textFill>
                  <w14:solidFill>
                    <w14:schemeClr w14:val="tx1"/>
                  </w14:solidFill>
                </w14:textFill>
              </w:rPr>
              <w:t>_%</w:t>
            </w:r>
          </w:p>
          <w:p>
            <w:pPr>
              <w:ind w:right="94" w:rightChars="4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履约保证金的数额不得超过政府采购合同金额的10%；对于单价合同，其数额不得超过采购预算的10%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ascii="宋体" w:hAnsi="宋体"/>
                <w:bCs/>
                <w:color w:val="000000" w:themeColor="text1"/>
                <w:sz w:val="24"/>
                <w14:textFill>
                  <w14:solidFill>
                    <w14:schemeClr w14:val="tx1"/>
                  </w14:solidFill>
                </w14:textFill>
              </w:rPr>
            </w:pPr>
          </w:p>
        </w:tc>
        <w:tc>
          <w:tcPr>
            <w:tcW w:w="1556" w:type="dxa"/>
            <w:vMerge w:val="continue"/>
            <w:vAlign w:val="center"/>
          </w:tcPr>
          <w:p>
            <w:pPr>
              <w:pStyle w:val="34"/>
              <w:ind w:left="96"/>
              <w:jc w:val="center"/>
              <w:rPr>
                <w:bCs/>
                <w:color w:val="000000" w:themeColor="text1"/>
                <w:kern w:val="2"/>
                <w:lang w:val="zh-CN"/>
                <w14:textFill>
                  <w14:solidFill>
                    <w14:schemeClr w14:val="tx1"/>
                  </w14:solidFill>
                </w14:textFill>
              </w:rPr>
            </w:pPr>
          </w:p>
        </w:tc>
        <w:tc>
          <w:tcPr>
            <w:tcW w:w="7067" w:type="dxa"/>
            <w:vAlign w:val="center"/>
          </w:tcPr>
          <w:p>
            <w:pPr>
              <w:ind w:right="94" w:rightChars="45"/>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○由采购单位自行收退</w:t>
            </w:r>
          </w:p>
          <w:p>
            <w:pPr>
              <w:ind w:right="94" w:rightChars="45"/>
              <w:rPr>
                <w:rFonts w:ascii="宋体" w:hAnsi="宋体"/>
                <w:bCs/>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8</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现场踏勘和集中答疑</w:t>
            </w:r>
          </w:p>
        </w:tc>
        <w:tc>
          <w:tcPr>
            <w:tcW w:w="7067" w:type="dxa"/>
            <w:vAlign w:val="center"/>
          </w:tcPr>
          <w:p>
            <w:pPr>
              <w:ind w:right="94" w:rightChars="45"/>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○组织，集结地点为：</w:t>
            </w:r>
            <w:r>
              <w:rPr>
                <w:rFonts w:hint="eastAsia" w:ascii="宋体" w:hAnsi="宋体"/>
                <w:b/>
                <w:color w:val="000000" w:themeColor="text1"/>
                <w:sz w:val="24"/>
                <w14:textFill>
                  <w14:solidFill>
                    <w14:schemeClr w14:val="tx1"/>
                  </w14:solidFill>
                </w14:textFill>
              </w:rPr>
              <w:t>_______________________</w:t>
            </w:r>
          </w:p>
          <w:p>
            <w:pPr>
              <w:ind w:right="94" w:rightChars="45"/>
              <w:rPr>
                <w:rFonts w:ascii="宋体" w:hAnsi="宋体"/>
                <w:bCs/>
                <w:color w:val="000000" w:themeColor="text1"/>
                <w:sz w:val="24"/>
                <w14:textFill>
                  <w14:solidFill>
                    <w14:schemeClr w14:val="tx1"/>
                  </w14:solidFill>
                </w14:textFill>
              </w:rPr>
            </w:pPr>
            <w:r>
              <w:rPr>
                <w:rFonts w:hint="eastAsia" w:ascii="宋体" w:hAnsi="宋体" w:cs="宋体"/>
                <w:b/>
                <w:sz w:val="24"/>
                <w:szCs w:val="24"/>
                <w:highlight w:val="none"/>
                <w:lang w:val="zh-CN"/>
              </w:rPr>
              <w:t>●</w:t>
            </w:r>
            <w:r>
              <w:rPr>
                <w:rFonts w:ascii="宋体" w:hAnsi="宋体"/>
                <w:b/>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9</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价格分比重</w:t>
            </w:r>
          </w:p>
        </w:tc>
        <w:tc>
          <w:tcPr>
            <w:tcW w:w="7067" w:type="dxa"/>
            <w:vAlign w:val="center"/>
          </w:tcPr>
          <w:p>
            <w:pPr>
              <w:widowControl/>
              <w:rPr>
                <w:rFonts w:ascii="宋体" w:hAnsi="宋体" w:cs="宋体"/>
                <w:b/>
                <w:color w:val="000000" w:themeColor="text1"/>
                <w:kern w:val="0"/>
                <w:sz w:val="24"/>
                <w:szCs w:val="24"/>
                <w:lang w:val="zh-CN"/>
                <w14:textFill>
                  <w14:solidFill>
                    <w14:schemeClr w14:val="tx1"/>
                  </w14:solidFill>
                </w14:textFill>
              </w:rPr>
            </w:pPr>
            <w:r>
              <w:rPr>
                <w:rFonts w:ascii="宋体" w:hAnsi="宋体" w:cs="宋体"/>
                <w:b/>
                <w:color w:val="000000" w:themeColor="text1"/>
                <w:kern w:val="0"/>
                <w:sz w:val="24"/>
                <w:szCs w:val="24"/>
                <w:lang w:val="zh-CN"/>
                <w14:textFill>
                  <w14:solidFill>
                    <w14:schemeClr w14:val="tx1"/>
                  </w14:solidFill>
                </w14:textFill>
              </w:rPr>
              <w:t>占总分值的</w:t>
            </w:r>
            <w:r>
              <w:rPr>
                <w:rFonts w:hint="eastAsia" w:ascii="宋体" w:hAnsi="宋体" w:cs="宋体"/>
                <w:b/>
                <w:color w:val="000000" w:themeColor="text1"/>
                <w:kern w:val="0"/>
                <w:sz w:val="24"/>
                <w:szCs w:val="24"/>
                <w:u w:val="single"/>
                <w:lang w:val="en-US" w:eastAsia="zh-CN"/>
                <w14:textFill>
                  <w14:solidFill>
                    <w14:schemeClr w14:val="tx1"/>
                  </w14:solidFill>
                </w14:textFill>
              </w:rPr>
              <w:t xml:space="preserve"> 30 </w:t>
            </w:r>
            <w:r>
              <w:rPr>
                <w:rFonts w:hint="eastAsia" w:ascii="宋体" w:hAnsi="宋体" w:cs="宋体"/>
                <w:b/>
                <w:color w:val="000000" w:themeColor="text1"/>
                <w:kern w:val="0"/>
                <w:sz w:val="24"/>
                <w:szCs w:val="24"/>
                <w:lang w:val="zh-CN"/>
                <w14:textFill>
                  <w14:solidFill>
                    <w14:schemeClr w14:val="tx1"/>
                  </w14:solidFill>
                </w14:textFill>
              </w:rPr>
              <w:t>%</w:t>
            </w:r>
          </w:p>
          <w:p>
            <w:pPr>
              <w:widowControl/>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[招标]根据《政府采购货物和服务招标投标管理办法》（财政部87号令）的规定，综合</w:t>
            </w:r>
            <w:r>
              <w:rPr>
                <w:rFonts w:ascii="宋体" w:hAnsi="宋体" w:cs="宋体"/>
                <w:bCs/>
                <w:color w:val="000000" w:themeColor="text1"/>
                <w:kern w:val="0"/>
                <w:szCs w:val="21"/>
                <w:lang w:val="zh-CN"/>
                <w14:textFill>
                  <w14:solidFill>
                    <w14:schemeClr w14:val="tx1"/>
                  </w14:solidFill>
                </w14:textFill>
              </w:rPr>
              <w:t>评分法</w:t>
            </w:r>
            <w:r>
              <w:rPr>
                <w:rFonts w:hint="eastAsia" w:ascii="宋体" w:hAnsi="宋体" w:cs="宋体"/>
                <w:bCs/>
                <w:color w:val="000000" w:themeColor="text1"/>
                <w:kern w:val="0"/>
                <w:szCs w:val="21"/>
                <w:lang w:val="zh-CN"/>
                <w14:textFill>
                  <w14:solidFill>
                    <w14:schemeClr w14:val="tx1"/>
                  </w14:solidFill>
                </w14:textFill>
              </w:rPr>
              <w:t>货物项目的价格分值占总分值的比重不得低于30%。执行国家统一定价标准和采用固定价格采购的项目，其价格不列为评审因素。</w:t>
            </w:r>
          </w:p>
          <w:p>
            <w:pPr>
              <w:widowControl/>
              <w:rPr>
                <w:rFonts w:ascii="宋体" w:hAnsi="宋体" w:cs="宋体"/>
                <w:bCs/>
                <w:color w:val="000000" w:themeColor="text1"/>
                <w:kern w:val="0"/>
                <w:szCs w:val="21"/>
                <w:lang w:val="zh-CN"/>
                <w14:textFill>
                  <w14:solidFill>
                    <w14:schemeClr w14:val="tx1"/>
                  </w14:solidFill>
                </w14:textFill>
              </w:rPr>
            </w:pPr>
            <w:r>
              <w:rPr>
                <w:rFonts w:ascii="宋体" w:hAnsi="宋体" w:cs="宋体"/>
                <w:bCs/>
                <w:color w:val="000000" w:themeColor="text1"/>
                <w:kern w:val="0"/>
                <w:szCs w:val="21"/>
                <w:lang w:val="zh-CN"/>
                <w14:textFill>
                  <w14:solidFill>
                    <w14:schemeClr w14:val="tx1"/>
                  </w14:solidFill>
                </w14:textFill>
              </w:rPr>
              <w:t>[磋商</w:t>
            </w:r>
            <w:r>
              <w:rPr>
                <w:rFonts w:hint="eastAsia" w:ascii="宋体" w:hAnsi="宋体" w:cs="宋体"/>
                <w:bCs/>
                <w:color w:val="000000" w:themeColor="text1"/>
                <w:kern w:val="0"/>
                <w:szCs w:val="21"/>
                <w:lang w:val="zh-CN"/>
                <w14:textFill>
                  <w14:solidFill>
                    <w14:schemeClr w14:val="tx1"/>
                  </w14:solidFill>
                </w14:textFill>
              </w:rPr>
              <w:t>]根据《政府采购竞争性磋商采购方式管理暂行办法》（财库〔2014〕214号）的规定，货物项目的价格分值占总分值的比重(即权值)为30%-60%。</w:t>
            </w:r>
          </w:p>
          <w:p>
            <w:pPr>
              <w:widowControl/>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[其他采购方式]无须设置。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10</w:t>
            </w:r>
          </w:p>
        </w:tc>
        <w:tc>
          <w:tcPr>
            <w:tcW w:w="1556" w:type="dxa"/>
            <w:vAlign w:val="center"/>
          </w:tcPr>
          <w:p>
            <w:pPr>
              <w:pStyle w:val="34"/>
              <w:ind w:left="96"/>
              <w:jc w:val="center"/>
              <w:rPr>
                <w:bCs/>
                <w:color w:val="000000" w:themeColor="text1"/>
                <w:kern w:val="2"/>
                <w:lang w:val="zh-CN"/>
                <w14:textFill>
                  <w14:solidFill>
                    <w14:schemeClr w14:val="tx1"/>
                  </w14:solidFill>
                </w14:textFill>
              </w:rPr>
            </w:pPr>
            <w:r>
              <w:rPr>
                <w:bCs/>
                <w:color w:val="000000" w:themeColor="text1"/>
                <w:kern w:val="2"/>
                <w:lang w:val="zh-CN"/>
                <w14:textFill>
                  <w14:solidFill>
                    <w14:schemeClr w14:val="tx1"/>
                  </w14:solidFill>
                </w14:textFill>
              </w:rPr>
              <w:t>合同类型</w:t>
            </w:r>
          </w:p>
        </w:tc>
        <w:tc>
          <w:tcPr>
            <w:tcW w:w="7067" w:type="dxa"/>
            <w:vAlign w:val="center"/>
          </w:tcPr>
          <w:p>
            <w:pPr>
              <w:rPr>
                <w:rFonts w:ascii="宋体" w:hAnsi="宋体"/>
                <w:b/>
                <w:color w:val="000000" w:themeColor="text1"/>
                <w:sz w:val="24"/>
                <w:lang w:val="zh-CN"/>
                <w14:textFill>
                  <w14:solidFill>
                    <w14:schemeClr w14:val="tx1"/>
                  </w14:solidFill>
                </w14:textFill>
              </w:rPr>
            </w:pPr>
            <w:r>
              <w:rPr>
                <w:rFonts w:hint="eastAsia" w:ascii="宋体" w:hAnsi="宋体" w:cs="宋体"/>
                <w:b/>
                <w:sz w:val="24"/>
                <w:szCs w:val="24"/>
                <w:highlight w:val="none"/>
                <w:lang w:val="zh-CN"/>
              </w:rPr>
              <w:t>●</w:t>
            </w:r>
            <w:r>
              <w:rPr>
                <w:rFonts w:ascii="宋体" w:hAnsi="宋体"/>
                <w:b/>
                <w:color w:val="000000" w:themeColor="text1"/>
                <w:sz w:val="24"/>
                <w:lang w:val="zh-CN"/>
                <w14:textFill>
                  <w14:solidFill>
                    <w14:schemeClr w14:val="tx1"/>
                  </w14:solidFill>
                </w14:textFill>
              </w:rPr>
              <w:t>固定总价</w:t>
            </w:r>
          </w:p>
          <w:p>
            <w:pPr>
              <w:rPr>
                <w:rFonts w:ascii="宋体" w:hAnsi="宋体"/>
                <w:b/>
                <w:color w:val="000000" w:themeColor="text1"/>
                <w:sz w:val="24"/>
                <w:lang w:val="zh-CN"/>
                <w14:textFill>
                  <w14:solidFill>
                    <w14:schemeClr w14:val="tx1"/>
                  </w14:solidFill>
                </w14:textFill>
              </w:rPr>
            </w:pPr>
            <w:r>
              <w:rPr>
                <w:rFonts w:ascii="宋体" w:hAnsi="宋体"/>
                <w:b/>
                <w:color w:val="000000" w:themeColor="text1"/>
                <w:sz w:val="24"/>
                <w:lang w:val="zh-CN"/>
                <w14:textFill>
                  <w14:solidFill>
                    <w14:schemeClr w14:val="tx1"/>
                  </w14:solidFill>
                </w14:textFill>
              </w:rPr>
              <w:t>○固定单价（适用于采购数量不定的情形）</w:t>
            </w:r>
          </w:p>
          <w:p>
            <w:pPr>
              <w:rPr>
                <w:rFonts w:ascii="宋体" w:hAnsi="宋体"/>
                <w:bCs/>
                <w:color w:val="000000" w:themeColor="text1"/>
                <w:sz w:val="24"/>
                <w:lang w:val="zh-CN"/>
                <w14:textFill>
                  <w14:solidFill>
                    <w14:schemeClr w14:val="tx1"/>
                  </w14:solidFill>
                </w14:textFill>
              </w:rPr>
            </w:pPr>
            <w:r>
              <w:rPr>
                <w:rFonts w:ascii="宋体" w:hAnsi="宋体"/>
                <w:b/>
                <w:color w:val="000000" w:themeColor="text1"/>
                <w:sz w:val="24"/>
                <w:lang w:val="zh-CN"/>
                <w14:textFill>
                  <w14:solidFill>
                    <w14:schemeClr w14:val="tx1"/>
                  </w14:solidFill>
                </w14:textFill>
              </w:rPr>
              <w:t>○其他：</w:t>
            </w:r>
            <w:r>
              <w:rPr>
                <w:rFonts w:hint="eastAsia" w:ascii="宋体" w:hAnsi="宋体"/>
                <w:bCs/>
                <w:color w:val="000000" w:themeColor="text1"/>
                <w:sz w:val="24"/>
                <w:lang w:val="zh-CN"/>
                <w14:textFill>
                  <w14:solidFill>
                    <w14:schemeClr w14:val="tx1"/>
                  </w14:solidFill>
                </w14:textFill>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11</w:t>
            </w:r>
          </w:p>
        </w:tc>
        <w:tc>
          <w:tcPr>
            <w:tcW w:w="1556" w:type="dxa"/>
            <w:vAlign w:val="center"/>
          </w:tcPr>
          <w:p>
            <w:pPr>
              <w:tabs>
                <w:tab w:val="left" w:pos="7665"/>
              </w:tabs>
              <w:snapToGrid w:val="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争议解决途径</w:t>
            </w:r>
          </w:p>
        </w:tc>
        <w:tc>
          <w:tcPr>
            <w:tcW w:w="7067" w:type="dxa"/>
            <w:vAlign w:val="center"/>
          </w:tcPr>
          <w:p>
            <w:pPr>
              <w:tabs>
                <w:tab w:val="left" w:pos="7665"/>
              </w:tabs>
              <w:snapToGrid w:val="0"/>
              <w:rPr>
                <w:rFonts w:ascii="宋体" w:hAnsi="宋体"/>
                <w:b/>
                <w:color w:val="000000" w:themeColor="text1"/>
                <w:sz w:val="24"/>
                <w14:textFill>
                  <w14:solidFill>
                    <w14:schemeClr w14:val="tx1"/>
                  </w14:solidFill>
                </w14:textFill>
              </w:rPr>
            </w:pPr>
            <w:r>
              <w:rPr>
                <w:rFonts w:hint="eastAsia" w:ascii="宋体" w:hAnsi="宋体" w:cs="宋体"/>
                <w:b/>
                <w:sz w:val="24"/>
                <w:szCs w:val="24"/>
                <w:highlight w:val="none"/>
                <w:lang w:val="zh-CN"/>
              </w:rPr>
              <w:t>●</w:t>
            </w:r>
            <w:r>
              <w:rPr>
                <w:rFonts w:ascii="宋体" w:hAnsi="宋体"/>
                <w:b/>
                <w:color w:val="000000" w:themeColor="text1"/>
                <w:sz w:val="24"/>
                <w14:textFill>
                  <w14:solidFill>
                    <w14:schemeClr w14:val="tx1"/>
                  </w14:solidFill>
                </w14:textFill>
              </w:rPr>
              <w:t>向有管辖权的人民法院提起诉讼</w:t>
            </w:r>
          </w:p>
          <w:p>
            <w:pPr>
              <w:tabs>
                <w:tab w:val="left" w:pos="7665"/>
              </w:tabs>
              <w:snapToGrid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○向西安仲裁委员会提请仲裁</w:t>
            </w:r>
          </w:p>
          <w:p>
            <w:pPr>
              <w:tabs>
                <w:tab w:val="left" w:pos="7665"/>
              </w:tabs>
              <w:snapToGrid w:val="0"/>
              <w:rPr>
                <w:rFonts w:ascii="宋体" w:hAnsi="宋体"/>
                <w:bCs/>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12</w:t>
            </w:r>
          </w:p>
        </w:tc>
        <w:tc>
          <w:tcPr>
            <w:tcW w:w="1556" w:type="dxa"/>
            <w:vAlign w:val="center"/>
          </w:tcPr>
          <w:p>
            <w:pPr>
              <w:snapToGrid w:val="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联系方式</w:t>
            </w:r>
          </w:p>
        </w:tc>
        <w:tc>
          <w:tcPr>
            <w:tcW w:w="7067" w:type="dxa"/>
            <w:vAlign w:val="center"/>
          </w:tcPr>
          <w:p>
            <w:pPr>
              <w:tabs>
                <w:tab w:val="left" w:pos="7665"/>
              </w:tabs>
              <w:snapToGrid w:val="0"/>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项目对接人：</w:t>
            </w:r>
            <w:r>
              <w:rPr>
                <w:rFonts w:hint="eastAsia" w:ascii="宋体" w:hAnsi="宋体"/>
                <w:b/>
                <w:color w:val="000000" w:themeColor="text1"/>
                <w:sz w:val="24"/>
                <w:u w:val="single"/>
                <w:lang w:val="en-US" w:eastAsia="zh-CN"/>
                <w14:textFill>
                  <w14:solidFill>
                    <w14:schemeClr w14:val="tx1"/>
                  </w14:solidFill>
                </w14:textFill>
              </w:rPr>
              <w:t xml:space="preserve"> </w:t>
            </w:r>
            <w:r>
              <w:rPr>
                <w:rFonts w:hint="eastAsia" w:ascii="宋体" w:hAnsi="宋体"/>
                <w:b/>
                <w:bCs/>
                <w:sz w:val="24"/>
                <w:highlight w:val="none"/>
                <w:u w:val="single"/>
                <w:lang w:val="en-US" w:eastAsia="zh-CN"/>
              </w:rPr>
              <w:t>叶老师</w:t>
            </w:r>
          </w:p>
          <w:p>
            <w:pPr>
              <w:tabs>
                <w:tab w:val="left" w:pos="7665"/>
              </w:tabs>
              <w:snapToGrid w:val="0"/>
              <w:rPr>
                <w:rFonts w:ascii="宋体" w:hAnsi="宋体"/>
                <w:b/>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联系电话：</w:t>
            </w:r>
            <w:r>
              <w:rPr>
                <w:rFonts w:hint="eastAsia" w:ascii="宋体" w:hAnsi="宋体"/>
                <w:b/>
                <w:color w:val="000000" w:themeColor="text1"/>
                <w:sz w:val="24"/>
                <w:u w:val="single"/>
                <w:lang w:val="en-US" w:eastAsia="zh-CN"/>
                <w14:textFill>
                  <w14:solidFill>
                    <w14:schemeClr w14:val="tx1"/>
                  </w14:solidFill>
                </w14:textFill>
              </w:rPr>
              <w:t xml:space="preserve"> 85381024</w:t>
            </w:r>
          </w:p>
          <w:p>
            <w:pPr>
              <w:tabs>
                <w:tab w:val="left" w:pos="7665"/>
              </w:tabs>
              <w:snapToGrid w:val="0"/>
              <w:rPr>
                <w:rFonts w:ascii="宋体" w:hAnsi="宋体"/>
                <w:bCs/>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电子邮箱：</w:t>
            </w:r>
            <w:r>
              <w:rPr>
                <w:rFonts w:hint="eastAsia" w:ascii="宋体" w:hAnsi="宋体"/>
                <w:b/>
                <w:color w:val="000000" w:themeColor="text1"/>
                <w:sz w:val="24"/>
                <w14:textFill>
                  <w14:solidFill>
                    <w14:schemeClr w14:val="tx1"/>
                  </w14:solidFill>
                </w14:textFill>
              </w:rPr>
              <w:t>___________</w:t>
            </w:r>
            <w:r>
              <w:rPr>
                <w:rFonts w:hint="eastAsia" w:ascii="宋体" w:hAnsi="宋体"/>
                <w:bCs/>
                <w:color w:val="000000" w:themeColor="text1"/>
                <w:sz w:val="24"/>
                <w14:textFill>
                  <w14:solidFill>
                    <w14:schemeClr w14:val="tx1"/>
                  </w14:solidFill>
                </w14:textFill>
              </w:rPr>
              <w:t>____</w:t>
            </w:r>
          </w:p>
        </w:tc>
      </w:tr>
    </w:tbl>
    <w:p>
      <w:pPr>
        <w:widowControl/>
        <w:ind w:firstLine="2570" w:firstLineChars="800"/>
        <w:jc w:val="left"/>
        <w:rPr>
          <w:rFonts w:ascii="仿宋" w:hAnsi="仿宋" w:eastAsia="仿宋"/>
          <w:b/>
          <w:sz w:val="32"/>
          <w:szCs w:val="32"/>
        </w:rPr>
      </w:pPr>
    </w:p>
    <w:p>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（服务类</w:t>
      </w:r>
      <w:r>
        <w:rPr>
          <w:rFonts w:ascii="仿宋" w:hAnsi="仿宋" w:eastAsia="仿宋"/>
          <w:b/>
          <w:sz w:val="32"/>
          <w:szCs w:val="32"/>
        </w:rPr>
        <w:t>）</w:t>
      </w:r>
    </w:p>
    <w:p>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w:t>
      </w:r>
      <w:r>
        <w:rPr>
          <w:rFonts w:hint="eastAsia" w:ascii="仿宋" w:hAnsi="仿宋" w:eastAsia="仿宋"/>
          <w:b/>
          <w:sz w:val="28"/>
          <w:szCs w:val="28"/>
        </w:rPr>
        <w:t>背景</w:t>
      </w:r>
    </w:p>
    <w:p>
      <w:pPr>
        <w:pStyle w:val="5"/>
        <w:spacing w:line="440" w:lineRule="exact"/>
        <w:ind w:left="0" w:leftChars="0" w:right="-147" w:firstLine="480"/>
        <w:rPr>
          <w:rFonts w:hint="eastAsia" w:ascii="宋体" w:hAnsi="宋体" w:eastAsia="宋体" w:cs="宋体"/>
          <w:bCs/>
          <w:kern w:val="0"/>
          <w:sz w:val="24"/>
          <w:szCs w:val="24"/>
        </w:rPr>
      </w:pPr>
      <w:r>
        <w:rPr>
          <w:rFonts w:hint="eastAsia" w:ascii="宋体" w:hAnsi="宋体" w:eastAsia="宋体" w:cs="宋体"/>
          <w:bCs/>
          <w:kern w:val="0"/>
          <w:sz w:val="24"/>
          <w:szCs w:val="24"/>
        </w:rPr>
        <w:t>为了响应中共中央总书记习近平关于政法综治“提升平安中国建设能力和水平”相关要求，全面提高全国政法综治工作信息化水平和平安建设现代化水平，中央政法委2013年在工信部推进司的推荐下，采用视联网技术开始建设面向全国的“社会治安综合治理视联网平台”（简称全国综治视联网）。</w:t>
      </w:r>
    </w:p>
    <w:p>
      <w:pPr>
        <w:pStyle w:val="5"/>
        <w:spacing w:line="440" w:lineRule="exact"/>
        <w:ind w:left="0" w:leftChars="0" w:right="-147" w:firstLine="480"/>
        <w:rPr>
          <w:rFonts w:hint="eastAsia" w:ascii="宋体" w:hAnsi="宋体" w:eastAsia="宋体" w:cs="宋体"/>
          <w:bCs/>
          <w:kern w:val="0"/>
          <w:sz w:val="24"/>
          <w:szCs w:val="24"/>
        </w:rPr>
      </w:pPr>
      <w:r>
        <w:rPr>
          <w:rFonts w:hint="eastAsia" w:ascii="宋体" w:hAnsi="宋体" w:eastAsia="宋体" w:cs="宋体"/>
          <w:bCs/>
          <w:kern w:val="0"/>
          <w:sz w:val="24"/>
          <w:szCs w:val="24"/>
        </w:rPr>
        <w:t>2020年初，中央政法委在抗击新型冠状病毒期间，为贯彻落实好习近平总书记关于做好疫情防控工作的一系列重要指示精神，印发了《关于进一步发挥基层综治中心和网格员作用筑牢疫情防控第一道防线的通知》。其中指出，要充分运用“综治中心＋网格化＋信息化”体系，服务疫情防控整体工作。发挥基层综治中心平台优势，整合基层政法单位等资源力量，推动相关部门协调联动，着力推动防控力量向社区下沉、向网格延伸。引导社区在开展必要“面对面”巡查检查的同时，充分运用“屏对屏”方式，搭建线上便捷渠道，及时响应群众需求。推进信息系统完善功能、互联互通，减少信息重复采集录入。深化大数据、物联网及“雪亮工程”等系统应用，提升疫情防控效能。</w:t>
      </w:r>
    </w:p>
    <w:p>
      <w:pPr>
        <w:pStyle w:val="5"/>
        <w:spacing w:line="440" w:lineRule="exact"/>
        <w:ind w:left="0" w:leftChars="0" w:right="-147" w:firstLine="480"/>
        <w:rPr>
          <w:rFonts w:hint="eastAsia" w:ascii="宋体" w:hAnsi="宋体" w:eastAsia="宋体" w:cs="宋体"/>
          <w:bCs/>
          <w:kern w:val="0"/>
          <w:sz w:val="24"/>
          <w:szCs w:val="24"/>
        </w:rPr>
      </w:pPr>
      <w:r>
        <w:rPr>
          <w:rFonts w:hint="eastAsia" w:ascii="宋体" w:hAnsi="宋体" w:eastAsia="宋体" w:cs="宋体"/>
          <w:bCs/>
          <w:kern w:val="0"/>
          <w:sz w:val="24"/>
          <w:szCs w:val="24"/>
        </w:rPr>
        <w:t>为认真贯彻落实中央和省委、市委部署，打造新时代共建共治共享社会治理格局。本方案按照中央政法委“顶层设计、统一规划”相关要求，遵循《关于加强公共安全监控建设联网应用工作的若干意见》(发改高技〔2015〕996号)、《社会治安综合治理基础数据规范》（GB/T 31000-2015）及《社会治安综合治理综治中心建设与管理规范》（GB/T 33200-2016）等相关规范，结合雁塔区实际情况，积极落实基层社会治理理念、制度、机制，深入推进基层联网覆盖，建立健全区域联动、资源共享、全程可视的社会治理安全防控体系，形成基层社会治理的工作合力，共建共创共享社会治理新格局，为雁塔区经济高质量发展保驾护航。</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二、采购内容（包括采购品目、规格和数量）</w:t>
      </w:r>
    </w:p>
    <w:p>
      <w:pPr>
        <w:pStyle w:val="5"/>
        <w:spacing w:line="440" w:lineRule="exact"/>
        <w:ind w:left="0" w:leftChars="0" w:right="-147" w:firstLine="480"/>
        <w:rPr>
          <w:rFonts w:hint="eastAsia" w:ascii="宋体" w:hAnsi="宋体" w:eastAsia="宋体" w:cs="宋体"/>
          <w:bCs/>
          <w:kern w:val="0"/>
          <w:sz w:val="24"/>
          <w:szCs w:val="24"/>
        </w:rPr>
      </w:pPr>
      <w:r>
        <w:rPr>
          <w:rFonts w:hint="eastAsia" w:ascii="宋体" w:hAnsi="宋体" w:eastAsia="宋体" w:cs="宋体"/>
          <w:bCs/>
          <w:kern w:val="0"/>
          <w:sz w:val="24"/>
          <w:szCs w:val="24"/>
        </w:rPr>
        <w:t>为满足综治视联网区、街、社区（村）三级自主调度，需采购视频会议服务，主要包括会议组织服务，会议调度服务，会议保障服务。为满足以上服务，须提供以下产品：</w:t>
      </w:r>
    </w:p>
    <w:p>
      <w:pPr>
        <w:pStyle w:val="5"/>
        <w:spacing w:line="440" w:lineRule="exact"/>
        <w:ind w:left="0" w:leftChars="0" w:right="-147" w:firstLine="480"/>
        <w:rPr>
          <w:rFonts w:hint="eastAsia" w:ascii="仿宋" w:hAnsi="仿宋" w:eastAsia="仿宋"/>
          <w:b/>
          <w:szCs w:val="28"/>
        </w:rPr>
      </w:pPr>
      <w:r>
        <w:rPr>
          <w:rFonts w:hint="eastAsia" w:ascii="宋体" w:hAnsi="宋体" w:eastAsia="宋体" w:cs="宋体"/>
          <w:bCs/>
          <w:kern w:val="0"/>
          <w:sz w:val="24"/>
          <w:szCs w:val="24"/>
        </w:rPr>
        <w:t>区级指挥中心(核心交换服务器、会议管理系统、综治视联网链路、交换机、安装调试服务)；</w:t>
      </w:r>
      <w:r>
        <w:rPr>
          <w:rFonts w:ascii="仿宋" w:hAnsi="仿宋" w:eastAsia="仿宋"/>
          <w:b/>
          <w:szCs w:val="28"/>
        </w:rPr>
        <w:t xml:space="preserve"> </w:t>
      </w:r>
    </w:p>
    <w:tbl>
      <w:tblPr>
        <w:tblStyle w:val="11"/>
        <w:tblW w:w="7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092"/>
        <w:gridCol w:w="1146"/>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一、区级指挥中心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服务名称</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服务所需产品</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视频会议服务</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视联网核心交换服务器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视联网会议调度软件</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视联网会议管理系统</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视联网存储服务系统</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区级视联网云平台服务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系统集成服务</w:t>
            </w:r>
            <w:r>
              <w:rPr>
                <w:rFonts w:hint="eastAsia" w:ascii="宋体" w:hAnsi="宋体" w:cs="宋体"/>
                <w:i w:val="0"/>
                <w:iCs w:val="0"/>
                <w:color w:val="000000"/>
                <w:kern w:val="0"/>
                <w:sz w:val="24"/>
                <w:szCs w:val="24"/>
                <w:u w:val="none"/>
                <w:lang w:val="en-US" w:eastAsia="zh-CN" w:bidi="ar"/>
              </w:rPr>
              <w:t>及质保服务</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网络服务</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管理交换机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接入交换机</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42U机柜</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综治视联网汇聚链路</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r>
    </w:tbl>
    <w:p>
      <w:pPr>
        <w:pStyle w:val="5"/>
        <w:spacing w:line="440" w:lineRule="exact"/>
        <w:ind w:left="0" w:leftChars="0" w:right="-147" w:firstLine="562"/>
        <w:rPr>
          <w:rFonts w:ascii="仿宋" w:hAnsi="仿宋" w:eastAsia="仿宋"/>
          <w:b/>
          <w:szCs w:val="28"/>
        </w:rPr>
      </w:pP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三、技术要求（包括对产品的认证、检验报告等）</w:t>
      </w:r>
    </w:p>
    <w:tbl>
      <w:tblPr>
        <w:tblStyle w:val="11"/>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665"/>
        <w:gridCol w:w="5506"/>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一、区级指挥中心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功能描述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视联网核心交换服务器</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符合以太网802.3标准，可兼容H.323协议、SIP协议；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采用嵌入式硬件设备，提供至少2路千兆电口；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支持H.265、H.264视频编解码；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支持G.711、AAC音频编解码；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单台设备最大支持不少于250路4K或1080P的高清视频并发接入；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会议业务数据处理时延不大于200ms;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支持4K、1080P的高清视频会议、视频监控、可视电话、远程培训、视频点播、发布直播功能；须提供检测报告复印件。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支持自主多画面功能，支持全交换功能，一组会议中与会终端须能够任意选择所收看的画面。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支持7*24小时音视频业务不间断运行，业务可用度不低于99%。须提供检测报告复印件。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视联网会议调度软件</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考虑系统整体性与维护便捷性，须与核心交换服务器为同一品牌产品。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支持排队发言功能，可提前编辑常用参会方、循环发言模式自由切换；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支持会议中发言方对调发言、降级发言多种快速切换功能；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支持使用遥控器快速发起举手发言申请；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支持会议预约、发言切换、调度显示、收看轮询功能，能够实现复杂的视频会议调度。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支持开场横幅、退会字幕、排队字幕、举手字幕多种字幕相关的信息。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须提供视频会议控制服务的相关软件著作权证书复印件，并加盖厂家公章。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视联网会议管理系统</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考虑系统整体性与维护便捷性，须与核心交换服务器为同一品牌产品。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机架式服务器，不少于2路千兆以太网口；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支持全网会议统一管理，具有结构性安全特性；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支持会议预约审批；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支持以饼图、柱状图方式展示当前会议数、各会议参会人员统计、预约情况、历史会议统计；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支持用户管理功能，须支持对所有用户的创建、修改、删除功能。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提供会议管理服务系统的相关软件著作权证书复印件，加盖厂家公章。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视联网存储服务系统</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机架式服务器，具有结构性安全特性；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至少支持FLV录制格式；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支持不少于6路单画面会议视频并发录制；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支持对已录制存储的视频资源管理与分类；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支持多用户并行播放同一文件，支持录制的同时进行视频播放；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支持用户管理功能，支持设备管理、日志管理操作，支持对异常任务进行自动上报；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须提供视频录播系统的相关软件著作权证书复印件，并加盖厂家公章。</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区级视联网云平台服务</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感知：为用户提供视频会议业务管理功能，用户根据自身权限可以随时查看本辖区内所有进行中、历史和预约的会议信息。对进行中的会议状态能够实时展示和监测，感知所有参会点位、故障点位、退会点位的状态和行为，为处理问题提供准确的时间检索依据，提升问题处理的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资源管理：为用户提供全网内视联网设备（包括视联网终端、业务服务器等）资源的统一管理功能，支持以拓扑图形式展示全域现有设备信息，并且能够根据用户需求对每台视联网设备设置标签，方便资产管理。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告警中心：支持采集视联网内终端、告警、业务平台告警、交换机告警等信息，支持将实时告警、告警数量、重大告警、历史告警等信息以大数据可视化的形式提供给运维用户，同时支持告警信息导出操作。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数据分析：支持检测区域内的流量分析。预警流量占比最高的业务并及时修正。支持以点位分布图等图文结合形式对全域各区域终端点位的覆盖情况进行展示。</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系统集成服务</w:t>
            </w:r>
            <w:r>
              <w:rPr>
                <w:rFonts w:hint="eastAsia" w:ascii="宋体" w:hAnsi="宋体" w:cs="宋体"/>
                <w:i w:val="0"/>
                <w:iCs w:val="0"/>
                <w:color w:val="000000"/>
                <w:kern w:val="0"/>
                <w:sz w:val="24"/>
                <w:szCs w:val="24"/>
                <w:u w:val="none"/>
                <w:lang w:val="en-US" w:eastAsia="zh-CN" w:bidi="ar"/>
              </w:rPr>
              <w:t>及质保服务</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yellow"/>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视联网设备安装调试费</w:t>
            </w:r>
            <w:r>
              <w:rPr>
                <w:rFonts w:hint="eastAsia" w:ascii="宋体" w:hAnsi="宋体" w:cs="宋体"/>
                <w:i w:val="0"/>
                <w:iCs w:val="0"/>
                <w:color w:val="000000"/>
                <w:kern w:val="0"/>
                <w:sz w:val="24"/>
                <w:szCs w:val="24"/>
                <w:highlight w:val="none"/>
                <w:u w:val="none"/>
                <w:lang w:val="en-US" w:eastAsia="zh-CN" w:bidi="ar"/>
              </w:rPr>
              <w:t>及两年原厂质保服务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以太网交换机主机*1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引擎主板（不含接口）*1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电源模块（交流，300W）*2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36端口千兆以太网电口(RJ45)+12端口千兆以太网光口(SFP,LC)+4端口万兆以太网光口(SFP+,LC)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1000BASE-LX mini GBIC转换模块（1310nm）*4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管理交换机</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24口10/100/1000M自适应电口，4个1G/10G SFP+光口，固化单交流电源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接入交换机</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24口10/100/1000M自适应电口，4个1G/10G SFP+光口，固化单交流电源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42U机柜</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用于存放服务器、交换机等服务端设备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综治视联网汇聚链路</w:t>
            </w:r>
          </w:p>
        </w:tc>
        <w:tc>
          <w:tcPr>
            <w:tcW w:w="5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带宽：1G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w:t>
            </w:r>
            <w:r>
              <w:rPr>
                <w:rFonts w:hint="eastAsia" w:ascii="宋体" w:hAnsi="宋体" w:cs="宋体"/>
                <w:i w:val="0"/>
                <w:iCs w:val="0"/>
                <w:color w:val="000000"/>
                <w:kern w:val="0"/>
                <w:sz w:val="24"/>
                <w:szCs w:val="24"/>
                <w:u w:val="none"/>
                <w:lang w:val="en-US" w:eastAsia="zh-CN" w:bidi="ar"/>
              </w:rPr>
              <w:t>雁塔区辖区内社区、村</w:t>
            </w:r>
            <w:r>
              <w:rPr>
                <w:rFonts w:hint="eastAsia" w:ascii="宋体" w:hAnsi="宋体" w:eastAsia="宋体" w:cs="宋体"/>
                <w:i w:val="0"/>
                <w:iCs w:val="0"/>
                <w:color w:val="000000"/>
                <w:kern w:val="0"/>
                <w:sz w:val="24"/>
                <w:szCs w:val="24"/>
                <w:u w:val="none"/>
                <w:lang w:val="en-US" w:eastAsia="zh-CN" w:bidi="ar"/>
              </w:rPr>
              <w:t>点位进行汇聚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四、服务要求</w:t>
      </w:r>
    </w:p>
    <w:p>
      <w:pPr>
        <w:widowControl/>
        <w:tabs>
          <w:tab w:val="left" w:pos="1620"/>
        </w:tabs>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满足综治视联网区、街、社区（村）三级自主调度，视频会议服务具有会议组织服务，会议调度服务，会议保障服务的功能。</w:t>
      </w:r>
    </w:p>
    <w:p>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五、商务要求</w:t>
      </w:r>
    </w:p>
    <w:p>
      <w:pPr>
        <w:widowControl/>
        <w:tabs>
          <w:tab w:val="left" w:pos="1620"/>
        </w:tabs>
        <w:adjustRightInd w:val="0"/>
        <w:snapToGrid w:val="0"/>
        <w:spacing w:line="360" w:lineRule="auto"/>
        <w:jc w:val="left"/>
        <w:rPr>
          <w:rFonts w:hint="eastAsia" w:ascii="宋体" w:hAnsi="宋体" w:cs="宋体"/>
          <w:sz w:val="24"/>
        </w:rPr>
      </w:pPr>
      <w:bookmarkStart w:id="0" w:name="_Toc217446094"/>
      <w:r>
        <w:rPr>
          <w:rFonts w:hint="eastAsia" w:ascii="宋体" w:hAnsi="宋体" w:cs="宋体"/>
          <w:sz w:val="24"/>
        </w:rPr>
        <w:t xml:space="preserve">1.1.项目名称：雁塔区综治视联网建设项目 </w:t>
      </w:r>
    </w:p>
    <w:p>
      <w:pPr>
        <w:widowControl/>
        <w:snapToGrid w:val="0"/>
        <w:spacing w:line="360" w:lineRule="auto"/>
        <w:jc w:val="left"/>
        <w:rPr>
          <w:rFonts w:hint="eastAsia" w:ascii="宋体" w:hAnsi="宋体" w:cs="宋体"/>
          <w:sz w:val="24"/>
        </w:rPr>
      </w:pPr>
      <w:r>
        <w:rPr>
          <w:rFonts w:hint="eastAsia" w:ascii="宋体" w:hAnsi="宋体" w:cs="宋体"/>
          <w:sz w:val="24"/>
        </w:rPr>
        <w:t>1.2.服务周期：本项目服务周期</w:t>
      </w:r>
      <w:r>
        <w:rPr>
          <w:rFonts w:hint="eastAsia" w:ascii="宋体" w:hAnsi="宋体" w:cs="宋体"/>
          <w:sz w:val="24"/>
          <w:lang w:val="en-US" w:eastAsia="zh-CN"/>
        </w:rPr>
        <w:t>2</w:t>
      </w:r>
      <w:r>
        <w:rPr>
          <w:rFonts w:hint="eastAsia" w:ascii="宋体" w:hAnsi="宋体" w:cs="宋体"/>
          <w:sz w:val="24"/>
        </w:rPr>
        <w:t>年。其中设备到货时间为签订合同之日起</w:t>
      </w:r>
      <w:r>
        <w:rPr>
          <w:rFonts w:hint="eastAsia" w:ascii="宋体" w:hAnsi="宋体" w:cs="宋体"/>
          <w:sz w:val="24"/>
          <w:u w:val="single"/>
        </w:rPr>
        <w:t>30</w:t>
      </w:r>
      <w:r>
        <w:rPr>
          <w:rFonts w:hint="eastAsia" w:ascii="宋体" w:hAnsi="宋体" w:cs="宋体"/>
          <w:sz w:val="24"/>
        </w:rPr>
        <w:t>日内到达采购人指定地点。</w:t>
      </w:r>
    </w:p>
    <w:p>
      <w:pPr>
        <w:widowControl/>
        <w:tabs>
          <w:tab w:val="left" w:pos="1620"/>
        </w:tabs>
        <w:adjustRightInd w:val="0"/>
        <w:snapToGrid w:val="0"/>
        <w:spacing w:line="360" w:lineRule="auto"/>
        <w:jc w:val="left"/>
        <w:rPr>
          <w:rFonts w:hint="eastAsia" w:ascii="宋体" w:hAnsi="宋体" w:cs="宋体"/>
          <w:sz w:val="24"/>
        </w:rPr>
      </w:pPr>
      <w:r>
        <w:rPr>
          <w:rFonts w:hint="eastAsia" w:ascii="宋体" w:hAnsi="宋体" w:cs="宋体"/>
          <w:sz w:val="24"/>
        </w:rPr>
        <w:t>1.3.服务地点：采购人指定地点。</w:t>
      </w:r>
    </w:p>
    <w:p>
      <w:pPr>
        <w:widowControl/>
        <w:tabs>
          <w:tab w:val="left" w:pos="1620"/>
        </w:tabs>
        <w:adjustRightInd w:val="0"/>
        <w:snapToGrid w:val="0"/>
        <w:spacing w:line="360" w:lineRule="auto"/>
        <w:jc w:val="left"/>
        <w:rPr>
          <w:rFonts w:hint="eastAsia" w:ascii="宋体" w:hAnsi="宋体" w:cs="宋体"/>
          <w:sz w:val="24"/>
          <w:highlight w:val="none"/>
        </w:rPr>
      </w:pPr>
      <w:r>
        <w:rPr>
          <w:rFonts w:hint="eastAsia" w:ascii="宋体" w:hAnsi="宋体" w:cs="宋体"/>
          <w:sz w:val="24"/>
          <w:highlight w:val="none"/>
        </w:rPr>
        <w:t>1.4.付款方式：项目验收合格，一个月内支付服务费（总合同款的90%），合同尾款（总合同款的10%）在合同履行完毕后两个月内付清。</w:t>
      </w:r>
    </w:p>
    <w:bookmarkEnd w:id="0"/>
    <w:p>
      <w:pPr>
        <w:adjustRightInd w:val="0"/>
        <w:snapToGrid w:val="0"/>
        <w:spacing w:line="360" w:lineRule="auto"/>
        <w:rPr>
          <w:rFonts w:hint="eastAsia" w:ascii="宋体" w:hAnsi="宋体" w:cs="宋体"/>
          <w:sz w:val="24"/>
        </w:rPr>
      </w:pPr>
      <w:r>
        <w:rPr>
          <w:rFonts w:hint="eastAsia" w:ascii="宋体" w:hAnsi="宋体" w:cs="宋体"/>
          <w:sz w:val="24"/>
        </w:rPr>
        <w:t>1.5.质量标准：符合国家质量和规范标准。</w:t>
      </w:r>
    </w:p>
    <w:p>
      <w:pPr>
        <w:widowControl/>
        <w:tabs>
          <w:tab w:val="left" w:pos="1620"/>
        </w:tabs>
        <w:adjustRightInd w:val="0"/>
        <w:snapToGrid w:val="0"/>
        <w:spacing w:line="360" w:lineRule="auto"/>
        <w:jc w:val="left"/>
        <w:rPr>
          <w:rFonts w:hint="eastAsia" w:ascii="宋体" w:hAnsi="宋体" w:cs="宋体"/>
          <w:sz w:val="24"/>
        </w:rPr>
      </w:pPr>
      <w:r>
        <w:rPr>
          <w:rFonts w:hint="eastAsia" w:ascii="宋体" w:hAnsi="宋体" w:cs="宋体"/>
          <w:sz w:val="24"/>
        </w:rPr>
        <w:t>1.6服务要求：</w:t>
      </w:r>
    </w:p>
    <w:p>
      <w:pPr>
        <w:widowControl/>
        <w:tabs>
          <w:tab w:val="left" w:pos="1620"/>
        </w:tabs>
        <w:adjustRightInd w:val="0"/>
        <w:snapToGrid w:val="0"/>
        <w:spacing w:line="360" w:lineRule="auto"/>
        <w:jc w:val="left"/>
        <w:rPr>
          <w:rFonts w:hint="eastAsia" w:ascii="宋体" w:hAnsi="宋体" w:cs="宋体"/>
          <w:sz w:val="24"/>
        </w:rPr>
      </w:pPr>
      <w:r>
        <w:rPr>
          <w:rFonts w:hint="eastAsia" w:ascii="宋体" w:hAnsi="宋体" w:cs="宋体"/>
          <w:sz w:val="24"/>
        </w:rPr>
        <w:t>1.6.1：新建系统须与雁塔区原有综治视联网系统实现无缝对接。</w:t>
      </w:r>
    </w:p>
    <w:p>
      <w:pPr>
        <w:widowControl/>
        <w:tabs>
          <w:tab w:val="left" w:pos="1620"/>
        </w:tabs>
        <w:adjustRightInd w:val="0"/>
        <w:snapToGrid w:val="0"/>
        <w:spacing w:line="360" w:lineRule="auto"/>
        <w:jc w:val="left"/>
        <w:rPr>
          <w:rFonts w:hint="eastAsia" w:ascii="宋体" w:hAnsi="宋体" w:cs="宋体"/>
          <w:sz w:val="24"/>
        </w:rPr>
      </w:pPr>
      <w:r>
        <w:rPr>
          <w:rFonts w:hint="eastAsia" w:ascii="宋体" w:hAnsi="宋体" w:cs="宋体"/>
          <w:sz w:val="24"/>
        </w:rPr>
        <w:t>1.6.2：服务周期满后，区级核心服务器及会议管理软件仍归属甲方所使用。</w:t>
      </w:r>
    </w:p>
    <w:p>
      <w:pPr>
        <w:widowControl/>
        <w:tabs>
          <w:tab w:val="left" w:pos="1620"/>
        </w:tabs>
        <w:adjustRightInd w:val="0"/>
        <w:snapToGrid w:val="0"/>
        <w:spacing w:line="360" w:lineRule="auto"/>
        <w:jc w:val="left"/>
        <w:rPr>
          <w:rFonts w:hint="eastAsia" w:ascii="宋体" w:hAnsi="宋体" w:cs="宋体"/>
          <w:sz w:val="24"/>
        </w:rPr>
      </w:pPr>
      <w:r>
        <w:rPr>
          <w:rFonts w:hint="eastAsia" w:ascii="宋体" w:hAnsi="宋体" w:cs="宋体"/>
          <w:sz w:val="24"/>
        </w:rPr>
        <w:t>1.7.验收：由采购人验收。</w:t>
      </w:r>
    </w:p>
    <w:p>
      <w:pPr>
        <w:widowControl/>
        <w:tabs>
          <w:tab w:val="left" w:pos="1620"/>
        </w:tabs>
        <w:adjustRightInd w:val="0"/>
        <w:snapToGrid w:val="0"/>
        <w:spacing w:line="360" w:lineRule="auto"/>
        <w:jc w:val="left"/>
        <w:rPr>
          <w:rFonts w:hint="eastAsia" w:ascii="宋体" w:hAnsi="宋体" w:cs="宋体"/>
          <w:sz w:val="24"/>
        </w:rPr>
      </w:pPr>
      <w:r>
        <w:rPr>
          <w:rFonts w:hint="eastAsia" w:ascii="宋体" w:hAnsi="宋体" w:cs="宋体"/>
          <w:sz w:val="24"/>
        </w:rPr>
        <w:t>1.8.验收标准及要求：在服务周期内，保障客户参与省、市、区县、镇街、社区（村）五级综治视频会议。</w:t>
      </w:r>
    </w:p>
    <w:p>
      <w:pPr>
        <w:widowControl/>
        <w:snapToGrid w:val="0"/>
        <w:spacing w:line="360" w:lineRule="auto"/>
        <w:jc w:val="left"/>
        <w:rPr>
          <w:rFonts w:hint="eastAsia" w:ascii="宋体" w:hAnsi="宋体" w:cs="宋体"/>
          <w:sz w:val="24"/>
        </w:rPr>
      </w:pPr>
      <w:r>
        <w:rPr>
          <w:rFonts w:hint="eastAsia" w:ascii="宋体" w:hAnsi="宋体" w:cs="宋体"/>
          <w:sz w:val="24"/>
        </w:rPr>
        <w:t>1.9.验收依据：</w:t>
      </w:r>
    </w:p>
    <w:p>
      <w:pPr>
        <w:widowControl/>
        <w:snapToGrid w:val="0"/>
        <w:spacing w:line="360" w:lineRule="auto"/>
        <w:jc w:val="left"/>
        <w:rPr>
          <w:rFonts w:hint="eastAsia" w:ascii="宋体" w:hAnsi="宋体" w:cs="宋体"/>
          <w:sz w:val="24"/>
        </w:rPr>
      </w:pPr>
      <w:r>
        <w:rPr>
          <w:rFonts w:hint="eastAsia" w:ascii="宋体" w:hAnsi="宋体" w:cs="宋体"/>
          <w:sz w:val="24"/>
        </w:rPr>
        <w:t>1.9.1.本合同及附加文本；</w:t>
      </w:r>
    </w:p>
    <w:p>
      <w:pPr>
        <w:widowControl/>
        <w:snapToGrid w:val="0"/>
        <w:spacing w:line="360" w:lineRule="auto"/>
        <w:jc w:val="left"/>
        <w:rPr>
          <w:rFonts w:hint="eastAsia" w:ascii="宋体" w:hAnsi="宋体" w:cs="宋体"/>
          <w:sz w:val="24"/>
        </w:rPr>
      </w:pPr>
      <w:r>
        <w:rPr>
          <w:rFonts w:hint="eastAsia" w:ascii="宋体" w:hAnsi="宋体" w:cs="宋体"/>
          <w:sz w:val="24"/>
        </w:rPr>
        <w:t>1.9.2.招标文件、中标人的投标文件及澄清函、承诺函；</w:t>
      </w:r>
    </w:p>
    <w:p>
      <w:pPr>
        <w:adjustRightInd w:val="0"/>
        <w:snapToGrid w:val="0"/>
        <w:spacing w:line="360" w:lineRule="auto"/>
        <w:rPr>
          <w:rFonts w:hint="eastAsia" w:ascii="宋体" w:hAnsi="宋体" w:cs="宋体"/>
          <w:b/>
          <w:sz w:val="28"/>
          <w:szCs w:val="28"/>
        </w:rPr>
      </w:pPr>
      <w:bookmarkStart w:id="1" w:name="_Toc15798"/>
      <w:bookmarkStart w:id="2" w:name="_Toc3968"/>
      <w:bookmarkStart w:id="3" w:name="_Toc26914"/>
      <w:r>
        <w:rPr>
          <w:rFonts w:hint="eastAsia" w:ascii="宋体" w:hAnsi="宋体" w:cs="宋体"/>
          <w:b/>
          <w:sz w:val="28"/>
          <w:szCs w:val="28"/>
        </w:rPr>
        <w:t>二、商务条件响应说明</w:t>
      </w:r>
      <w:bookmarkEnd w:id="1"/>
      <w:bookmarkEnd w:id="2"/>
      <w:bookmarkEnd w:id="3"/>
    </w:p>
    <w:p>
      <w:pPr>
        <w:adjustRightInd w:val="0"/>
        <w:snapToGrid w:val="0"/>
        <w:spacing w:line="360" w:lineRule="auto"/>
        <w:rPr>
          <w:rFonts w:hint="eastAsia" w:ascii="宋体" w:hAnsi="宋体" w:cs="宋体"/>
          <w:sz w:val="24"/>
        </w:rPr>
      </w:pPr>
      <w:r>
        <w:rPr>
          <w:rFonts w:hint="eastAsia" w:ascii="宋体" w:hAnsi="宋体" w:cs="宋体"/>
          <w:sz w:val="24"/>
        </w:rPr>
        <w:t>1.1.主要商务条款为合同条款的补充内容，与合同格式中规定不一致的，以本商务条款为准。</w:t>
      </w:r>
    </w:p>
    <w:p>
      <w:pPr>
        <w:adjustRightInd w:val="0"/>
        <w:snapToGrid w:val="0"/>
        <w:spacing w:line="360" w:lineRule="auto"/>
        <w:rPr>
          <w:rFonts w:hint="eastAsia" w:ascii="宋体" w:hAnsi="宋体" w:cs="宋体"/>
          <w:sz w:val="24"/>
        </w:rPr>
      </w:pPr>
      <w:r>
        <w:rPr>
          <w:rFonts w:hint="eastAsia" w:ascii="宋体" w:hAnsi="宋体" w:cs="宋体"/>
          <w:sz w:val="24"/>
        </w:rPr>
        <w:t>1.2.投标人在投标文件中应对上表所列的商务条款和要求做出逐条响应，投标人对商务条款的响应将作为合同协议书和合同专用条款的主要内容。</w:t>
      </w:r>
    </w:p>
    <w:p>
      <w:pPr>
        <w:ind w:firstLine="480" w:firstLineChars="200"/>
        <w:rPr>
          <w:rFonts w:ascii="楷体" w:hAnsi="楷体" w:eastAsia="楷体"/>
          <w:color w:val="FF0000"/>
          <w:sz w:val="24"/>
          <w:szCs w:val="28"/>
        </w:rPr>
      </w:pPr>
      <w:r>
        <w:rPr>
          <w:rFonts w:hint="eastAsia" w:ascii="宋体" w:hAnsi="宋体" w:cs="宋体"/>
          <w:sz w:val="24"/>
        </w:rPr>
        <w:t>1.3.主要商务条款为实质性要求，不接受负偏离。</w:t>
      </w:r>
    </w:p>
    <w:p>
      <w:pPr>
        <w:rPr>
          <w:rFonts w:ascii="仿宋" w:hAnsi="仿宋" w:eastAsia="仿宋"/>
          <w:color w:val="FF0000"/>
          <w:sz w:val="28"/>
          <w:szCs w:val="28"/>
        </w:rPr>
      </w:pPr>
    </w:p>
    <w:p>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六、其他</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（一）对供应商业绩的要求。</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投标人提供具有近三年（2020年至今）同类项目业绩</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（二）质量验收标准或规范</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满足国家</w:t>
      </w:r>
      <w:r>
        <w:rPr>
          <w:rFonts w:hint="eastAsia" w:ascii="宋体" w:hAnsi="宋体" w:eastAsia="宋体" w:cs="宋体"/>
          <w:sz w:val="24"/>
          <w:highlight w:val="none"/>
        </w:rPr>
        <w:t>标准。</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（三）产品质保期</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自验收之日起两年，要求中标人提供两年原厂维保服务。</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（四）违约责任</w:t>
      </w:r>
    </w:p>
    <w:p>
      <w:pPr>
        <w:widowControl/>
        <w:tabs>
          <w:tab w:val="left" w:pos="1620"/>
        </w:tabs>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乙方逾期交付产品的（包括返修、更换、补交等），应当自逾期之日起每日起每日按逾期交付部分价款总额的3%向甲方支付违约金。若因乙方原因逾期交货超过30天的，甲方有权解除合同，且乙方应向甲方支付合同总价款30%的违约金</w:t>
      </w:r>
      <w:r>
        <w:rPr>
          <w:rFonts w:hint="eastAsia" w:ascii="宋体" w:hAnsi="宋体" w:eastAsia="宋体" w:cs="宋体"/>
          <w:sz w:val="24"/>
          <w:highlight w:val="none"/>
        </w:rPr>
        <w:t>。</w:t>
      </w:r>
    </w:p>
    <w:p>
      <w:pPr>
        <w:widowControl/>
        <w:tabs>
          <w:tab w:val="left" w:pos="1620"/>
        </w:tabs>
        <w:adjustRightInd w:val="0"/>
        <w:snapToGrid w:val="0"/>
        <w:spacing w:line="360" w:lineRule="auto"/>
        <w:jc w:val="left"/>
        <w:rPr>
          <w:rFonts w:hint="eastAsia" w:ascii="宋体" w:hAnsi="宋体" w:eastAsia="宋体" w:cs="宋体"/>
          <w:sz w:val="24"/>
          <w:highlight w:val="none"/>
        </w:rPr>
      </w:pPr>
      <w:bookmarkStart w:id="4" w:name="_GoBack"/>
      <w:bookmarkEnd w:id="4"/>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B2250"/>
    <w:multiLevelType w:val="singleLevel"/>
    <w:tmpl w:val="F7DB225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zRiYzRhOWVmOTE3ODA3NTc3NmRiZTBjODg2Yz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2633"/>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47E2E"/>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6E90"/>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01F9"/>
    <w:rsid w:val="005C6C4F"/>
    <w:rsid w:val="005D000E"/>
    <w:rsid w:val="005D62E5"/>
    <w:rsid w:val="005D7216"/>
    <w:rsid w:val="005E12F7"/>
    <w:rsid w:val="005E548A"/>
    <w:rsid w:val="005E5BCC"/>
    <w:rsid w:val="005E5CCE"/>
    <w:rsid w:val="005E6CCC"/>
    <w:rsid w:val="005F19BB"/>
    <w:rsid w:val="005F3B5B"/>
    <w:rsid w:val="006022C0"/>
    <w:rsid w:val="00602E42"/>
    <w:rsid w:val="0060308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3FFD"/>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286E"/>
    <w:rsid w:val="00A96F13"/>
    <w:rsid w:val="00AA1080"/>
    <w:rsid w:val="00AA16D3"/>
    <w:rsid w:val="00AA18CA"/>
    <w:rsid w:val="00AA3BFA"/>
    <w:rsid w:val="00AA5A0A"/>
    <w:rsid w:val="00AA5E84"/>
    <w:rsid w:val="00AA725C"/>
    <w:rsid w:val="00AB3274"/>
    <w:rsid w:val="00AB7A0E"/>
    <w:rsid w:val="00AC0409"/>
    <w:rsid w:val="00AC0C60"/>
    <w:rsid w:val="00AC15C6"/>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1AFF"/>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3FB3"/>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3DC31A4"/>
    <w:rsid w:val="0D1576D5"/>
    <w:rsid w:val="14D8043E"/>
    <w:rsid w:val="160D4DA6"/>
    <w:rsid w:val="218F0573"/>
    <w:rsid w:val="27B966EA"/>
    <w:rsid w:val="2A965318"/>
    <w:rsid w:val="2BE31EF4"/>
    <w:rsid w:val="2F33243C"/>
    <w:rsid w:val="43DE2C30"/>
    <w:rsid w:val="79755659"/>
    <w:rsid w:val="7E72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48"/>
    <w:qFormat/>
    <w:uiPriority w:val="0"/>
    <w:pPr>
      <w:keepNext/>
      <w:keepLines/>
      <w:spacing w:before="260" w:after="260" w:line="500" w:lineRule="exact"/>
      <w:outlineLvl w:val="1"/>
    </w:pPr>
    <w:rPr>
      <w:rFonts w:ascii="Arial" w:hAnsi="Arial" w:eastAsia="黑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8"/>
    <w:semiHidden/>
    <w:unhideWhenUsed/>
    <w:qFormat/>
    <w:uiPriority w:val="99"/>
    <w:pPr>
      <w:jc w:val="left"/>
    </w:pPr>
  </w:style>
  <w:style w:type="paragraph" w:styleId="4">
    <w:name w:val="Body Text Indent"/>
    <w:basedOn w:val="1"/>
    <w:link w:val="45"/>
    <w:semiHidden/>
    <w:unhideWhenUsed/>
    <w:qFormat/>
    <w:uiPriority w:val="99"/>
    <w:pPr>
      <w:spacing w:after="120"/>
      <w:ind w:left="420" w:leftChars="200"/>
    </w:pPr>
  </w:style>
  <w:style w:type="paragraph" w:styleId="5">
    <w:name w:val="Block Text"/>
    <w:basedOn w:val="1"/>
    <w:qFormat/>
    <w:uiPriority w:val="0"/>
    <w:pPr>
      <w:ind w:left="420" w:leftChars="200" w:right="-70" w:rightChars="-70" w:firstLine="560" w:firstLineChars="200"/>
    </w:pPr>
    <w:rPr>
      <w:rFonts w:ascii="楷体_GB2312" w:hAnsi="Times New Roman" w:eastAsia="楷体_GB2312"/>
      <w:sz w:val="28"/>
      <w:szCs w:val="20"/>
    </w:rPr>
  </w:style>
  <w:style w:type="paragraph" w:styleId="6">
    <w:name w:val="Balloon Text"/>
    <w:basedOn w:val="1"/>
    <w:link w:val="40"/>
    <w:semiHidden/>
    <w:unhideWhenUsed/>
    <w:qFormat/>
    <w:uiPriority w:val="99"/>
    <w:rPr>
      <w:sz w:val="18"/>
      <w:szCs w:val="18"/>
    </w:rPr>
  </w:style>
  <w:style w:type="paragraph" w:styleId="7">
    <w:name w:val="footer"/>
    <w:basedOn w:val="1"/>
    <w:link w:val="37"/>
    <w:unhideWhenUsed/>
    <w:qFormat/>
    <w:uiPriority w:val="99"/>
    <w:pPr>
      <w:tabs>
        <w:tab w:val="center" w:pos="4153"/>
        <w:tab w:val="right" w:pos="8306"/>
      </w:tabs>
      <w:snapToGrid w:val="0"/>
      <w:jc w:val="left"/>
    </w:pPr>
    <w:rPr>
      <w:sz w:val="18"/>
      <w:szCs w:val="18"/>
    </w:rPr>
  </w:style>
  <w:style w:type="paragraph" w:styleId="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39"/>
    <w:semiHidden/>
    <w:unhideWhenUsed/>
    <w:qFormat/>
    <w:uiPriority w:val="99"/>
    <w:rPr>
      <w:b/>
      <w:bCs/>
    </w:rPr>
  </w:style>
  <w:style w:type="paragraph" w:styleId="10">
    <w:name w:val="Body Text First Indent 2"/>
    <w:basedOn w:val="4"/>
    <w:link w:val="46"/>
    <w:semiHidden/>
    <w:unhideWhenUsed/>
    <w:uiPriority w:val="99"/>
    <w:pPr>
      <w:ind w:firstLine="420" w:firstLineChars="200"/>
    </w:pPr>
  </w:style>
  <w:style w:type="character" w:styleId="13">
    <w:name w:val="annotation reference"/>
    <w:basedOn w:val="12"/>
    <w:semiHidden/>
    <w:unhideWhenUsed/>
    <w:qFormat/>
    <w:uiPriority w:val="99"/>
    <w:rPr>
      <w:sz w:val="21"/>
      <w:szCs w:val="21"/>
    </w:rPr>
  </w:style>
  <w:style w:type="paragraph" w:customStyle="1" w:styleId="14">
    <w:name w:val="※封面大标题"/>
    <w:basedOn w:val="1"/>
    <w:next w:val="1"/>
    <w:qFormat/>
    <w:uiPriority w:val="0"/>
    <w:pPr>
      <w:widowControl/>
      <w:jc w:val="center"/>
    </w:pPr>
    <w:rPr>
      <w:rFonts w:ascii="华文中宋" w:hAnsi="华文中宋" w:eastAsia="华文中宋"/>
      <w:sz w:val="96"/>
      <w:szCs w:val="96"/>
    </w:rPr>
  </w:style>
  <w:style w:type="paragraph" w:customStyle="1" w:styleId="15">
    <w:name w:val="※封面题颌"/>
    <w:basedOn w:val="1"/>
    <w:next w:val="1"/>
    <w:qFormat/>
    <w:uiPriority w:val="0"/>
    <w:pPr>
      <w:widowControl/>
      <w:jc w:val="center"/>
    </w:pPr>
    <w:rPr>
      <w:rFonts w:ascii="Calibri Light" w:hAnsi="Calibri Light" w:eastAsia="华文仿宋"/>
      <w:sz w:val="36"/>
      <w:szCs w:val="36"/>
    </w:rPr>
  </w:style>
  <w:style w:type="paragraph" w:customStyle="1" w:styleId="16">
    <w:name w:val="※封面题眉"/>
    <w:basedOn w:val="1"/>
    <w:next w:val="14"/>
    <w:qFormat/>
    <w:uiPriority w:val="0"/>
    <w:pPr>
      <w:widowControl/>
      <w:jc w:val="center"/>
    </w:pPr>
    <w:rPr>
      <w:rFonts w:ascii="华文仿宋" w:hAnsi="华文仿宋" w:eastAsia="华文仿宋"/>
      <w:sz w:val="52"/>
      <w:szCs w:val="28"/>
    </w:rPr>
  </w:style>
  <w:style w:type="paragraph" w:customStyle="1" w:styleId="17">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8">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9">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0">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1">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2">
    <w:name w:val="※小标题 一"/>
    <w:basedOn w:val="21"/>
    <w:next w:val="21"/>
    <w:qFormat/>
    <w:uiPriority w:val="0"/>
    <w:pPr>
      <w:spacing w:before="120" w:line="240" w:lineRule="auto"/>
      <w:outlineLvl w:val="2"/>
    </w:pPr>
    <w:rPr>
      <w:b/>
      <w:color w:val="203864" w:themeColor="accent5" w:themeShade="80"/>
      <w:sz w:val="32"/>
    </w:rPr>
  </w:style>
  <w:style w:type="paragraph" w:customStyle="1" w:styleId="23">
    <w:name w:val="※小标题（1）"/>
    <w:basedOn w:val="1"/>
    <w:next w:val="21"/>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4">
    <w:name w:val="※小标题（一）"/>
    <w:basedOn w:val="1"/>
    <w:next w:val="21"/>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5">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6">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7">
    <w:name w:val="※页眉"/>
    <w:basedOn w:val="21"/>
    <w:qFormat/>
    <w:uiPriority w:val="0"/>
    <w:pPr>
      <w:pBdr>
        <w:bottom w:val="single" w:color="auto" w:sz="4" w:space="1"/>
      </w:pBdr>
      <w:spacing w:line="240" w:lineRule="atLeast"/>
      <w:jc w:val="right"/>
    </w:pPr>
    <w:rPr>
      <w:rFonts w:ascii="宋体" w:hAnsi="宋体" w:eastAsia="宋体"/>
      <w:sz w:val="18"/>
    </w:rPr>
  </w:style>
  <w:style w:type="paragraph" w:customStyle="1" w:styleId="28">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9">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0">
    <w:name w:val="※章节标题（第Z部分分项）"/>
    <w:basedOn w:val="29"/>
    <w:qFormat/>
    <w:uiPriority w:val="0"/>
    <w:pPr>
      <w:outlineLvl w:val="2"/>
    </w:pPr>
  </w:style>
  <w:style w:type="paragraph" w:customStyle="1" w:styleId="31">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2">
    <w:name w:val="※正文（缩进2）"/>
    <w:basedOn w:val="21"/>
    <w:qFormat/>
    <w:uiPriority w:val="0"/>
    <w:pPr>
      <w:ind w:firstLine="200" w:firstLineChars="200"/>
    </w:pPr>
  </w:style>
  <w:style w:type="paragraph" w:customStyle="1" w:styleId="33">
    <w:name w:val="※正文（缩进4）"/>
    <w:basedOn w:val="21"/>
    <w:qFormat/>
    <w:uiPriority w:val="0"/>
    <w:pPr>
      <w:ind w:firstLine="400" w:firstLineChars="400"/>
    </w:pPr>
  </w:style>
  <w:style w:type="paragraph" w:customStyle="1" w:styleId="34">
    <w:name w:val="样式"/>
    <w:link w:val="3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5">
    <w:name w:val="样式 Char Char"/>
    <w:link w:val="34"/>
    <w:qFormat/>
    <w:locked/>
    <w:uiPriority w:val="0"/>
    <w:rPr>
      <w:rFonts w:ascii="宋体" w:hAnsi="宋体" w:eastAsia="宋体" w:cs="宋体"/>
      <w:kern w:val="0"/>
      <w:sz w:val="24"/>
      <w:szCs w:val="24"/>
    </w:rPr>
  </w:style>
  <w:style w:type="character" w:customStyle="1" w:styleId="36">
    <w:name w:val="页眉 Char"/>
    <w:basedOn w:val="12"/>
    <w:link w:val="8"/>
    <w:uiPriority w:val="99"/>
    <w:rPr>
      <w:rFonts w:ascii="Calibri" w:hAnsi="Calibri" w:eastAsia="宋体" w:cs="Times New Roman"/>
      <w:sz w:val="18"/>
      <w:szCs w:val="18"/>
    </w:rPr>
  </w:style>
  <w:style w:type="character" w:customStyle="1" w:styleId="37">
    <w:name w:val="页脚 Char"/>
    <w:basedOn w:val="12"/>
    <w:link w:val="7"/>
    <w:uiPriority w:val="99"/>
    <w:rPr>
      <w:rFonts w:ascii="Calibri" w:hAnsi="Calibri" w:eastAsia="宋体" w:cs="Times New Roman"/>
      <w:sz w:val="18"/>
      <w:szCs w:val="18"/>
    </w:rPr>
  </w:style>
  <w:style w:type="character" w:customStyle="1" w:styleId="38">
    <w:name w:val="批注文字 Char"/>
    <w:basedOn w:val="12"/>
    <w:link w:val="3"/>
    <w:semiHidden/>
    <w:qFormat/>
    <w:uiPriority w:val="99"/>
    <w:rPr>
      <w:rFonts w:ascii="Calibri" w:hAnsi="Calibri" w:eastAsia="宋体" w:cs="Times New Roman"/>
    </w:rPr>
  </w:style>
  <w:style w:type="character" w:customStyle="1" w:styleId="39">
    <w:name w:val="批注主题 Char"/>
    <w:basedOn w:val="38"/>
    <w:link w:val="9"/>
    <w:semiHidden/>
    <w:uiPriority w:val="99"/>
    <w:rPr>
      <w:rFonts w:ascii="Calibri" w:hAnsi="Calibri" w:eastAsia="宋体" w:cs="Times New Roman"/>
      <w:b/>
      <w:bCs/>
    </w:rPr>
  </w:style>
  <w:style w:type="character" w:customStyle="1" w:styleId="40">
    <w:name w:val="批注框文本 Char"/>
    <w:basedOn w:val="12"/>
    <w:link w:val="6"/>
    <w:semiHidden/>
    <w:uiPriority w:val="99"/>
    <w:rPr>
      <w:rFonts w:ascii="Calibri" w:hAnsi="Calibri" w:eastAsia="宋体" w:cs="Times New Roman"/>
      <w:sz w:val="18"/>
      <w:szCs w:val="18"/>
    </w:rPr>
  </w:style>
  <w:style w:type="paragraph" w:styleId="41">
    <w:name w:val="List Paragraph"/>
    <w:basedOn w:val="1"/>
    <w:qFormat/>
    <w:uiPriority w:val="34"/>
    <w:pPr>
      <w:ind w:firstLine="420" w:firstLineChars="200"/>
    </w:pPr>
    <w:rPr>
      <w:rFonts w:asciiTheme="minorHAnsi" w:hAnsiTheme="minorHAnsi" w:eastAsiaTheme="minorEastAsia" w:cstheme="minorBidi"/>
    </w:rPr>
  </w:style>
  <w:style w:type="table" w:customStyle="1" w:styleId="42">
    <w:name w:val="Grid Table 4 Accent 3"/>
    <w:basedOn w:val="11"/>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43">
    <w:name w:val="_Style 40"/>
    <w:unhideWhenUsed/>
    <w:qFormat/>
    <w:uiPriority w:val="99"/>
    <w:pPr>
      <w:widowControl w:val="0"/>
      <w:ind w:firstLine="420" w:firstLineChars="200"/>
      <w:jc w:val="both"/>
    </w:pPr>
    <w:rPr>
      <w:rFonts w:ascii="Times New Roman" w:hAnsi="Times New Roman" w:eastAsia="宋体" w:cs="Times New Roman"/>
      <w:kern w:val="2"/>
      <w:sz w:val="32"/>
      <w:lang w:val="en-US" w:eastAsia="zh-CN" w:bidi="ar-SA"/>
    </w:rPr>
  </w:style>
  <w:style w:type="paragraph" w:customStyle="1" w:styleId="44">
    <w:name w:val="正文 New New New New New New New New New New New New New New New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正文文本缩进 Char"/>
    <w:basedOn w:val="12"/>
    <w:link w:val="4"/>
    <w:semiHidden/>
    <w:uiPriority w:val="99"/>
    <w:rPr>
      <w:rFonts w:ascii="Calibri" w:hAnsi="Calibri" w:eastAsia="宋体" w:cs="Times New Roman"/>
      <w:kern w:val="2"/>
      <w:sz w:val="21"/>
      <w:szCs w:val="22"/>
    </w:rPr>
  </w:style>
  <w:style w:type="character" w:customStyle="1" w:styleId="46">
    <w:name w:val="正文首行缩进 2 Char"/>
    <w:basedOn w:val="45"/>
    <w:link w:val="10"/>
    <w:semiHidden/>
    <w:uiPriority w:val="99"/>
  </w:style>
  <w:style w:type="character" w:customStyle="1" w:styleId="47">
    <w:name w:val="标题 2 Char"/>
    <w:basedOn w:val="12"/>
    <w:link w:val="2"/>
    <w:semiHidden/>
    <w:uiPriority w:val="9"/>
    <w:rPr>
      <w:rFonts w:asciiTheme="majorHAnsi" w:hAnsiTheme="majorHAnsi" w:eastAsiaTheme="majorEastAsia" w:cstheme="majorBidi"/>
      <w:b/>
      <w:bCs/>
      <w:kern w:val="2"/>
      <w:sz w:val="32"/>
      <w:szCs w:val="32"/>
    </w:rPr>
  </w:style>
  <w:style w:type="character" w:customStyle="1" w:styleId="48">
    <w:name w:val="标题 2 字符"/>
    <w:link w:val="2"/>
    <w:qFormat/>
    <w:uiPriority w:val="0"/>
    <w:rPr>
      <w:rFonts w:ascii="Arial" w:hAnsi="Arial" w:eastAsia="黑体" w:cs="Times New Roman"/>
      <w:b/>
      <w:kern w:val="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4942</Words>
  <Characters>5391</Characters>
  <Lines>29</Lines>
  <Paragraphs>8</Paragraphs>
  <TotalTime>19</TotalTime>
  <ScaleCrop>false</ScaleCrop>
  <LinksUpToDate>false</LinksUpToDate>
  <CharactersWithSpaces>5407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2021-03-19T00:37:00Z</dcterms:created>
  <dc:creator>lenovo</dc:creator>
  <cp:lastModifiedBy>简凡零微</cp:lastModifiedBy>
  <cp:lastPrinted>2021-03-24T02:30:00Z</cp:lastPrinted>
  <dcterms:modified xsi:type="dcterms:W3CDTF">2023-04-19T03:10:25Z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CCBF2111D64B4ACB97514A4C66F62389_13</vt:lpwstr>
  </property>
</Properties>
</file>