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/>
        <w:jc w:val="center"/>
        <w:textAlignment w:val="auto"/>
        <w:outlineLvl w:val="0"/>
        <w:rPr>
          <w:rFonts w:hint="eastAsia" w:ascii="宋体" w:hAnsi="宋体" w:eastAsia="宋体" w:cs="宋体"/>
          <w:b/>
          <w:color w:val="00000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  <w:lang w:val="zh-CN"/>
        </w:rPr>
        <w:t>竞争性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>磋商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val="zh-CN"/>
        </w:rPr>
        <w:t>内容及要求</w:t>
      </w:r>
    </w:p>
    <w:p>
      <w:pPr>
        <w:pStyle w:val="2"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项目目标：多功能现场勘查车改装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采购内容: 2台车辆改装勘察车服务；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 w:hAnsi="宋体" w:eastAsia="宋体" w:cs="宋体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主要功能:符合业务大队工作需求；需满足日常工作。具备现场勘查装备装载功能，现场勘查指挥、汇报功能，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lang w:val="en-US" w:eastAsia="zh-CN" w:bidi="ar-SA"/>
        </w:rPr>
        <w:t>音视频信息传输功能，勘查环境3D快速建模，现场办公信息录入，侦办过程后勤保障功能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 w:hAnsi="宋体" w:eastAsia="宋体" w:cs="宋体"/>
          <w:b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lang w:val="en-US" w:eastAsia="zh-CN" w:bidi="ar-SA"/>
        </w:rPr>
        <w:t>项目预算:89.00万元。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lang w:val="en-US" w:eastAsia="zh-CN" w:bidi="ar-SA"/>
        </w:rPr>
        <w:t>项目工期:合同签订后15个日历天完工。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技术要求</w:t>
      </w: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: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将各种勘验手段集中到移动勘查作战室里，实现装备集约化、资源最大化的同时，能够很好地提高各类案件破案率、办案质量。建设多元化作战系统：</w:t>
      </w:r>
    </w:p>
    <w:p>
      <w:pPr>
        <w:pStyle w:val="2"/>
        <w:numPr>
          <w:ilvl w:val="0"/>
          <w:numId w:val="2"/>
        </w:numPr>
        <w:bidi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车载平台系统</w:t>
      </w:r>
    </w:p>
    <w:p>
      <w:pPr>
        <w:pStyle w:val="8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对载车底盘进行改制，加装载车设备平台、攀登维修梯等，外观符合我部门对外宣传，美观大方；车内对底盘两侧及车顶进行加强，制作5-7人会议区。加装警灯、警报的警示系统。</w:t>
      </w:r>
    </w:p>
    <w:p>
      <w:pPr>
        <w:pStyle w:val="2"/>
        <w:numPr>
          <w:ilvl w:val="0"/>
          <w:numId w:val="2"/>
        </w:numPr>
        <w:bidi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勘查设备装载</w:t>
      </w:r>
      <w:r>
        <w:rPr>
          <w:rFonts w:hint="eastAsia" w:ascii="仿宋" w:hAnsi="仿宋" w:eastAsia="仿宋" w:cs="仿宋"/>
          <w:sz w:val="28"/>
          <w:szCs w:val="28"/>
        </w:rPr>
        <w:t>系统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对不同勘查设备进行有效分类装载，可快速查询拿取，对小部件耗材实现一臂化可视管理，可视库存数量，一臂间距即可获取勘验器材，真正实现快速反应，安全库存机制。大件装备固定牢靠同时也可易拆卸。车辆行进时具备减震减噪防损耗。装备模块可活动、便于整体搬运、滑动、空间拓展。</w:t>
      </w:r>
    </w:p>
    <w:p>
      <w:pPr>
        <w:pStyle w:val="2"/>
        <w:numPr>
          <w:ilvl w:val="0"/>
          <w:numId w:val="2"/>
        </w:numPr>
        <w:bidi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合成勘查作战系统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利用移动端智能现勘系统，将现场指纹拍照、足迹拍照、生物检材拍照等设备采集的信息汇总至载车中，通过现场勘查信息与后端各专业数据快速比对入录，并配备专业工控电脑，打印扫描一体机，无人机建模、无人机勘查等设备。配备水路系统辅助作业需求。</w:t>
      </w:r>
    </w:p>
    <w:p>
      <w:pPr>
        <w:pStyle w:val="2"/>
        <w:numPr>
          <w:ilvl w:val="0"/>
          <w:numId w:val="2"/>
        </w:numPr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计算机网络系统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计算机系统是车内、车外联系的纽带，为数据、语音、音视频及各种数字信号传输创造了一个快捷的通道。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通过本系统提供的标准IP接入平台，使用有线、无线的方式将车的网络设备接入后台，即实现载车回传视频信号接入后端应用平台，实现现场与指挥中心的联网。</w:t>
      </w:r>
    </w:p>
    <w:p>
      <w:pPr>
        <w:pStyle w:val="2"/>
        <w:numPr>
          <w:ilvl w:val="0"/>
          <w:numId w:val="2"/>
        </w:numPr>
        <w:bidi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音视频、视频会议系统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载车可以通过无人机、车外升降摄像头，车内摄像头等可实现全天候、多方位、大范围的现场图像监控传输。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通过车载硬盘录像机，可以对现场的情况进行适时录像、录音记录，以便日后进行调查，并可通过USB接口及数据端口与其他存储设备相连接，进行现场刻录，便于录像资料的及时、有效保存。车载的液晶显示设备可集中显示系统采集到的信息，便于领导实时掌握事发现场的各种情况，可以及时指挥调度，正确决策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采用高质量功率放大器，通过4个喇叭阵，声音传输距离远，进行大范围的压制性广播。系统采同时支持无线、有线话筒等多种音源。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车内配备会议桌，现场指挥室可以通过5G/视频专网智能音视频互联互通，进行视频会议，便于指挥中心了解现场实况，统一安排调度指挥，正确决策。</w:t>
      </w:r>
    </w:p>
    <w:p>
      <w:pPr>
        <w:pStyle w:val="2"/>
        <w:numPr>
          <w:ilvl w:val="0"/>
          <w:numId w:val="2"/>
        </w:numPr>
        <w:bidi w:val="0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供配电系统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装配取力发电机、UPS电源设备，设置外接市电接口及相关控制单元等辅助设备。UPS选用机架式不间断电源1套，带旁路开关，设备用电须经UPS电源输出，UPS电池采用原厂机架安装式电池套件，在具有市电条件的现场，载车可方便地使用市电进行工作，具备完整安全的交、直流配电系统。</w:t>
      </w:r>
    </w:p>
    <w:p>
      <w:pPr>
        <w:pStyle w:val="2"/>
        <w:numPr>
          <w:ilvl w:val="0"/>
          <w:numId w:val="2"/>
        </w:numPr>
        <w:bidi w:val="0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照明系统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车顶安装360度可升降照明系统，即可保障现场照明环境作业，也可在遇到群体事件时起到震慑作用和加大搜索范围。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安装应急照明装置：载车不打着火的情况下可进行照明。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外场地照明：日常夜间作业的小范围照明。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车内照明：提供车内办公照明环境。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美化照明：提升空间细节照明。</w:t>
      </w:r>
    </w:p>
    <w:p>
      <w:pPr>
        <w:pStyle w:val="2"/>
        <w:numPr>
          <w:ilvl w:val="0"/>
          <w:numId w:val="2"/>
        </w:numPr>
        <w:bidi w:val="0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辅助保障系统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保障各种环境的适用性，配备驻车空调、饮水机、防雨遮阳，便携用水装置、提升载车的安全性能，加装导航、倒车影视装置。避雷接地装置，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3"/>
        </w:numPr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多功能移动勘查指挥作战室实施：</w:t>
      </w:r>
    </w:p>
    <w:p>
      <w:pPr>
        <w:pStyle w:val="3"/>
        <w:numPr>
          <w:ilvl w:val="0"/>
          <w:numId w:val="0"/>
        </w:numPr>
        <w:bidi w:val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28"/>
          <w:szCs w:val="28"/>
          <w:lang w:val="en-US" w:eastAsia="zh-CN"/>
        </w:rPr>
        <w:t>利用本局单位配备的中型客车（大通V90）、小型汽车（大通MPV）两台车，在不变动原有底盘车辆参数的情况下进行项目实施，满足车辆安全性能的同时达到多功能移动勘查。</w:t>
      </w:r>
    </w:p>
    <w:p>
      <w:pPr>
        <w:pStyle w:val="2"/>
        <w:jc w:val="left"/>
        <w:rPr>
          <w:rFonts w:hint="default"/>
          <w:lang w:val="en-US" w:eastAsia="zh-CN"/>
        </w:rPr>
      </w:pPr>
    </w:p>
    <w:p>
      <w:pPr>
        <w:pStyle w:val="2"/>
        <w:jc w:val="left"/>
        <w:rPr>
          <w:rFonts w:hint="default"/>
          <w:lang w:val="en-US" w:eastAsia="zh-CN"/>
        </w:rPr>
      </w:pPr>
    </w:p>
    <w:p>
      <w:pPr>
        <w:pStyle w:val="2"/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Spec="center" w:tblpY="423"/>
        <w:tblOverlap w:val="never"/>
        <w:tblW w:w="53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"/>
        <w:gridCol w:w="1060"/>
        <w:gridCol w:w="2429"/>
        <w:gridCol w:w="974"/>
        <w:gridCol w:w="951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1"/>
                <w:lang w:val="en-US" w:eastAsia="zh-CN" w:bidi="ar"/>
              </w:rPr>
              <w:t>刑侦技术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1"/>
                <w:lang w:bidi="ar"/>
              </w:rPr>
              <w:t>勘察车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1"/>
                <w:lang w:val="en-US" w:eastAsia="zh-CN" w:bidi="ar"/>
              </w:rPr>
              <w:t>(小车)技术参数、功能指标、改装要求及其他采购要求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系统名称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设备名称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数量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单位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计算机办公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bidi="ar"/>
              </w:rPr>
              <w:t>5G无线路由</w:t>
            </w: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器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auto"/>
                <w:szCs w:val="21"/>
                <w:highlight w:val="none"/>
                <w:lang w:val="en-US" w:eastAsia="zh-CN" w:bidi="ar"/>
              </w:rPr>
              <w:t>头枕显示器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台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3</w:t>
            </w:r>
          </w:p>
        </w:tc>
        <w:tc>
          <w:tcPr>
            <w:tcW w:w="5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bidi="ar"/>
              </w:rPr>
              <w:t>网络交换机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无线键鼠套装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视频切换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视频切换器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图像系统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车顶高清云台摄像机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控制键盘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8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车顶</w:t>
            </w: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高位枪机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60" w:lineRule="auto"/>
              <w:jc w:val="both"/>
              <w:textAlignment w:val="center"/>
              <w:rPr>
                <w:rFonts w:hint="eastAsia" w:ascii="宋体" w:hAnsi="宋体" w:eastAsia="等线" w:cs="宋体"/>
                <w:color w:val="00000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9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一体机机芯专用护罩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10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bidi="ar"/>
              </w:rPr>
              <w:t>硬盘录像机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4G图传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视频处理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12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照明系统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折叠升降照明灯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13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车顶照明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车内照明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车内氛围灯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警示及辅助设施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红蓝</w:t>
            </w:r>
            <w:r>
              <w:rPr>
                <w:rFonts w:hint="eastAsia"/>
                <w:color w:val="000000"/>
                <w:szCs w:val="21"/>
                <w:highlight w:val="none"/>
                <w:lang w:val="zh-CN"/>
              </w:rPr>
              <w:t>爆闪灯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"/>
              </w:rPr>
              <w:t>组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中网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爆闪灯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组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"/>
              </w:rPr>
              <w:t>圆柱爆闪灯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供电系统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配电系统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供电系统防雷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充电逆变一体机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22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便携式发电机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23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蓄电池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只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24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外接接口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车内插座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供电线盘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5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车辆改装</w:t>
            </w: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车顶平台</w:t>
            </w: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及围栏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车顶加固及防水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综合设备</w:t>
            </w:r>
            <w:r>
              <w:rPr>
                <w:rFonts w:hint="eastAsia" w:cs="宋体"/>
                <w:color w:val="000000"/>
                <w:szCs w:val="21"/>
                <w:lang w:bidi="ar"/>
              </w:rPr>
              <w:t>机柜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靠背座椅桌板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地板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踏板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踏板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szCs w:val="21"/>
                <w:lang w:val="en-US" w:eastAsia="zh-CN" w:bidi="ar"/>
              </w:rPr>
              <w:t>件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休息脚踏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eastAsia="宋体" w:cs="宋体"/>
                <w:color w:val="000000"/>
                <w:szCs w:val="21"/>
                <w:lang w:val="en-US" w:eastAsia="zh-CN" w:bidi="ar"/>
              </w:rPr>
              <w:t>件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前后舱隔断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储物箱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整车加强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驾驶室脚垫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整车外饰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线缆、五金杂件辅料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售后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整车质保1年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53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5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423"/>
        <w:tblOverlap w:val="never"/>
        <w:tblW w:w="53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1035"/>
        <w:gridCol w:w="2250"/>
        <w:gridCol w:w="1065"/>
        <w:gridCol w:w="1155"/>
        <w:gridCol w:w="2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1"/>
                <w:lang w:val="en-US" w:eastAsia="zh-CN" w:bidi="ar"/>
              </w:rPr>
              <w:t>刑侦技术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1"/>
                <w:lang w:bidi="ar"/>
              </w:rPr>
              <w:t>勘察车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1"/>
                <w:lang w:val="en-US" w:eastAsia="zh-CN" w:bidi="ar"/>
              </w:rPr>
              <w:t>(大车)技术参数、功能指标、改装要求及其他采购要求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系统名称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设备名称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数量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单位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计算机办公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</w:pPr>
            <w:r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  <w:t>笔记本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bidi="ar"/>
              </w:rPr>
              <w:t>5G无线路由</w:t>
            </w: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3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大显示器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台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4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小显示器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台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5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bidi="ar"/>
              </w:rPr>
              <w:t>网络交换机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便携式打印机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7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图像系统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车顶高清云台摄像机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8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控制键盘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left" w:pos="1735"/>
              </w:tabs>
              <w:spacing w:line="360" w:lineRule="auto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9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车顶</w:t>
            </w: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高位枪机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10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一体机机芯专用护罩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11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bidi="ar"/>
              </w:rPr>
              <w:t>硬盘录像机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视频切换器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视频切换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4G图传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val="en-US" w:eastAsia="zh-CN" w:bidi="ar"/>
              </w:rPr>
              <w:t>视频处理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default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14</w:t>
            </w: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bidi="ar"/>
              </w:rPr>
              <w:t>广播系统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功放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shd w:val="clear" w:color="auto" w:fill="auto"/>
              <w:tabs>
                <w:tab w:val="left" w:pos="223"/>
              </w:tabs>
              <w:spacing w:after="100" w:line="240" w:lineRule="auto"/>
              <w:ind w:firstLine="0" w:firstLineChars="0"/>
              <w:jc w:val="left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号角喇叭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tabs>
                <w:tab w:val="left" w:pos="223"/>
              </w:tabs>
              <w:spacing w:after="100" w:line="240" w:lineRule="auto"/>
              <w:ind w:firstLine="0" w:firstLineChars="0"/>
              <w:jc w:val="left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无线麦克风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车内</w:t>
            </w: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喇叭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个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15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无人机指挥系统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四旋翼</w:t>
            </w: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侦查</w:t>
            </w:r>
            <w:r>
              <w:rPr>
                <w:rFonts w:hint="eastAsia" w:cs="宋体"/>
                <w:color w:val="000000"/>
                <w:szCs w:val="21"/>
                <w:lang w:bidi="ar"/>
              </w:rPr>
              <w:t>无人机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四旋翼</w:t>
            </w: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建模</w:t>
            </w:r>
            <w:r>
              <w:rPr>
                <w:rFonts w:hint="eastAsia" w:cs="宋体"/>
                <w:color w:val="000000"/>
                <w:szCs w:val="21"/>
                <w:lang w:bidi="ar"/>
              </w:rPr>
              <w:t>无人机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16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照明系统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折叠升降照明灯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车顶照明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车内照明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软膜天花顶棚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氛围灯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警示及辅助设施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红蓝</w:t>
            </w:r>
            <w:r>
              <w:rPr>
                <w:rFonts w:hint="eastAsia"/>
                <w:color w:val="000000"/>
                <w:szCs w:val="21"/>
                <w:lang w:val="zh-CN"/>
              </w:rPr>
              <w:t>爆闪灯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"/>
              </w:rPr>
              <w:t>组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22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中网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爆闪灯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组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遮阳棚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车外花洒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智能水壶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26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工作圆凳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27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倒车后视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灭火器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只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default" w:ascii="Times New Roman" w:hAnsi="Times New Roman" w:eastAsia="等线" w:cs="宋体"/>
                <w:color w:val="00000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供电系统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配电系统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30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供电系统防雷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31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接地系统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UPS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33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车内插座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若干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件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34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bidi="ar"/>
              </w:rPr>
              <w:t>发电机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7"/>
              <w:shd w:val="clear" w:color="auto" w:fill="auto"/>
              <w:spacing w:after="100" w:line="240" w:lineRule="auto"/>
              <w:ind w:firstLine="0" w:firstLineChars="0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35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蓄电池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只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36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充电机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37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供电线盘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个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车辆改装</w:t>
            </w: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车顶平台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车内顶加固及防水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40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车尾爬梯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41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原车空调改装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42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工作桌面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</w:rPr>
              <w:t>43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折叠桌板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机柜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45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长条沙发座椅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46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左侧</w:t>
            </w:r>
            <w:r>
              <w:rPr>
                <w:rFonts w:hint="eastAsia" w:cs="宋体"/>
                <w:color w:val="000000"/>
                <w:szCs w:val="21"/>
                <w:lang w:bidi="ar"/>
              </w:rPr>
              <w:t>器材柜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右侧操作柜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隔墙操作柜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复合地板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驾驶室迎宾踏板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中门迎宾踏板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52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后舱隔断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53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乘客区窗帘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54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整车加强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55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整车贴膜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</w:rPr>
              <w:t>56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车辆</w:t>
            </w: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内饰装潢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57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驾驶室装潢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58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驾驶室脚垫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59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整车外饰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正驾驶座椅改装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副驾座椅改装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无人机固定装置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 w:val="0"/>
                <w:bCs w:val="0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显示器支架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ascii="Times New Roman" w:hAnsi="Times New Roman" w:cs="宋体"/>
                <w:color w:val="00000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线缆、五金杂件辅料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cs="宋体"/>
                <w:color w:val="000000"/>
                <w:szCs w:val="21"/>
                <w:lang w:bidi="ar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/>
              </w:rPr>
              <w:t>售后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color w:val="000000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套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textAlignment w:val="center"/>
              <w:rPr>
                <w:rFonts w:hint="eastAsia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Cs w:val="21"/>
                <w:lang w:val="en-US" w:eastAsia="zh-CN" w:bidi="ar"/>
              </w:rPr>
              <w:t>整车质保1年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9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66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  <w:lang w:val="en-US" w:eastAsia="zh-CN" w:bidi="ar"/>
              </w:rPr>
              <w:t>售后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Cs w:val="21"/>
                <w:lang w:val="en-US" w:eastAsia="zh-CN" w:bidi="ar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Cs w:val="21"/>
                <w:lang w:val="en-US" w:eastAsia="zh-CN" w:bidi="ar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eastAsia" w:cs="宋体"/>
                <w:b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  <w:lang w:val="en-US" w:eastAsia="zh-CN" w:bidi="ar"/>
              </w:rPr>
              <w:t>本项目为特勤工作保障用车，为保障专业性及工作时效性，维修售后点需30分钟内到达，需具有售后服务能力，提供售后服务机构针对本项目的授权原件；同时提供工厂的厂房、设备以及库存备品备件情况，改装不少于1年质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6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  <w:lang w:val="en-US" w:eastAsia="zh-CN" w:bidi="ar"/>
              </w:rPr>
              <w:t>其他基本要求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Cs w:val="21"/>
                <w:lang w:val="en-US" w:eastAsia="zh-CN" w:bidi="ar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cs="宋体"/>
                <w:b/>
                <w:bCs/>
                <w:color w:val="000000"/>
                <w:szCs w:val="21"/>
                <w:lang w:val="en-US" w:eastAsia="zh-CN" w:bidi="ar"/>
              </w:rPr>
            </w:pP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hint="default" w:cs="宋体"/>
                <w:b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000000"/>
                <w:szCs w:val="21"/>
                <w:lang w:val="en-US" w:eastAsia="zh-CN" w:bidi="ar"/>
              </w:rPr>
              <w:t>所投产品货源渠道正当，提供改装生产厂家针对本项目的授权书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DCD16F"/>
    <w:multiLevelType w:val="singleLevel"/>
    <w:tmpl w:val="24DCD1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64FCD5"/>
    <w:multiLevelType w:val="singleLevel"/>
    <w:tmpl w:val="4664FC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YzZGZmNWQwNzA2MzU3ODYyMTUwNWY1MDBmNDkifQ=="/>
  </w:docVars>
  <w:rsids>
    <w:rsidRoot w:val="3F055B75"/>
    <w:rsid w:val="00D9012D"/>
    <w:rsid w:val="02555ED9"/>
    <w:rsid w:val="02FE7267"/>
    <w:rsid w:val="0BE30B20"/>
    <w:rsid w:val="13F94540"/>
    <w:rsid w:val="159746FD"/>
    <w:rsid w:val="15DB004C"/>
    <w:rsid w:val="17EF04CA"/>
    <w:rsid w:val="1A1D0C33"/>
    <w:rsid w:val="1E8C4470"/>
    <w:rsid w:val="1FEC17D3"/>
    <w:rsid w:val="212A4368"/>
    <w:rsid w:val="22427EEB"/>
    <w:rsid w:val="232057F5"/>
    <w:rsid w:val="257A47C2"/>
    <w:rsid w:val="27DC0320"/>
    <w:rsid w:val="2D5538C2"/>
    <w:rsid w:val="2FAA0D63"/>
    <w:rsid w:val="306F34BD"/>
    <w:rsid w:val="33A12403"/>
    <w:rsid w:val="35174E55"/>
    <w:rsid w:val="3A15712D"/>
    <w:rsid w:val="3B3E3B5D"/>
    <w:rsid w:val="3BB84807"/>
    <w:rsid w:val="3C962828"/>
    <w:rsid w:val="3E4C4F08"/>
    <w:rsid w:val="3F055B75"/>
    <w:rsid w:val="407F58F4"/>
    <w:rsid w:val="41AA4528"/>
    <w:rsid w:val="423A21A7"/>
    <w:rsid w:val="44D53D34"/>
    <w:rsid w:val="451835F2"/>
    <w:rsid w:val="4F857423"/>
    <w:rsid w:val="50414A59"/>
    <w:rsid w:val="55B548B1"/>
    <w:rsid w:val="5833749E"/>
    <w:rsid w:val="58586CFE"/>
    <w:rsid w:val="5C732CC9"/>
    <w:rsid w:val="5DE43A45"/>
    <w:rsid w:val="60DF249B"/>
    <w:rsid w:val="62671BEF"/>
    <w:rsid w:val="63600BC6"/>
    <w:rsid w:val="67B64265"/>
    <w:rsid w:val="684C7B06"/>
    <w:rsid w:val="6A845731"/>
    <w:rsid w:val="6FBC364C"/>
    <w:rsid w:val="72E6710B"/>
    <w:rsid w:val="78224195"/>
    <w:rsid w:val="7D773A2A"/>
    <w:rsid w:val="7F1D01D6"/>
    <w:rsid w:val="7FE3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eastAsia="楷体_GB231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sz w:val="26"/>
      <w:szCs w:val="26"/>
      <w:u w:val="none"/>
      <w:shd w:val="clear" w:color="auto" w:fill="auto"/>
      <w:lang w:val="zh-TW" w:eastAsia="zh-TW"/>
    </w:rPr>
  </w:style>
  <w:style w:type="paragraph" w:customStyle="1" w:styleId="8">
    <w:name w:val="应急正文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8"/>
      <w:szCs w:val="24"/>
    </w:rPr>
  </w:style>
  <w:style w:type="character" w:customStyle="1" w:styleId="9">
    <w:name w:val="15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7354</Words>
  <Characters>9020</Characters>
  <Lines>0</Lines>
  <Paragraphs>0</Paragraphs>
  <TotalTime>6</TotalTime>
  <ScaleCrop>false</ScaleCrop>
  <LinksUpToDate>false</LinksUpToDate>
  <CharactersWithSpaces>9204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2023-05-06T07:41:00Z</dcterms:created>
  <dc:creator>WWWY</dc:creator>
  <cp:lastModifiedBy>R·</cp:lastModifiedBy>
  <dcterms:modified xsi:type="dcterms:W3CDTF">2023-05-25T04:55:38Z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389311DA9EC14393AEA6EDD0C8946333_13</vt:lpwstr>
  </property>
</Properties>
</file>