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720"/>
        <w:textAlignment w:val="auto"/>
        <w:rPr>
          <w:rFonts w:hint="eastAsia" w:ascii="宋体" w:hAnsi="宋体" w:eastAsia="宋体" w:cs="宋体"/>
          <w:color w:val="auto"/>
          <w:sz w:val="36"/>
          <w:szCs w:val="36"/>
          <w:highlight w:val="none"/>
          <w:bdr w:val="single" w:color="auto" w:sz="4" w:space="0"/>
          <w:shd w:val="pct10" w:color="auto" w:fill="FFFFFF"/>
        </w:rPr>
      </w:pPr>
      <w:r>
        <w:rPr>
          <w:rFonts w:hint="eastAsia" w:ascii="宋体" w:hAnsi="宋体" w:eastAsia="宋体" w:cs="宋体"/>
          <w:color w:val="auto"/>
          <w:sz w:val="36"/>
          <w:szCs w:val="36"/>
          <w:highlight w:val="none"/>
          <w:bdr w:val="single" w:color="auto" w:sz="4" w:space="0"/>
          <w:shd w:val="pct10" w:color="auto" w:fill="FFFFFF"/>
        </w:rPr>
        <w:t>政府采购项目</w:t>
      </w:r>
    </w:p>
    <w:p>
      <w:pPr>
        <w:jc w:val="center"/>
        <w:rPr>
          <w:rFonts w:hint="eastAsia" w:ascii="宋体" w:hAnsi="宋体" w:eastAsia="宋体" w:cs="宋体"/>
          <w:color w:val="auto"/>
          <w:sz w:val="44"/>
          <w:szCs w:val="44"/>
          <w:highlight w:val="none"/>
        </w:rPr>
      </w:pPr>
    </w:p>
    <w:p>
      <w:pPr>
        <w:jc w:val="center"/>
        <w:rPr>
          <w:rFonts w:hint="eastAsia" w:ascii="宋体" w:hAnsi="宋体" w:eastAsia="宋体" w:cs="宋体"/>
          <w:color w:val="auto"/>
          <w:sz w:val="44"/>
          <w:szCs w:val="44"/>
          <w:highlight w:val="none"/>
        </w:rPr>
      </w:pPr>
    </w:p>
    <w:p>
      <w:pPr>
        <w:jc w:val="center"/>
        <w:outlineLvl w:val="0"/>
        <w:rPr>
          <w:rFonts w:hint="eastAsia" w:ascii="宋体" w:hAnsi="宋体" w:eastAsia="宋体" w:cs="宋体"/>
          <w:color w:val="auto"/>
          <w:sz w:val="52"/>
          <w:szCs w:val="52"/>
          <w:highlight w:val="none"/>
          <w:lang w:val="en-US" w:eastAsia="zh-CN"/>
        </w:rPr>
      </w:pPr>
      <w:bookmarkStart w:id="0" w:name="_Toc29543"/>
      <w:bookmarkStart w:id="1" w:name="_Toc4123"/>
      <w:r>
        <w:rPr>
          <w:rFonts w:hint="eastAsia" w:ascii="宋体" w:hAnsi="宋体" w:eastAsia="宋体" w:cs="宋体"/>
          <w:color w:val="auto"/>
          <w:sz w:val="52"/>
          <w:szCs w:val="52"/>
          <w:highlight w:val="none"/>
          <w:lang w:val="en-US" w:eastAsia="zh-CN"/>
        </w:rPr>
        <w:t>陕西上德招标有限公司</w:t>
      </w:r>
      <w:bookmarkEnd w:id="0"/>
      <w:bookmarkEnd w:id="1"/>
    </w:p>
    <w:p>
      <w:pPr>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招标文件</w:t>
      </w: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bidi w:val="0"/>
        <w:ind w:firstLine="960" w:firstLineChars="300"/>
        <w:rPr>
          <w:rFonts w:hint="eastAsia" w:ascii="宋体" w:hAnsi="宋体" w:eastAsia="宋体" w:cs="宋体"/>
          <w:sz w:val="32"/>
          <w:szCs w:val="32"/>
          <w:lang w:eastAsia="zh-CN"/>
        </w:rPr>
      </w:pPr>
      <w:r>
        <w:rPr>
          <w:rFonts w:hint="eastAsia" w:ascii="宋体" w:hAnsi="宋体" w:eastAsia="宋体" w:cs="宋体"/>
          <w:color w:val="auto"/>
          <w:sz w:val="32"/>
          <w:szCs w:val="32"/>
          <w:highlight w:val="none"/>
        </w:rPr>
        <w:t>项目名称：</w:t>
      </w:r>
      <w:r>
        <w:rPr>
          <w:rFonts w:hint="eastAsia" w:ascii="宋体" w:hAnsi="宋体" w:eastAsia="宋体" w:cs="宋体"/>
          <w:color w:val="auto"/>
          <w:sz w:val="32"/>
          <w:szCs w:val="32"/>
          <w:highlight w:val="none"/>
          <w:u w:val="none"/>
          <w:lang w:eastAsia="zh-CN"/>
        </w:rPr>
        <w:t>西安市阎良区新兴街道办事处城乡环卫服务外包项目</w:t>
      </w:r>
    </w:p>
    <w:p>
      <w:pPr>
        <w:spacing w:line="560" w:lineRule="exact"/>
        <w:ind w:firstLine="960" w:firstLineChars="300"/>
        <w:jc w:val="left"/>
        <w:rPr>
          <w:rFonts w:hint="default"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rPr>
        <w:t>项目编号：</w:t>
      </w:r>
      <w:r>
        <w:rPr>
          <w:rFonts w:hint="eastAsia" w:ascii="宋体" w:hAnsi="宋体" w:eastAsia="宋体" w:cs="宋体"/>
          <w:color w:val="auto"/>
          <w:sz w:val="32"/>
          <w:szCs w:val="32"/>
          <w:highlight w:val="none"/>
          <w:lang w:eastAsia="zh-CN"/>
        </w:rPr>
        <w:t>SDZC2023-080</w:t>
      </w:r>
    </w:p>
    <w:p>
      <w:pPr>
        <w:spacing w:line="560" w:lineRule="exact"/>
        <w:ind w:firstLine="640" w:firstLineChars="200"/>
        <w:jc w:val="center"/>
        <w:rPr>
          <w:rFonts w:hint="eastAsia" w:ascii="宋体" w:hAnsi="宋体" w:eastAsia="宋体" w:cs="宋体"/>
          <w:color w:val="auto"/>
          <w:sz w:val="32"/>
          <w:szCs w:val="32"/>
          <w:highlight w:val="none"/>
        </w:rPr>
      </w:pPr>
    </w:p>
    <w:p>
      <w:pPr>
        <w:spacing w:line="560" w:lineRule="exact"/>
        <w:rPr>
          <w:rFonts w:hint="eastAsia" w:ascii="宋体" w:hAnsi="宋体" w:eastAsia="宋体" w:cs="宋体"/>
          <w:color w:val="auto"/>
          <w:sz w:val="32"/>
          <w:szCs w:val="32"/>
          <w:highlight w:val="none"/>
        </w:rPr>
      </w:pPr>
    </w:p>
    <w:p>
      <w:pPr>
        <w:pStyle w:val="4"/>
        <w:rPr>
          <w:rFonts w:hint="eastAsia" w:ascii="宋体" w:hAnsi="宋体" w:eastAsia="宋体" w:cs="宋体"/>
          <w:color w:val="auto"/>
          <w:sz w:val="32"/>
          <w:szCs w:val="32"/>
          <w:highlight w:val="none"/>
        </w:rPr>
        <w:sectPr>
          <w:headerReference r:id="rId5" w:type="first"/>
          <w:footerReference r:id="rId7" w:type="first"/>
          <w:headerReference r:id="rId3" w:type="default"/>
          <w:headerReference r:id="rId4" w:type="even"/>
          <w:footerReference r:id="rId6" w:type="even"/>
          <w:pgSz w:w="11906" w:h="16838"/>
          <w:pgMar w:top="1440" w:right="1406" w:bottom="1440" w:left="1633" w:header="851" w:footer="992" w:gutter="0"/>
          <w:pgBorders>
            <w:top w:val="none" w:sz="0" w:space="0"/>
            <w:left w:val="none" w:sz="0" w:space="0"/>
            <w:bottom w:val="none" w:sz="0" w:space="0"/>
            <w:right w:val="none" w:sz="0" w:space="0"/>
          </w:pgBorders>
          <w:cols w:space="425" w:num="1"/>
          <w:docGrid w:type="linesAndChars" w:linePitch="420" w:charSpace="0"/>
        </w:sectPr>
      </w:pPr>
      <w:bookmarkStart w:id="2" w:name="_Toc18285"/>
      <w:bookmarkStart w:id="3" w:name="_Toc19033"/>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TIME \@ "yyyy年M月"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2023年6月</w:t>
      </w:r>
      <w:r>
        <w:rPr>
          <w:rFonts w:hint="eastAsia" w:ascii="宋体" w:hAnsi="宋体" w:eastAsia="宋体" w:cs="宋体"/>
          <w:color w:val="auto"/>
          <w:sz w:val="32"/>
          <w:szCs w:val="32"/>
          <w:highlight w:val="none"/>
        </w:rPr>
        <w:fldChar w:fldCharType="end"/>
      </w:r>
      <w:bookmarkEnd w:id="2"/>
      <w:bookmarkEnd w:id="3"/>
      <w:bookmarkStart w:id="4" w:name="_Toc100219612"/>
    </w:p>
    <w:sdt>
      <w:sdtPr>
        <w:rPr>
          <w:rFonts w:ascii="宋体" w:hAnsi="宋体" w:eastAsia="宋体" w:cs="Times New Roman"/>
          <w:b/>
          <w:bCs/>
          <w:color w:val="auto"/>
          <w:sz w:val="40"/>
          <w:szCs w:val="48"/>
          <w:highlight w:val="none"/>
          <w:lang w:val="en-US" w:eastAsia="zh-CN" w:bidi="ar-SA"/>
        </w:rPr>
        <w:id w:val="147475430"/>
        <w15:color w:val="DBDBDB"/>
        <w:docPartObj>
          <w:docPartGallery w:val="Table of Contents"/>
          <w:docPartUnique/>
        </w:docPartObj>
      </w:sdtPr>
      <w:sdtEndPr>
        <w:rPr>
          <w:rFonts w:hint="eastAsia" w:ascii="宋体" w:hAnsi="宋体" w:eastAsia="宋体" w:cs="宋体"/>
          <w:b/>
          <w:bCs/>
          <w:color w:val="auto"/>
          <w:sz w:val="44"/>
          <w:szCs w:val="44"/>
          <w:highlight w:val="none"/>
          <w:lang w:val="en-US" w:eastAsia="zh-CN" w:bidi="ar-SA"/>
        </w:rPr>
      </w:sdtEndPr>
      <w:sdtContent>
        <w:p>
          <w:pPr>
            <w:spacing w:before="0" w:beforeLines="0" w:after="0" w:afterLines="0" w:line="240" w:lineRule="auto"/>
            <w:ind w:left="0" w:leftChars="0" w:right="0" w:rightChars="0" w:firstLine="0" w:firstLineChars="0"/>
            <w:jc w:val="center"/>
            <w:rPr>
              <w:b/>
              <w:bCs/>
              <w:color w:val="auto"/>
              <w:sz w:val="48"/>
              <w:szCs w:val="48"/>
              <w:highlight w:val="none"/>
            </w:rPr>
          </w:pPr>
          <w:r>
            <w:rPr>
              <w:rFonts w:ascii="宋体" w:hAnsi="宋体" w:eastAsia="宋体"/>
              <w:b/>
              <w:bCs/>
              <w:color w:val="auto"/>
              <w:sz w:val="40"/>
              <w:szCs w:val="48"/>
              <w:highlight w:val="none"/>
            </w:rPr>
            <w:t>目</w:t>
          </w:r>
          <w:r>
            <w:rPr>
              <w:rFonts w:hint="eastAsia" w:ascii="宋体" w:hAnsi="宋体" w:eastAsia="宋体"/>
              <w:b/>
              <w:bCs/>
              <w:color w:val="auto"/>
              <w:sz w:val="40"/>
              <w:szCs w:val="48"/>
              <w:highlight w:val="none"/>
              <w:lang w:val="en-US" w:eastAsia="zh-CN"/>
            </w:rPr>
            <w:t xml:space="preserve">  </w:t>
          </w:r>
          <w:r>
            <w:rPr>
              <w:rFonts w:ascii="宋体" w:hAnsi="宋体" w:eastAsia="宋体"/>
              <w:b/>
              <w:bCs/>
              <w:color w:val="auto"/>
              <w:sz w:val="40"/>
              <w:szCs w:val="48"/>
              <w:highlight w:val="none"/>
            </w:rPr>
            <w:t>录</w:t>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"1-3"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_Toc12120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color w:val="auto"/>
              <w:sz w:val="24"/>
              <w:szCs w:val="24"/>
              <w:highlight w:val="none"/>
            </w:rPr>
            <w:tab/>
          </w:r>
          <w:r>
            <w:rPr>
              <w:rFonts w:hint="eastAsia"/>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第二章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_Toc1830 \h </w:instrText>
          </w:r>
          <w:r>
            <w:rPr>
              <w:color w:val="auto"/>
              <w:sz w:val="24"/>
              <w:szCs w:val="24"/>
              <w:highlight w:val="none"/>
            </w:rPr>
            <w:fldChar w:fldCharType="separate"/>
          </w:r>
          <w:r>
            <w:rPr>
              <w:color w:val="auto"/>
              <w:sz w:val="24"/>
              <w:szCs w:val="24"/>
              <w:highlight w:val="none"/>
            </w:rPr>
            <w:t>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_Toc28595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一、有关定义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_Toc28595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_Toc18249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_Toc18249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_Toc2975 \h </w:instrText>
          </w:r>
          <w:r>
            <w:rPr>
              <w:color w:val="auto"/>
              <w:sz w:val="24"/>
              <w:szCs w:val="24"/>
              <w:highlight w:val="none"/>
            </w:rPr>
            <w:fldChar w:fldCharType="separate"/>
          </w:r>
          <w:r>
            <w:rPr>
              <w:color w:val="auto"/>
              <w:sz w:val="24"/>
              <w:szCs w:val="24"/>
              <w:highlight w:val="none"/>
            </w:rPr>
            <w:t>13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_Toc10189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（二）关于询问、质疑和投诉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_Toc10189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_Toc415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1．询问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_Toc415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_Toc27463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2．质疑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_Toc27463 \h </w:instrText>
          </w:r>
          <w:r>
            <w:rPr>
              <w:color w:val="auto"/>
              <w:sz w:val="24"/>
              <w:szCs w:val="24"/>
              <w:highlight w:val="none"/>
            </w:rPr>
            <w:fldChar w:fldCharType="separate"/>
          </w:r>
          <w:r>
            <w:rPr>
              <w:color w:val="auto"/>
              <w:sz w:val="24"/>
              <w:szCs w:val="24"/>
              <w:highlight w:val="none"/>
            </w:rPr>
            <w:t>15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3．投诉</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_Toc609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_Toc21647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4．恶意质疑、投诉的法律后果</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_Toc21647 \h </w:instrText>
          </w:r>
          <w:r>
            <w:rPr>
              <w:color w:val="auto"/>
              <w:sz w:val="24"/>
              <w:szCs w:val="24"/>
              <w:highlight w:val="none"/>
            </w:rPr>
            <w:fldChar w:fldCharType="separate"/>
          </w:r>
          <w:r>
            <w:rPr>
              <w:color w:val="auto"/>
              <w:sz w:val="24"/>
              <w:szCs w:val="24"/>
              <w:highlight w:val="none"/>
            </w:rPr>
            <w:t>16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_Toc7297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（三）关于保证金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_Toc7297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（四）关于联合体</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_Toc9936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_Toc18164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（五）关于进口产品</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_Toc18164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（六）关于政府采购政策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_Toc28193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_Toc29567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1．对中小企业、监狱企业、残疾人福利性单位的优惠政策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_Toc29567 \h </w:instrText>
          </w:r>
          <w:r>
            <w:rPr>
              <w:color w:val="auto"/>
              <w:sz w:val="24"/>
              <w:szCs w:val="24"/>
              <w:highlight w:val="none"/>
            </w:rPr>
            <w:fldChar w:fldCharType="separate"/>
          </w:r>
          <w:r>
            <w:rPr>
              <w:color w:val="auto"/>
              <w:sz w:val="24"/>
              <w:szCs w:val="24"/>
              <w:highlight w:val="none"/>
            </w:rPr>
            <w:t>17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2．节能、环保产品采购政策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_Toc32162 \h </w:instrText>
          </w:r>
          <w:r>
            <w:rPr>
              <w:color w:val="auto"/>
              <w:sz w:val="24"/>
              <w:szCs w:val="24"/>
              <w:highlight w:val="none"/>
            </w:rPr>
            <w:fldChar w:fldCharType="separate"/>
          </w:r>
          <w:r>
            <w:rPr>
              <w:color w:val="auto"/>
              <w:sz w:val="24"/>
              <w:szCs w:val="24"/>
              <w:highlight w:val="none"/>
            </w:rPr>
            <w:t>18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7"/>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_Toc12208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3．陕西省中小企业政府采购信用融资办法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_Toc12208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_Toc2708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（七）关于现场踏勘和集中答疑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_Toc2708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_Toc17987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）关于知识产权和保密事项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_Toc17987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_Toc8141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九</w:t>
          </w:r>
          <w:r>
            <w:rPr>
              <w:rFonts w:hint="eastAsia" w:ascii="宋体" w:hAnsi="宋体" w:eastAsia="宋体" w:cs="宋体"/>
              <w:color w:val="auto"/>
              <w:sz w:val="24"/>
              <w:szCs w:val="24"/>
              <w:highlight w:val="none"/>
            </w:rPr>
            <w:t>）关于信用记录的查询和使用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_Toc8141 \h </w:instrText>
          </w:r>
          <w:r>
            <w:rPr>
              <w:color w:val="auto"/>
              <w:sz w:val="24"/>
              <w:szCs w:val="24"/>
              <w:highlight w:val="none"/>
            </w:rPr>
            <w:fldChar w:fldCharType="separate"/>
          </w:r>
          <w:r>
            <w:rPr>
              <w:color w:val="auto"/>
              <w:sz w:val="24"/>
              <w:szCs w:val="24"/>
              <w:highlight w:val="none"/>
            </w:rPr>
            <w:t>20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_Toc28286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（十）其他重要事项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_Toc28286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三、招标文件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_Toc16427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（一）招标文件的解释权</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_Toc25303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（二）招标文件主要内容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_Toc236 \h </w:instrText>
          </w:r>
          <w:r>
            <w:rPr>
              <w:color w:val="auto"/>
              <w:sz w:val="24"/>
              <w:szCs w:val="24"/>
              <w:highlight w:val="none"/>
            </w:rPr>
            <w:fldChar w:fldCharType="separate"/>
          </w:r>
          <w:r>
            <w:rPr>
              <w:color w:val="auto"/>
              <w:sz w:val="24"/>
              <w:szCs w:val="24"/>
              <w:highlight w:val="none"/>
            </w:rPr>
            <w:t>21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_Toc27851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（三）招标文件的检查及阅读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_Toc27851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_Toc3462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（四）招标文件的修改、澄清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_Toc3462 \h </w:instrText>
          </w:r>
          <w:r>
            <w:rPr>
              <w:color w:val="auto"/>
              <w:sz w:val="24"/>
              <w:szCs w:val="24"/>
              <w:highlight w:val="none"/>
            </w:rPr>
            <w:fldChar w:fldCharType="separate"/>
          </w:r>
          <w:r>
            <w:rPr>
              <w:color w:val="auto"/>
              <w:sz w:val="24"/>
              <w:szCs w:val="24"/>
              <w:highlight w:val="none"/>
            </w:rPr>
            <w:t>22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_Toc6721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_Toc6721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_Toc4984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（一）投标文件的式样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_Toc4984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_Toc24886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（二）投标文件的有效期</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_Toc24886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_Toc7102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（三）投标报价</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_Toc7102 \h </w:instrText>
          </w:r>
          <w:r>
            <w:rPr>
              <w:color w:val="auto"/>
              <w:sz w:val="24"/>
              <w:szCs w:val="24"/>
              <w:highlight w:val="none"/>
            </w:rPr>
            <w:fldChar w:fldCharType="separate"/>
          </w:r>
          <w:r>
            <w:rPr>
              <w:color w:val="auto"/>
              <w:sz w:val="24"/>
              <w:szCs w:val="24"/>
              <w:highlight w:val="none"/>
            </w:rPr>
            <w:t>23</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_Toc6077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（四）投标文件的制作和签章</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_Toc6077 \h </w:instrText>
          </w:r>
          <w:r>
            <w:rPr>
              <w:color w:val="auto"/>
              <w:sz w:val="24"/>
              <w:szCs w:val="24"/>
              <w:highlight w:val="none"/>
            </w:rPr>
            <w:fldChar w:fldCharType="separate"/>
          </w:r>
          <w:r>
            <w:rPr>
              <w:color w:val="auto"/>
              <w:sz w:val="24"/>
              <w:szCs w:val="24"/>
              <w:highlight w:val="none"/>
            </w:rPr>
            <w:t>24</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_Toc8936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（五）投标文件的加密和提交</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_Toc8936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_Toc15901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（六）投标文件的补充、修改和撤回</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_Toc15901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_Toc18383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（七）关于投标文件的雷同性分析</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_Toc18383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_Toc9339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（八）投标文件被拒绝接收的情形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_Toc9339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_Toc15904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五、开标程序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_Toc15904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_Toc19303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（一）“不见面开标”基本流程</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_Toc19303 \h </w:instrText>
          </w:r>
          <w:r>
            <w:rPr>
              <w:color w:val="auto"/>
              <w:sz w:val="24"/>
              <w:szCs w:val="24"/>
              <w:highlight w:val="none"/>
            </w:rPr>
            <w:fldChar w:fldCharType="separate"/>
          </w:r>
          <w:r>
            <w:rPr>
              <w:color w:val="auto"/>
              <w:sz w:val="24"/>
              <w:szCs w:val="24"/>
              <w:highlight w:val="none"/>
            </w:rPr>
            <w:t>27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_Toc6494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）开标环节投标文件视为无效的情形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_Toc6494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）突发状况的应急处置</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_Toc195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_Toc32425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六、资格审查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_Toc32425 \h </w:instrText>
          </w:r>
          <w:r>
            <w:rPr>
              <w:color w:val="auto"/>
              <w:sz w:val="24"/>
              <w:szCs w:val="24"/>
              <w:highlight w:val="none"/>
            </w:rPr>
            <w:fldChar w:fldCharType="separate"/>
          </w:r>
          <w:r>
            <w:rPr>
              <w:color w:val="auto"/>
              <w:sz w:val="24"/>
              <w:szCs w:val="24"/>
              <w:highlight w:val="none"/>
            </w:rPr>
            <w:t>28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_Toc12520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七、评审方法和程序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_Toc12520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_Toc32195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（一）评标方法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_Toc32195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_Toc30239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（二）评标程序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_Toc30239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_Toc30859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（三）评标争议处理规则</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_Toc30859 \h </w:instrText>
          </w:r>
          <w:r>
            <w:rPr>
              <w:color w:val="auto"/>
              <w:sz w:val="24"/>
              <w:szCs w:val="24"/>
              <w:highlight w:val="none"/>
            </w:rPr>
            <w:fldChar w:fldCharType="separate"/>
          </w:r>
          <w:r>
            <w:rPr>
              <w:color w:val="auto"/>
              <w:sz w:val="24"/>
              <w:szCs w:val="24"/>
              <w:highlight w:val="none"/>
            </w:rPr>
            <w:t>37</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_Toc2900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（四）评审现场人员的保密责任</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_Toc2900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_Toc20093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（五）视同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串通投标的情形，其投标无效：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_Toc20093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_Toc31588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八、中标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_Toc31588 \h </w:instrText>
          </w:r>
          <w:r>
            <w:rPr>
              <w:color w:val="auto"/>
              <w:sz w:val="24"/>
              <w:szCs w:val="24"/>
              <w:highlight w:val="none"/>
            </w:rPr>
            <w:fldChar w:fldCharType="separate"/>
          </w:r>
          <w:r>
            <w:rPr>
              <w:color w:val="auto"/>
              <w:sz w:val="24"/>
              <w:szCs w:val="24"/>
              <w:highlight w:val="none"/>
            </w:rPr>
            <w:t>38</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_Toc3816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九、合同签订、履行及验收</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_Toc3816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_Toc30314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（一）签订政府采购合同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_Toc30314 \h </w:instrText>
          </w:r>
          <w:r>
            <w:rPr>
              <w:color w:val="auto"/>
              <w:sz w:val="24"/>
              <w:szCs w:val="24"/>
              <w:highlight w:val="none"/>
            </w:rPr>
            <w:fldChar w:fldCharType="separate"/>
          </w:r>
          <w:r>
            <w:rPr>
              <w:color w:val="auto"/>
              <w:sz w:val="24"/>
              <w:szCs w:val="24"/>
              <w:highlight w:val="none"/>
            </w:rPr>
            <w:t>39</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_Toc993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（二）合同公告及备案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_Toc993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_Toc13241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（三）履行合同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_Toc13241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_Toc28391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（四）验收或考核</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_Toc28391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6"/>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_Toc8941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十、废标及重新招标</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_Toc8941 \h </w:instrText>
          </w:r>
          <w:r>
            <w:rPr>
              <w:color w:val="auto"/>
              <w:sz w:val="24"/>
              <w:szCs w:val="24"/>
              <w:highlight w:val="none"/>
            </w:rPr>
            <w:fldChar w:fldCharType="separate"/>
          </w:r>
          <w:r>
            <w:rPr>
              <w:color w:val="auto"/>
              <w:sz w:val="24"/>
              <w:szCs w:val="24"/>
              <w:highlight w:val="none"/>
            </w:rPr>
            <w:t>41</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_Toc17694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cs="宋体"/>
              <w:color w:val="auto"/>
              <w:sz w:val="24"/>
              <w:szCs w:val="24"/>
              <w:highlight w:val="none"/>
              <w:lang w:eastAsia="zh-CN"/>
            </w:rPr>
            <w:t>服务内容及要求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_Toc17694 \h </w:instrText>
          </w:r>
          <w:r>
            <w:rPr>
              <w:color w:val="auto"/>
              <w:sz w:val="24"/>
              <w:szCs w:val="24"/>
              <w:highlight w:val="none"/>
            </w:rPr>
            <w:fldChar w:fldCharType="separate"/>
          </w:r>
          <w:r>
            <w:rPr>
              <w:color w:val="auto"/>
              <w:sz w:val="24"/>
              <w:szCs w:val="24"/>
              <w:highlight w:val="none"/>
            </w:rPr>
            <w:t>42</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_Toc20811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合同文本</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_Toc20811 \h </w:instrText>
          </w:r>
          <w:r>
            <w:rPr>
              <w:color w:val="auto"/>
              <w:sz w:val="24"/>
              <w:szCs w:val="24"/>
              <w:highlight w:val="none"/>
            </w:rPr>
            <w:fldChar w:fldCharType="separate"/>
          </w:r>
          <w:r>
            <w:rPr>
              <w:color w:val="auto"/>
              <w:sz w:val="24"/>
              <w:szCs w:val="24"/>
              <w:highlight w:val="none"/>
            </w:rPr>
            <w:t>45</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105"/>
            <w:keepNext w:val="0"/>
            <w:keepLines w:val="0"/>
            <w:pageBreakBefore w:val="0"/>
            <w:widowControl/>
            <w:tabs>
              <w:tab w:val="right" w:leader="dot" w:pos="8867"/>
            </w:tabs>
            <w:kinsoku/>
            <w:wordWrap/>
            <w:overflowPunct/>
            <w:topLinePunct w:val="0"/>
            <w:autoSpaceDE/>
            <w:autoSpaceDN/>
            <w:bidi w:val="0"/>
            <w:adjustRightInd/>
            <w:snapToGrid/>
            <w:spacing w:line="420" w:lineRule="exact"/>
            <w:textAlignment w:val="auto"/>
            <w:rPr>
              <w:color w:val="auto"/>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_Toc23737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投标文件构成及格式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_Toc23737 \h </w:instrText>
          </w:r>
          <w:r>
            <w:rPr>
              <w:color w:val="auto"/>
              <w:sz w:val="24"/>
              <w:szCs w:val="24"/>
              <w:highlight w:val="none"/>
            </w:rPr>
            <w:fldChar w:fldCharType="separate"/>
          </w:r>
          <w:r>
            <w:rPr>
              <w:color w:val="auto"/>
              <w:sz w:val="24"/>
              <w:szCs w:val="24"/>
              <w:highlight w:val="none"/>
            </w:rPr>
            <w:t>56</w:t>
          </w:r>
          <w:r>
            <w:rPr>
              <w:color w:val="auto"/>
              <w:sz w:val="24"/>
              <w:szCs w:val="24"/>
              <w:highlight w:val="none"/>
            </w:rPr>
            <w:fldChar w:fldCharType="end"/>
          </w:r>
          <w:r>
            <w:rPr>
              <w:rFonts w:hint="eastAsia" w:ascii="宋体" w:hAnsi="宋体" w:eastAsia="宋体" w:cs="宋体"/>
              <w:color w:val="auto"/>
              <w:sz w:val="24"/>
              <w:szCs w:val="24"/>
              <w:highlight w:val="none"/>
            </w:rPr>
            <w:fldChar w:fldCharType="end"/>
          </w:r>
        </w:p>
        <w:p>
          <w:pPr>
            <w:pStyle w:val="4"/>
            <w:keepNext w:val="0"/>
            <w:keepLines w:val="0"/>
            <w:pageBreakBefore w:val="0"/>
            <w:widowControl/>
            <w:kinsoku/>
            <w:wordWrap/>
            <w:overflowPunct/>
            <w:topLinePunct w:val="0"/>
            <w:autoSpaceDE/>
            <w:autoSpaceDN/>
            <w:bidi w:val="0"/>
            <w:adjustRightInd/>
            <w:snapToGrid/>
            <w:spacing w:line="420" w:lineRule="exact"/>
            <w:jc w:val="both"/>
            <w:textAlignment w:val="auto"/>
            <w:outlineLvl w:val="9"/>
            <w:rPr>
              <w:color w:val="auto"/>
              <w:highlight w:val="none"/>
            </w:rPr>
          </w:pPr>
          <w:r>
            <w:rPr>
              <w:rFonts w:hint="eastAsia" w:ascii="宋体" w:hAnsi="宋体" w:eastAsia="宋体" w:cs="宋体"/>
              <w:color w:val="auto"/>
              <w:highlight w:val="none"/>
            </w:rPr>
            <w:fldChar w:fldCharType="end"/>
          </w:r>
          <w:bookmarkStart w:id="5" w:name="_Toc27929"/>
          <w:bookmarkStart w:id="6" w:name="_Toc12120"/>
        </w:p>
      </w:sdtContent>
    </w:sdt>
    <w:p>
      <w:pPr>
        <w:rPr>
          <w:rFonts w:hint="eastAsia"/>
        </w:rPr>
      </w:pPr>
      <w:r>
        <w:rPr>
          <w:rFonts w:hint="eastAsia" w:ascii="宋体" w:hAnsi="宋体" w:eastAsia="宋体" w:cs="宋体"/>
          <w:b/>
          <w:bCs/>
          <w:color w:val="auto"/>
          <w:highlight w:val="none"/>
        </w:rPr>
        <w:br w:type="page"/>
      </w:r>
    </w:p>
    <w:p>
      <w:pPr>
        <w:pStyle w:val="4"/>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第一章  </w:t>
      </w:r>
      <w:bookmarkEnd w:id="4"/>
      <w:r>
        <w:rPr>
          <w:rFonts w:hint="eastAsia" w:ascii="宋体" w:hAnsi="宋体" w:eastAsia="宋体" w:cs="宋体"/>
          <w:b/>
          <w:bCs/>
          <w:color w:val="auto"/>
          <w:highlight w:val="none"/>
        </w:rPr>
        <w:t>招标公告</w:t>
      </w:r>
      <w:bookmarkEnd w:id="5"/>
      <w:bookmarkEnd w:id="6"/>
    </w:p>
    <w:p>
      <w:pPr>
        <w:pStyle w:val="9"/>
        <w:keepNext w:val="0"/>
        <w:keepLines w:val="0"/>
        <w:pageBreakBefore w:val="0"/>
        <w:widowControl/>
        <w:numPr>
          <w:ilvl w:val="5"/>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right="0" w:rightChars="0"/>
        <w:jc w:val="left"/>
        <w:textAlignment w:val="auto"/>
        <w:outlineLvl w:val="1"/>
        <w:rPr>
          <w:rFonts w:hint="eastAsia" w:ascii="宋体" w:hAnsi="宋体" w:eastAsia="宋体" w:cs="宋体"/>
          <w:b w:val="0"/>
          <w:bCs w:val="0"/>
          <w:color w:val="auto"/>
          <w:sz w:val="24"/>
          <w:szCs w:val="24"/>
          <w:highlight w:val="none"/>
        </w:rPr>
      </w:pPr>
      <w:bookmarkStart w:id="7" w:name="_Toc16614"/>
      <w:r>
        <w:rPr>
          <w:rStyle w:val="31"/>
          <w:rFonts w:hint="eastAsia" w:ascii="宋体" w:hAnsi="宋体" w:eastAsia="宋体" w:cs="宋体"/>
          <w:b/>
          <w:bCs/>
          <w:i w:val="0"/>
          <w:iCs w:val="0"/>
          <w:caps w:val="0"/>
          <w:color w:val="auto"/>
          <w:spacing w:val="0"/>
          <w:sz w:val="24"/>
          <w:szCs w:val="24"/>
          <w:highlight w:val="none"/>
          <w:shd w:val="clear" w:fill="FFFFFF"/>
        </w:rPr>
        <w:t>项目概况</w:t>
      </w:r>
      <w:bookmarkEnd w:id="7"/>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150" w:afterAutospacing="0" w:line="5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lang w:val="en-US" w:eastAsia="zh-CN"/>
        </w:rPr>
        <w:t>城乡环卫服务外包项目</w:t>
      </w:r>
      <w:r>
        <w:rPr>
          <w:rFonts w:hint="eastAsia" w:ascii="宋体" w:hAnsi="宋体" w:eastAsia="宋体" w:cs="宋体"/>
          <w:i w:val="0"/>
          <w:iCs w:val="0"/>
          <w:caps w:val="0"/>
          <w:color w:val="auto"/>
          <w:spacing w:val="0"/>
          <w:sz w:val="24"/>
          <w:szCs w:val="24"/>
          <w:highlight w:val="none"/>
          <w:shd w:val="clear" w:color="auto" w:fill="auto"/>
        </w:rPr>
        <w:t>的潜在投标人应在全国公共资源交易平台（陕西省·西安市）网站〖首页〉电子交易平台〉陕西政府采购交易系统〉企业端〗获取招标文件，并于</w:t>
      </w:r>
      <w:r>
        <w:rPr>
          <w:rFonts w:hint="eastAsia" w:ascii="宋体" w:hAnsi="宋体" w:eastAsia="宋体" w:cs="宋体"/>
          <w:i w:val="0"/>
          <w:iCs w:val="0"/>
          <w:caps w:val="0"/>
          <w:color w:val="auto"/>
          <w:spacing w:val="0"/>
          <w:sz w:val="24"/>
          <w:szCs w:val="24"/>
          <w:highlight w:val="none"/>
          <w:shd w:val="clear" w:fill="FFFFFF"/>
        </w:rPr>
        <w:t>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0分（北京时间）前递交投标文件。</w:t>
      </w:r>
    </w:p>
    <w:p>
      <w:pPr>
        <w:pStyle w:val="7"/>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8" w:name="_Toc6010"/>
      <w:r>
        <w:rPr>
          <w:rStyle w:val="31"/>
          <w:rFonts w:hint="eastAsia" w:ascii="宋体" w:hAnsi="宋体" w:eastAsia="宋体" w:cs="宋体"/>
          <w:b/>
          <w:bCs/>
          <w:i w:val="0"/>
          <w:iCs w:val="0"/>
          <w:caps w:val="0"/>
          <w:color w:val="auto"/>
          <w:spacing w:val="0"/>
          <w:sz w:val="24"/>
          <w:szCs w:val="24"/>
          <w:highlight w:val="none"/>
          <w:shd w:val="clear" w:fill="FFFFFF"/>
        </w:rPr>
        <w:t>一、项目基本情况</w:t>
      </w:r>
      <w:bookmarkEnd w:id="8"/>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项目编号：SDZC2023-080</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项目名称：城乡环卫服务外包项目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采购方式：公开招标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预算金额：2,700,000.00元</w:t>
      </w:r>
    </w:p>
    <w:p>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采购需求：</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合同包1(城乡环卫服务外包项目):</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合同包预算金额：2,700,000.00元</w:t>
      </w:r>
    </w:p>
    <w:tbl>
      <w:tblPr>
        <w:tblStyle w:val="28"/>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0"/>
        <w:gridCol w:w="1552"/>
        <w:gridCol w:w="1270"/>
        <w:gridCol w:w="960"/>
        <w:gridCol w:w="1856"/>
        <w:gridCol w:w="1680"/>
        <w:gridCol w:w="76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5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8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5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9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56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85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其他服务</w:t>
            </w:r>
          </w:p>
        </w:tc>
        <w:tc>
          <w:tcPr>
            <w:tcW w:w="6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环卫服务</w:t>
            </w:r>
          </w:p>
        </w:tc>
        <w:tc>
          <w:tcPr>
            <w:tcW w:w="52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9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2,700,000.00</w:t>
            </w:r>
          </w:p>
        </w:tc>
        <w:tc>
          <w:tcPr>
            <w:tcW w:w="4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本合同包不接受联合体投标</w:t>
      </w:r>
    </w:p>
    <w:p>
      <w:pPr>
        <w:pStyle w:val="2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rPr>
        <w:t>合同履行期限：自合同签订之日起3年</w:t>
      </w:r>
    </w:p>
    <w:p>
      <w:pPr>
        <w:pStyle w:val="7"/>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9" w:name="_Toc13358"/>
      <w:r>
        <w:rPr>
          <w:rStyle w:val="31"/>
          <w:rFonts w:hint="eastAsia" w:ascii="宋体" w:hAnsi="宋体" w:eastAsia="宋体" w:cs="宋体"/>
          <w:b/>
          <w:bCs/>
          <w:i w:val="0"/>
          <w:iCs w:val="0"/>
          <w:caps w:val="0"/>
          <w:color w:val="auto"/>
          <w:spacing w:val="0"/>
          <w:sz w:val="24"/>
          <w:szCs w:val="24"/>
          <w:highlight w:val="none"/>
          <w:shd w:val="clear" w:fill="FFFFFF"/>
        </w:rPr>
        <w:t>二、申请人的资格要求：</w:t>
      </w:r>
      <w:bookmarkEnd w:id="9"/>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1.满足《中华人民共和国政府采购法》第二十二条规定;</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2.落实政府采购政策需满足的资格要求：</w:t>
      </w:r>
      <w:r>
        <w:rPr>
          <w:rFonts w:hint="eastAsia"/>
          <w:color w:val="auto"/>
          <w:highlight w:val="none"/>
        </w:rPr>
        <w:t>本项目专门面向中小企业采购；须符合《政府采购促进中小企业发展管理办法》（财库〔2020〕46号）规定的中小企业参加。</w:t>
      </w:r>
      <w:r>
        <w:rPr>
          <w:rFonts w:hint="eastAsia" w:ascii="宋体" w:hAnsi="宋体" w:eastAsia="宋体" w:cs="宋体"/>
          <w:i w:val="0"/>
          <w:iCs w:val="0"/>
          <w:caps w:val="0"/>
          <w:color w:val="auto"/>
          <w:spacing w:val="0"/>
          <w:sz w:val="24"/>
          <w:szCs w:val="24"/>
          <w:highlight w:val="none"/>
          <w:shd w:val="clear" w:fill="FFFFFF"/>
        </w:rPr>
        <w:t>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outlineLvl w:val="3"/>
        <w:rPr>
          <w:rFonts w:hint="eastAsia" w:ascii="宋体" w:hAnsi="宋体" w:eastAsia="宋体" w:cs="宋体"/>
          <w:color w:val="auto"/>
          <w:sz w:val="24"/>
          <w:szCs w:val="24"/>
          <w:highlight w:val="none"/>
        </w:rPr>
      </w:pPr>
      <w:r>
        <w:rPr>
          <w:rFonts w:hint="eastAsia" w:ascii="宋体" w:hAnsi="宋体" w:eastAsia="宋体" w:cs="宋体"/>
          <w:i w:val="0"/>
          <w:iCs w:val="0"/>
          <w:caps w:val="0"/>
          <w:color w:val="auto"/>
          <w:spacing w:val="0"/>
          <w:sz w:val="24"/>
          <w:szCs w:val="24"/>
          <w:highlight w:val="none"/>
          <w:shd w:val="clear" w:fill="FFFFFF"/>
        </w:rPr>
        <w:t>3.本项目的特定资格要求：</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right="0"/>
        <w:jc w:val="both"/>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rPr>
        <w:t>合同包</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w:t>
      </w:r>
      <w:r>
        <w:rPr>
          <w:rFonts w:hint="eastAsia" w:ascii="宋体" w:hAnsi="宋体" w:eastAsia="宋体" w:cs="宋体"/>
          <w:i w:val="0"/>
          <w:iCs w:val="0"/>
          <w:caps w:val="0"/>
          <w:color w:val="auto"/>
          <w:spacing w:val="0"/>
          <w:sz w:val="24"/>
          <w:szCs w:val="24"/>
          <w:highlight w:val="none"/>
          <w:shd w:val="clear" w:fill="FFFFFF"/>
          <w:lang w:val="en-US" w:eastAsia="zh-CN"/>
        </w:rPr>
        <w:t>城乡环卫服务外包项目项目</w:t>
      </w:r>
      <w:r>
        <w:rPr>
          <w:rFonts w:hint="eastAsia" w:ascii="宋体" w:hAnsi="宋体" w:eastAsia="宋体" w:cs="宋体"/>
          <w:i w:val="0"/>
          <w:iCs w:val="0"/>
          <w:caps w:val="0"/>
          <w:color w:val="auto"/>
          <w:spacing w:val="0"/>
          <w:sz w:val="24"/>
          <w:szCs w:val="24"/>
          <w:highlight w:val="none"/>
          <w:shd w:val="clear" w:fill="FFFFFF"/>
        </w:rPr>
        <w:t>)特定资格要求如下:</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3.1</w:t>
      </w:r>
      <w:r>
        <w:rPr>
          <w:rFonts w:hint="eastAsia" w:ascii="宋体" w:hAnsi="宋体" w:eastAsia="宋体" w:cs="宋体"/>
          <w:i w:val="0"/>
          <w:iCs w:val="0"/>
          <w:caps w:val="0"/>
          <w:color w:val="auto"/>
          <w:spacing w:val="0"/>
          <w:sz w:val="24"/>
          <w:szCs w:val="24"/>
          <w:highlight w:val="none"/>
          <w:shd w:val="clear" w:fill="FFFFFF"/>
          <w:lang w:eastAsia="zh-CN"/>
        </w:rPr>
        <w:t xml:space="preserve">法定代表人授权委托书（附法定代表人身份证复印件及被授权人身份证复印件）；法定代表人直接参加投标只须提供法定代表人资格证明书（附法定代表人身份证复印件）；招标文件凡是法定代表人之处，非法人单位的负责人均参照执行；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3.2</w:t>
      </w:r>
      <w:r>
        <w:rPr>
          <w:rFonts w:hint="eastAsia" w:ascii="宋体" w:hAnsi="宋体" w:eastAsia="宋体" w:cs="宋体"/>
          <w:i w:val="0"/>
          <w:iCs w:val="0"/>
          <w:caps w:val="0"/>
          <w:color w:val="auto"/>
          <w:spacing w:val="0"/>
          <w:sz w:val="24"/>
          <w:szCs w:val="24"/>
          <w:highlight w:val="none"/>
          <w:shd w:val="clear" w:fill="FFFFFF"/>
          <w:lang w:eastAsia="zh-CN"/>
        </w:rPr>
        <w:t>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r>
        <w:rPr>
          <w:rFonts w:hint="eastAsia" w:ascii="宋体" w:hAnsi="宋体" w:eastAsia="宋体" w:cs="宋体"/>
          <w:i w:val="0"/>
          <w:iCs w:val="0"/>
          <w:caps w:val="0"/>
          <w:color w:val="auto"/>
          <w:spacing w:val="0"/>
          <w:sz w:val="24"/>
          <w:szCs w:val="24"/>
          <w:highlight w:val="none"/>
          <w:shd w:val="clear" w:fill="FFFFFF"/>
        </w:rPr>
        <w:t xml:space="preserve">；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lang w:val="en-US" w:eastAsia="zh-CN"/>
        </w:rPr>
        <w:t>3.3</w:t>
      </w:r>
      <w:r>
        <w:rPr>
          <w:rFonts w:hint="eastAsia" w:ascii="宋体" w:hAnsi="宋体" w:eastAsia="宋体" w:cs="宋体"/>
          <w:i w:val="0"/>
          <w:iCs w:val="0"/>
          <w:caps w:val="0"/>
          <w:color w:val="auto"/>
          <w:spacing w:val="0"/>
          <w:sz w:val="24"/>
          <w:szCs w:val="24"/>
          <w:highlight w:val="none"/>
          <w:shd w:val="clear" w:fill="FFFFFF"/>
        </w:rPr>
        <w:t>单位负责人为同一人或者存在直接控股、管理关系的不同</w:t>
      </w:r>
      <w:r>
        <w:rPr>
          <w:rFonts w:hint="eastAsia" w:ascii="宋体" w:hAnsi="宋体" w:eastAsia="宋体" w:cs="宋体"/>
          <w:i w:val="0"/>
          <w:iCs w:val="0"/>
          <w:caps w:val="0"/>
          <w:color w:val="auto"/>
          <w:spacing w:val="0"/>
          <w:sz w:val="24"/>
          <w:szCs w:val="24"/>
          <w:highlight w:val="none"/>
          <w:shd w:val="clear" w:fill="FFFFFF"/>
          <w:lang w:eastAsia="zh-CN"/>
        </w:rPr>
        <w:t>投标人</w:t>
      </w:r>
      <w:r>
        <w:rPr>
          <w:rFonts w:hint="eastAsia" w:ascii="宋体" w:hAnsi="宋体" w:eastAsia="宋体" w:cs="宋体"/>
          <w:i w:val="0"/>
          <w:iCs w:val="0"/>
          <w:caps w:val="0"/>
          <w:color w:val="auto"/>
          <w:spacing w:val="0"/>
          <w:sz w:val="24"/>
          <w:szCs w:val="24"/>
          <w:highlight w:val="none"/>
          <w:shd w:val="clear" w:fill="FFFFFF"/>
        </w:rPr>
        <w:t>，不得参加同一合同项下的政府采购活动</w:t>
      </w:r>
      <w:r>
        <w:rPr>
          <w:rFonts w:hint="eastAsia" w:ascii="宋体" w:hAnsi="宋体" w:eastAsia="宋体" w:cs="宋体"/>
          <w:i w:val="0"/>
          <w:iCs w:val="0"/>
          <w:caps w:val="0"/>
          <w:color w:val="auto"/>
          <w:spacing w:val="0"/>
          <w:sz w:val="24"/>
          <w:szCs w:val="24"/>
          <w:highlight w:val="none"/>
          <w:shd w:val="clear" w:fill="FFFFFF"/>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480" w:right="0" w:firstLine="0"/>
        <w:jc w:val="both"/>
        <w:textAlignment w:val="auto"/>
        <w:outlineLvl w:val="1"/>
        <w:rPr>
          <w:rFonts w:hint="eastAsia" w:ascii="宋体" w:hAnsi="宋体" w:eastAsia="宋体" w:cs="宋体"/>
          <w:b w:val="0"/>
          <w:bCs w:val="0"/>
          <w:i w:val="0"/>
          <w:iCs w:val="0"/>
          <w:caps w:val="0"/>
          <w:color w:val="auto"/>
          <w:spacing w:val="0"/>
          <w:sz w:val="24"/>
          <w:szCs w:val="24"/>
          <w:highlight w:val="none"/>
        </w:rPr>
      </w:pPr>
      <w:bookmarkStart w:id="10" w:name="_Toc22133"/>
      <w:r>
        <w:rPr>
          <w:rStyle w:val="31"/>
          <w:rFonts w:hint="eastAsia" w:ascii="宋体" w:hAnsi="宋体" w:eastAsia="宋体" w:cs="宋体"/>
          <w:b/>
          <w:bCs/>
          <w:i w:val="0"/>
          <w:iCs w:val="0"/>
          <w:caps w:val="0"/>
          <w:color w:val="auto"/>
          <w:spacing w:val="0"/>
          <w:sz w:val="24"/>
          <w:szCs w:val="24"/>
          <w:highlight w:val="none"/>
          <w:shd w:val="clear" w:fill="FFFFFF"/>
        </w:rPr>
        <w:t>三、获取招标文件</w:t>
      </w:r>
      <w:bookmarkEnd w:id="10"/>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22</w:t>
      </w:r>
      <w:r>
        <w:rPr>
          <w:rFonts w:hint="eastAsia" w:ascii="宋体" w:hAnsi="宋体" w:eastAsia="宋体" w:cs="宋体"/>
          <w:i w:val="0"/>
          <w:iCs w:val="0"/>
          <w:caps w:val="0"/>
          <w:color w:val="auto"/>
          <w:spacing w:val="0"/>
          <w:sz w:val="24"/>
          <w:szCs w:val="24"/>
          <w:highlight w:val="none"/>
          <w:shd w:val="clear" w:fill="FFFFFF"/>
        </w:rPr>
        <w:t>日至202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29</w:t>
      </w:r>
      <w:r>
        <w:rPr>
          <w:rFonts w:hint="eastAsia" w:ascii="宋体" w:hAnsi="宋体" w:eastAsia="宋体" w:cs="宋体"/>
          <w:i w:val="0"/>
          <w:iCs w:val="0"/>
          <w:caps w:val="0"/>
          <w:color w:val="auto"/>
          <w:spacing w:val="0"/>
          <w:sz w:val="24"/>
          <w:szCs w:val="24"/>
          <w:highlight w:val="none"/>
          <w:shd w:val="clear" w:fill="FFFFFF"/>
        </w:rPr>
        <w:t>日，每天上午00:00:00至12:00:00，下午12:00:00至23:59:59（北京时间,法定节假日除外）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途径：全国公共资源交易平台（陕西省·西安市）网站〖首页〉电子交易平台〉陕西政府采购交易系统〉企业端〗</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方式：在线获取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售价：免费获取</w:t>
      </w:r>
    </w:p>
    <w:p>
      <w:pPr>
        <w:pStyle w:val="7"/>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1" w:name="_Toc19895"/>
      <w:r>
        <w:rPr>
          <w:rStyle w:val="31"/>
          <w:rFonts w:hint="eastAsia" w:ascii="宋体" w:hAnsi="宋体" w:eastAsia="宋体" w:cs="宋体"/>
          <w:b/>
          <w:bCs/>
          <w:i w:val="0"/>
          <w:iCs w:val="0"/>
          <w:caps w:val="0"/>
          <w:color w:val="auto"/>
          <w:spacing w:val="0"/>
          <w:sz w:val="24"/>
          <w:szCs w:val="24"/>
          <w:highlight w:val="none"/>
          <w:shd w:val="clear" w:fill="FFFFFF"/>
        </w:rPr>
        <w:t>四、提交投标文件截止时间、开标时间和地点</w:t>
      </w:r>
      <w:bookmarkEnd w:id="11"/>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时间：202</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年</w:t>
      </w:r>
      <w:r>
        <w:rPr>
          <w:rFonts w:hint="eastAsia" w:ascii="宋体" w:hAnsi="宋体" w:eastAsia="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月</w:t>
      </w:r>
      <w:r>
        <w:rPr>
          <w:rFonts w:hint="eastAsia" w:ascii="宋体" w:hAnsi="宋体" w:eastAsia="宋体" w:cs="宋体"/>
          <w:i w:val="0"/>
          <w:iCs w:val="0"/>
          <w:caps w:val="0"/>
          <w:color w:val="auto"/>
          <w:spacing w:val="0"/>
          <w:sz w:val="24"/>
          <w:szCs w:val="24"/>
          <w:highlight w:val="none"/>
          <w:shd w:val="clear" w:fill="FFFFFF"/>
          <w:lang w:val="en-US" w:eastAsia="zh-CN"/>
        </w:rPr>
        <w:t>13</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9</w:t>
      </w:r>
      <w:r>
        <w:rPr>
          <w:rFonts w:hint="eastAsia" w:ascii="宋体" w:hAnsi="宋体" w:eastAsia="宋体" w:cs="宋体"/>
          <w:i w:val="0"/>
          <w:iCs w:val="0"/>
          <w:caps w:val="0"/>
          <w:color w:val="auto"/>
          <w:spacing w:val="0"/>
          <w:sz w:val="24"/>
          <w:szCs w:val="24"/>
          <w:highlight w:val="none"/>
          <w:shd w:val="clear" w:fill="FFFFFF"/>
        </w:rPr>
        <w:t>时</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rPr>
        <w:t>0分00秒（北京时间）</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提交投标文件地点：全国公共资源交易平台（陕西省·西安市）网站〖首页〉电子交易平台&lt;陕西政府采购交易系统&gt;企业端〗，在线提交</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开标地点：全国公共资源交易平台（陕西省·西安市）</w:t>
      </w:r>
    </w:p>
    <w:p>
      <w:pPr>
        <w:pStyle w:val="7"/>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2" w:name="_Toc16107"/>
      <w:r>
        <w:rPr>
          <w:rStyle w:val="31"/>
          <w:rFonts w:hint="eastAsia" w:ascii="宋体" w:hAnsi="宋体" w:eastAsia="宋体" w:cs="宋体"/>
          <w:b/>
          <w:bCs/>
          <w:i w:val="0"/>
          <w:iCs w:val="0"/>
          <w:caps w:val="0"/>
          <w:color w:val="auto"/>
          <w:spacing w:val="0"/>
          <w:sz w:val="24"/>
          <w:szCs w:val="24"/>
          <w:highlight w:val="none"/>
          <w:shd w:val="clear" w:fill="FFFFFF"/>
        </w:rPr>
        <w:t>五、公告期限</w:t>
      </w:r>
      <w:bookmarkEnd w:id="12"/>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rPr>
        <w:t>自本公告发布之日起5个工作日。</w:t>
      </w:r>
    </w:p>
    <w:p>
      <w:pPr>
        <w:pStyle w:val="7"/>
        <w:keepNext w:val="0"/>
        <w:keepLines w:val="0"/>
        <w:pageBreakBefore w:val="0"/>
        <w:widowControl/>
        <w:numPr>
          <w:ilvl w:val="3"/>
          <w:numId w:val="0"/>
        </w:numPr>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150" w:beforeAutospacing="0" w:after="0" w:afterAutospacing="0" w:line="520" w:lineRule="exact"/>
        <w:ind w:leftChars="0" w:right="0" w:rightChars="0"/>
        <w:jc w:val="left"/>
        <w:textAlignment w:val="auto"/>
        <w:outlineLvl w:val="1"/>
        <w:rPr>
          <w:rFonts w:hint="eastAsia" w:ascii="宋体" w:hAnsi="宋体" w:eastAsia="宋体" w:cs="宋体"/>
          <w:b w:val="0"/>
          <w:bCs w:val="0"/>
          <w:i w:val="0"/>
          <w:iCs w:val="0"/>
          <w:caps w:val="0"/>
          <w:color w:val="auto"/>
          <w:spacing w:val="0"/>
          <w:sz w:val="24"/>
          <w:szCs w:val="24"/>
          <w:highlight w:val="none"/>
        </w:rPr>
      </w:pPr>
      <w:bookmarkStart w:id="13" w:name="_Toc8021"/>
      <w:r>
        <w:rPr>
          <w:rStyle w:val="31"/>
          <w:rFonts w:hint="eastAsia" w:ascii="宋体" w:hAnsi="宋体" w:eastAsia="宋体" w:cs="宋体"/>
          <w:b/>
          <w:bCs/>
          <w:i w:val="0"/>
          <w:iCs w:val="0"/>
          <w:caps w:val="0"/>
          <w:color w:val="auto"/>
          <w:spacing w:val="0"/>
          <w:sz w:val="24"/>
          <w:szCs w:val="24"/>
          <w:highlight w:val="none"/>
          <w:shd w:val="clear" w:fill="FFFFFF"/>
        </w:rPr>
        <w:t>六、其他补充事宜</w:t>
      </w:r>
      <w:bookmarkEnd w:id="13"/>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1.落实的政府采购政策:</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1.1《政府采购促进中小企业发展管理办法》（财库〔2020〕46号）；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1.2《财政部 司法部关于政府采购支持监狱企业发展有关问题的通知》（财库〔2014〕68号）；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1.3《国务院办公厅关于建立政府强制采购节能产品制度的通知》（国办发〔2007〕51号）；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 xml:space="preserve">1.4《节能产品政府采购实施意见》（财库[2004]185号）； </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1.5《环境标志产品政府采购实施的意见》（财库[2006]90号）；</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1.6《财政部、民政部、中国残疾人联合会关于促进残疾人就业政府采购政策的通知》（财库[2017]141号）；</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1.7《陕西省中小企业政府采购信用融资办法》（陕财办采〔2018〕23号）</w:t>
      </w:r>
      <w:r>
        <w:rPr>
          <w:rFonts w:hint="eastAsia" w:ascii="宋体" w:hAnsi="宋体" w:eastAsia="宋体" w:cs="宋体"/>
          <w:i w:val="0"/>
          <w:iCs w:val="0"/>
          <w:caps w:val="0"/>
          <w:color w:val="auto"/>
          <w:spacing w:val="0"/>
          <w:sz w:val="24"/>
          <w:szCs w:val="24"/>
          <w:highlight w:val="none"/>
          <w:shd w:val="clear" w:fill="FFFFFF"/>
          <w:lang w:eastAsia="zh-CN"/>
        </w:rPr>
        <w:t>；</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1.8《陕西省财政厅关于进一步加大政府采购支持中小企业力度的通知》（陕财办采〔2022〕5号）、《陕西省财政厅关于落实政府采购支持中小企业政策有关事项的通知》（陕财办采函〔2022〕10号）；</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1.9如有最新颁布的政府采购政策，按最新的文件执行。</w:t>
      </w:r>
    </w:p>
    <w:p>
      <w:pPr>
        <w:pStyle w:val="2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其他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2.1供应商初次使用电子交易平台时,请先阅读【全国公共资源交易平台(陕西省·西安市)】 (http://sxggzyjy.xa.gov.cn/)网站 〖首页〉服务指南〉下载专区〗中的 《西安市市级单位电子化政府采购项目投标指南》,并按要求完成诚信入库登记 、CA认证及企业信息绑定；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2.2办理CA认证:电子交易平台现已接入陕西CA、深圳CA、西部CA、北京CA四家数字证书公司,各供应商在交易过程中登录系统、加密/解密投标文件、文件签章等均可使用上述四家 CA公司签发的数字证书。办理须知及所需资料详见 :http://www.sxggzyjy.cn/fwzn/004003/20220701/6972fe02-f996-4928-951e-545dab02e53c.htm1；</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2.3请各供应商务必及时下载招标文件并做好备份，否则会影响投标文件编制及后续投标活动；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制作电子投标文件（*.SXSTF）需要使用专用制作工具。软件下载及操作说明详见西安市公共资源交易平台〖首面·&gt;服务指南·&gt;下载专区〗中的《政府采购项目投标文件制作软件及操作手册》。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2.5提交投标文件截止时间前，供应商应随时留意【陕西省政府采购网〗、【全国公区资源交易平台（陕西省·西安市）〗上可能发布的变更公告。若变更公告中明确注明本项目提供有变更文件的，供应商应登录企业端后，从【项目流程·&gt;项目管理·&gt;答疑文件下载〗获取更新后的电子招标文件（*.SXSCF）,使用旧版电子招标文件制作的电子投标文件（*.SXSTF），系统将拒绝接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2.6本项目采用“不见面开标”形式，供应商可登录全国公共资源交易平台（陕西省·西安市）网站〖首页〉不见面开标〗系统，在线参加开标过程。操作手册详见〖首页〉服务指南〉下载专区〗中的《西安公共资源交易不见面开标大厅投标人操作手册》；</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2.7因供应商自身设施故障或自身原因导致无法完成签到、解密或投标的，由供应商自行承担后果；</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2.8按照陕西省财政厅《关于政府采购供应商注册登记有关事项的通知》中的要求,供应商应通过陕西省政府采购网 (http://www.ccgp shaanxi.gov.cn/)注册登记 ,加入陕西省政府采购供应商库；</w:t>
      </w:r>
    </w:p>
    <w:p>
      <w:pPr>
        <w:pStyle w:val="24"/>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20" w:lineRule="exact"/>
        <w:ind w:left="0" w:right="0" w:firstLine="480"/>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sz w:val="24"/>
          <w:szCs w:val="24"/>
          <w:highlight w:val="none"/>
        </w:rPr>
        <w:t>2.9其他事项见本项目招标文件</w:t>
      </w:r>
      <w:r>
        <w:rPr>
          <w:rFonts w:hint="eastAsia" w:ascii="宋体" w:hAnsi="宋体" w:eastAsia="宋体" w:cs="宋体"/>
          <w:i w:val="0"/>
          <w:iCs w:val="0"/>
          <w:caps w:val="0"/>
          <w:color w:val="auto"/>
          <w:spacing w:val="0"/>
          <w:sz w:val="24"/>
          <w:szCs w:val="24"/>
          <w:highlight w:val="none"/>
          <w:shd w:val="clear" w:color="auto" w:fill="FFFFFF"/>
        </w:rPr>
        <w:t>。</w:t>
      </w:r>
    </w:p>
    <w:p>
      <w:pPr>
        <w:pStyle w:val="104"/>
        <w:shd w:val="clear" w:color="auto" w:fill="FFFFFF"/>
        <w:spacing w:before="0" w:beforeAutospacing="0" w:after="0" w:afterAutospacing="0" w:line="500" w:lineRule="exact"/>
        <w:outlineLvl w:val="1"/>
        <w:rPr>
          <w:rFonts w:hint="eastAsia" w:ascii="宋体" w:hAnsi="宋体" w:eastAsia="宋体" w:cs="宋体"/>
          <w:b/>
          <w:bCs/>
          <w:color w:val="auto"/>
          <w:highlight w:val="none"/>
        </w:rPr>
      </w:pPr>
      <w:bookmarkStart w:id="14" w:name="_Toc30524"/>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、凡对本次采购提出询问，请按以下方式联系。</w:t>
      </w:r>
      <w:bookmarkEnd w:id="14"/>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bookmarkStart w:id="15" w:name="_Toc1157"/>
      <w:r>
        <w:rPr>
          <w:rFonts w:hint="eastAsia" w:ascii="宋体" w:hAnsi="宋体" w:eastAsia="宋体" w:cs="宋体"/>
          <w:b w:val="0"/>
          <w:bCs w:val="0"/>
          <w:color w:val="auto"/>
          <w:highlight w:val="none"/>
        </w:rPr>
        <w:t>1.釆购人信息</w:t>
      </w:r>
      <w:bookmarkEnd w:id="15"/>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名称：</w:t>
      </w:r>
      <w:r>
        <w:rPr>
          <w:rFonts w:hint="eastAsia" w:eastAsia="宋体" w:cs="宋体"/>
          <w:b w:val="0"/>
          <w:bCs w:val="0"/>
          <w:color w:val="auto"/>
          <w:highlight w:val="none"/>
          <w:lang w:val="en-US" w:eastAsia="zh-CN"/>
        </w:rPr>
        <w:t>西安市阎良区新兴街道办事处</w:t>
      </w:r>
    </w:p>
    <w:p>
      <w:pPr>
        <w:pStyle w:val="104"/>
        <w:shd w:val="clear" w:color="auto" w:fill="FFFFFF"/>
        <w:spacing w:before="0" w:beforeAutospacing="0" w:after="0" w:afterAutospacing="0" w:line="500" w:lineRule="exact"/>
        <w:ind w:firstLine="24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地址：</w:t>
      </w:r>
      <w:r>
        <w:rPr>
          <w:rFonts w:hint="eastAsia" w:ascii="宋体" w:hAnsi="宋体" w:eastAsia="宋体" w:cs="宋体"/>
          <w:color w:val="auto"/>
          <w:highlight w:val="none"/>
          <w:lang w:val="en-US" w:eastAsia="zh-CN"/>
        </w:rPr>
        <w:t>西安市阎良区</w:t>
      </w:r>
      <w:r>
        <w:rPr>
          <w:rFonts w:hint="eastAsia" w:ascii="宋体" w:hAnsi="宋体" w:eastAsia="宋体" w:cs="宋体"/>
          <w:color w:val="auto"/>
          <w:highlight w:val="none"/>
        </w:rPr>
        <w:t>新兴街道中段</w:t>
      </w:r>
    </w:p>
    <w:p>
      <w:pPr>
        <w:pStyle w:val="104"/>
        <w:shd w:val="clear" w:color="auto" w:fill="FFFFFF"/>
        <w:spacing w:before="0" w:beforeAutospacing="0" w:after="0" w:afterAutospacing="0" w:line="500" w:lineRule="exact"/>
        <w:ind w:firstLine="240" w:firstLineChars="100"/>
        <w:rPr>
          <w:rFonts w:hint="default" w:ascii="宋体" w:hAnsi="宋体" w:eastAsia="宋体" w:cs="宋体"/>
          <w:color w:val="auto"/>
          <w:highlight w:val="none"/>
          <w:lang w:val="en-US" w:eastAsia="zh-CN"/>
        </w:rPr>
      </w:pPr>
      <w:r>
        <w:rPr>
          <w:rFonts w:hint="eastAsia" w:ascii="宋体" w:hAnsi="宋体" w:eastAsia="宋体" w:cs="宋体"/>
          <w:color w:val="auto"/>
          <w:highlight w:val="none"/>
        </w:rPr>
        <w:t>联系方式：</w:t>
      </w:r>
      <w:bookmarkStart w:id="16" w:name="_Toc23642"/>
      <w:r>
        <w:rPr>
          <w:rFonts w:hint="eastAsia" w:ascii="宋体" w:hAnsi="宋体" w:eastAsia="宋体" w:cs="宋体"/>
          <w:color w:val="auto"/>
          <w:highlight w:val="none"/>
          <w:lang w:val="en-US" w:eastAsia="zh-CN"/>
        </w:rPr>
        <w:t>029-</w:t>
      </w:r>
      <w:r>
        <w:rPr>
          <w:rFonts w:hint="eastAsia" w:ascii="宋体" w:hAnsi="宋体" w:eastAsia="宋体" w:cs="宋体"/>
          <w:color w:val="auto"/>
          <w:highlight w:val="none"/>
        </w:rPr>
        <w:t>86820283</w:t>
      </w:r>
      <w:r>
        <w:rPr>
          <w:rFonts w:hint="eastAsia" w:ascii="宋体" w:hAnsi="宋体" w:eastAsia="宋体" w:cs="宋体"/>
          <w:color w:val="auto"/>
          <w:highlight w:val="none"/>
          <w:lang w:val="en-US" w:eastAsia="zh-CN"/>
        </w:rPr>
        <w:t xml:space="preserve"> </w:t>
      </w:r>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2.釆购代理机构信息</w:t>
      </w:r>
      <w:bookmarkEnd w:id="16"/>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名称：</w:t>
      </w:r>
      <w:r>
        <w:rPr>
          <w:rFonts w:hint="eastAsia" w:ascii="宋体" w:hAnsi="宋体" w:eastAsia="宋体" w:cs="宋体"/>
          <w:color w:val="auto"/>
          <w:highlight w:val="none"/>
        </w:rPr>
        <w:t>陕西上德招标有限公司</w:t>
      </w:r>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地址：西安市经开区凤城八路正尚国际金融广场A座7层703（张家堡转盘东南角）</w:t>
      </w:r>
    </w:p>
    <w:p>
      <w:pPr>
        <w:pStyle w:val="104"/>
        <w:shd w:val="clear" w:color="auto" w:fill="FFFFFF"/>
        <w:spacing w:before="0" w:beforeAutospacing="0" w:after="0" w:afterAutospacing="0" w:line="500" w:lineRule="exact"/>
        <w:ind w:firstLine="240" w:firstLineChars="100"/>
        <w:rPr>
          <w:rFonts w:hint="eastAsia" w:ascii="宋体" w:hAnsi="宋体" w:eastAsia="宋体" w:cs="宋体"/>
          <w:color w:val="auto"/>
          <w:highlight w:val="none"/>
          <w:lang w:val="en-US" w:eastAsia="zh-CN"/>
        </w:rPr>
      </w:pPr>
      <w:r>
        <w:rPr>
          <w:rFonts w:hint="eastAsia" w:ascii="宋体" w:hAnsi="宋体" w:eastAsia="宋体" w:cs="宋体"/>
          <w:b w:val="0"/>
          <w:bCs w:val="0"/>
          <w:color w:val="auto"/>
          <w:highlight w:val="none"/>
        </w:rPr>
        <w:t>联系方式：</w:t>
      </w:r>
      <w:r>
        <w:rPr>
          <w:rFonts w:hint="eastAsia" w:ascii="宋体" w:hAnsi="宋体" w:eastAsia="宋体" w:cs="宋体"/>
          <w:color w:val="auto"/>
          <w:highlight w:val="none"/>
        </w:rPr>
        <w:t xml:space="preserve">029-86673953、029-86518381、029-89299829、029-89293231  </w:t>
      </w:r>
    </w:p>
    <w:p>
      <w:pPr>
        <w:pStyle w:val="104"/>
        <w:shd w:val="clear" w:color="auto" w:fill="FFFFFF"/>
        <w:spacing w:before="0" w:beforeAutospacing="0" w:after="0" w:afterAutospacing="0" w:line="500" w:lineRule="exact"/>
        <w:ind w:firstLine="240" w:firstLineChars="100"/>
        <w:outlineLvl w:val="2"/>
        <w:rPr>
          <w:rFonts w:hint="eastAsia" w:ascii="宋体" w:hAnsi="宋体" w:eastAsia="宋体" w:cs="宋体"/>
          <w:b w:val="0"/>
          <w:bCs w:val="0"/>
          <w:color w:val="auto"/>
          <w:highlight w:val="none"/>
        </w:rPr>
      </w:pPr>
      <w:bookmarkStart w:id="17" w:name="_Toc22972"/>
      <w:r>
        <w:rPr>
          <w:rFonts w:hint="eastAsia" w:ascii="宋体" w:hAnsi="宋体" w:eastAsia="宋体" w:cs="宋体"/>
          <w:b w:val="0"/>
          <w:bCs w:val="0"/>
          <w:color w:val="auto"/>
          <w:highlight w:val="none"/>
        </w:rPr>
        <w:t>3.项目联系方式</w:t>
      </w:r>
      <w:bookmarkEnd w:id="17"/>
    </w:p>
    <w:p>
      <w:pPr>
        <w:pStyle w:val="104"/>
        <w:shd w:val="clear" w:color="auto" w:fill="FFFFFF"/>
        <w:spacing w:before="0" w:beforeAutospacing="0" w:after="0" w:afterAutospacing="0" w:line="500" w:lineRule="exact"/>
        <w:ind w:firstLine="240" w:firstLineChars="1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项目联系人：</w:t>
      </w:r>
      <w:r>
        <w:rPr>
          <w:rFonts w:hint="eastAsia" w:ascii="宋体" w:hAnsi="宋体" w:eastAsia="宋体" w:cs="宋体"/>
          <w:color w:val="auto"/>
          <w:sz w:val="24"/>
          <w:highlight w:val="none"/>
          <w:lang w:val="en-US" w:eastAsia="zh-CN"/>
        </w:rPr>
        <w:t>郅龙（17号工位）</w:t>
      </w:r>
      <w:r>
        <w:rPr>
          <w:rFonts w:hint="eastAsia" w:eastAsia="宋体" w:cs="宋体"/>
          <w:color w:val="auto"/>
          <w:sz w:val="24"/>
          <w:highlight w:val="none"/>
          <w:lang w:val="en-US" w:eastAsia="zh-CN"/>
        </w:rPr>
        <w:t>、张爱君、魏蕾</w:t>
      </w:r>
    </w:p>
    <w:p>
      <w:pPr>
        <w:spacing w:line="560" w:lineRule="exact"/>
        <w:ind w:firstLine="240" w:firstLineChars="100"/>
        <w:jc w:val="both"/>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402590</wp:posOffset>
                </wp:positionV>
                <wp:extent cx="5953125" cy="735965"/>
                <wp:effectExtent l="4445" t="4445" r="5080" b="21590"/>
                <wp:wrapSquare wrapText="bothSides"/>
                <wp:docPr id="1" name="文本框 1"/>
                <wp:cNvGraphicFramePr/>
                <a:graphic xmlns:a="http://schemas.openxmlformats.org/drawingml/2006/main">
                  <a:graphicData uri="http://schemas.microsoft.com/office/word/2010/wordprocessingShape">
                    <wps:wsp>
                      <wps:cNvSpPr txBox="1"/>
                      <wps:spPr>
                        <a:xfrm>
                          <a:off x="0" y="0"/>
                          <a:ext cx="5953125"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00" w:lineRule="exact"/>
                              <w:rPr>
                                <w:rFonts w:ascii="宋体" w:hAnsi="宋体"/>
                                <w:b/>
                                <w:sz w:val="24"/>
                              </w:rPr>
                            </w:pPr>
                            <w:r>
                              <w:rPr>
                                <w:rFonts w:hint="eastAsia" w:ascii="宋体" w:hAnsi="宋体"/>
                                <w:b/>
                                <w:sz w:val="24"/>
                              </w:rPr>
                              <w:t>温馨提示：</w:t>
                            </w:r>
                            <w:r>
                              <w:rPr>
                                <w:rFonts w:hint="eastAsia" w:ascii="宋体" w:hAnsi="宋体"/>
                                <w:b/>
                                <w:sz w:val="24"/>
                                <w:lang w:eastAsia="zh-CN"/>
                              </w:rPr>
                              <w:t>获取公开招标</w:t>
                            </w:r>
                            <w:r>
                              <w:rPr>
                                <w:rFonts w:hint="eastAsia" w:ascii="宋体" w:hAnsi="宋体"/>
                                <w:b/>
                                <w:sz w:val="24"/>
                              </w:rPr>
                              <w:t>文件后，请仔细阅读，特别注意粗体及划线部分，如有疑问请来电咨询。</w:t>
                            </w:r>
                          </w:p>
                        </w:txbxContent>
                      </wps:txbx>
                      <wps:bodyPr wrap="none" upright="1">
                        <a:spAutoFit/>
                      </wps:bodyPr>
                    </wps:wsp>
                  </a:graphicData>
                </a:graphic>
              </wp:anchor>
            </w:drawing>
          </mc:Choice>
          <mc:Fallback>
            <w:pict>
              <v:shape id="_x0000_s1026" o:spid="_x0000_s1026" o:spt="202" type="#_x0000_t202" style="position:absolute;left:0pt;margin-left:-3.3pt;margin-top:31.7pt;height:57.95pt;width:468.75pt;mso-wrap-distance-bottom:0pt;mso-wrap-distance-left:9pt;mso-wrap-distance-right:9pt;mso-wrap-distance-top:0pt;mso-wrap-style:none;z-index:251659264;mso-width-relative:page;mso-height-relative:page;" fillcolor="#FFFFFF" filled="t" stroked="t" coordsize="21600,21600" o:gfxdata="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eHBTz2gAAAAkB&#10;AAAPAAAAAAAAAAEAIAAAACIAAABkcnMvZG93bnJldi54bWxQSwECFAAUAAAACACHTuJA2ZakpBkC&#10;AABcBAAADgAAAAAAAAABACAAAAApAQAAZHJzL2Uyb0RvYy54bWxQSwUGAAAAAAYABgBZAQAAtAUA&#10;AAAA&#10;">
                <v:fill on="t" focussize="0,0"/>
                <v:stroke color="#000000" joinstyle="miter"/>
                <v:imagedata o:title=""/>
                <o:lock v:ext="edit" aspectratio="f"/>
                <v:textbox style="mso-fit-shape-to-text:t;">
                  <w:txbxContent>
                    <w:p>
                      <w:pPr>
                        <w:spacing w:line="500" w:lineRule="exact"/>
                        <w:rPr>
                          <w:rFonts w:ascii="宋体" w:hAnsi="宋体"/>
                          <w:b/>
                          <w:sz w:val="24"/>
                        </w:rPr>
                      </w:pPr>
                      <w:r>
                        <w:rPr>
                          <w:rFonts w:hint="eastAsia" w:ascii="宋体" w:hAnsi="宋体"/>
                          <w:b/>
                          <w:sz w:val="24"/>
                        </w:rPr>
                        <w:t>温馨提示：</w:t>
                      </w:r>
                      <w:r>
                        <w:rPr>
                          <w:rFonts w:hint="eastAsia" w:ascii="宋体" w:hAnsi="宋体"/>
                          <w:b/>
                          <w:sz w:val="24"/>
                          <w:lang w:eastAsia="zh-CN"/>
                        </w:rPr>
                        <w:t>获取公开招标</w:t>
                      </w:r>
                      <w:r>
                        <w:rPr>
                          <w:rFonts w:hint="eastAsia" w:ascii="宋体" w:hAnsi="宋体"/>
                          <w:b/>
                          <w:sz w:val="24"/>
                        </w:rPr>
                        <w:t>文件后，请仔细阅读，特别注意粗体及划线部分，如有疑问请来电咨询。</w:t>
                      </w:r>
                    </w:p>
                  </w:txbxContent>
                </v:textbox>
                <w10:wrap type="square"/>
              </v:shape>
            </w:pict>
          </mc:Fallback>
        </mc:AlternateContent>
      </w:r>
      <w:r>
        <w:rPr>
          <w:rFonts w:hint="eastAsia" w:ascii="宋体" w:hAnsi="宋体" w:eastAsia="宋体" w:cs="宋体"/>
          <w:b w:val="0"/>
          <w:bCs w:val="0"/>
          <w:color w:val="auto"/>
          <w:highlight w:val="none"/>
        </w:rPr>
        <w:t>电话：</w:t>
      </w:r>
      <w:r>
        <w:rPr>
          <w:rFonts w:hint="eastAsia" w:ascii="宋体" w:hAnsi="宋体" w:eastAsia="宋体" w:cs="宋体"/>
          <w:color w:val="auto"/>
          <w:highlight w:val="none"/>
          <w:lang w:eastAsia="zh-CN"/>
        </w:rPr>
        <w:t>029-86673953、029-86518381、029-89299829、029-89293231</w:t>
      </w:r>
      <w:r>
        <w:rPr>
          <w:rFonts w:hint="eastAsia" w:ascii="宋体" w:hAnsi="宋体" w:eastAsia="宋体" w:cs="宋体"/>
          <w:color w:val="auto"/>
          <w:highlight w:val="none"/>
        </w:rPr>
        <w:t>转80</w:t>
      </w:r>
      <w:r>
        <w:rPr>
          <w:rFonts w:hint="eastAsia" w:ascii="宋体" w:hAnsi="宋体" w:eastAsia="宋体" w:cs="宋体"/>
          <w:color w:val="auto"/>
          <w:highlight w:val="none"/>
          <w:lang w:val="en-US" w:eastAsia="zh-CN"/>
        </w:rPr>
        <w:t>17</w:t>
      </w:r>
    </w:p>
    <w:p>
      <w:pPr>
        <w:rPr>
          <w:rFonts w:hint="eastAsia" w:ascii="宋体" w:hAnsi="宋体" w:eastAsia="宋体" w:cs="宋体"/>
          <w:b/>
          <w:bCs/>
          <w:color w:val="auto"/>
          <w:highlight w:val="none"/>
        </w:rPr>
      </w:pPr>
      <w:bookmarkStart w:id="18" w:name="_Toc1830"/>
      <w:bookmarkStart w:id="19" w:name="_Toc3398"/>
      <w:bookmarkStart w:id="20" w:name="_Toc498349068"/>
      <w:bookmarkStart w:id="21" w:name="_Toc533363235"/>
      <w:bookmarkStart w:id="22" w:name="_Toc100219613"/>
      <w:bookmarkStart w:id="23" w:name="_Toc534656414"/>
      <w:bookmarkStart w:id="24" w:name="_Toc534656409"/>
      <w:bookmarkStart w:id="25" w:name="_Toc533363262"/>
      <w:bookmarkStart w:id="26" w:name="_Toc97563329"/>
      <w:bookmarkStart w:id="27" w:name="_Toc445407251"/>
      <w:r>
        <w:rPr>
          <w:rFonts w:hint="eastAsia" w:ascii="宋体" w:hAnsi="宋体" w:eastAsia="宋体" w:cs="宋体"/>
          <w:b/>
          <w:bCs/>
          <w:color w:val="auto"/>
          <w:highlight w:val="none"/>
        </w:rPr>
        <w:br w:type="page"/>
      </w:r>
    </w:p>
    <w:p>
      <w:pPr>
        <w:pStyle w:val="4"/>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eastAsia="zh-CN"/>
        </w:rPr>
        <w:t>投标人</w:t>
      </w:r>
      <w:r>
        <w:rPr>
          <w:rFonts w:hint="eastAsia" w:ascii="宋体" w:hAnsi="宋体" w:eastAsia="宋体" w:cs="宋体"/>
          <w:b/>
          <w:bCs/>
          <w:color w:val="auto"/>
          <w:highlight w:val="none"/>
        </w:rPr>
        <w:t>须知</w:t>
      </w:r>
      <w:bookmarkEnd w:id="18"/>
      <w:bookmarkEnd w:id="19"/>
      <w:bookmarkEnd w:id="20"/>
      <w:bookmarkEnd w:id="21"/>
      <w:bookmarkEnd w:id="22"/>
      <w:bookmarkEnd w:id="23"/>
      <w:bookmarkEnd w:id="24"/>
      <w:bookmarkEnd w:id="25"/>
      <w:bookmarkEnd w:id="26"/>
      <w:bookmarkEnd w:id="27"/>
    </w:p>
    <w:p>
      <w:pPr>
        <w:pStyle w:val="4"/>
        <w:spacing w:line="240" w:lineRule="auto"/>
        <w:jc w:val="center"/>
        <w:outlineLvl w:val="1"/>
        <w:rPr>
          <w:rFonts w:hint="eastAsia"/>
        </w:rPr>
      </w:pPr>
      <w:bookmarkStart w:id="28" w:name="_Toc21988"/>
      <w:bookmarkStart w:id="29" w:name="_Toc12706"/>
      <w:r>
        <w:rPr>
          <w:rFonts w:hint="eastAsia" w:ascii="宋体" w:hAnsi="宋体" w:eastAsia="宋体" w:cs="宋体"/>
          <w:color w:val="auto"/>
          <w:sz w:val="24"/>
          <w:szCs w:val="24"/>
          <w:highlight w:val="none"/>
        </w:rPr>
        <w:t>〖前附表〗</w:t>
      </w:r>
      <w:bookmarkEnd w:id="28"/>
      <w:bookmarkEnd w:id="29"/>
    </w:p>
    <w:tbl>
      <w:tblPr>
        <w:tblStyle w:val="29"/>
        <w:tblW w:w="887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01"/>
        <w:gridCol w:w="2549"/>
        <w:gridCol w:w="5520"/>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549"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c>
          <w:tcPr>
            <w:tcW w:w="5520" w:type="dxa"/>
            <w:tcBorders>
              <w:top w:val="single" w:color="auto" w:sz="12" w:space="0"/>
              <w:bottom w:val="single" w:color="auto" w:sz="1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说明和要求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12"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预算执行书编号</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ZCBN-阎良区-2023-00030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highlight w:val="none"/>
                <w:lang w:val="en-US" w:eastAsia="zh-CN"/>
              </w:rPr>
              <w:t>西安市阎良区新兴街道办事处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陕西上德招标有限公司</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监督管理机构</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西安市阎良区财政局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资金性质</w:t>
            </w:r>
          </w:p>
        </w:tc>
        <w:tc>
          <w:tcPr>
            <w:tcW w:w="5520" w:type="dxa"/>
            <w:tcBorders>
              <w:top w:val="single" w:color="auto" w:sz="4" w:space="0"/>
              <w:left w:val="single" w:color="auto" w:sz="4" w:space="0"/>
              <w:bottom w:val="single" w:color="auto" w:sz="4" w:space="0"/>
              <w:right w:val="single" w:color="auto" w:sz="12"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财政划拨</w:t>
            </w:r>
            <w:r>
              <w:rPr>
                <w:rFonts w:hint="eastAsia" w:ascii="宋体" w:hAnsi="宋体" w:eastAsia="宋体" w:cs="宋体"/>
                <w:b/>
                <w:bCs/>
                <w:color w:val="auto"/>
                <w:sz w:val="24"/>
                <w:szCs w:val="24"/>
                <w:highlight w:val="none"/>
                <w:lang w:eastAsia="zh-CN"/>
              </w:rPr>
              <w:t>（本项目</w:t>
            </w:r>
            <w:r>
              <w:rPr>
                <w:rFonts w:hint="eastAsia" w:ascii="宋体" w:hAnsi="宋体" w:eastAsia="宋体" w:cs="宋体"/>
                <w:b/>
                <w:bCs/>
                <w:i w:val="0"/>
                <w:iCs w:val="0"/>
                <w:caps w:val="0"/>
                <w:color w:val="auto"/>
                <w:spacing w:val="0"/>
                <w:sz w:val="24"/>
                <w:szCs w:val="24"/>
                <w:shd w:val="clear" w:fill="FFFFFF"/>
              </w:rPr>
              <w:t>预算金额</w:t>
            </w:r>
            <w:r>
              <w:rPr>
                <w:rFonts w:hint="eastAsia" w:ascii="宋体" w:hAnsi="宋体" w:eastAsia="宋体" w:cs="宋体"/>
                <w:b/>
                <w:bCs/>
                <w:i w:val="0"/>
                <w:iCs w:val="0"/>
                <w:caps w:val="0"/>
                <w:color w:val="auto"/>
                <w:spacing w:val="0"/>
                <w:sz w:val="24"/>
                <w:szCs w:val="24"/>
                <w:shd w:val="clear" w:fill="FFFFFF"/>
                <w:lang w:eastAsia="zh-CN"/>
              </w:rPr>
              <w:t>为服务</w:t>
            </w:r>
            <w:r>
              <w:rPr>
                <w:rFonts w:hint="eastAsia" w:ascii="宋体" w:hAnsi="宋体" w:eastAsia="宋体" w:cs="宋体"/>
                <w:b/>
                <w:bCs/>
                <w:i w:val="0"/>
                <w:iCs w:val="0"/>
                <w:caps w:val="0"/>
                <w:color w:val="auto"/>
                <w:spacing w:val="0"/>
                <w:sz w:val="24"/>
                <w:szCs w:val="24"/>
                <w:shd w:val="clear" w:fill="FFFFFF"/>
                <w:lang w:val="en-US" w:eastAsia="zh-CN"/>
              </w:rPr>
              <w:t>1年的金额</w:t>
            </w:r>
            <w:r>
              <w:rPr>
                <w:rFonts w:hint="eastAsia" w:ascii="宋体" w:hAnsi="宋体" w:eastAsia="宋体" w:cs="宋体"/>
                <w:b/>
                <w:bCs/>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服务地点</w:t>
            </w:r>
          </w:p>
        </w:tc>
        <w:tc>
          <w:tcPr>
            <w:tcW w:w="5520" w:type="dxa"/>
            <w:tcBorders>
              <w:top w:val="single" w:color="auto" w:sz="4" w:space="0"/>
              <w:left w:val="single" w:color="auto" w:sz="4" w:space="0"/>
              <w:bottom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自合同签订之日起3年</w:t>
            </w:r>
            <w:r>
              <w:rPr>
                <w:rFonts w:hint="eastAsia" w:ascii="宋体" w:hAnsi="宋体" w:eastAsia="宋体" w:cs="宋体"/>
                <w:color w:val="auto"/>
                <w:sz w:val="24"/>
                <w:szCs w:val="24"/>
                <w:highlight w:val="none"/>
                <w:lang w:val="en-US" w:eastAsia="zh-CN"/>
              </w:rPr>
              <w:t>。</w:t>
            </w:r>
          </w:p>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服务地点</w:t>
            </w:r>
            <w:r>
              <w:rPr>
                <w:rFonts w:hint="eastAsia" w:ascii="宋体" w:hAnsi="宋体" w:eastAsia="宋体" w:cs="宋体"/>
                <w:color w:val="auto"/>
                <w:sz w:val="24"/>
                <w:szCs w:val="24"/>
                <w:highlight w:val="none"/>
              </w:rPr>
              <w:t>：</w:t>
            </w:r>
            <w:r>
              <w:rPr>
                <w:rFonts w:hint="eastAsia" w:ascii="宋体" w:hAnsi="宋体" w:eastAsia="宋体" w:cs="宋体"/>
                <w:b w:val="0"/>
                <w:bCs w:val="0"/>
                <w:color w:val="auto"/>
                <w:highlight w:val="none"/>
                <w:lang w:val="en-US" w:eastAsia="zh-CN"/>
              </w:rPr>
              <w:t>西安市阎良区新兴街道办事处</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投标人对招标文件提出质疑的时间</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投标人认为招标文件使自己的权益受到损害的，在收到采购文件之日起七个工作日内提出质疑，逾期提出的无效，因此带来的一切不利后果由投标人自负。</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自提交投标文件的截止之日起90个日历日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549" w:type="dxa"/>
            <w:tcBorders>
              <w:top w:val="single" w:color="auto" w:sz="4" w:space="0"/>
            </w:tcBorders>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汇款账户</w:t>
            </w:r>
          </w:p>
        </w:tc>
        <w:tc>
          <w:tcPr>
            <w:tcW w:w="5520" w:type="dxa"/>
            <w:tcBorders>
              <w:top w:val="single" w:color="auto" w:sz="4" w:space="0"/>
            </w:tcBorders>
            <w:shd w:val="clear" w:color="auto" w:fill="auto"/>
            <w:vAlign w:val="top"/>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1、开户行名称：陕西上德招标有限公司</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  户  行：中信银行西安南稍门支行</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3、帐      号：8111 7010 1170 0299 237</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财务部联系方式： </w:t>
            </w:r>
            <w:r>
              <w:rPr>
                <w:rFonts w:hint="eastAsia" w:ascii="宋体" w:hAnsi="宋体" w:eastAsia="宋体" w:cs="宋体"/>
                <w:color w:val="auto"/>
                <w:sz w:val="24"/>
                <w:szCs w:val="24"/>
                <w:highlight w:val="none"/>
                <w:lang w:eastAsia="zh-CN"/>
              </w:rPr>
              <w:t>029-86673953、029-86518381、029-89299829、029-89293231</w:t>
            </w:r>
            <w:r>
              <w:rPr>
                <w:rFonts w:hint="eastAsia" w:ascii="宋体" w:hAnsi="宋体" w:eastAsia="宋体" w:cs="宋体"/>
                <w:color w:val="auto"/>
                <w:sz w:val="24"/>
                <w:szCs w:val="24"/>
                <w:highlight w:val="none"/>
              </w:rPr>
              <w:t xml:space="preserve"> 转8033</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在汇款</w:t>
            </w:r>
            <w:r>
              <w:rPr>
                <w:rFonts w:hint="eastAsia" w:ascii="宋体" w:hAnsi="宋体" w:eastAsia="宋体" w:cs="宋体"/>
                <w:color w:val="auto"/>
                <w:sz w:val="24"/>
                <w:szCs w:val="24"/>
                <w:highlight w:val="none"/>
                <w:lang w:eastAsia="zh-CN"/>
              </w:rPr>
              <w:t>（招标服务费）</w:t>
            </w:r>
            <w:r>
              <w:rPr>
                <w:rFonts w:hint="eastAsia" w:ascii="宋体" w:hAnsi="宋体" w:eastAsia="宋体" w:cs="宋体"/>
                <w:color w:val="auto"/>
                <w:sz w:val="24"/>
                <w:szCs w:val="24"/>
                <w:highlight w:val="none"/>
              </w:rPr>
              <w:t>时须注明项目编号+项目简称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549"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549"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5520" w:type="dxa"/>
            <w:shd w:val="clear" w:color="auto" w:fill="auto"/>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电子投标文件制作过程中，需要法定代表人签字或盖章的地方，请使用“法人CA锁”进行签章；需要加盖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公章的地方，请使用“企业CA锁”进行签章</w:t>
            </w:r>
            <w:r>
              <w:rPr>
                <w:rFonts w:hint="eastAsia" w:ascii="宋体" w:hAnsi="宋体" w:eastAsia="宋体" w:cs="宋体"/>
                <w:color w:val="auto"/>
                <w:sz w:val="24"/>
                <w:szCs w:val="24"/>
                <w:highlight w:val="none"/>
                <w:lang w:eastAsia="zh-CN"/>
              </w:rPr>
              <w:t>。</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投标人必须按照招标文件的规定和要求在投标文件中指定的页面落款处加盖公章（鲜章）并由法定代表人签字（或盖章）。招标文件凡是要求法定代表人签字或盖章之处，非法人单位的负责人均参照执行。</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bottom w:val="single" w:color="auto" w:sz="4" w:space="0"/>
              <w:right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0"/>
                <w:highlight w:val="none"/>
                <w:lang w:val="en-US" w:eastAsia="zh-CN" w:bidi="ar-SA"/>
              </w:rPr>
              <w:t>投标报价是指完成服务内容的所有费用，包括前期调研费、人员交通食宿费及按现行税收政策征收的一切税费等。</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评标办法及标准</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详见招标文件第二章。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其它事项</w:t>
            </w:r>
          </w:p>
        </w:tc>
        <w:tc>
          <w:tcPr>
            <w:tcW w:w="5520" w:type="dxa"/>
            <w:shd w:val="clear" w:color="auto" w:fill="auto"/>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本次采购、投标报价、评审和合同授予均以项目为单位，投标人必须就一个完整项目进行响应。</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与采购人在中标通知书发出</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天内签订合同，不及时签订视为自动放弃。本项目不允许中标后另行转包或者分包履行。因自身原因拒绝签订政府采购合同的或者未按合同约定进行履约的，中标人不得参加对该项目重新开展的招标活动。</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已免费领取</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，如不参与项目</w:t>
            </w:r>
            <w:r>
              <w:rPr>
                <w:rFonts w:hint="eastAsia" w:ascii="宋体" w:hAnsi="宋体" w:eastAsia="宋体" w:cs="宋体"/>
                <w:color w:val="auto"/>
                <w:sz w:val="24"/>
                <w:szCs w:val="24"/>
                <w:highlight w:val="none"/>
                <w:lang w:eastAsia="zh-CN"/>
              </w:rPr>
              <w:t>投标活动</w:t>
            </w:r>
            <w:r>
              <w:rPr>
                <w:rFonts w:hint="eastAsia" w:ascii="宋体" w:hAnsi="宋体" w:eastAsia="宋体" w:cs="宋体"/>
                <w:color w:val="auto"/>
                <w:sz w:val="24"/>
                <w:szCs w:val="24"/>
                <w:highlight w:val="none"/>
              </w:rPr>
              <w:t>，应在递</w:t>
            </w:r>
            <w:r>
              <w:rPr>
                <w:rFonts w:hint="eastAsia" w:ascii="宋体" w:hAnsi="宋体" w:eastAsia="宋体" w:cs="宋体"/>
                <w:color w:val="auto"/>
                <w:sz w:val="24"/>
                <w:szCs w:val="24"/>
                <w:highlight w:val="none"/>
                <w:lang w:eastAsia="zh-CN"/>
              </w:rPr>
              <w:t>交投标</w:t>
            </w:r>
            <w:r>
              <w:rPr>
                <w:rFonts w:hint="eastAsia" w:ascii="宋体" w:hAnsi="宋体" w:eastAsia="宋体" w:cs="宋体"/>
                <w:color w:val="auto"/>
                <w:sz w:val="24"/>
                <w:szCs w:val="24"/>
                <w:highlight w:val="none"/>
              </w:rPr>
              <w:t>文件截止时间前一天以书面形式告知采购代理机构。否则，采购代理机构可以向财政部门反应情况并提供相应佐证。投标</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是否预留份额</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专门面向中小企业采购</w:t>
            </w:r>
          </w:p>
        </w:tc>
        <w:tc>
          <w:tcPr>
            <w:tcW w:w="5520" w:type="dxa"/>
            <w:shd w:val="clear" w:color="auto" w:fill="auto"/>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是否允许进口产品</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tcBorders>
              <w:top w:val="single" w:color="auto" w:sz="4" w:space="0"/>
            </w:tcBorders>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是否允许大中企业</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向小微企业分包</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免交</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w:t>
            </w:r>
          </w:p>
        </w:tc>
        <w:tc>
          <w:tcPr>
            <w:tcW w:w="5520"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投标文件份数</w:t>
            </w:r>
          </w:p>
        </w:tc>
        <w:tc>
          <w:tcPr>
            <w:tcW w:w="5520" w:type="dxa"/>
            <w:shd w:val="clear" w:color="auto" w:fill="auto"/>
            <w:vAlign w:val="center"/>
          </w:tcPr>
          <w:p>
            <w:p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无需提供；</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在领取中标通知书时提供一正两副</w:t>
            </w:r>
            <w:r>
              <w:rPr>
                <w:rFonts w:hint="eastAsia" w:ascii="宋体" w:hAnsi="宋体" w:eastAsia="宋体" w:cs="宋体"/>
                <w:color w:val="auto"/>
                <w:sz w:val="24"/>
                <w:szCs w:val="24"/>
                <w:highlight w:val="none"/>
                <w:lang w:eastAsia="zh-CN"/>
              </w:rPr>
              <w:t>纸质投标文件及</w:t>
            </w:r>
            <w:r>
              <w:rPr>
                <w:rFonts w:hint="eastAsia" w:ascii="宋体" w:hAnsi="宋体" w:eastAsia="宋体" w:cs="宋体"/>
                <w:color w:val="auto"/>
                <w:sz w:val="24"/>
                <w:szCs w:val="24"/>
                <w:highlight w:val="none"/>
              </w:rPr>
              <w:t>电子投标文件一份（U盘或移动硬盘；电子投标文件为Word版本和PDF版本，PDF文件为签字、盖章的完整正本扫描件）。</w:t>
            </w:r>
          </w:p>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装订：纸质投标文件采用书籍（胶装）方式装订成册，</w:t>
            </w:r>
            <w:r>
              <w:rPr>
                <w:rFonts w:hint="eastAsia" w:ascii="宋体" w:hAnsi="宋体" w:eastAsia="宋体" w:cs="宋体"/>
                <w:color w:val="auto"/>
                <w:sz w:val="24"/>
                <w:szCs w:val="24"/>
                <w:highlight w:val="none"/>
                <w:lang w:eastAsia="zh-CN"/>
              </w:rPr>
              <w:t>与电子投标文件一致的</w:t>
            </w:r>
            <w:r>
              <w:rPr>
                <w:rFonts w:hint="eastAsia" w:ascii="宋体" w:hAnsi="宋体" w:eastAsia="宋体" w:cs="宋体"/>
                <w:color w:val="auto"/>
                <w:sz w:val="24"/>
                <w:szCs w:val="24"/>
                <w:highlight w:val="none"/>
              </w:rPr>
              <w:t>签字、盖章的</w:t>
            </w:r>
            <w:r>
              <w:rPr>
                <w:rFonts w:hint="eastAsia" w:ascii="宋体" w:hAnsi="宋体" w:eastAsia="宋体" w:cs="宋体"/>
                <w:color w:val="auto"/>
                <w:sz w:val="24"/>
                <w:szCs w:val="24"/>
                <w:highlight w:val="none"/>
                <w:lang w:eastAsia="zh-CN"/>
              </w:rPr>
              <w:t>完整版本</w:t>
            </w:r>
            <w:r>
              <w:rPr>
                <w:rFonts w:hint="eastAsia" w:ascii="宋体" w:hAnsi="宋体" w:eastAsia="宋体" w:cs="宋体"/>
                <w:color w:val="auto"/>
                <w:sz w:val="24"/>
                <w:szCs w:val="24"/>
                <w:highlight w:val="none"/>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现场踏勘和集中答疑</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政府采购信息发布媒体</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（采购公告、采购结果公告、变更公告）</w:t>
            </w:r>
          </w:p>
        </w:tc>
        <w:tc>
          <w:tcPr>
            <w:tcW w:w="5520" w:type="dxa"/>
            <w:shd w:val="clear" w:color="auto" w:fill="auto"/>
            <w:vAlign w:val="center"/>
          </w:tcPr>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1．陕西省政府采购网：仅提供项目公告，官网地址：http://ccgp-shaanxi.gov.cn/。</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2．全国公共资源交易平台（陕西省西安市）：即西安市公共资源交易平台，提供项目公告和采购文件下载。官网地址：http://sxggzyjy.xa.gov.cn/</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询问和质疑</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见投标邀请函中的“联系方式”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投诉受理</w:t>
            </w:r>
          </w:p>
        </w:tc>
        <w:tc>
          <w:tcPr>
            <w:tcW w:w="5520" w:type="dxa"/>
            <w:shd w:val="clear" w:color="auto" w:fill="auto"/>
            <w:vAlign w:val="center"/>
          </w:tcPr>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受理单位：</w:t>
            </w:r>
            <w:r>
              <w:rPr>
                <w:rFonts w:hint="eastAsia" w:ascii="宋体" w:hAnsi="宋体" w:eastAsia="宋体" w:cs="宋体"/>
                <w:color w:val="auto"/>
                <w:sz w:val="24"/>
                <w:szCs w:val="24"/>
                <w:highlight w:val="none"/>
                <w:lang w:eastAsia="zh-CN"/>
              </w:rPr>
              <w:t>西安市阎良区财政局</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信用信息查询截至时点</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同提交投标文件截止时间</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开标形式</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不见面开标 </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详见本章“开标程序”有关内容。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是否允许递交多个备选投标方案</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西安市公共资源交易中心电子化政府采购系统技术支持（软件开发商）</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国泰新点软件股份有限公司</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1．技术支持热线：400-998-0000/400-928-0095</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2．驻场技术人员：029-86510166/86510167转80310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01" w:type="dxa"/>
            <w:shd w:val="clear" w:color="auto" w:fill="auto"/>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2549" w:type="dxa"/>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CA业务网点</w:t>
            </w:r>
          </w:p>
        </w:tc>
        <w:tc>
          <w:tcPr>
            <w:tcW w:w="5520" w:type="dxa"/>
            <w:shd w:val="clear" w:color="auto" w:fill="auto"/>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陕西省数字证书认证中心股份有限公司</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网点1：西安市高新三路信息港大厦1楼客服中心</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客服电话：4006-369-888</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网点2：西安市长安北路14号省体育公寓B座一楼</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咨询电话：029-88661241</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网点3：西安市文景北路16号白桦林国际B座2楼11#窗口</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咨询电话：029-86510073转80211</w:t>
            </w:r>
          </w:p>
        </w:tc>
      </w:tr>
    </w:tbl>
    <w:p>
      <w:pPr>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pStyle w:val="5"/>
        <w:rPr>
          <w:rFonts w:hint="eastAsia" w:ascii="宋体" w:hAnsi="宋体" w:eastAsia="宋体" w:cs="宋体"/>
          <w:color w:val="auto"/>
          <w:sz w:val="24"/>
          <w:szCs w:val="24"/>
          <w:highlight w:val="none"/>
        </w:rPr>
      </w:pPr>
      <w:bookmarkStart w:id="30" w:name="_Toc28595"/>
      <w:r>
        <w:rPr>
          <w:rFonts w:hint="eastAsia" w:ascii="宋体" w:hAnsi="宋体" w:eastAsia="宋体" w:cs="宋体"/>
          <w:color w:val="auto"/>
          <w:sz w:val="24"/>
          <w:szCs w:val="24"/>
          <w:highlight w:val="none"/>
        </w:rPr>
        <w:t>一、有关定义</w:t>
      </w:r>
      <w:bookmarkEnd w:id="3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1．采购人：依法进行政府采购的西安市市级机关、事业单位或团体组织。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：指向采购人提供货物、工程或者服务的法人、其他组织或者自然人。</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31" w:name="_Toc15334"/>
      <w:r>
        <w:rPr>
          <w:rFonts w:hint="eastAsia" w:ascii="宋体" w:hAnsi="宋体" w:eastAsia="宋体" w:cs="宋体"/>
          <w:color w:val="auto"/>
          <w:sz w:val="24"/>
          <w:szCs w:val="24"/>
          <w:highlight w:val="none"/>
        </w:rPr>
        <w:t>3．同级政府采购监管部门：</w:t>
      </w:r>
      <w:r>
        <w:rPr>
          <w:rFonts w:hint="eastAsia" w:ascii="宋体" w:hAnsi="宋体" w:eastAsia="宋体" w:cs="宋体"/>
          <w:color w:val="auto"/>
          <w:sz w:val="24"/>
          <w:szCs w:val="24"/>
          <w:highlight w:val="none"/>
          <w:lang w:eastAsia="zh-CN"/>
        </w:rPr>
        <w:t>西安市阎良区财政局</w:t>
      </w:r>
      <w:r>
        <w:rPr>
          <w:rFonts w:hint="eastAsia" w:ascii="宋体" w:hAnsi="宋体" w:eastAsia="宋体" w:cs="宋体"/>
          <w:color w:val="auto"/>
          <w:sz w:val="24"/>
          <w:szCs w:val="24"/>
          <w:highlight w:val="none"/>
        </w:rPr>
        <w:t>。</w:t>
      </w:r>
      <w:bookmarkEnd w:id="31"/>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4．西安市公共资源交易平台：即【全国公共资源交易平台（陕西省西安市）】的简称，官网地址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5．企业端：指西安市公共资源交易平台〖首页〉电子交易平台〉陕西政府采购交易系统〉企业端〗，快捷登录网址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"http://www.sxggzyjy.cn:9002/TPBidder/memberLogin"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http://www.sxggzyjy.cn:9002/TPBidder/memberLogin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p>
    <w:p>
      <w:pPr>
        <w:pStyle w:val="5"/>
        <w:rPr>
          <w:rFonts w:hint="eastAsia" w:ascii="宋体" w:hAnsi="宋体" w:eastAsia="宋体" w:cs="宋体"/>
          <w:color w:val="auto"/>
          <w:sz w:val="24"/>
          <w:szCs w:val="24"/>
          <w:highlight w:val="none"/>
        </w:rPr>
      </w:pPr>
      <w:bookmarkStart w:id="32" w:name="_Toc18249"/>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注意事项</w:t>
      </w:r>
      <w:bookmarkEnd w:id="32"/>
    </w:p>
    <w:p>
      <w:pPr>
        <w:pStyle w:val="96"/>
        <w:spacing w:before="210" w:after="210"/>
        <w:ind w:firstLine="640"/>
        <w:outlineLvl w:val="2"/>
        <w:rPr>
          <w:rFonts w:hint="eastAsia" w:ascii="宋体" w:hAnsi="宋体" w:eastAsia="宋体" w:cs="宋体"/>
          <w:color w:val="auto"/>
          <w:sz w:val="24"/>
          <w:szCs w:val="24"/>
          <w:highlight w:val="none"/>
        </w:rPr>
      </w:pPr>
      <w:bookmarkStart w:id="33" w:name="_Toc297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投标流程</w:t>
      </w:r>
      <w:bookmarkEnd w:id="3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使用电子交易系统的采购项目（即线上项目），将同时提供WORD\PDF格式（仅用于预览）和SXSZF格式（用于制作电子投标文件）两个版本，文件内容一致。</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1．预览采购文件：打开西安市公共资源交易平台〖首页〉交易大厅〉政府采购〗栏目，下载和阅读本项目采购文件的预览版本（WORD\PDF格式）；</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2．办理注册登记（针对初次使用电子交易系统的用户）：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（1）办理诚信入库注册：在决定参加本项目采购活动后，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应先在西安市公共资源交易平台上完成“诚信入库登记”；</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w:t>
      </w:r>
    </w:p>
    <w:p>
      <w:pPr>
        <w:widowControl w:val="0"/>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办理须知：</w:t>
      </w:r>
    </w:p>
    <w:p>
      <w:pPr>
        <w:widowControl w:val="0"/>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http://</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"http://www.snca.com.cn/channel/show/27.html"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www.snca.com.cn/channel/show/27.html</w:t>
      </w:r>
      <w:r>
        <w:rPr>
          <w:rStyle w:val="35"/>
          <w:rFonts w:hint="eastAsia" w:ascii="宋体" w:hAnsi="宋体" w:eastAsia="宋体" w:cs="宋体"/>
          <w:color w:val="auto"/>
          <w:sz w:val="24"/>
          <w:szCs w:val="24"/>
          <w:highlight w:val="none"/>
          <w:u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（3）绑定和激活CA：将数字证书与诚信库中的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账户进行绑定。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3．下载电子招标文件：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登录西安市公共资源交易平台〖首页〉电子交易平台〉陕西政府采购交易系统〉企业端〗，在〖招标公告/出让公告〗模块中预览全部可供参与的项目，然后选择有意向的项目点击〖我要投标〗，成功后切换到〖我的项目〗模块，依次点选〖项目流程〉项目管理〉交易文件下载〗免费获取本项目电子招标文件（*.SXSZF）。请务必在采购文件获取期限内及时下载电子招标文件并做好备份，逾期无法再下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4．制作电子投标文件：需要使用专用制作软件“新点投标文件制作软件（陕西公共资源）”进行编制，编制完成后使用CA锁对电子投标文件进行签章、加密。详见本章中的“投标文件”相关内容。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5．提交电子投标文件：在提交投标文件截止时间前及时提交加密后电子投标文件，逾期提交的，系统将会拒收；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6．在线参加开标大会：开标当日，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法定代表人或其授权代表需提前登录“不见面开标”系统，收到主持人“开始解密”指令后，使用CA锁（必须与加密文件时的CA锁为同一把锁）在线对电子投标文件进行解密。采用“不见面开标”系统后，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无需到达开标现场，即可在线参与整个开标过程。相关技术问题，请咨询软件开发商。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7．等待专家评审：评审期间，可能需要对评审专家提出的问题进行澄清或答复。在主持人宣布评审结束前，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请勿擅自离席，否则由此造成的不利后果，由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注册：按照陕西省政府采购监管部门的要求，采购代理机构在发布中标公告前，应由</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在陕西省政府采购网上完成注册。</w:t>
      </w:r>
    </w:p>
    <w:p>
      <w:pPr>
        <w:pStyle w:val="96"/>
        <w:spacing w:before="210" w:after="210"/>
        <w:ind w:firstLine="640"/>
        <w:outlineLvl w:val="2"/>
        <w:rPr>
          <w:rFonts w:hint="eastAsia" w:ascii="宋体" w:hAnsi="宋体" w:eastAsia="宋体" w:cs="宋体"/>
          <w:color w:val="auto"/>
          <w:sz w:val="24"/>
          <w:szCs w:val="24"/>
          <w:highlight w:val="none"/>
        </w:rPr>
      </w:pPr>
      <w:bookmarkStart w:id="34" w:name="_Toc10189"/>
      <w:r>
        <w:rPr>
          <w:rFonts w:hint="eastAsia" w:ascii="宋体" w:hAnsi="宋体" w:eastAsia="宋体" w:cs="宋体"/>
          <w:color w:val="auto"/>
          <w:sz w:val="24"/>
          <w:szCs w:val="24"/>
          <w:highlight w:val="none"/>
        </w:rPr>
        <w:t>（二）关于询问、质疑和投诉</w:t>
      </w:r>
      <w:bookmarkEnd w:id="34"/>
    </w:p>
    <w:p>
      <w:pPr>
        <w:pStyle w:val="95"/>
        <w:outlineLvl w:val="3"/>
        <w:rPr>
          <w:rFonts w:hint="eastAsia" w:ascii="宋体" w:hAnsi="宋体" w:eastAsia="宋体" w:cs="宋体"/>
          <w:color w:val="auto"/>
          <w:sz w:val="24"/>
          <w:szCs w:val="24"/>
          <w:highlight w:val="none"/>
        </w:rPr>
      </w:pPr>
      <w:bookmarkStart w:id="35" w:name="_Toc415"/>
      <w:r>
        <w:rPr>
          <w:rFonts w:hint="eastAsia" w:ascii="宋体" w:hAnsi="宋体" w:eastAsia="宋体" w:cs="宋体"/>
          <w:color w:val="auto"/>
          <w:sz w:val="24"/>
          <w:szCs w:val="24"/>
          <w:highlight w:val="none"/>
        </w:rPr>
        <w:t>1．询问</w:t>
      </w:r>
      <w:bookmarkEnd w:id="3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对政府采购活动事项有疑问的，可以向采购人或采购代理机构提出询问。采购人或采购代理机构将在3个工作日内对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依法提出的询问作出答复。</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根据采购人和采购代理机构签订的《政府采购委托代理协议》，针对采购需求（包括采购内容、技术或服务要求、商务要求、合同条款、</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资格条件、评审要素及分值一览表）的询问请向采购人提出。</w:t>
      </w:r>
    </w:p>
    <w:p>
      <w:pPr>
        <w:pStyle w:val="95"/>
        <w:outlineLvl w:val="3"/>
        <w:rPr>
          <w:rFonts w:hint="eastAsia" w:ascii="宋体" w:hAnsi="宋体" w:eastAsia="宋体" w:cs="宋体"/>
          <w:color w:val="auto"/>
          <w:sz w:val="24"/>
          <w:szCs w:val="24"/>
          <w:highlight w:val="none"/>
        </w:rPr>
      </w:pPr>
      <w:bookmarkStart w:id="36" w:name="_Toc27463"/>
      <w:r>
        <w:rPr>
          <w:rFonts w:hint="eastAsia" w:ascii="宋体" w:hAnsi="宋体" w:eastAsia="宋体" w:cs="宋体"/>
          <w:color w:val="auto"/>
          <w:sz w:val="24"/>
          <w:szCs w:val="24"/>
          <w:highlight w:val="none"/>
        </w:rPr>
        <w:t>2．质疑</w:t>
      </w:r>
      <w:bookmarkEnd w:id="3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认为采购文件、采购过程、成交结果使自己的权益受到损害的，可以在知道或应知其权益受到损害之日起7个工作日内以书面形式向采购人、采购代理机构提出。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（2）质疑方式：</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在线质疑：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登录西安市公共资源交易平台〖首页〉电子交易平台〉企业端〗，在〖我的项目〗中点击“项目流程〉提出质疑”，填写表单并提交质疑。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书面质疑：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书面质疑函应按照财政部国库司制定的《政府采购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质疑函范本》（见下方链接）进行填写，签字、盖章后提交至采购人、采购代理机构。</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质疑函范本地址：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"http://download.ccgp.gov.cn/2018/zhiyihanfanben.zip"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http://download.ccgp.gov.cn/2018/zhiyihanfanben.zip</w:t>
      </w:r>
      <w:r>
        <w:rPr>
          <w:rStyle w:val="35"/>
          <w:rFonts w:hint="eastAsia" w:ascii="宋体" w:hAnsi="宋体" w:eastAsia="宋体" w:cs="宋体"/>
          <w:color w:val="auto"/>
          <w:sz w:val="24"/>
          <w:szCs w:val="24"/>
          <w:highlight w:val="none"/>
          <w:u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为自然人的，应当由本人签字；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为法人或者其他组织的，应当由法定代表人、主要负责人，或者其授权代表签字或者盖章，并加盖单位公章，公章不得以合同章或其他印章代替。</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委托代理人提出质疑的，应当同时提交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签署的授权委托书。</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（4）在法定质疑期内，针对同一采购程序环节的质疑应当一次性提出。采购人、采购代理机构将在收到书面质疑后7个工作日内做出答复，并以书面形式通知质疑人和其他有关</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（5）有下列情形之一的，属于无效质疑：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对采购文件提出质疑的质疑人不是依法获取采购文件的潜在</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；对采购过程、中标结果提出质疑的质疑人不是参与本次政府采购项目的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超过法定期限或未以书面形式提出的；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缺乏必要的证明材料，或捏造事实、提供虚假材料，或以非法手段取得证明材料的；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质疑函没有合法有效的签字、盖章或委托授权书的（代理人提出质疑和投诉，应当提交</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签署的授权委托书）；</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针对同一采购程序环节又提出其他质疑事项的，或质疑答复后就同一事项再次提出质疑的；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不符合法律、法规、规章和政府采购监管机构规定的其他条件的。</w:t>
      </w:r>
    </w:p>
    <w:p>
      <w:pPr>
        <w:pStyle w:val="95"/>
        <w:outlineLvl w:val="3"/>
        <w:rPr>
          <w:rFonts w:hint="eastAsia" w:ascii="宋体" w:hAnsi="宋体" w:eastAsia="宋体" w:cs="宋体"/>
          <w:color w:val="auto"/>
          <w:sz w:val="24"/>
          <w:szCs w:val="24"/>
          <w:highlight w:val="none"/>
        </w:rPr>
      </w:pPr>
      <w:bookmarkStart w:id="37" w:name="_Toc609"/>
      <w:r>
        <w:rPr>
          <w:rFonts w:hint="eastAsia" w:ascii="宋体" w:hAnsi="宋体" w:eastAsia="宋体" w:cs="宋体"/>
          <w:color w:val="auto"/>
          <w:sz w:val="24"/>
          <w:szCs w:val="24"/>
          <w:highlight w:val="none"/>
        </w:rPr>
        <w:t>3．投诉</w:t>
      </w:r>
      <w:bookmarkEnd w:id="3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color w:val="auto"/>
          <w:sz w:val="24"/>
          <w:szCs w:val="24"/>
          <w:highlight w:val="none"/>
          <w:lang w:eastAsia="zh-CN"/>
        </w:rPr>
        <w:t>西安市阎良区财政局</w:t>
      </w:r>
      <w:r>
        <w:rPr>
          <w:rFonts w:hint="eastAsia" w:ascii="宋体" w:hAnsi="宋体" w:eastAsia="宋体" w:cs="宋体"/>
          <w:color w:val="auto"/>
          <w:sz w:val="24"/>
          <w:szCs w:val="24"/>
          <w:highlight w:val="none"/>
        </w:rPr>
        <w:t>提出投诉。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投诉的事项不得超出已质疑事项的范围。</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提出投诉时，应当提交投诉书和必要的证明材料，并按财政部《投诉书范本》给定的格式进行填写。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投诉书范本地址：</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"http://download.ccgp.gov.cn/2018/tousushufanben.zip"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http://download.ccgp.gov.cn/2018/tousushufanben.zip</w:t>
      </w:r>
      <w:r>
        <w:rPr>
          <w:rStyle w:val="35"/>
          <w:rFonts w:hint="eastAsia" w:ascii="宋体" w:hAnsi="宋体" w:eastAsia="宋体" w:cs="宋体"/>
          <w:color w:val="auto"/>
          <w:sz w:val="24"/>
          <w:szCs w:val="24"/>
          <w:highlight w:val="none"/>
        </w:rPr>
        <w:fldChar w:fldCharType="end"/>
      </w:r>
    </w:p>
    <w:p>
      <w:pPr>
        <w:pStyle w:val="95"/>
        <w:outlineLvl w:val="3"/>
        <w:rPr>
          <w:rFonts w:hint="eastAsia" w:ascii="宋体" w:hAnsi="宋体" w:eastAsia="宋体" w:cs="宋体"/>
          <w:color w:val="auto"/>
          <w:sz w:val="24"/>
          <w:szCs w:val="24"/>
          <w:highlight w:val="none"/>
        </w:rPr>
      </w:pPr>
      <w:bookmarkStart w:id="38" w:name="_Toc21647"/>
      <w:r>
        <w:rPr>
          <w:rFonts w:hint="eastAsia" w:ascii="宋体" w:hAnsi="宋体" w:eastAsia="宋体" w:cs="宋体"/>
          <w:color w:val="auto"/>
          <w:sz w:val="24"/>
          <w:szCs w:val="24"/>
          <w:highlight w:val="none"/>
        </w:rPr>
        <w:t>4．恶意质疑、投诉的法律后果</w:t>
      </w:r>
      <w:bookmarkEnd w:id="3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（1）对捏造事实、提供虚假材料进行质疑、投诉的行为予以严肃处理：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（2）对捏造事实诬告陷害他人、诽谤他人的法律适用：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《中华人民共和国刑法》第243条【诬告陷害罪】捏造事实诬告陷害他人，意图使他人受刑事追究，情节严重的，处三年以下有期徒刑、拘役或者管制；造成严重后果的，处三年以上十年以下有期徒刑。</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《中华人民共和国刑法》第246条【侮辱罪、诽谤罪】以暴力或者其他方法公然侮辱他人或者捏造事实诽谤他人，情节严重的，处三年以下有期徒刑、拘役、管制或者剥夺政治权利。</w:t>
      </w:r>
    </w:p>
    <w:p>
      <w:pPr>
        <w:pStyle w:val="96"/>
        <w:numPr>
          <w:ilvl w:val="0"/>
          <w:numId w:val="3"/>
        </w:numPr>
        <w:spacing w:before="210" w:after="210"/>
        <w:ind w:firstLine="640"/>
        <w:outlineLvl w:val="2"/>
        <w:rPr>
          <w:rFonts w:hint="eastAsia" w:ascii="宋体" w:hAnsi="宋体" w:eastAsia="宋体" w:cs="宋体"/>
          <w:color w:val="auto"/>
          <w:sz w:val="24"/>
          <w:szCs w:val="24"/>
          <w:highlight w:val="none"/>
        </w:rPr>
      </w:pPr>
      <w:bookmarkStart w:id="39" w:name="_Toc7297"/>
      <w:r>
        <w:rPr>
          <w:rFonts w:hint="eastAsia" w:ascii="宋体" w:hAnsi="宋体" w:eastAsia="宋体" w:cs="宋体"/>
          <w:color w:val="auto"/>
          <w:sz w:val="24"/>
          <w:szCs w:val="24"/>
          <w:highlight w:val="none"/>
        </w:rPr>
        <w:t>关于保证金</w:t>
      </w:r>
      <w:bookmarkEnd w:id="39"/>
    </w:p>
    <w:p>
      <w:pPr>
        <w:pStyle w:val="96"/>
        <w:spacing w:before="210" w:after="210"/>
        <w:ind w:firstLine="640"/>
        <w:outlineLvl w:val="2"/>
        <w:rPr>
          <w:rFonts w:hint="eastAsia" w:ascii="宋体" w:hAnsi="宋体" w:eastAsia="宋体" w:cs="宋体"/>
          <w:b w:val="0"/>
          <w:bCs w:val="0"/>
          <w:color w:val="auto"/>
          <w:sz w:val="24"/>
          <w:szCs w:val="24"/>
          <w:highlight w:val="none"/>
          <w:lang w:val="en-US" w:eastAsia="zh-CN"/>
        </w:rPr>
      </w:pPr>
      <w:bookmarkStart w:id="40" w:name="_Toc9936"/>
      <w:r>
        <w:rPr>
          <w:rFonts w:hint="eastAsia" w:ascii="宋体" w:hAnsi="宋体" w:eastAsia="宋体" w:cs="宋体"/>
          <w:b w:val="0"/>
          <w:bCs w:val="0"/>
          <w:color w:val="auto"/>
          <w:sz w:val="24"/>
          <w:szCs w:val="24"/>
          <w:highlight w:val="none"/>
          <w:lang w:val="en-US" w:eastAsia="zh-CN"/>
        </w:rPr>
        <w:t>本项目不收取保证金</w:t>
      </w:r>
    </w:p>
    <w:p>
      <w:pPr>
        <w:pStyle w:val="96"/>
        <w:spacing w:before="210" w:after="210"/>
        <w:ind w:firstLine="64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（四）关于联合体</w:t>
      </w:r>
      <w:bookmarkEnd w:id="40"/>
    </w:p>
    <w:p>
      <w:pPr>
        <w:spacing w:line="56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本项目不接受联合体</w:t>
      </w:r>
      <w:r>
        <w:rPr>
          <w:rFonts w:hint="eastAsia" w:ascii="宋体" w:hAnsi="宋体" w:eastAsia="宋体" w:cs="宋体"/>
          <w:color w:val="auto"/>
          <w:sz w:val="24"/>
          <w:szCs w:val="24"/>
          <w:highlight w:val="none"/>
          <w:lang w:val="en-US" w:eastAsia="zh-CN"/>
        </w:rPr>
        <w:t>投标</w:t>
      </w:r>
    </w:p>
    <w:p>
      <w:pPr>
        <w:pStyle w:val="96"/>
        <w:spacing w:before="210" w:after="210"/>
        <w:ind w:firstLine="640"/>
        <w:outlineLvl w:val="2"/>
        <w:rPr>
          <w:rFonts w:hint="eastAsia" w:ascii="宋体" w:hAnsi="宋体" w:eastAsia="宋体" w:cs="宋体"/>
          <w:color w:val="auto"/>
          <w:sz w:val="24"/>
          <w:szCs w:val="24"/>
          <w:highlight w:val="none"/>
        </w:rPr>
      </w:pPr>
      <w:bookmarkStart w:id="41" w:name="_Toc18164"/>
      <w:r>
        <w:rPr>
          <w:rFonts w:hint="eastAsia" w:ascii="宋体" w:hAnsi="宋体" w:eastAsia="宋体" w:cs="宋体"/>
          <w:color w:val="auto"/>
          <w:sz w:val="24"/>
          <w:szCs w:val="24"/>
          <w:highlight w:val="none"/>
        </w:rPr>
        <w:t>（五）关于进口产品</w:t>
      </w:r>
      <w:bookmarkEnd w:id="4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本项目不接受进口产品</w:t>
      </w:r>
      <w:r>
        <w:rPr>
          <w:rFonts w:hint="eastAsia" w:ascii="宋体" w:hAnsi="宋体" w:eastAsia="宋体" w:cs="宋体"/>
          <w:color w:val="auto"/>
          <w:sz w:val="24"/>
          <w:szCs w:val="24"/>
          <w:highlight w:val="none"/>
          <w:lang w:val="en-US" w:eastAsia="zh-CN"/>
        </w:rPr>
        <w:t>投标</w:t>
      </w:r>
    </w:p>
    <w:p>
      <w:pPr>
        <w:pStyle w:val="96"/>
        <w:spacing w:before="210" w:after="210"/>
        <w:ind w:firstLine="640"/>
        <w:outlineLvl w:val="2"/>
        <w:rPr>
          <w:rFonts w:hint="eastAsia" w:ascii="宋体" w:hAnsi="宋体" w:eastAsia="宋体" w:cs="宋体"/>
          <w:color w:val="auto"/>
          <w:sz w:val="24"/>
          <w:szCs w:val="24"/>
          <w:highlight w:val="none"/>
        </w:rPr>
      </w:pPr>
      <w:bookmarkStart w:id="42" w:name="_Toc28193"/>
      <w:r>
        <w:rPr>
          <w:rFonts w:hint="eastAsia" w:ascii="宋体" w:hAnsi="宋体" w:eastAsia="宋体" w:cs="宋体"/>
          <w:color w:val="auto"/>
          <w:sz w:val="24"/>
          <w:szCs w:val="24"/>
          <w:highlight w:val="none"/>
        </w:rPr>
        <w:t>（六）关于政府采购政策</w:t>
      </w:r>
      <w:bookmarkEnd w:id="42"/>
    </w:p>
    <w:p>
      <w:pPr>
        <w:pStyle w:val="95"/>
        <w:outlineLvl w:val="3"/>
        <w:rPr>
          <w:rFonts w:hint="eastAsia" w:ascii="宋体" w:hAnsi="宋体" w:eastAsia="宋体" w:cs="宋体"/>
          <w:color w:val="auto"/>
          <w:sz w:val="24"/>
          <w:szCs w:val="24"/>
          <w:highlight w:val="none"/>
        </w:rPr>
      </w:pPr>
      <w:bookmarkStart w:id="43" w:name="_Toc29567"/>
      <w:r>
        <w:rPr>
          <w:rFonts w:hint="eastAsia" w:ascii="宋体" w:hAnsi="宋体" w:eastAsia="宋体" w:cs="宋体"/>
          <w:color w:val="auto"/>
          <w:sz w:val="24"/>
          <w:szCs w:val="24"/>
          <w:highlight w:val="none"/>
        </w:rPr>
        <w:t>1．对中小企业、监狱企业、残疾人福利性单位的优惠政策</w:t>
      </w:r>
      <w:bookmarkEnd w:id="43"/>
    </w:p>
    <w:p>
      <w:pPr>
        <w:spacing w:line="560" w:lineRule="exact"/>
        <w:ind w:firstLine="480" w:firstLineChars="200"/>
        <w:jc w:val="both"/>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rPr>
        <w:t>（1）根据《政府采购促进中小企业发展管理办法》（财库〔2020〕46号），对于专门面向中小企业采购的项目或者采购包,不再执行价格评审优惠的扶持政策。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（2）根据财政部、司法部联合下发的《关于政府采购支持监狱企业发展有关问题的通知》（财库〔2014〕68号）的规定，监狱企业视同小型、微型企业。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中小企业参加政府采购活动，须提供《中小企业声明函》（式样见</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文件格式），否则不得享受相关中小企业扶持政策。供应商须保证真实性，如有虚假，将依法承担相应责任。</w:t>
      </w:r>
    </w:p>
    <w:p>
      <w:pPr>
        <w:pStyle w:val="95"/>
        <w:outlineLvl w:val="3"/>
        <w:rPr>
          <w:rFonts w:hint="eastAsia" w:ascii="宋体" w:hAnsi="宋体" w:eastAsia="宋体" w:cs="宋体"/>
          <w:color w:val="auto"/>
          <w:sz w:val="24"/>
          <w:szCs w:val="24"/>
          <w:highlight w:val="none"/>
        </w:rPr>
      </w:pPr>
      <w:bookmarkStart w:id="44" w:name="_Toc32162"/>
      <w:r>
        <w:rPr>
          <w:rFonts w:hint="eastAsia" w:ascii="宋体" w:hAnsi="宋体" w:eastAsia="宋体" w:cs="宋体"/>
          <w:color w:val="auto"/>
          <w:sz w:val="24"/>
          <w:szCs w:val="24"/>
          <w:highlight w:val="none"/>
        </w:rPr>
        <w:t>2．节能、环保产品采购政策</w:t>
      </w:r>
      <w:bookmarkEnd w:id="4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（3）《节能产品政府采购品目清单》见财政部、发展改革委《关于印发节能产品政府采购品目清单的通知》（财库〔2019〕19号）附件。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（4）《环境标志产品政府采购品目清单》见财政部、生态环境部《关于印发环境标志产品政府采购品目清单的通知》（财库〔2019〕18号）附件。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（5）“国家确定的认证机构”名单见市场监管总局《关于发布参与实施政府采购节能产品、环境标志产品认证机构名录的公告》（2019年第16号）。</w:t>
      </w:r>
    </w:p>
    <w:p>
      <w:pPr>
        <w:pStyle w:val="95"/>
        <w:outlineLvl w:val="3"/>
        <w:rPr>
          <w:rFonts w:hint="eastAsia" w:ascii="宋体" w:hAnsi="宋体" w:eastAsia="宋体" w:cs="宋体"/>
          <w:color w:val="auto"/>
          <w:sz w:val="24"/>
          <w:szCs w:val="24"/>
          <w:highlight w:val="none"/>
        </w:rPr>
      </w:pPr>
      <w:bookmarkStart w:id="45" w:name="_Toc12208"/>
      <w:r>
        <w:rPr>
          <w:rFonts w:hint="eastAsia" w:ascii="宋体" w:hAnsi="宋体" w:eastAsia="宋体" w:cs="宋体"/>
          <w:color w:val="auto"/>
          <w:sz w:val="24"/>
          <w:szCs w:val="24"/>
          <w:highlight w:val="none"/>
        </w:rPr>
        <w:t>3．陕西省中小企业政府采购信用融资办法</w:t>
      </w:r>
      <w:bookmarkEnd w:id="4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"http://www.ccgp-shaanxi.gov.cn/zcdservice/zcd/shanxi/article/zcdt/1390497710741917696"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http://www.ccgp-shaanxi.gov.cn/zcdservice/zcd/shanxi/article/zcdt/1390497710741917696</w:t>
      </w:r>
      <w:r>
        <w:rPr>
          <w:rStyle w:val="35"/>
          <w:rFonts w:hint="eastAsia" w:ascii="宋体" w:hAnsi="宋体" w:eastAsia="宋体" w:cs="宋体"/>
          <w:color w:val="auto"/>
          <w:sz w:val="24"/>
          <w:szCs w:val="24"/>
          <w:highlight w:val="none"/>
          <w:u w:val="none"/>
        </w:rPr>
        <w:fldChar w:fldCharType="end"/>
      </w:r>
    </w:p>
    <w:p>
      <w:pPr>
        <w:pStyle w:val="96"/>
        <w:spacing w:before="210" w:after="210"/>
        <w:ind w:firstLine="640"/>
        <w:outlineLvl w:val="2"/>
        <w:rPr>
          <w:rFonts w:hint="eastAsia" w:ascii="宋体" w:hAnsi="宋体" w:eastAsia="宋体" w:cs="宋体"/>
          <w:color w:val="auto"/>
          <w:sz w:val="24"/>
          <w:szCs w:val="24"/>
          <w:highlight w:val="none"/>
        </w:rPr>
      </w:pPr>
      <w:bookmarkStart w:id="46" w:name="_Toc2708"/>
      <w:r>
        <w:rPr>
          <w:rFonts w:hint="eastAsia" w:ascii="宋体" w:hAnsi="宋体" w:eastAsia="宋体" w:cs="宋体"/>
          <w:color w:val="auto"/>
          <w:sz w:val="24"/>
          <w:szCs w:val="24"/>
          <w:highlight w:val="none"/>
        </w:rPr>
        <w:t>（七）关于现场踏勘和集中答疑</w:t>
      </w:r>
      <w:bookmarkEnd w:id="46"/>
    </w:p>
    <w:p>
      <w:pPr>
        <w:spacing w:line="560" w:lineRule="exact"/>
        <w:ind w:firstLine="480" w:firstLineChars="200"/>
        <w:jc w:val="both"/>
        <w:rPr>
          <w:rFonts w:hint="eastAsia" w:ascii="宋体" w:hAnsi="宋体" w:eastAsia="宋体" w:cs="宋体"/>
          <w:color w:val="auto"/>
          <w:sz w:val="24"/>
          <w:szCs w:val="24"/>
          <w:highlight w:val="yellow"/>
        </w:rPr>
      </w:pPr>
      <w:r>
        <w:rPr>
          <w:rFonts w:hint="eastAsia" w:ascii="宋体" w:hAnsi="宋体"/>
          <w:color w:val="auto"/>
          <w:sz w:val="24"/>
          <w:highlight w:val="none"/>
        </w:rPr>
        <w:t>不组织。</w:t>
      </w:r>
    </w:p>
    <w:p>
      <w:pPr>
        <w:pStyle w:val="96"/>
        <w:spacing w:before="210" w:after="210"/>
        <w:ind w:firstLine="640"/>
        <w:outlineLvl w:val="2"/>
        <w:rPr>
          <w:rFonts w:hint="eastAsia" w:ascii="宋体" w:hAnsi="宋体" w:eastAsia="宋体" w:cs="宋体"/>
          <w:color w:val="auto"/>
          <w:sz w:val="24"/>
          <w:szCs w:val="24"/>
          <w:highlight w:val="none"/>
        </w:rPr>
      </w:pPr>
      <w:bookmarkStart w:id="47" w:name="_Toc17987"/>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）关于知识产权和保密事项</w:t>
      </w:r>
      <w:bookmarkEnd w:id="4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1．所有涉及知识产权的产品及设计，</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必须确保委托人、采购人拥有其合法的、不受限制的无偿使用权，并免受任何侵权诉讼或索偿；否则，由此产生的一切经济损失和法律责任由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2．由采购人向</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提供的用户需求书、图纸、样品、模型、模件和所有资料，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获得后，应对其保密。除非采购人同意，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不得向第三方透露或将其用于本次投 标以外的任何用途。开标后，若采购人有要求，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人须归还采购人认为需保密的文件和资料，并销毁所有相应的备份文件及资料。</w:t>
      </w:r>
    </w:p>
    <w:p>
      <w:pPr>
        <w:pStyle w:val="96"/>
        <w:spacing w:before="210" w:after="210"/>
        <w:ind w:firstLine="640"/>
        <w:outlineLvl w:val="2"/>
        <w:rPr>
          <w:rFonts w:hint="eastAsia" w:ascii="宋体" w:hAnsi="宋体" w:eastAsia="宋体" w:cs="宋体"/>
          <w:color w:val="auto"/>
          <w:sz w:val="24"/>
          <w:szCs w:val="24"/>
          <w:highlight w:val="none"/>
        </w:rPr>
      </w:pPr>
      <w:bookmarkStart w:id="48" w:name="_Toc8141"/>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）关于信用记录的查询和使用</w:t>
      </w:r>
      <w:bookmarkEnd w:id="4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"https://www.creditchina.gov.cn"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https://www.creditchina.gov.cn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/）和【中国政府采购网】（</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的信用情况进行甄别。</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，将拒绝其参与政府采购活动。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在参加政府采购活动前3年内因违法经营被禁止在一定期限内参加政府采购活动，期限届满的，可以参加政府采购活动的，但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应提供相关证明材料。</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4．信用记录查询结果打印后，将与其他采购文件一并保存。如相关失信记录已失效，需提供相关证明资料</w:t>
      </w:r>
      <w:r>
        <w:rPr>
          <w:rFonts w:hint="eastAsia" w:ascii="宋体" w:hAnsi="宋体" w:eastAsia="宋体" w:cs="宋体"/>
          <w:color w:val="auto"/>
          <w:sz w:val="24"/>
          <w:szCs w:val="24"/>
          <w:highlight w:val="none"/>
          <w:lang w:eastAsia="zh-CN"/>
        </w:rPr>
        <w:t>。</w:t>
      </w:r>
    </w:p>
    <w:p>
      <w:pPr>
        <w:pStyle w:val="96"/>
        <w:spacing w:before="210" w:after="210"/>
        <w:ind w:firstLine="640"/>
        <w:outlineLvl w:val="2"/>
        <w:rPr>
          <w:rFonts w:hint="eastAsia" w:ascii="宋体" w:hAnsi="宋体" w:eastAsia="宋体" w:cs="宋体"/>
          <w:color w:val="auto"/>
          <w:sz w:val="24"/>
          <w:szCs w:val="24"/>
          <w:highlight w:val="none"/>
        </w:rPr>
      </w:pPr>
      <w:bookmarkStart w:id="49" w:name="_Toc28286"/>
      <w:r>
        <w:rPr>
          <w:rFonts w:hint="eastAsia" w:ascii="宋体" w:hAnsi="宋体" w:eastAsia="宋体" w:cs="宋体"/>
          <w:color w:val="auto"/>
          <w:sz w:val="24"/>
          <w:szCs w:val="24"/>
          <w:highlight w:val="none"/>
        </w:rPr>
        <w:t>（十）其他重要事项</w:t>
      </w:r>
      <w:bookmarkEnd w:id="4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1．招标文件内所附网络链接仅供参考，不保证其长期有效性。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的投标费用自理。</w:t>
      </w:r>
    </w:p>
    <w:p>
      <w:pPr>
        <w:pStyle w:val="5"/>
        <w:rPr>
          <w:rFonts w:hint="eastAsia" w:ascii="宋体" w:hAnsi="宋体" w:eastAsia="宋体" w:cs="宋体"/>
          <w:color w:val="auto"/>
          <w:sz w:val="24"/>
          <w:szCs w:val="24"/>
          <w:highlight w:val="none"/>
        </w:rPr>
      </w:pPr>
      <w:bookmarkStart w:id="50" w:name="_Toc16427"/>
      <w:r>
        <w:rPr>
          <w:rFonts w:hint="eastAsia" w:ascii="宋体" w:hAnsi="宋体" w:eastAsia="宋体" w:cs="宋体"/>
          <w:color w:val="auto"/>
          <w:sz w:val="24"/>
          <w:szCs w:val="24"/>
          <w:highlight w:val="none"/>
        </w:rPr>
        <w:t>三、招标文件</w:t>
      </w:r>
      <w:bookmarkEnd w:id="50"/>
    </w:p>
    <w:p>
      <w:pPr>
        <w:pStyle w:val="96"/>
        <w:spacing w:before="210" w:after="210"/>
        <w:ind w:firstLine="640"/>
        <w:outlineLvl w:val="2"/>
        <w:rPr>
          <w:rFonts w:hint="eastAsia" w:ascii="宋体" w:hAnsi="宋体" w:eastAsia="宋体" w:cs="宋体"/>
          <w:color w:val="auto"/>
          <w:sz w:val="24"/>
          <w:szCs w:val="24"/>
          <w:highlight w:val="none"/>
        </w:rPr>
      </w:pPr>
      <w:bookmarkStart w:id="51" w:name="_Toc25303"/>
      <w:r>
        <w:rPr>
          <w:rFonts w:hint="eastAsia" w:ascii="宋体" w:hAnsi="宋体" w:eastAsia="宋体" w:cs="宋体"/>
          <w:color w:val="auto"/>
          <w:sz w:val="24"/>
          <w:szCs w:val="24"/>
          <w:highlight w:val="none"/>
        </w:rPr>
        <w:t>（一）招标文件的解释权</w:t>
      </w:r>
      <w:bookmarkEnd w:id="5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本项目招标文件的解释权归采购代理机构，评标委员会成员应根据政府采购法律法规和招标文件所载明的评审方法、标准进行评审。</w:t>
      </w:r>
    </w:p>
    <w:p>
      <w:pPr>
        <w:pStyle w:val="96"/>
        <w:spacing w:before="210" w:after="210"/>
        <w:ind w:firstLine="640"/>
        <w:outlineLvl w:val="2"/>
        <w:rPr>
          <w:rFonts w:hint="eastAsia" w:ascii="宋体" w:hAnsi="宋体" w:eastAsia="宋体" w:cs="宋体"/>
          <w:color w:val="auto"/>
          <w:sz w:val="24"/>
          <w:szCs w:val="24"/>
          <w:highlight w:val="none"/>
        </w:rPr>
      </w:pPr>
      <w:bookmarkStart w:id="52" w:name="_Toc236"/>
      <w:r>
        <w:rPr>
          <w:rFonts w:hint="eastAsia" w:ascii="宋体" w:hAnsi="宋体" w:eastAsia="宋体" w:cs="宋体"/>
          <w:color w:val="auto"/>
          <w:sz w:val="24"/>
          <w:szCs w:val="24"/>
          <w:highlight w:val="none"/>
        </w:rPr>
        <w:t>（二）招标文件主要内容</w:t>
      </w:r>
      <w:bookmarkEnd w:id="5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第1章  投标邀请函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第2章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须知</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第3章  </w:t>
      </w:r>
      <w:r>
        <w:rPr>
          <w:rFonts w:hint="eastAsia" w:ascii="宋体" w:hAnsi="宋体" w:eastAsia="宋体" w:cs="宋体"/>
          <w:color w:val="auto"/>
          <w:sz w:val="24"/>
          <w:szCs w:val="24"/>
          <w:highlight w:val="none"/>
          <w:lang w:eastAsia="zh-CN"/>
        </w:rPr>
        <w:t>服务内容及要求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第4章  合同文本</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第5章  投标文件构成及格式</w:t>
      </w:r>
    </w:p>
    <w:p>
      <w:pPr>
        <w:pStyle w:val="96"/>
        <w:spacing w:before="210" w:after="210"/>
        <w:ind w:firstLine="640"/>
        <w:outlineLvl w:val="2"/>
        <w:rPr>
          <w:rFonts w:hint="eastAsia" w:ascii="宋体" w:hAnsi="宋体" w:eastAsia="宋体" w:cs="宋体"/>
          <w:color w:val="auto"/>
          <w:sz w:val="24"/>
          <w:szCs w:val="24"/>
          <w:highlight w:val="none"/>
        </w:rPr>
      </w:pPr>
      <w:bookmarkStart w:id="53" w:name="_Toc27851"/>
      <w:r>
        <w:rPr>
          <w:rFonts w:hint="eastAsia" w:ascii="宋体" w:hAnsi="宋体" w:eastAsia="宋体" w:cs="宋体"/>
          <w:color w:val="auto"/>
          <w:sz w:val="24"/>
          <w:szCs w:val="24"/>
          <w:highlight w:val="none"/>
        </w:rPr>
        <w:t>（三）招标文件的检查及阅读</w:t>
      </w:r>
      <w:bookmarkEnd w:id="5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应认真阅读和充分理解招标文件中所有的事项、格式条款和规范要求，在投标文件中对招标文件做出全面响应，并按招标文件的要求提交全部资料。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项目废标后重新组织招标的，采购代理机构将重新编制、发布新版招标文件，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应按新版招标文件重新编制投标文件。原招标文件及投标文件失效。</w:t>
      </w:r>
    </w:p>
    <w:p>
      <w:pPr>
        <w:pStyle w:val="96"/>
        <w:spacing w:before="210" w:after="210"/>
        <w:ind w:firstLine="640"/>
        <w:outlineLvl w:val="2"/>
        <w:rPr>
          <w:rFonts w:hint="eastAsia" w:ascii="宋体" w:hAnsi="宋体" w:eastAsia="宋体" w:cs="宋体"/>
          <w:color w:val="auto"/>
          <w:sz w:val="24"/>
          <w:szCs w:val="24"/>
          <w:highlight w:val="none"/>
        </w:rPr>
      </w:pPr>
      <w:bookmarkStart w:id="54" w:name="_Toc3462"/>
      <w:r>
        <w:rPr>
          <w:rFonts w:hint="eastAsia" w:ascii="宋体" w:hAnsi="宋体" w:eastAsia="宋体" w:cs="宋体"/>
          <w:color w:val="auto"/>
          <w:sz w:val="24"/>
          <w:szCs w:val="24"/>
          <w:highlight w:val="none"/>
        </w:rPr>
        <w:t>（四）招标文件的修改、澄清</w:t>
      </w:r>
      <w:bookmarkEnd w:id="5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1．提交投标文件截止之日前，采购人或采购代理机构可能对已发出的招标文件进行澄清或者修改，澄清或者修改的内容为招标文件的组成部分。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2．当需要澄清或修改时，采购代理机构将在提交投标文件截止之日15日前，在财政部门指定的“政府采购信息发布媒体”上发布变更公告；不足15日的，将顺延提交投标文件截止时间。</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3．澄清或修改的内容可能影响投标文件编制时，采购代理机构将在发布变更公告的同时，提醒</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下载答疑文件（*.SXSCF，即更新后的电子招标文件）。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及时从西安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在提交投标文件截止时间之前，务必随时关注“政府采购信息发布媒体”上发布的变更公告，采购代理机构不再另行通知，因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未及时关注所造成的一切后果由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陕西省政府采购网</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）中的〖首页〉信息公告〉市级〉西安市〗；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"http://xa.sxggzyjy.cn/"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全国公共资源交易网（陕西省西安市）</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）中的〖首页〉交易大厅〉政府采购〗。</w:t>
      </w:r>
    </w:p>
    <w:p>
      <w:pPr>
        <w:pStyle w:val="5"/>
        <w:rPr>
          <w:rFonts w:hint="eastAsia" w:ascii="宋体" w:hAnsi="宋体" w:eastAsia="宋体" w:cs="宋体"/>
          <w:color w:val="auto"/>
          <w:sz w:val="24"/>
          <w:szCs w:val="24"/>
          <w:highlight w:val="none"/>
        </w:rPr>
      </w:pPr>
      <w:bookmarkStart w:id="55" w:name="_Toc6721"/>
      <w:r>
        <w:rPr>
          <w:rFonts w:hint="eastAsia" w:ascii="宋体" w:hAnsi="宋体" w:eastAsia="宋体" w:cs="宋体"/>
          <w:color w:val="auto"/>
          <w:sz w:val="24"/>
          <w:szCs w:val="24"/>
          <w:highlight w:val="none"/>
        </w:rPr>
        <w:t>四、投标文件</w:t>
      </w:r>
      <w:bookmarkEnd w:id="55"/>
    </w:p>
    <w:p>
      <w:pPr>
        <w:pStyle w:val="96"/>
        <w:spacing w:before="210" w:after="210"/>
        <w:ind w:firstLine="640"/>
        <w:outlineLvl w:val="2"/>
        <w:rPr>
          <w:rFonts w:hint="eastAsia" w:ascii="宋体" w:hAnsi="宋体" w:eastAsia="宋体" w:cs="宋体"/>
          <w:color w:val="auto"/>
          <w:sz w:val="24"/>
          <w:szCs w:val="24"/>
          <w:highlight w:val="none"/>
        </w:rPr>
      </w:pPr>
      <w:bookmarkStart w:id="56" w:name="_Toc4984"/>
      <w:r>
        <w:rPr>
          <w:rFonts w:hint="eastAsia" w:ascii="宋体" w:hAnsi="宋体" w:eastAsia="宋体" w:cs="宋体"/>
          <w:color w:val="auto"/>
          <w:sz w:val="24"/>
          <w:szCs w:val="24"/>
          <w:highlight w:val="none"/>
        </w:rPr>
        <w:t>（一）投标文件的式样</w:t>
      </w:r>
      <w:bookmarkEnd w:id="56"/>
    </w:p>
    <w:p>
      <w:pPr>
        <w:pStyle w:val="95"/>
        <w:outlineLvl w:val="3"/>
        <w:rPr>
          <w:rFonts w:hint="eastAsia" w:ascii="宋体" w:hAnsi="宋体" w:eastAsia="宋体" w:cs="宋体"/>
          <w:color w:val="auto"/>
          <w:sz w:val="24"/>
          <w:szCs w:val="24"/>
          <w:highlight w:val="none"/>
        </w:rPr>
      </w:pPr>
      <w:bookmarkStart w:id="57" w:name="_Toc17676"/>
      <w:r>
        <w:rPr>
          <w:rFonts w:hint="eastAsia" w:ascii="宋体" w:hAnsi="宋体" w:eastAsia="宋体" w:cs="宋体"/>
          <w:color w:val="auto"/>
          <w:sz w:val="24"/>
          <w:szCs w:val="24"/>
          <w:highlight w:val="none"/>
        </w:rPr>
        <w:t>1．组成及格式</w:t>
      </w:r>
      <w:bookmarkEnd w:id="5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依照招标文件第五章《投标文件构成及格式》给定形式进行编制投标文件。项目分标段的，应按所投标段分别准备投标文件。</w:t>
      </w:r>
    </w:p>
    <w:p>
      <w:pPr>
        <w:pStyle w:val="95"/>
        <w:outlineLvl w:val="3"/>
        <w:rPr>
          <w:rFonts w:hint="eastAsia" w:ascii="宋体" w:hAnsi="宋体" w:eastAsia="宋体" w:cs="宋体"/>
          <w:color w:val="auto"/>
          <w:sz w:val="24"/>
          <w:szCs w:val="24"/>
          <w:highlight w:val="none"/>
        </w:rPr>
      </w:pPr>
      <w:bookmarkStart w:id="58" w:name="_Toc9818"/>
      <w:r>
        <w:rPr>
          <w:rFonts w:hint="eastAsia" w:ascii="宋体" w:hAnsi="宋体" w:eastAsia="宋体" w:cs="宋体"/>
          <w:color w:val="auto"/>
          <w:sz w:val="24"/>
          <w:szCs w:val="24"/>
          <w:highlight w:val="none"/>
        </w:rPr>
        <w:t>2．语言</w:t>
      </w:r>
      <w:bookmarkEnd w:id="5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招标活动的所有文件、资料、函电文字均使用简体中文，确需提交用其他语言形成的资料，必须翻译成简体中文，如有差异，以简体中文为准。</w:t>
      </w:r>
    </w:p>
    <w:p>
      <w:pPr>
        <w:pStyle w:val="95"/>
        <w:outlineLvl w:val="3"/>
        <w:rPr>
          <w:rFonts w:hint="eastAsia" w:ascii="宋体" w:hAnsi="宋体" w:eastAsia="宋体" w:cs="宋体"/>
          <w:color w:val="auto"/>
          <w:sz w:val="24"/>
          <w:szCs w:val="24"/>
          <w:highlight w:val="none"/>
        </w:rPr>
      </w:pPr>
      <w:bookmarkStart w:id="59" w:name="_Toc30532"/>
      <w:r>
        <w:rPr>
          <w:rFonts w:hint="eastAsia" w:ascii="宋体" w:hAnsi="宋体" w:eastAsia="宋体" w:cs="宋体"/>
          <w:color w:val="auto"/>
          <w:sz w:val="24"/>
          <w:szCs w:val="24"/>
          <w:highlight w:val="none"/>
        </w:rPr>
        <w:t>3．计量单位</w:t>
      </w:r>
      <w:bookmarkEnd w:id="5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投标文件的计量单位应使用中华人民共和国法定计量单位，但招标文件另有规定的除外。</w:t>
      </w:r>
    </w:p>
    <w:p>
      <w:pPr>
        <w:pStyle w:val="96"/>
        <w:spacing w:before="210" w:after="210"/>
        <w:ind w:firstLine="640"/>
        <w:outlineLvl w:val="2"/>
        <w:rPr>
          <w:rFonts w:hint="eastAsia" w:ascii="宋体" w:hAnsi="宋体" w:eastAsia="宋体" w:cs="宋体"/>
          <w:color w:val="auto"/>
          <w:sz w:val="24"/>
          <w:szCs w:val="24"/>
          <w:highlight w:val="none"/>
        </w:rPr>
      </w:pPr>
      <w:bookmarkStart w:id="60" w:name="_Toc24886"/>
      <w:r>
        <w:rPr>
          <w:rFonts w:hint="eastAsia" w:ascii="宋体" w:hAnsi="宋体" w:eastAsia="宋体" w:cs="宋体"/>
          <w:color w:val="auto"/>
          <w:sz w:val="24"/>
          <w:szCs w:val="24"/>
          <w:highlight w:val="none"/>
        </w:rPr>
        <w:t>（二）投标文件的有效期</w:t>
      </w:r>
      <w:bookmarkEnd w:id="6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投标文件有效期为自开标之日起不少于90个日历日。如中标，延长至合同执行完毕时止。</w:t>
      </w:r>
    </w:p>
    <w:p>
      <w:pPr>
        <w:pStyle w:val="96"/>
        <w:spacing w:before="210" w:after="210"/>
        <w:ind w:firstLine="640"/>
        <w:outlineLvl w:val="2"/>
        <w:rPr>
          <w:rFonts w:hint="eastAsia" w:ascii="宋体" w:hAnsi="宋体" w:eastAsia="宋体" w:cs="宋体"/>
          <w:color w:val="auto"/>
          <w:sz w:val="24"/>
          <w:szCs w:val="24"/>
          <w:highlight w:val="none"/>
        </w:rPr>
      </w:pPr>
      <w:bookmarkStart w:id="61" w:name="_Toc7102"/>
      <w:r>
        <w:rPr>
          <w:rFonts w:hint="eastAsia" w:ascii="宋体" w:hAnsi="宋体" w:eastAsia="宋体" w:cs="宋体"/>
          <w:color w:val="auto"/>
          <w:sz w:val="24"/>
          <w:szCs w:val="24"/>
          <w:highlight w:val="none"/>
        </w:rPr>
        <w:t>（三）投标报价</w:t>
      </w:r>
      <w:bookmarkEnd w:id="6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投标报价是</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响应采购项目要求的全部工作内容的价格体现，包括完成采购内容所需的直接费、间接费、利润、税金及其它相关的一切费用。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在报价时应充分考虑所有可能发生的费用，招标文件未列明，而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认为应当计取的费用均应列入报价中。报价时不论是否计取，采购人均按已计取对待。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应严格按照《投标文件构成及格式》第二部分《开标一览表》中的相关要求填写分类报价及其他需要响应的内容。投标报价只能提交唯一报价，任何有选择的报价将不予接受，按无效投标处理。</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3．投标报价货币：人民币；单位：元。</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4．投标文件报价出现前后不一致的，除招标文件另有规定外，按照下列规则修正：</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（1）投标文件中开标一览表内容与投标文件中其他位置相应内容表述不一致的，以开标一览表为准；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同时出现两种以上不一致的，按照前款规定的顺序修正。修正后的报价经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确认后产生约束力，</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不确认的，其投标无效。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对招标文件理解不透、误解、疏漏或对市场行情了解不清造成的后果和风险，均由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自己负责。</w:t>
      </w:r>
    </w:p>
    <w:p>
      <w:pPr>
        <w:pStyle w:val="96"/>
        <w:spacing w:before="210" w:after="210"/>
        <w:ind w:firstLine="640"/>
        <w:outlineLvl w:val="2"/>
        <w:rPr>
          <w:rFonts w:hint="eastAsia" w:ascii="宋体" w:hAnsi="宋体" w:eastAsia="宋体" w:cs="宋体"/>
          <w:color w:val="auto"/>
          <w:sz w:val="24"/>
          <w:szCs w:val="24"/>
          <w:highlight w:val="none"/>
        </w:rPr>
      </w:pPr>
      <w:bookmarkStart w:id="62" w:name="_Toc6077"/>
      <w:r>
        <w:rPr>
          <w:rFonts w:hint="eastAsia" w:ascii="宋体" w:hAnsi="宋体" w:eastAsia="宋体" w:cs="宋体"/>
          <w:color w:val="auto"/>
          <w:sz w:val="24"/>
          <w:szCs w:val="24"/>
          <w:highlight w:val="none"/>
        </w:rPr>
        <w:t>（四）投标文件的制作和签章</w:t>
      </w:r>
      <w:bookmarkEnd w:id="6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SXSTF）需要使用专用制作软件——“新点投标文件制作软件（陕西公共资源）”进行编制。软件下载地址及操作手册：见西安市公共资源交易平台〖首页〉服务指南〉下载专区〗中的《政府采购项目投标文件制作软件及操作手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"http://sxggzyjy.xa.gov.cn/fwzn/004003/20181115/4d59c184-e8f6-4d5a-a416-c2f6b0601e66.html"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rPr>
        <w:t>http://sxggzyjy.xa.gov.cn/fwzn/004003/20181115/4d59c184-e8f6-4d5a-a416-c2f6b0601e66.html</w:t>
      </w:r>
      <w:r>
        <w:rPr>
          <w:rStyle w:val="35"/>
          <w:rFonts w:hint="eastAsia" w:ascii="宋体" w:hAnsi="宋体" w:eastAsia="宋体" w:cs="宋体"/>
          <w:color w:val="auto"/>
          <w:sz w:val="24"/>
          <w:szCs w:val="24"/>
          <w:highlight w:val="none"/>
        </w:rPr>
        <w:fldChar w:fldCharType="end"/>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编制电子投标文件前，务必先做好电子招标文件的备份工作。然后按操作手册中给出的方法将电子招标文件（*.SXSZF）或答疑文件（*.SXSCF，即更新后的电子招标文件）导入制作软件，最后按照章节分别编制投标文件各个部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再次提醒：提交投标文件截止时间前，</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应随时留意“政府采购信息发布媒体”上可能发布的变更公告。若变更公告中明确注明本项目伴有变更文件的，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应登录企业端后，从〖项目流程〉项目管理〉答疑文件下载〗获取更新后的电子招标文件（*.SXSCF），使用旧版电子招标文件制作的电子投标文件（*.SXSTF），系统将拒绝接收。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3．电子投标文件制作过程中，需要法定代表人签字或盖章的地方，请使用“法人CA锁”进行签章；需要加盖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公章的地方，请使用“企业CA锁”进行签章。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pPr>
        <w:pStyle w:val="96"/>
        <w:spacing w:before="210" w:after="210"/>
        <w:ind w:firstLine="640"/>
        <w:outlineLvl w:val="2"/>
        <w:rPr>
          <w:rFonts w:hint="eastAsia" w:ascii="宋体" w:hAnsi="宋体" w:eastAsia="宋体" w:cs="宋体"/>
          <w:color w:val="auto"/>
          <w:sz w:val="24"/>
          <w:szCs w:val="24"/>
          <w:highlight w:val="none"/>
        </w:rPr>
      </w:pPr>
      <w:bookmarkStart w:id="63" w:name="_Toc8936"/>
      <w:r>
        <w:rPr>
          <w:rFonts w:hint="eastAsia" w:ascii="宋体" w:hAnsi="宋体" w:eastAsia="宋体" w:cs="宋体"/>
          <w:color w:val="auto"/>
          <w:sz w:val="24"/>
          <w:szCs w:val="24"/>
          <w:highlight w:val="none"/>
        </w:rPr>
        <w:t>（五）投标文件的加密和提交</w:t>
      </w:r>
      <w:bookmarkEnd w:id="63"/>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1．在生成电子投标文件时，需要使用CA锁对投标文件进行加密。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注意：加密投标文件和开标时解密投标文件应当使用同一CA，否则将会导致解密失败。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电子投标文件可于提交投标文件截止时间前任意时段，登录西安市公共资源交易平台〖首页〉电子交易平台〉企业端〗，登录后切换到〖我的项目〗模块下，依次点选〖项目流程〉项目管理〉上传响应文件〗，上传加密后的电子投标文件（*.SXSTF）。上传成功后，西安市公共资源交易平台政府采购系统将予以记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3．上传文件有误或需要重新提交的，可先撤销已经上传的文件，然后重新上传新文件。</w:t>
      </w:r>
    </w:p>
    <w:p>
      <w:pPr>
        <w:pStyle w:val="96"/>
        <w:spacing w:before="210" w:after="210"/>
        <w:ind w:firstLine="640"/>
        <w:outlineLvl w:val="2"/>
        <w:rPr>
          <w:rFonts w:hint="eastAsia" w:ascii="宋体" w:hAnsi="宋体" w:eastAsia="宋体" w:cs="宋体"/>
          <w:color w:val="auto"/>
          <w:sz w:val="24"/>
          <w:szCs w:val="24"/>
          <w:highlight w:val="none"/>
        </w:rPr>
      </w:pPr>
      <w:bookmarkStart w:id="64" w:name="_Toc15901"/>
      <w:r>
        <w:rPr>
          <w:rFonts w:hint="eastAsia" w:ascii="宋体" w:hAnsi="宋体" w:eastAsia="宋体" w:cs="宋体"/>
          <w:color w:val="auto"/>
          <w:sz w:val="24"/>
          <w:szCs w:val="24"/>
          <w:highlight w:val="none"/>
        </w:rPr>
        <w:t>（六）投标文件的补充、修改和撤回</w:t>
      </w:r>
      <w:bookmarkEnd w:id="6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在提交投标文件截止时间后，撤回投标文件的，投标保证金不予退还。</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已提交的电子投标文件进行补充、修改的，应先从电子交易平台上撤回旧文件，再重新提交新文件；中标后提交的纸质文件（备案用）应从专用制作软件中直接打印，与电子投标文件保持一致，不允许补充和修改。</w:t>
      </w:r>
    </w:p>
    <w:p>
      <w:pPr>
        <w:pStyle w:val="96"/>
        <w:spacing w:before="210" w:after="210"/>
        <w:ind w:firstLine="640"/>
        <w:outlineLvl w:val="2"/>
        <w:rPr>
          <w:rFonts w:hint="eastAsia" w:ascii="宋体" w:hAnsi="宋体" w:eastAsia="宋体" w:cs="宋体"/>
          <w:color w:val="auto"/>
          <w:sz w:val="24"/>
          <w:szCs w:val="24"/>
          <w:highlight w:val="none"/>
        </w:rPr>
      </w:pPr>
      <w:bookmarkStart w:id="65" w:name="_Toc18383"/>
      <w:r>
        <w:rPr>
          <w:rFonts w:hint="eastAsia" w:ascii="宋体" w:hAnsi="宋体" w:eastAsia="宋体" w:cs="宋体"/>
          <w:color w:val="auto"/>
          <w:sz w:val="24"/>
          <w:szCs w:val="24"/>
          <w:highlight w:val="none"/>
        </w:rPr>
        <w:t>（七）关于投标文件的雷同性分析</w:t>
      </w:r>
      <w:bookmarkEnd w:id="6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根据陕西省公共资源交易中心2021年7月22日印发的《关于在政府采购交易系统中开通标书雷同性分析功能的通知》，在符合性审查环节，将由评标委员会在评标系统中对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的电子投标文件进行雷同性分析。</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若“文件制作机器码”一致，则表明不同</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的电子投标文件出自同一台制作设备，根据《陕西省财政厅关于政府采购有关政策的复函》（陕财办采函〔2019〕18号），该情形可以视为</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串通投标，其投标无效。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若“文件创建标识码”一致，则表示不同</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使用投标文件制作软件时，使用同一源工程文件，该情形建议由评标委员会结合项目情况综合判定。</w:t>
      </w:r>
    </w:p>
    <w:p>
      <w:pPr>
        <w:pStyle w:val="96"/>
        <w:spacing w:before="210" w:after="210"/>
        <w:ind w:firstLine="640"/>
        <w:outlineLvl w:val="2"/>
        <w:rPr>
          <w:rFonts w:hint="eastAsia" w:ascii="宋体" w:hAnsi="宋体" w:eastAsia="宋体" w:cs="宋体"/>
          <w:color w:val="auto"/>
          <w:sz w:val="24"/>
          <w:szCs w:val="24"/>
          <w:highlight w:val="none"/>
        </w:rPr>
      </w:pPr>
      <w:bookmarkStart w:id="66" w:name="_Toc9339"/>
      <w:r>
        <w:rPr>
          <w:rFonts w:hint="eastAsia" w:ascii="宋体" w:hAnsi="宋体" w:eastAsia="宋体" w:cs="宋体"/>
          <w:color w:val="auto"/>
          <w:sz w:val="24"/>
          <w:szCs w:val="24"/>
          <w:highlight w:val="none"/>
        </w:rPr>
        <w:t>（八）投标文件被拒绝接收的情形</w:t>
      </w:r>
      <w:bookmarkEnd w:id="6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1．误投的或采用旧版电子招标文件制作的；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2．逾期提交电子投标文件的。</w:t>
      </w:r>
    </w:p>
    <w:p>
      <w:pPr>
        <w:spacing w:line="560" w:lineRule="exact"/>
        <w:ind w:firstLine="480" w:firstLineChars="200"/>
        <w:jc w:val="both"/>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bookmarkStart w:id="67" w:name="_Toc15904"/>
      <w:r>
        <w:rPr>
          <w:rFonts w:hint="eastAsia" w:ascii="宋体" w:hAnsi="宋体" w:eastAsia="宋体" w:cs="宋体"/>
          <w:color w:val="auto"/>
          <w:sz w:val="24"/>
          <w:szCs w:val="24"/>
          <w:highlight w:val="none"/>
        </w:rPr>
        <w:t>五、开标程序</w:t>
      </w:r>
      <w:bookmarkEnd w:id="6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开标工作由采购代理机构组织实施，整个过程受同级政府采购监管机构的监督、管理。</w:t>
      </w:r>
    </w:p>
    <w:p>
      <w:pPr>
        <w:pStyle w:val="96"/>
        <w:spacing w:before="210" w:after="210"/>
        <w:ind w:firstLine="640"/>
        <w:outlineLvl w:val="2"/>
        <w:rPr>
          <w:rFonts w:hint="eastAsia" w:ascii="宋体" w:hAnsi="宋体" w:eastAsia="宋体" w:cs="宋体"/>
          <w:color w:val="auto"/>
          <w:sz w:val="24"/>
          <w:szCs w:val="24"/>
          <w:highlight w:val="none"/>
        </w:rPr>
      </w:pPr>
      <w:bookmarkStart w:id="68" w:name="_Toc19303"/>
      <w:r>
        <w:rPr>
          <w:rFonts w:hint="eastAsia" w:ascii="宋体" w:hAnsi="宋体" w:eastAsia="宋体" w:cs="宋体"/>
          <w:color w:val="auto"/>
          <w:sz w:val="24"/>
          <w:szCs w:val="24"/>
          <w:highlight w:val="none"/>
        </w:rPr>
        <w:t>（一）“不见面开标”基本流程</w:t>
      </w:r>
      <w:bookmarkEnd w:id="6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“不见面开标”是依托政府采购云平台实现的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在线参与开标的一种组织形式。</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无需抵达开标现场，即可在线实现开标、解密、澄清等操作。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登录：开标前，请各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至少提前半小时登录西安市公共资源交易平台〖首页〉不见面开标〗系统。</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2．主持人宣布开标：提交投标文件截止时间过后，系统将不再接收任何投标文件。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3．解密投标文件：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收到主持人“开始解密”指令后，应使用“加密该投标文件的CA锁（必须是同一把锁）”在线完成投标文件解密。除因【西安市公共资源交易中心】断电、断网、系统故障及其他不可抗力等因素，导致“不见面开标”系统无法正常运行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应在规定的解密时间内完成解密。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4．唱标：对于公开招标项目，“不见面开标”系统将自动展示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名单及其投标报价。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5．开标结束：进入评审环节。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请保持在线，评审期间评标委员会可能会要求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做相应的澄清。因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擅自离席造成的不利后果，由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“不见面开标”系统操作说明：详见西安市公共资源交易平台〖首页〉服务指南〉下载专区〗中的《西安公共资源交易不见面开标大厅</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操作手册》。</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链接地址：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"http://sxggzyjy.xa.gov.cn/fwzn/004003/20200426/bc8b2c1e-abe2-4168-913c-68ff93345faf.html"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http://sxggzyjy.xa.gov.cn/fwzn/004003/20200426/bc8b2c1e-abe2-4168-913c-68ff93345faf.html</w:t>
      </w:r>
      <w:r>
        <w:rPr>
          <w:rStyle w:val="35"/>
          <w:rFonts w:hint="eastAsia" w:ascii="宋体" w:hAnsi="宋体" w:eastAsia="宋体" w:cs="宋体"/>
          <w:color w:val="auto"/>
          <w:sz w:val="24"/>
          <w:szCs w:val="24"/>
          <w:highlight w:val="none"/>
          <w:u w:val="none"/>
        </w:rPr>
        <w:fldChar w:fldCharType="end"/>
      </w:r>
    </w:p>
    <w:p>
      <w:pPr>
        <w:pStyle w:val="96"/>
        <w:spacing w:before="210" w:after="210"/>
        <w:ind w:firstLine="640"/>
        <w:outlineLvl w:val="2"/>
        <w:rPr>
          <w:rFonts w:hint="eastAsia" w:ascii="宋体" w:hAnsi="宋体" w:eastAsia="宋体" w:cs="宋体"/>
          <w:color w:val="auto"/>
          <w:sz w:val="24"/>
          <w:szCs w:val="24"/>
          <w:highlight w:val="none"/>
        </w:rPr>
      </w:pPr>
      <w:bookmarkStart w:id="69" w:name="_Toc6494"/>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）开标环节投标文件视为无效的情形</w:t>
      </w:r>
      <w:bookmarkEnd w:id="69"/>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放弃或拒绝对电子投标文件进行解密的；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2．因</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自身原因，导致未在规定的解密时限内完整解密的，如忘带CA锁、或携带的CA锁与加密文件的CA锁不同、或使用旧版招标文件编制投标文件等情形；</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3．上传的电子投标文件无法正常打开的；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4．政府采购法律法规规定的其他无效情形。</w:t>
      </w:r>
    </w:p>
    <w:p>
      <w:pPr>
        <w:pStyle w:val="96"/>
        <w:spacing w:before="210" w:after="210"/>
        <w:ind w:firstLine="640"/>
        <w:outlineLvl w:val="2"/>
        <w:rPr>
          <w:rFonts w:hint="eastAsia" w:ascii="宋体" w:hAnsi="宋体" w:eastAsia="宋体" w:cs="宋体"/>
          <w:color w:val="auto"/>
          <w:sz w:val="24"/>
          <w:szCs w:val="24"/>
          <w:highlight w:val="none"/>
        </w:rPr>
      </w:pPr>
      <w:bookmarkStart w:id="70" w:name="_Toc195"/>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）突发状况的应急处置</w:t>
      </w:r>
      <w:bookmarkEnd w:id="7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在开评标过程中，如因停电、断网、电子化系统故障等特殊原因导致电子化开、评标工作无法正常进行时，采购代理机构将及时汇报政府采购监管部门，并等待或中止后续活动。</w:t>
      </w:r>
    </w:p>
    <w:p>
      <w:pPr>
        <w:pStyle w:val="5"/>
        <w:rPr>
          <w:rFonts w:hint="eastAsia" w:ascii="宋体" w:hAnsi="宋体" w:eastAsia="宋体" w:cs="宋体"/>
          <w:color w:val="auto"/>
          <w:sz w:val="24"/>
          <w:szCs w:val="24"/>
          <w:highlight w:val="none"/>
        </w:rPr>
      </w:pPr>
      <w:bookmarkStart w:id="71" w:name="_Toc32425"/>
      <w:r>
        <w:rPr>
          <w:rFonts w:hint="eastAsia" w:ascii="宋体" w:hAnsi="宋体" w:eastAsia="宋体" w:cs="宋体"/>
          <w:color w:val="auto"/>
          <w:sz w:val="24"/>
          <w:szCs w:val="24"/>
          <w:highlight w:val="none"/>
        </w:rPr>
        <w:t>六、资格审查</w:t>
      </w:r>
      <w:bookmarkEnd w:id="7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开标结束后，由采购人委派的资格审查小组按照《政府采购货物和服务招标投标管理办法》（财政部第87号令）有关规定，对投标文件中的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资格证明文件进行审查，并对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信用记录进行核查。资格审查小组由3人以上单数组成，采购人应出具书面授权函，并指定组长。</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提供的资格证明文件缺少任何一项或有任何一项不满足，都将被视为无效投标。</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所提供的资格证明文件应图文清晰、易于辨识，否则由此带来的不利后果由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资格审查结束后，资格审查小组成员应当对审查结果进行签字确认；对未通过资格审查的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，资格审查小组应当场告知其未通过的原因。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不足3家的，不得评标。</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6"/>
        <w:gridCol w:w="2336"/>
        <w:gridCol w:w="9"/>
        <w:gridCol w:w="56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36"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资格项</w:t>
            </w:r>
          </w:p>
        </w:tc>
        <w:tc>
          <w:tcPr>
            <w:tcW w:w="5696" w:type="dxa"/>
            <w:gridSpan w:val="2"/>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tcBorders>
              <w:top w:val="single" w:color="auto" w:sz="2"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032" w:type="dxa"/>
            <w:gridSpan w:val="3"/>
            <w:tcBorders>
              <w:top w:val="single" w:color="auto" w:sz="2" w:space="0"/>
            </w:tcBorders>
            <w:shd w:val="clear" w:color="auto" w:fill="auto"/>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有效的主体资格证明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具有独立承担民事责任能力，提供投标人合法注册的法人或其他组织的营业执照/事业单位法人证书/非企业专业服务机构执业许可证/民办非企业单位登记证书；</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财务状况报告</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（任选其一）</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1．提供具有财务审计资质单位出具的20</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年度或202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年度财务报告（成立时间至开标时间不足一年的可提供成立后任意时段的资产负债表）；</w:t>
            </w:r>
          </w:p>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2、开标前六个月内其基本账户银行出具的资信证明；</w:t>
            </w:r>
            <w:r>
              <w:rPr>
                <w:rFonts w:hint="eastAsia" w:ascii="宋体" w:hAnsi="宋体" w:eastAsia="宋体" w:cs="宋体"/>
                <w:color w:val="auto"/>
                <w:sz w:val="24"/>
                <w:szCs w:val="24"/>
                <w:highlight w:val="none"/>
              </w:rPr>
              <w:t>（附基本存款账户信息）</w:t>
            </w:r>
          </w:p>
          <w:p>
            <w:pPr>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政府采购信用担保机构出具的担保函</w:t>
            </w:r>
            <w:r>
              <w:rPr>
                <w:rFonts w:hint="eastAsia" w:ascii="宋体" w:hAnsi="宋体" w:eastAsia="宋体" w:cs="宋体"/>
                <w:color w:val="auto"/>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税收缴纳证明</w:t>
            </w:r>
          </w:p>
        </w:tc>
        <w:tc>
          <w:tcPr>
            <w:tcW w:w="5696" w:type="dxa"/>
            <w:gridSpan w:val="2"/>
            <w:vAlign w:val="center"/>
          </w:tcPr>
          <w:p>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提交投标文件截止时间前一年内至少一个月的纳税证明或完税证明（</w:t>
            </w:r>
            <w:r>
              <w:rPr>
                <w:rFonts w:hint="eastAsia" w:ascii="宋体" w:hAnsi="宋体" w:eastAsia="宋体" w:cs="宋体"/>
                <w:b/>
                <w:bCs/>
                <w:color w:val="auto"/>
                <w:sz w:val="24"/>
                <w:szCs w:val="24"/>
                <w:highlight w:val="none"/>
              </w:rPr>
              <w:t>增值税、营业税、企业所得税至少提供一种</w:t>
            </w:r>
            <w:r>
              <w:rPr>
                <w:rFonts w:hint="eastAsia" w:ascii="宋体" w:hAnsi="宋体" w:eastAsia="宋体" w:cs="宋体"/>
                <w:color w:val="auto"/>
                <w:sz w:val="24"/>
                <w:szCs w:val="24"/>
                <w:highlight w:val="none"/>
              </w:rPr>
              <w:t>），纳税证明或完税证明上应有代收机构或税务机关的公章或业务专用章。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社保资金缴纳</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证明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提交投标文件截止时间前一年内至少一个月的社会保障资金缴存单据或社保机构开具的社会保险参保缴费情况证明，单据或证明上应有社保机构或代收机构的公章或业务专用章。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履行合同的说明和承诺</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提供具有履行本合同所必需的设备和专业技术能力的说明及承诺；（提供书面说明及承诺，加盖投标人公章）</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w:t>
            </w:r>
          </w:p>
        </w:tc>
        <w:tc>
          <w:tcPr>
            <w:tcW w:w="5696"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参加本次政府采购活动前3年内在经营活动中没有重大违法记录，以及未被列入失信被执行人、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、政府采购严重违法失信行为记录名单的书面声明。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032" w:type="dxa"/>
            <w:gridSpan w:val="3"/>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特定资格条件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rPr>
              <w:t>\身份证明</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授权委托书（附法定代表人身份证复印件及被授权人身份证复印件）；法定代表人直接参加投标只须提供法定代表人资格证明书（附法定代表人身份证复印件）；招标文件凡是法定代表人之处，非法人单位的负责人均参照执行；（式样见投标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本项目专门面向中小企业采购</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须符合《政府采购促进中小企业发展管理办法》（财库〔2020〕46号）规定的中小企业参加。（提供《中小企业声明函》，式样见</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文件格式）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信用记录审查</w:t>
            </w:r>
          </w:p>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结果</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不得为“信用中国”网站(http://www.creditchina.gov.cn)列入“失信被执行人（页面跳转至“中国执行信息公开网”http://zxgk.court.gov.cn/shixin/）、重大税收违法失信主体、政府采购严重违法失信行为记录名单”的投标人；不得为中国政府采购网(http://www.ccgp.gov.cn)“政府采购严重违法失信行为记录名单”中的投标人</w:t>
            </w:r>
            <w:r>
              <w:rPr>
                <w:rFonts w:hint="eastAsia" w:ascii="宋体" w:hAnsi="宋体" w:eastAsia="宋体" w:cs="宋体"/>
                <w:color w:val="auto"/>
                <w:sz w:val="24"/>
                <w:szCs w:val="24"/>
                <w:highlight w:val="none"/>
              </w:rPr>
              <w:t>；(根据财库【2019】38号文规定，此项由</w:t>
            </w:r>
            <w:r>
              <w:rPr>
                <w:rFonts w:hint="eastAsia" w:ascii="宋体" w:hAnsi="宋体" w:eastAsia="宋体" w:cs="宋体"/>
                <w:b/>
                <w:bCs/>
                <w:color w:val="auto"/>
                <w:sz w:val="24"/>
                <w:szCs w:val="24"/>
                <w:highlight w:val="none"/>
                <w:lang w:val="en-US" w:eastAsia="zh-CN"/>
              </w:rPr>
              <w:t>资审小组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截止日当天在“信用中国”网站和中国政府采购网站进行查询，截图留档；如网站无投标人信息的，投标人须提供相关证明资料或书面声明，且</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36" w:type="dxa"/>
            <w:vAlign w:val="center"/>
          </w:tcPr>
          <w:p>
            <w:pPr>
              <w:numPr>
                <w:ilvl w:val="0"/>
                <w:numId w:val="4"/>
              </w:numPr>
              <w:ind w:left="425" w:leftChars="0" w:hanging="425" w:firstLineChars="0"/>
              <w:jc w:val="center"/>
              <w:rPr>
                <w:rFonts w:hint="eastAsia" w:ascii="宋体" w:hAnsi="宋体" w:eastAsia="宋体" w:cs="宋体"/>
                <w:color w:val="auto"/>
                <w:sz w:val="24"/>
                <w:szCs w:val="24"/>
                <w:highlight w:val="none"/>
              </w:rPr>
            </w:pPr>
          </w:p>
        </w:tc>
        <w:tc>
          <w:tcPr>
            <w:tcW w:w="2345" w:type="dxa"/>
            <w:gridSpan w:val="2"/>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控股、管理关系的</w:t>
            </w:r>
            <w:r>
              <w:rPr>
                <w:rFonts w:hint="eastAsia" w:ascii="宋体" w:hAnsi="宋体" w:eastAsia="宋体" w:cs="宋体"/>
                <w:color w:val="auto"/>
                <w:sz w:val="24"/>
                <w:szCs w:val="24"/>
                <w:highlight w:val="none"/>
                <w:lang w:eastAsia="zh-CN"/>
              </w:rPr>
              <w:t>查询结果</w:t>
            </w:r>
          </w:p>
        </w:tc>
        <w:tc>
          <w:tcPr>
            <w:tcW w:w="5687" w:type="dxa"/>
            <w:vAlign w:val="center"/>
          </w:tcPr>
          <w:p>
            <w:pPr>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单位负责人为同一人或者存在直接控股、管理关系的不同投标人，不得参加同一合同项下的政府采购活动。投标响应截止日当天</w:t>
            </w:r>
            <w:r>
              <w:rPr>
                <w:rFonts w:hint="eastAsia" w:ascii="宋体" w:hAnsi="宋体" w:eastAsia="宋体" w:cs="宋体"/>
                <w:color w:val="auto"/>
                <w:sz w:val="24"/>
                <w:szCs w:val="24"/>
                <w:highlight w:val="none"/>
                <w:lang w:eastAsia="zh-CN"/>
              </w:rPr>
              <w:t>采购人</w:t>
            </w:r>
            <w:r>
              <w:rPr>
                <w:rFonts w:hint="eastAsia" w:ascii="宋体" w:hAnsi="宋体" w:eastAsia="宋体" w:cs="宋体"/>
                <w:color w:val="auto"/>
                <w:sz w:val="24"/>
                <w:szCs w:val="24"/>
                <w:highlight w:val="none"/>
              </w:rPr>
              <w:t>在“国家企业信用信息公示系统”进行查询(查询结果打印后，将与其他采购文件一并保存。如相关失信记录已失效，需提供相关证明资料。）(根据财库【2019】38号文规定，此项由</w:t>
            </w:r>
            <w:r>
              <w:rPr>
                <w:rFonts w:hint="eastAsia" w:ascii="宋体" w:hAnsi="宋体" w:eastAsia="宋体" w:cs="宋体"/>
                <w:b/>
                <w:bCs/>
                <w:color w:val="auto"/>
                <w:sz w:val="24"/>
                <w:szCs w:val="24"/>
                <w:highlight w:val="none"/>
                <w:lang w:val="en-US" w:eastAsia="zh-CN"/>
              </w:rPr>
              <w:t>资审小组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截止日当天在“国家企业信用信息公示系统”网站进行查询，截图留档；如网站无投标人信息的，投标人须提供相关证明资料或书面声明，且</w:t>
            </w:r>
            <w:r>
              <w:rPr>
                <w:rFonts w:hint="eastAsia" w:ascii="宋体" w:hAnsi="宋体" w:eastAsia="宋体" w:cs="宋体"/>
                <w:color w:val="auto"/>
                <w:sz w:val="24"/>
                <w:szCs w:val="24"/>
                <w:highlight w:val="none"/>
                <w:lang w:val="en-US" w:eastAsia="zh-CN"/>
              </w:rPr>
              <w:t>附</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8868" w:type="dxa"/>
            <w:gridSpan w:val="4"/>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2．事业单位参与投标时，可不提供财务状况报告、社会保障资金和税收缴纳证明；依法免税或不需要缴纳社会保障资金的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，应提供相应证明文件，证明其依法免税或不需要缴纳社会保障资金；自然人（仅限中国公民）参与投标时，只须提供身份证复印件。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．《基本存款账户信息》、《无重大违法记录声明》、《</w:t>
            </w:r>
            <w:r>
              <w:rPr>
                <w:rFonts w:hint="eastAsia" w:ascii="宋体" w:hAnsi="宋体" w:eastAsia="宋体" w:cs="宋体"/>
                <w:color w:val="auto"/>
                <w:sz w:val="24"/>
                <w:szCs w:val="24"/>
                <w:highlight w:val="none"/>
                <w:lang w:eastAsia="zh-CN"/>
              </w:rPr>
              <w:t>法定代表人授权委托书</w:t>
            </w:r>
            <w:r>
              <w:rPr>
                <w:rFonts w:hint="eastAsia" w:ascii="宋体" w:hAnsi="宋体" w:eastAsia="宋体" w:cs="宋体"/>
                <w:color w:val="auto"/>
                <w:sz w:val="24"/>
                <w:szCs w:val="24"/>
                <w:highlight w:val="none"/>
              </w:rPr>
              <w:t>》、《法定代表人身份证明书》应按第五章《投标文件构成及格式》中给定的格式填写，并按要求签字、盖章。</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．按照财政部《关于在政府采购活动中查询及使用信用记录有关问题的通知》（财库〔2016〕125号）要求，在资格审查阶段，采购人将对</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的信用记录进行核查，出现招标文件第二章中“关于信用记录的查询和使用”所列失信行为的，将拒绝其参与政府采购活动。</w:t>
            </w:r>
          </w:p>
        </w:tc>
      </w:tr>
    </w:tbl>
    <w:p>
      <w:pPr>
        <w:pStyle w:val="5"/>
        <w:rPr>
          <w:rFonts w:hint="eastAsia" w:ascii="宋体" w:hAnsi="宋体" w:eastAsia="宋体" w:cs="宋体"/>
          <w:color w:val="auto"/>
          <w:sz w:val="24"/>
          <w:szCs w:val="24"/>
          <w:highlight w:val="none"/>
        </w:rPr>
      </w:pPr>
      <w:bookmarkStart w:id="72" w:name="_Toc12520"/>
      <w:r>
        <w:rPr>
          <w:rFonts w:hint="eastAsia" w:ascii="宋体" w:hAnsi="宋体" w:eastAsia="宋体" w:cs="宋体"/>
          <w:color w:val="auto"/>
          <w:sz w:val="24"/>
          <w:szCs w:val="24"/>
          <w:highlight w:val="none"/>
        </w:rPr>
        <w:t>七、评审方法和程序</w:t>
      </w:r>
      <w:bookmarkEnd w:id="72"/>
    </w:p>
    <w:p>
      <w:pPr>
        <w:pStyle w:val="96"/>
        <w:spacing w:before="210" w:after="210"/>
        <w:ind w:firstLine="640"/>
        <w:outlineLvl w:val="2"/>
        <w:rPr>
          <w:rFonts w:hint="eastAsia" w:ascii="宋体" w:hAnsi="宋体" w:eastAsia="宋体" w:cs="宋体"/>
          <w:color w:val="auto"/>
          <w:sz w:val="24"/>
          <w:szCs w:val="24"/>
          <w:highlight w:val="none"/>
        </w:rPr>
      </w:pPr>
      <w:bookmarkStart w:id="73" w:name="_Toc32195"/>
      <w:r>
        <w:rPr>
          <w:rFonts w:hint="eastAsia" w:ascii="宋体" w:hAnsi="宋体" w:eastAsia="宋体" w:cs="宋体"/>
          <w:color w:val="auto"/>
          <w:sz w:val="24"/>
          <w:szCs w:val="24"/>
          <w:highlight w:val="none"/>
        </w:rPr>
        <w:t>（一）评标方法</w:t>
      </w:r>
      <w:bookmarkEnd w:id="7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本项目采用综合评分法，即投标文件满足招标文件全部实质性要求，且按照评审因素的量化指标评审得分最高的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为中标候选人。</w:t>
      </w:r>
    </w:p>
    <w:p>
      <w:pPr>
        <w:pStyle w:val="96"/>
        <w:spacing w:before="210" w:after="210"/>
        <w:ind w:firstLine="640"/>
        <w:outlineLvl w:val="2"/>
        <w:rPr>
          <w:rFonts w:hint="eastAsia" w:ascii="宋体" w:hAnsi="宋体" w:eastAsia="宋体" w:cs="宋体"/>
          <w:color w:val="auto"/>
          <w:sz w:val="24"/>
          <w:szCs w:val="24"/>
          <w:highlight w:val="none"/>
        </w:rPr>
      </w:pPr>
      <w:bookmarkStart w:id="74" w:name="_Toc30239"/>
      <w:r>
        <w:rPr>
          <w:rFonts w:hint="eastAsia" w:ascii="宋体" w:hAnsi="宋体" w:eastAsia="宋体" w:cs="宋体"/>
          <w:color w:val="auto"/>
          <w:sz w:val="24"/>
          <w:szCs w:val="24"/>
          <w:highlight w:val="none"/>
        </w:rPr>
        <w:t>（二）评标程序</w:t>
      </w:r>
      <w:bookmarkEnd w:id="74"/>
    </w:p>
    <w:p>
      <w:pPr>
        <w:pStyle w:val="95"/>
        <w:outlineLvl w:val="3"/>
        <w:rPr>
          <w:rFonts w:hint="eastAsia" w:ascii="宋体" w:hAnsi="宋体" w:eastAsia="宋体" w:cs="宋体"/>
          <w:color w:val="auto"/>
          <w:sz w:val="24"/>
          <w:szCs w:val="24"/>
          <w:highlight w:val="none"/>
        </w:rPr>
      </w:pPr>
      <w:bookmarkStart w:id="75" w:name="_Toc4917"/>
      <w:r>
        <w:rPr>
          <w:rFonts w:hint="eastAsia" w:ascii="宋体" w:hAnsi="宋体" w:eastAsia="宋体" w:cs="宋体"/>
          <w:color w:val="auto"/>
          <w:sz w:val="24"/>
          <w:szCs w:val="24"/>
          <w:highlight w:val="none"/>
        </w:rPr>
        <w:t>1．组建评标委员会</w:t>
      </w:r>
      <w:bookmarkEnd w:id="7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为了确保评标工作的公平、公正，依据</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由采购代理机构组织评标委员会推选评标组长，采购人代表不得担任组长。</w:t>
      </w:r>
    </w:p>
    <w:p>
      <w:pPr>
        <w:pStyle w:val="95"/>
        <w:outlineLvl w:val="3"/>
        <w:rPr>
          <w:rFonts w:hint="eastAsia" w:ascii="宋体" w:hAnsi="宋体" w:eastAsia="宋体" w:cs="宋体"/>
          <w:color w:val="auto"/>
          <w:sz w:val="24"/>
          <w:szCs w:val="24"/>
          <w:highlight w:val="none"/>
        </w:rPr>
      </w:pPr>
      <w:bookmarkStart w:id="76" w:name="_Toc159"/>
      <w:r>
        <w:rPr>
          <w:rFonts w:hint="eastAsia" w:ascii="宋体" w:hAnsi="宋体" w:eastAsia="宋体" w:cs="宋体"/>
          <w:color w:val="auto"/>
          <w:sz w:val="24"/>
          <w:szCs w:val="24"/>
          <w:highlight w:val="none"/>
        </w:rPr>
        <w:t>2．投标文件的符合性审查</w:t>
      </w:r>
      <w:bookmarkEnd w:id="7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资格性审查通过后，评标委员会对符合资格的投标人的投标文件进行符合性审查，以确定其是否满足招标文件的实质性要求。</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投标人的澄清、说明或者补正应当采用书面形式，并加盖公章，或者由法定代表人或其授权的代表签字。投标人的澄清、说明或者补正不得超出投标文件的范围或者改变投标文件的实质性内容。</w:t>
      </w:r>
    </w:p>
    <w:p>
      <w:pPr>
        <w:spacing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〖符合性审查表〗</w:t>
      </w:r>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8"/>
        <w:gridCol w:w="2392"/>
        <w:gridCol w:w="549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392"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符合性审查项</w:t>
            </w:r>
          </w:p>
        </w:tc>
        <w:tc>
          <w:tcPr>
            <w:tcW w:w="5498" w:type="dxa"/>
            <w:tcBorders>
              <w:top w:val="single" w:color="auto" w:sz="12" w:space="0"/>
              <w:bottom w:val="single" w:color="auto" w:sz="2" w:space="0"/>
            </w:tcBorders>
            <w:shd w:val="clear" w:color="auto" w:fill="F1F1F1" w:themeFill="background1" w:themeFillShade="F2"/>
            <w:vAlign w:val="center"/>
          </w:tcPr>
          <w:p>
            <w:pPr>
              <w:spacing w:line="56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通过条件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392"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与项目的一致性</w:t>
            </w:r>
          </w:p>
        </w:tc>
        <w:tc>
          <w:tcPr>
            <w:tcW w:w="5498" w:type="dxa"/>
            <w:tcBorders>
              <w:top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至少以下三处的项目名称、项目编号、标段（未分标段的除外）与本项目完全一致：</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（1）投标文件封面</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（3）法定代表人（主要负责人）委托授权书\身份证明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6" w:hRule="atLeast"/>
          <w:jc w:val="center"/>
        </w:trPr>
        <w:tc>
          <w:tcPr>
            <w:tcW w:w="978"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2392" w:type="dxa"/>
            <w:tcBorders>
              <w:top w:val="single" w:color="auto" w:sz="2" w:space="0"/>
            </w:tcBorders>
            <w:vAlign w:val="center"/>
          </w:tcPr>
          <w:p>
            <w:pPr>
              <w:spacing w:line="5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编制格式</w:t>
            </w:r>
          </w:p>
        </w:tc>
        <w:tc>
          <w:tcPr>
            <w:tcW w:w="5498" w:type="dxa"/>
            <w:tcBorders>
              <w:top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除明确允许投标人可以自行编写的外，投标文件</w:t>
            </w:r>
            <w:r>
              <w:rPr>
                <w:rFonts w:hint="eastAsia" w:ascii="宋体" w:hAnsi="宋体" w:eastAsia="宋体" w:cs="宋体"/>
                <w:color w:val="auto"/>
                <w:sz w:val="24"/>
                <w:szCs w:val="24"/>
                <w:highlight w:val="none"/>
                <w:lang w:eastAsia="zh-CN"/>
              </w:rPr>
              <w:t>必须</w:t>
            </w:r>
            <w:r>
              <w:rPr>
                <w:rFonts w:hint="eastAsia" w:ascii="宋体" w:hAnsi="宋体" w:eastAsia="宋体" w:cs="宋体"/>
                <w:color w:val="auto"/>
                <w:sz w:val="24"/>
                <w:szCs w:val="24"/>
                <w:highlight w:val="none"/>
              </w:rPr>
              <w:t xml:space="preserve">按照招标文件给定的格式和要求编制； </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投标文件组成</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投标文件应包含以下部分：</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（3）资格证明文件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（6）投标方案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签章均符合招标文件要求，且无遗漏。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语言和计量单位</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投标文件有效期</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符合招标文件的要求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同时满足以下条款：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（1）货币单位符合招标文件要求</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（2）报价符合唯一性要求</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（3）未超出采购预算</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（4）符合《开标一览表》的填报要求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实质性条款响应</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完全响应招标文件要求的各项技术</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服务、商务实质性条款。</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合同条款响应</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完全理解并响应招标文件合同条款的要求，且未含有采购人不能接受的附加条件的。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电子投标文件雷同性分析</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电子投标文件的“文件制作机器码”和“文件创建标识码”通过评标系统的雷同性分析。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978" w:type="dxa"/>
            <w:vAlign w:val="center"/>
          </w:tcPr>
          <w:p>
            <w:pPr>
              <w:spacing w:line="560" w:lineRule="exact"/>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2392" w:type="dxa"/>
            <w:vAlign w:val="center"/>
          </w:tcPr>
          <w:p>
            <w:pPr>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498"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完全理解并接受法律法规和招标文件对</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合法经营的各类规约和责任义务要求，没有出现法律法规或招标文件规定的其他无效情形。</w:t>
            </w:r>
          </w:p>
        </w:tc>
      </w:tr>
    </w:tbl>
    <w:p>
      <w:pPr>
        <w:pStyle w:val="95"/>
        <w:outlineLvl w:val="3"/>
        <w:rPr>
          <w:rFonts w:hint="eastAsia" w:ascii="宋体" w:hAnsi="宋体" w:eastAsia="宋体" w:cs="宋体"/>
          <w:color w:val="auto"/>
          <w:sz w:val="24"/>
          <w:szCs w:val="24"/>
          <w:highlight w:val="none"/>
        </w:rPr>
      </w:pPr>
      <w:bookmarkStart w:id="77" w:name="_Toc9423"/>
      <w:r>
        <w:rPr>
          <w:rFonts w:hint="eastAsia" w:ascii="宋体" w:hAnsi="宋体" w:eastAsia="宋体" w:cs="宋体"/>
          <w:color w:val="auto"/>
          <w:sz w:val="24"/>
          <w:szCs w:val="24"/>
          <w:highlight w:val="none"/>
        </w:rPr>
        <w:t>3．综合比较与评价</w:t>
      </w:r>
      <w:bookmarkEnd w:id="7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评标委员会按《评审要素及分值一览表》中规定的评标方法和标准，对通过符合性审查的投标文件进行商务和技术评估，综合比较与评价。</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投标无效：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（1）投标文件报价出现本章第五小节“投标报价”所列需要修正情形，但</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对修正后的报价不予确认的；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（2）评标委员会认为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的报价明显低于其他通过符合性审查</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的报价，有可能影响产品质量或者不能诚信履约的，要求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在评标现场合理的时间内提供书面说明（必要时提交相关证明材料），</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不能证明其报价合理性的。</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〖评审要素及分值一览表〗</w:t>
      </w:r>
    </w:p>
    <w:tbl>
      <w:tblPr>
        <w:tblStyle w:val="28"/>
        <w:tblW w:w="9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7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exact"/>
              <w:ind w:left="-134" w:leftChars="-56" w:right="-108" w:rightChars="-45"/>
              <w:jc w:val="center"/>
              <w:rPr>
                <w:rFonts w:hint="eastAsia" w:ascii="宋体" w:hAnsi="宋体"/>
                <w:szCs w:val="24"/>
                <w:highlight w:val="none"/>
              </w:rPr>
            </w:pPr>
            <w:bookmarkStart w:id="78" w:name="_Toc937"/>
            <w:r>
              <w:rPr>
                <w:rFonts w:hint="eastAsia" w:ascii="宋体" w:hAnsi="宋体"/>
                <w:highlight w:val="none"/>
              </w:rPr>
              <w:t>评审分项</w:t>
            </w:r>
          </w:p>
        </w:tc>
        <w:tc>
          <w:tcPr>
            <w:tcW w:w="992" w:type="dxa"/>
            <w:noWrap w:val="0"/>
            <w:vAlign w:val="center"/>
          </w:tcPr>
          <w:p>
            <w:pPr>
              <w:spacing w:line="480" w:lineRule="exact"/>
              <w:ind w:left="-134" w:leftChars="-56" w:right="-108" w:rightChars="-45"/>
              <w:jc w:val="center"/>
              <w:rPr>
                <w:rFonts w:hint="eastAsia" w:ascii="宋体" w:hAnsi="宋体"/>
                <w:szCs w:val="24"/>
                <w:highlight w:val="none"/>
              </w:rPr>
            </w:pPr>
            <w:r>
              <w:rPr>
                <w:rFonts w:hint="eastAsia" w:ascii="宋体" w:hAnsi="宋体"/>
                <w:highlight w:val="none"/>
              </w:rPr>
              <w:t>分项分值</w:t>
            </w:r>
          </w:p>
        </w:tc>
        <w:tc>
          <w:tcPr>
            <w:tcW w:w="7541" w:type="dxa"/>
            <w:noWrap w:val="0"/>
            <w:vAlign w:val="center"/>
          </w:tcPr>
          <w:p>
            <w:pPr>
              <w:spacing w:line="420" w:lineRule="exact"/>
              <w:jc w:val="center"/>
              <w:rPr>
                <w:rFonts w:hint="eastAsia" w:ascii="宋体" w:hAnsi="宋体"/>
                <w:szCs w:val="24"/>
                <w:highlight w:val="none"/>
              </w:rPr>
            </w:pPr>
            <w:r>
              <w:rPr>
                <w:rFonts w:hint="eastAsia" w:ascii="宋体" w:hAnsi="宋体"/>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exact"/>
              <w:ind w:right="-108" w:rightChars="-45"/>
              <w:jc w:val="center"/>
              <w:rPr>
                <w:rFonts w:ascii="宋体" w:hAnsi="宋体"/>
                <w:szCs w:val="24"/>
                <w:highlight w:val="none"/>
              </w:rPr>
            </w:pPr>
            <w:r>
              <w:rPr>
                <w:rFonts w:hint="eastAsia" w:ascii="宋体" w:hAnsi="宋体"/>
                <w:szCs w:val="24"/>
                <w:highlight w:val="none"/>
              </w:rPr>
              <w:t>报价</w:t>
            </w:r>
          </w:p>
        </w:tc>
        <w:tc>
          <w:tcPr>
            <w:tcW w:w="992" w:type="dxa"/>
            <w:noWrap w:val="0"/>
            <w:vAlign w:val="center"/>
          </w:tcPr>
          <w:p>
            <w:pPr>
              <w:spacing w:line="480" w:lineRule="exact"/>
              <w:ind w:left="-134" w:leftChars="-56" w:right="-108" w:rightChars="-45"/>
              <w:jc w:val="center"/>
              <w:rPr>
                <w:rFonts w:ascii="宋体" w:hAnsi="宋体"/>
                <w:szCs w:val="24"/>
                <w:highlight w:val="none"/>
              </w:rPr>
            </w:pPr>
            <w:r>
              <w:rPr>
                <w:rFonts w:hint="eastAsia" w:ascii="宋体" w:hAnsi="宋体"/>
                <w:szCs w:val="24"/>
                <w:highlight w:val="none"/>
                <w:lang w:val="en-US" w:eastAsia="zh-CN"/>
              </w:rPr>
              <w:t>10</w:t>
            </w:r>
            <w:r>
              <w:rPr>
                <w:rFonts w:hint="eastAsia" w:ascii="宋体" w:hAnsi="宋体"/>
                <w:szCs w:val="24"/>
                <w:highlight w:val="none"/>
              </w:rPr>
              <w:t>分</w:t>
            </w:r>
          </w:p>
        </w:tc>
        <w:tc>
          <w:tcPr>
            <w:tcW w:w="7541" w:type="dxa"/>
            <w:noWrap w:val="0"/>
            <w:vAlign w:val="center"/>
          </w:tcPr>
          <w:p>
            <w:pPr>
              <w:pStyle w:val="103"/>
              <w:spacing w:line="460" w:lineRule="exact"/>
              <w:rPr>
                <w:rFonts w:ascii="宋体" w:hAnsi="宋体"/>
                <w:kern w:val="2"/>
                <w:sz w:val="24"/>
                <w:szCs w:val="24"/>
                <w:highlight w:val="none"/>
              </w:rPr>
            </w:pPr>
            <w:r>
              <w:rPr>
                <w:rFonts w:hint="eastAsia" w:ascii="宋体" w:hAnsi="宋体"/>
                <w:sz w:val="24"/>
                <w:szCs w:val="24"/>
                <w:highlight w:val="none"/>
              </w:rPr>
              <w:t xml:space="preserve">    按照财政部《政府采购货物和服务招标投标管理办法》（财政部令第87号）的有关规定：</w:t>
            </w:r>
            <w:r>
              <w:rPr>
                <w:rFonts w:hint="eastAsia" w:ascii="宋体" w:hAnsi="宋体"/>
                <w:kern w:val="2"/>
                <w:sz w:val="24"/>
                <w:szCs w:val="24"/>
                <w:highlight w:val="none"/>
              </w:rPr>
              <w:t>价格分采用低价优先法计算，即满足招标文件要求且投标价格最低的投标报价为评标基准价，其价格分为满分。其他投标人的价格分统一按照下列公式计算：</w:t>
            </w:r>
          </w:p>
          <w:p>
            <w:pPr>
              <w:widowControl/>
              <w:spacing w:line="460" w:lineRule="exact"/>
              <w:jc w:val="left"/>
              <w:rPr>
                <w:rFonts w:ascii="宋体" w:hAnsi="宋体"/>
                <w:szCs w:val="24"/>
                <w:highlight w:val="none"/>
              </w:rPr>
            </w:pPr>
            <w:r>
              <w:rPr>
                <w:rFonts w:hint="eastAsia" w:ascii="宋体" w:hAnsi="宋体"/>
                <w:szCs w:val="24"/>
                <w:highlight w:val="none"/>
              </w:rPr>
              <w:t>投标报价得分=（评标基准价/投标报价）</w:t>
            </w:r>
            <w:r>
              <w:rPr>
                <w:rFonts w:hint="eastAsia" w:ascii="宋体" w:hAnsi="宋体"/>
                <w:spacing w:val="-10"/>
                <w:highlight w:val="none"/>
              </w:rPr>
              <w:t>×价格权值（即</w:t>
            </w:r>
            <w:r>
              <w:rPr>
                <w:rFonts w:hint="eastAsia" w:ascii="宋体" w:hAnsi="宋体"/>
                <w:spacing w:val="-10"/>
                <w:highlight w:val="none"/>
                <w:lang w:val="en-US" w:eastAsia="zh-CN"/>
              </w:rPr>
              <w:t>1</w:t>
            </w:r>
            <w:r>
              <w:rPr>
                <w:rFonts w:hint="eastAsia" w:ascii="宋体" w:hAnsi="宋体"/>
                <w:spacing w:val="-10"/>
                <w:highlight w:val="none"/>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92" w:type="dxa"/>
            <w:vMerge w:val="restart"/>
            <w:noWrap w:val="0"/>
            <w:vAlign w:val="center"/>
          </w:tcPr>
          <w:p>
            <w:pPr>
              <w:spacing w:line="480" w:lineRule="exact"/>
              <w:ind w:left="-134" w:leftChars="-56" w:right="-108" w:rightChars="-45"/>
              <w:jc w:val="center"/>
              <w:rPr>
                <w:rFonts w:ascii="宋体" w:hAnsi="宋体"/>
                <w:color w:val="auto"/>
                <w:szCs w:val="24"/>
                <w:highlight w:val="none"/>
              </w:rPr>
            </w:pPr>
            <w:r>
              <w:rPr>
                <w:rFonts w:hint="eastAsia" w:ascii="宋体" w:hAnsi="宋体" w:eastAsia="宋体" w:cs="宋体"/>
                <w:color w:val="auto"/>
                <w:kern w:val="0"/>
                <w:sz w:val="24"/>
                <w:szCs w:val="24"/>
                <w:highlight w:val="none"/>
                <w:lang w:val="en-US" w:eastAsia="zh-CN" w:bidi="ar"/>
              </w:rPr>
              <w:t>服务方案</w:t>
            </w:r>
          </w:p>
        </w:tc>
        <w:tc>
          <w:tcPr>
            <w:tcW w:w="992" w:type="dxa"/>
            <w:vMerge w:val="restart"/>
            <w:noWrap w:val="0"/>
            <w:vAlign w:val="center"/>
          </w:tcPr>
          <w:p>
            <w:pPr>
              <w:spacing w:line="480" w:lineRule="exact"/>
              <w:ind w:left="-134" w:leftChars="-56" w:right="-108" w:rightChars="-45"/>
              <w:jc w:val="center"/>
              <w:rPr>
                <w:rFonts w:hint="default" w:ascii="宋体" w:hAnsi="宋体" w:eastAsiaTheme="minorEastAsia"/>
                <w:color w:val="auto"/>
                <w:szCs w:val="24"/>
                <w:highlight w:val="none"/>
                <w:lang w:val="en-US" w:eastAsia="zh-CN"/>
              </w:rPr>
            </w:pPr>
            <w:r>
              <w:rPr>
                <w:rFonts w:hint="eastAsia" w:ascii="宋体" w:hAnsi="宋体"/>
                <w:color w:val="auto"/>
                <w:szCs w:val="24"/>
                <w:highlight w:val="none"/>
                <w:lang w:val="en-US" w:eastAsia="zh-CN"/>
              </w:rPr>
              <w:t>58分</w:t>
            </w:r>
          </w:p>
        </w:tc>
        <w:tc>
          <w:tcPr>
            <w:tcW w:w="7541" w:type="dxa"/>
            <w:noWrap w:val="0"/>
            <w:vAlign w:val="center"/>
          </w:tcPr>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供应商依照采购人规定及各岗位职责要求，结合各工作实际情况，针对采购人要求的服务主要内容、服务工作要求、质量标准制订切实可行的整体</w:t>
            </w:r>
            <w:r>
              <w:rPr>
                <w:rFonts w:hint="eastAsia" w:ascii="宋体" w:hAnsi="宋体" w:eastAsia="宋体" w:cs="宋体"/>
                <w:color w:val="0000FF"/>
                <w:kern w:val="0"/>
                <w:sz w:val="24"/>
                <w:szCs w:val="24"/>
                <w:highlight w:val="none"/>
                <w:lang w:val="en-US" w:eastAsia="zh-CN" w:bidi="ar"/>
              </w:rPr>
              <w:t>服务方案</w:t>
            </w:r>
            <w:r>
              <w:rPr>
                <w:rFonts w:hint="eastAsia" w:ascii="宋体" w:hAnsi="宋体" w:eastAsia="宋体" w:cs="宋体"/>
                <w:color w:val="auto"/>
                <w:kern w:val="0"/>
                <w:sz w:val="24"/>
                <w:szCs w:val="24"/>
                <w:highlight w:val="none"/>
                <w:lang w:val="en-US" w:eastAsia="zh-CN" w:bidi="ar"/>
              </w:rPr>
              <w:t>：</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①方案思路清晰、科学合理、切实可行，完全满足采购人需求计10～15分； </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②方案内容有欠缺，要求及标准制定等内容完善度不足计5～10分； </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③方案内容有重大缺项，要求及标准制定等内容不合理计1～5分；</w:t>
            </w:r>
          </w:p>
          <w:p>
            <w:pPr>
              <w:spacing w:line="460" w:lineRule="exact"/>
              <w:rPr>
                <w:rFonts w:ascii="宋体" w:hAnsi="宋体"/>
                <w:color w:val="auto"/>
                <w:szCs w:val="24"/>
                <w:highlight w:val="none"/>
              </w:rPr>
            </w:pPr>
            <w:r>
              <w:rPr>
                <w:rFonts w:hint="eastAsia" w:ascii="宋体" w:hAnsi="宋体" w:eastAsia="宋体" w:cs="宋体"/>
                <w:color w:val="auto"/>
                <w:kern w:val="0"/>
                <w:sz w:val="24"/>
                <w:szCs w:val="24"/>
                <w:highlight w:val="none"/>
                <w:lang w:val="en-US" w:eastAsia="zh-CN" w:bidi="ar"/>
              </w:rPr>
              <w:t>④未提供不得分。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60" w:lineRule="exact"/>
              <w:rPr>
                <w:rFonts w:ascii="宋体" w:hAnsi="宋体" w:cs="宋体"/>
                <w:color w:val="auto"/>
                <w:kern w:val="0"/>
                <w:szCs w:val="24"/>
                <w:highlight w:val="none"/>
              </w:rPr>
            </w:pPr>
          </w:p>
        </w:tc>
        <w:tc>
          <w:tcPr>
            <w:tcW w:w="992" w:type="dxa"/>
            <w:vMerge w:val="continue"/>
            <w:noWrap w:val="0"/>
            <w:vAlign w:val="center"/>
          </w:tcPr>
          <w:p>
            <w:pPr>
              <w:spacing w:line="460" w:lineRule="exact"/>
              <w:jc w:val="center"/>
              <w:rPr>
                <w:rFonts w:ascii="宋体" w:hAnsi="宋体" w:cs="宋体"/>
                <w:color w:val="auto"/>
                <w:kern w:val="0"/>
                <w:szCs w:val="24"/>
                <w:highlight w:val="none"/>
              </w:rPr>
            </w:pPr>
          </w:p>
        </w:tc>
        <w:tc>
          <w:tcPr>
            <w:tcW w:w="7541" w:type="dxa"/>
            <w:noWrap w:val="0"/>
            <w:vAlign w:val="top"/>
          </w:tcPr>
          <w:p>
            <w:pPr>
              <w:widowControl/>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提供服务的</w:t>
            </w:r>
            <w:r>
              <w:rPr>
                <w:rFonts w:hint="eastAsia" w:ascii="宋体" w:hAnsi="宋体" w:eastAsia="宋体" w:cs="宋体"/>
                <w:color w:val="0000FF"/>
                <w:kern w:val="0"/>
                <w:sz w:val="24"/>
                <w:szCs w:val="24"/>
                <w:highlight w:val="none"/>
                <w:lang w:val="en-US" w:eastAsia="zh-CN" w:bidi="ar"/>
              </w:rPr>
              <w:t>管理制度</w:t>
            </w:r>
            <w:r>
              <w:rPr>
                <w:rFonts w:hint="eastAsia" w:ascii="宋体" w:hAnsi="宋体" w:eastAsia="宋体" w:cs="宋体"/>
                <w:color w:val="auto"/>
                <w:kern w:val="0"/>
                <w:sz w:val="24"/>
                <w:szCs w:val="24"/>
                <w:highlight w:val="none"/>
                <w:lang w:val="en-US" w:eastAsia="zh-CN" w:bidi="ar"/>
              </w:rPr>
              <w:t>，须针对不同岗位有不同的</w:t>
            </w:r>
            <w:r>
              <w:rPr>
                <w:rFonts w:hint="eastAsia" w:ascii="宋体" w:hAnsi="宋体" w:eastAsia="宋体" w:cs="宋体"/>
                <w:color w:val="0000FF"/>
                <w:kern w:val="0"/>
                <w:sz w:val="24"/>
                <w:szCs w:val="24"/>
                <w:highlight w:val="none"/>
                <w:lang w:val="en-US" w:eastAsia="zh-CN" w:bidi="ar"/>
              </w:rPr>
              <w:t>培训制度计划及考核</w:t>
            </w:r>
            <w:r>
              <w:rPr>
                <w:rFonts w:hint="eastAsia" w:ascii="宋体" w:hAnsi="宋体" w:eastAsia="宋体" w:cs="宋体"/>
                <w:color w:val="auto"/>
                <w:kern w:val="0"/>
                <w:sz w:val="24"/>
                <w:szCs w:val="24"/>
                <w:highlight w:val="none"/>
                <w:lang w:val="en-US" w:eastAsia="zh-CN" w:bidi="ar"/>
              </w:rPr>
              <w:t xml:space="preserve">，包含仪容仪表的要求： </w:t>
            </w:r>
          </w:p>
          <w:p>
            <w:pPr>
              <w:widowControl/>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①管理制度全面，所有岗位培训制度计划及考核、仪容仪表等要求合理规范，计6～12分；</w:t>
            </w:r>
          </w:p>
          <w:p>
            <w:pPr>
              <w:widowControl/>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②有提供服务管理制度，但制度未针对不同岗位制定，计1～6分； </w:t>
            </w:r>
          </w:p>
          <w:p>
            <w:pPr>
              <w:widowControl/>
              <w:spacing w:line="460" w:lineRule="exact"/>
              <w:jc w:val="left"/>
              <w:rPr>
                <w:rFonts w:ascii="宋体" w:hAnsi="宋体"/>
                <w:color w:val="auto"/>
                <w:highlight w:val="none"/>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60" w:lineRule="exact"/>
              <w:rPr>
                <w:rFonts w:ascii="宋体" w:hAnsi="宋体" w:cs="宋体"/>
                <w:color w:val="auto"/>
                <w:kern w:val="0"/>
                <w:szCs w:val="24"/>
                <w:highlight w:val="none"/>
              </w:rPr>
            </w:pPr>
          </w:p>
        </w:tc>
        <w:tc>
          <w:tcPr>
            <w:tcW w:w="992" w:type="dxa"/>
            <w:vMerge w:val="continue"/>
            <w:noWrap w:val="0"/>
            <w:vAlign w:val="center"/>
          </w:tcPr>
          <w:p>
            <w:pPr>
              <w:spacing w:line="460" w:lineRule="exact"/>
              <w:jc w:val="center"/>
              <w:rPr>
                <w:rFonts w:ascii="宋体" w:hAnsi="宋体" w:cs="宋体"/>
                <w:color w:val="auto"/>
                <w:kern w:val="0"/>
                <w:szCs w:val="24"/>
                <w:highlight w:val="none"/>
              </w:rPr>
            </w:pPr>
          </w:p>
        </w:tc>
        <w:tc>
          <w:tcPr>
            <w:tcW w:w="7541" w:type="dxa"/>
            <w:noWrap w:val="0"/>
            <w:vAlign w:val="top"/>
          </w:tcPr>
          <w:p>
            <w:pPr>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根据供应商对于常规</w:t>
            </w:r>
            <w:r>
              <w:rPr>
                <w:rFonts w:hint="eastAsia" w:ascii="宋体" w:hAnsi="宋体" w:eastAsia="宋体" w:cs="宋体"/>
                <w:color w:val="0000FF"/>
                <w:kern w:val="0"/>
                <w:sz w:val="24"/>
                <w:szCs w:val="24"/>
                <w:highlight w:val="none"/>
                <w:lang w:val="en-US" w:eastAsia="zh-CN" w:bidi="ar"/>
              </w:rPr>
              <w:t>应急预案及支撑能</w:t>
            </w:r>
            <w:r>
              <w:rPr>
                <w:rFonts w:hint="eastAsia" w:ascii="宋体" w:hAnsi="宋体" w:eastAsia="宋体" w:cs="宋体"/>
                <w:color w:val="auto"/>
                <w:kern w:val="0"/>
                <w:sz w:val="24"/>
                <w:szCs w:val="24"/>
                <w:highlight w:val="none"/>
                <w:lang w:val="en-US" w:eastAsia="zh-CN" w:bidi="ar"/>
              </w:rPr>
              <w:t xml:space="preserve">力进行综合赋分： </w:t>
            </w:r>
          </w:p>
          <w:p>
            <w:pPr>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①应急预案内容完善、支撑能力强，计5～11分；</w:t>
            </w:r>
          </w:p>
          <w:p>
            <w:pPr>
              <w:spacing w:line="460" w:lineRule="exact"/>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②应急预案内容欠缺，无支撑能力，计1～5分；</w:t>
            </w:r>
          </w:p>
          <w:p>
            <w:pPr>
              <w:spacing w:line="460" w:lineRule="exact"/>
              <w:jc w:val="left"/>
              <w:rPr>
                <w:rFonts w:ascii="宋体" w:hAnsi="宋体" w:cs="宋体"/>
                <w:color w:val="auto"/>
                <w:kern w:val="0"/>
                <w:szCs w:val="24"/>
                <w:highlight w:val="none"/>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color w:val="auto"/>
                <w:szCs w:val="24"/>
                <w:highlight w:val="none"/>
              </w:rPr>
            </w:pPr>
          </w:p>
        </w:tc>
        <w:tc>
          <w:tcPr>
            <w:tcW w:w="992" w:type="dxa"/>
            <w:vMerge w:val="continue"/>
            <w:noWrap w:val="0"/>
            <w:vAlign w:val="center"/>
          </w:tcPr>
          <w:p>
            <w:pPr>
              <w:spacing w:line="480" w:lineRule="exact"/>
              <w:jc w:val="center"/>
              <w:rPr>
                <w:rFonts w:hint="eastAsia" w:ascii="宋体" w:hAnsi="宋体" w:cs="宋体"/>
                <w:color w:val="auto"/>
                <w:szCs w:val="24"/>
                <w:highlight w:val="none"/>
              </w:rPr>
            </w:pPr>
          </w:p>
        </w:tc>
        <w:tc>
          <w:tcPr>
            <w:tcW w:w="7541" w:type="dxa"/>
            <w:noWrap w:val="0"/>
            <w:vAlign w:val="center"/>
          </w:tcPr>
          <w:p>
            <w:pPr>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针对本项目具有可行的</w:t>
            </w:r>
            <w:r>
              <w:rPr>
                <w:rFonts w:hint="eastAsia" w:ascii="宋体" w:hAnsi="宋体" w:eastAsia="宋体" w:cs="宋体"/>
                <w:color w:val="0000FF"/>
                <w:kern w:val="0"/>
                <w:sz w:val="24"/>
                <w:szCs w:val="24"/>
                <w:highlight w:val="none"/>
                <w:lang w:val="en-US" w:eastAsia="zh-CN" w:bidi="ar"/>
              </w:rPr>
              <w:t>保密制度、廉洁敬业</w:t>
            </w:r>
            <w:bookmarkStart w:id="142" w:name="_GoBack"/>
            <w:bookmarkEnd w:id="142"/>
            <w:r>
              <w:rPr>
                <w:rFonts w:hint="eastAsia" w:ascii="宋体" w:hAnsi="宋体" w:eastAsia="宋体" w:cs="宋体"/>
                <w:color w:val="0000FF"/>
                <w:kern w:val="0"/>
                <w:sz w:val="24"/>
                <w:szCs w:val="24"/>
                <w:highlight w:val="none"/>
                <w:lang w:val="en-US" w:eastAsia="zh-CN" w:bidi="ar"/>
              </w:rPr>
              <w:t>制度</w:t>
            </w:r>
            <w:r>
              <w:rPr>
                <w:rFonts w:hint="eastAsia" w:ascii="宋体" w:hAnsi="宋体" w:eastAsia="宋体" w:cs="宋体"/>
                <w:color w:val="auto"/>
                <w:kern w:val="0"/>
                <w:sz w:val="24"/>
                <w:szCs w:val="24"/>
                <w:highlight w:val="none"/>
                <w:lang w:val="en-US" w:eastAsia="zh-CN" w:bidi="ar"/>
              </w:rPr>
              <w:t>等：</w:t>
            </w:r>
          </w:p>
          <w:p>
            <w:pPr>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①保密制度、廉洁敬业制度内容全面，制度合理，计5～10分； </w:t>
            </w:r>
          </w:p>
          <w:p>
            <w:pPr>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②制度不完善、内容欠缺，计1～5分； </w:t>
            </w:r>
          </w:p>
          <w:p>
            <w:pPr>
              <w:spacing w:line="480" w:lineRule="exact"/>
              <w:rPr>
                <w:rFonts w:hint="eastAsia" w:ascii="宋体" w:hAnsi="宋体" w:cs="宋体"/>
                <w:color w:val="auto"/>
                <w:szCs w:val="24"/>
                <w:highlight w:val="none"/>
                <w:lang w:val="zh-CN"/>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continue"/>
            <w:noWrap w:val="0"/>
            <w:vAlign w:val="center"/>
          </w:tcPr>
          <w:p>
            <w:pPr>
              <w:spacing w:line="480" w:lineRule="exact"/>
              <w:jc w:val="center"/>
              <w:rPr>
                <w:rFonts w:hint="eastAsia" w:ascii="宋体" w:hAnsi="宋体" w:cs="宋体" w:eastAsiaTheme="minorEastAsia"/>
                <w:color w:val="auto"/>
                <w:szCs w:val="24"/>
                <w:highlight w:val="none"/>
                <w:lang w:eastAsia="zh-CN"/>
              </w:rPr>
            </w:pPr>
          </w:p>
        </w:tc>
        <w:tc>
          <w:tcPr>
            <w:tcW w:w="992" w:type="dxa"/>
            <w:vMerge w:val="continue"/>
            <w:noWrap w:val="0"/>
            <w:vAlign w:val="center"/>
          </w:tcPr>
          <w:p>
            <w:pPr>
              <w:spacing w:line="480" w:lineRule="exact"/>
              <w:jc w:val="center"/>
              <w:rPr>
                <w:rFonts w:hint="default" w:ascii="宋体" w:hAnsi="宋体" w:cs="宋体"/>
                <w:color w:val="auto"/>
                <w:szCs w:val="24"/>
                <w:highlight w:val="none"/>
                <w:lang w:val="en-US" w:eastAsia="zh-CN"/>
              </w:rPr>
            </w:pPr>
          </w:p>
        </w:tc>
        <w:tc>
          <w:tcPr>
            <w:tcW w:w="7541" w:type="dxa"/>
            <w:noWrap w:val="0"/>
            <w:vAlign w:val="center"/>
          </w:tcPr>
          <w:p>
            <w:pPr>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针对本项目有具体可行的</w:t>
            </w:r>
            <w:r>
              <w:rPr>
                <w:rFonts w:hint="eastAsia" w:ascii="宋体" w:hAnsi="宋体" w:eastAsia="宋体" w:cs="宋体"/>
                <w:color w:val="0000FF"/>
                <w:kern w:val="0"/>
                <w:sz w:val="24"/>
                <w:szCs w:val="24"/>
                <w:highlight w:val="none"/>
                <w:lang w:val="en-US" w:eastAsia="zh-CN" w:bidi="ar"/>
              </w:rPr>
              <w:t>服务质量自检及整改措施</w:t>
            </w:r>
            <w:r>
              <w:rPr>
                <w:rFonts w:hint="eastAsia" w:ascii="宋体" w:hAnsi="宋体" w:eastAsia="宋体" w:cs="宋体"/>
                <w:color w:val="auto"/>
                <w:kern w:val="0"/>
                <w:sz w:val="24"/>
                <w:szCs w:val="24"/>
                <w:highlight w:val="none"/>
                <w:lang w:val="en-US" w:eastAsia="zh-CN" w:bidi="ar"/>
              </w:rPr>
              <w:t xml:space="preserve">： </w:t>
            </w:r>
          </w:p>
          <w:p>
            <w:pPr>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①服务质量自检及整改措施内容完善合理，计5～10分； </w:t>
            </w:r>
          </w:p>
          <w:p>
            <w:pPr>
              <w:spacing w:line="48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②有服务质量自检及整改措施但内容宽泛不够具体的，计1～5分； </w:t>
            </w:r>
          </w:p>
          <w:p>
            <w:pPr>
              <w:spacing w:line="480" w:lineRule="exact"/>
              <w:rPr>
                <w:rFonts w:hint="eastAsia" w:ascii="宋体" w:hAnsi="宋体" w:cs="宋体"/>
                <w:color w:val="auto"/>
                <w:szCs w:val="24"/>
                <w:highlight w:val="none"/>
                <w:lang w:val="zh-CN"/>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noWrap w:val="0"/>
            <w:vAlign w:val="center"/>
          </w:tcPr>
          <w:p>
            <w:pPr>
              <w:spacing w:line="480" w:lineRule="atLeast"/>
              <w:ind w:right="-95"/>
              <w:rPr>
                <w:rFonts w:ascii="宋体" w:hAnsi="宋体" w:cs="宋体"/>
                <w:color w:val="auto"/>
                <w:kern w:val="0"/>
                <w:szCs w:val="24"/>
                <w:highlight w:val="none"/>
              </w:rPr>
            </w:pPr>
            <w:r>
              <w:rPr>
                <w:rFonts w:hint="eastAsia" w:ascii="宋体" w:hAnsi="宋体" w:eastAsia="宋体" w:cs="宋体"/>
                <w:color w:val="auto"/>
                <w:kern w:val="0"/>
                <w:sz w:val="24"/>
                <w:szCs w:val="24"/>
                <w:highlight w:val="none"/>
                <w:lang w:val="en-US" w:eastAsia="zh-CN" w:bidi="ar"/>
              </w:rPr>
              <w:t>人员配备</w:t>
            </w:r>
          </w:p>
        </w:tc>
        <w:tc>
          <w:tcPr>
            <w:tcW w:w="992" w:type="dxa"/>
            <w:noWrap w:val="0"/>
            <w:vAlign w:val="center"/>
          </w:tcPr>
          <w:p>
            <w:pPr>
              <w:spacing w:line="480" w:lineRule="atLeast"/>
              <w:ind w:right="-95"/>
              <w:jc w:val="center"/>
              <w:rPr>
                <w:rFonts w:ascii="宋体" w:hAnsi="宋体" w:cs="宋体"/>
                <w:color w:val="auto"/>
                <w:kern w:val="0"/>
                <w:szCs w:val="24"/>
                <w:highlight w:val="none"/>
              </w:rPr>
            </w:pPr>
            <w:r>
              <w:rPr>
                <w:rFonts w:hint="eastAsia" w:ascii="宋体" w:hAnsi="宋体"/>
                <w:color w:val="auto"/>
                <w:szCs w:val="24"/>
                <w:highlight w:val="none"/>
                <w:lang w:val="en-US" w:eastAsia="zh-CN"/>
              </w:rPr>
              <w:t>10</w:t>
            </w:r>
            <w:r>
              <w:rPr>
                <w:rFonts w:hint="eastAsia" w:ascii="宋体" w:hAnsi="宋体"/>
                <w:color w:val="auto"/>
                <w:szCs w:val="24"/>
                <w:highlight w:val="none"/>
              </w:rPr>
              <w:t>分</w:t>
            </w:r>
          </w:p>
        </w:tc>
        <w:tc>
          <w:tcPr>
            <w:tcW w:w="7541" w:type="dxa"/>
            <w:noWrap w:val="0"/>
            <w:vAlign w:val="center"/>
          </w:tcPr>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①人员配置合理，年龄及各项综合实力完全满足服务要求，从事具体业务工作的服务人员经验丰富，计5～10分； </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②人员配置不合理，从事具体业务工作的服务人员</w:t>
            </w:r>
            <w:r>
              <w:rPr>
                <w:rFonts w:ascii="宋体" w:hAnsi="宋体" w:eastAsia="宋体" w:cs="宋体"/>
                <w:sz w:val="24"/>
                <w:szCs w:val="24"/>
              </w:rPr>
              <w:t>工作经验有欠缺</w:t>
            </w:r>
            <w:r>
              <w:rPr>
                <w:rFonts w:hint="eastAsia" w:ascii="宋体" w:hAnsi="宋体" w:eastAsia="宋体" w:cs="宋体"/>
                <w:color w:val="auto"/>
                <w:kern w:val="0"/>
                <w:sz w:val="24"/>
                <w:szCs w:val="24"/>
                <w:highlight w:val="none"/>
                <w:lang w:val="en-US" w:eastAsia="zh-CN" w:bidi="ar"/>
              </w:rPr>
              <w:t xml:space="preserve">，计1～5分； </w:t>
            </w:r>
          </w:p>
          <w:p>
            <w:pPr>
              <w:spacing w:line="460" w:lineRule="exact"/>
              <w:rPr>
                <w:rFonts w:ascii="宋体" w:hAnsi="宋体" w:cs="宋体"/>
                <w:color w:val="auto"/>
                <w:kern w:val="0"/>
                <w:szCs w:val="24"/>
                <w:highlight w:val="none"/>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92" w:type="dxa"/>
            <w:vMerge w:val="restart"/>
            <w:noWrap w:val="0"/>
            <w:vAlign w:val="center"/>
          </w:tcPr>
          <w:p>
            <w:pPr>
              <w:spacing w:line="480" w:lineRule="atLeast"/>
              <w:ind w:right="-95"/>
              <w:rPr>
                <w:rFonts w:hint="eastAsia" w:ascii="宋体" w:hAnsi="宋体" w:cs="宋体"/>
                <w:color w:val="auto"/>
                <w:kern w:val="0"/>
                <w:szCs w:val="24"/>
                <w:highlight w:val="none"/>
              </w:rPr>
            </w:pPr>
            <w:r>
              <w:rPr>
                <w:rFonts w:hint="eastAsia" w:ascii="宋体" w:hAnsi="宋体" w:eastAsia="宋体" w:cs="宋体"/>
                <w:color w:val="auto"/>
                <w:kern w:val="0"/>
                <w:sz w:val="24"/>
                <w:szCs w:val="24"/>
                <w:highlight w:val="none"/>
                <w:lang w:val="en-US" w:eastAsia="zh-CN" w:bidi="ar"/>
              </w:rPr>
              <w:t>服务承诺</w:t>
            </w:r>
          </w:p>
        </w:tc>
        <w:tc>
          <w:tcPr>
            <w:tcW w:w="992" w:type="dxa"/>
            <w:vMerge w:val="restart"/>
            <w:noWrap w:val="0"/>
            <w:vAlign w:val="center"/>
          </w:tcPr>
          <w:p>
            <w:pPr>
              <w:spacing w:line="480" w:lineRule="atLeast"/>
              <w:ind w:right="-95"/>
              <w:jc w:val="center"/>
              <w:rPr>
                <w:rFonts w:hint="default" w:ascii="宋体" w:hAnsi="宋体" w:cs="宋体" w:eastAsiaTheme="minorEastAsia"/>
                <w:color w:val="auto"/>
                <w:kern w:val="0"/>
                <w:szCs w:val="24"/>
                <w:highlight w:val="none"/>
                <w:lang w:val="en-US" w:eastAsia="zh-CN"/>
              </w:rPr>
            </w:pPr>
            <w:r>
              <w:rPr>
                <w:rFonts w:hint="eastAsia" w:ascii="宋体" w:hAnsi="宋体" w:cs="宋体"/>
                <w:color w:val="auto"/>
                <w:kern w:val="0"/>
                <w:szCs w:val="24"/>
                <w:highlight w:val="none"/>
                <w:lang w:val="en-US" w:eastAsia="zh-CN"/>
              </w:rPr>
              <w:t>16分</w:t>
            </w:r>
          </w:p>
        </w:tc>
        <w:tc>
          <w:tcPr>
            <w:tcW w:w="7541" w:type="dxa"/>
            <w:noWrap w:val="0"/>
            <w:vAlign w:val="center"/>
          </w:tcPr>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承诺接受采购人对服务的考核、监督及管理，定期调研采购人对服务质量的满意度并加以改进，确保服务工作的优质高效， </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①承诺及措施详细、科学、合理、全面，计 4～8分； </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②承诺及措施方案欠缺、无操作性、方案堆叠无逻辑性，计1～4分； </w:t>
            </w:r>
          </w:p>
          <w:p>
            <w:pPr>
              <w:spacing w:line="460" w:lineRule="exact"/>
              <w:rPr>
                <w:rFonts w:hint="eastAsia" w:ascii="宋体" w:hAnsi="宋体" w:cs="宋体"/>
                <w:color w:val="auto"/>
                <w:kern w:val="0"/>
                <w:szCs w:val="24"/>
                <w:highlight w:val="none"/>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vMerge w:val="continue"/>
            <w:noWrap w:val="0"/>
            <w:vAlign w:val="center"/>
          </w:tcPr>
          <w:p>
            <w:pPr>
              <w:spacing w:line="460" w:lineRule="exact"/>
              <w:rPr>
                <w:rFonts w:ascii="宋体" w:hAnsi="宋体" w:cs="宋体"/>
                <w:color w:val="auto"/>
                <w:kern w:val="0"/>
                <w:szCs w:val="24"/>
                <w:highlight w:val="none"/>
              </w:rPr>
            </w:pPr>
          </w:p>
        </w:tc>
        <w:tc>
          <w:tcPr>
            <w:tcW w:w="992" w:type="dxa"/>
            <w:vMerge w:val="continue"/>
            <w:noWrap w:val="0"/>
            <w:vAlign w:val="center"/>
          </w:tcPr>
          <w:p>
            <w:pPr>
              <w:spacing w:line="460" w:lineRule="exact"/>
              <w:jc w:val="center"/>
              <w:rPr>
                <w:rFonts w:ascii="宋体" w:hAnsi="宋体" w:cs="宋体"/>
                <w:color w:val="auto"/>
                <w:kern w:val="0"/>
                <w:szCs w:val="24"/>
                <w:highlight w:val="none"/>
              </w:rPr>
            </w:pPr>
          </w:p>
        </w:tc>
        <w:tc>
          <w:tcPr>
            <w:tcW w:w="7541" w:type="dxa"/>
            <w:noWrap w:val="0"/>
            <w:vAlign w:val="center"/>
          </w:tcPr>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承诺上岗人员固定不随意更换,若出现服务人员因事、病等不能工作的，及时调整其他服务人员补充，确保服务工作的正常进行，</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①承诺及措施详细、科学、合理、全面，计 4～8分； </w:t>
            </w:r>
          </w:p>
          <w:p>
            <w:pPr>
              <w:spacing w:line="460" w:lineRule="exac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②承诺及措施方案欠缺、无操作性、方案堆叠无逻辑性，计1～4分； </w:t>
            </w:r>
          </w:p>
          <w:p>
            <w:pPr>
              <w:spacing w:line="460" w:lineRule="exact"/>
              <w:rPr>
                <w:rFonts w:ascii="宋体" w:hAnsi="宋体"/>
                <w:color w:val="auto"/>
                <w:highlight w:val="none"/>
              </w:rPr>
            </w:pPr>
            <w:r>
              <w:rPr>
                <w:rFonts w:hint="eastAsia" w:ascii="宋体" w:hAnsi="宋体" w:eastAsia="宋体" w:cs="宋体"/>
                <w:color w:val="auto"/>
                <w:kern w:val="0"/>
                <w:sz w:val="24"/>
                <w:szCs w:val="24"/>
                <w:highlight w:val="none"/>
                <w:lang w:val="en-US" w:eastAsia="zh-CN" w:bidi="ar"/>
              </w:rPr>
              <w:t>③未提供不得分。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92" w:type="dxa"/>
            <w:noWrap w:val="0"/>
            <w:vAlign w:val="center"/>
          </w:tcPr>
          <w:p>
            <w:pPr>
              <w:spacing w:line="460" w:lineRule="exact"/>
              <w:rPr>
                <w:rFonts w:hint="eastAsia" w:ascii="宋体" w:hAnsi="宋体" w:cs="宋体"/>
                <w:color w:val="auto"/>
                <w:kern w:val="0"/>
                <w:szCs w:val="24"/>
                <w:highlight w:val="none"/>
              </w:rPr>
            </w:pPr>
            <w:r>
              <w:rPr>
                <w:rFonts w:hint="eastAsia" w:ascii="宋体" w:hAnsi="宋体" w:eastAsia="宋体" w:cs="宋体"/>
                <w:color w:val="auto"/>
                <w:kern w:val="0"/>
                <w:sz w:val="24"/>
                <w:szCs w:val="24"/>
                <w:highlight w:val="none"/>
                <w:lang w:val="en-US" w:eastAsia="zh-CN" w:bidi="ar"/>
              </w:rPr>
              <w:t>业绩</w:t>
            </w:r>
          </w:p>
        </w:tc>
        <w:tc>
          <w:tcPr>
            <w:tcW w:w="992" w:type="dxa"/>
            <w:noWrap w:val="0"/>
            <w:vAlign w:val="center"/>
          </w:tcPr>
          <w:p>
            <w:pPr>
              <w:spacing w:line="460" w:lineRule="exact"/>
              <w:jc w:val="center"/>
              <w:rPr>
                <w:rFonts w:hint="eastAsia" w:ascii="宋体" w:hAnsi="宋体" w:cs="宋体" w:eastAsiaTheme="minorEastAsia"/>
                <w:color w:val="auto"/>
                <w:kern w:val="0"/>
                <w:szCs w:val="24"/>
                <w:highlight w:val="none"/>
                <w:lang w:val="en-US" w:eastAsia="zh-CN"/>
              </w:rPr>
            </w:pPr>
            <w:r>
              <w:rPr>
                <w:rFonts w:hint="eastAsia" w:ascii="宋体" w:hAnsi="宋体" w:cs="宋体"/>
                <w:color w:val="auto"/>
                <w:kern w:val="0"/>
                <w:szCs w:val="24"/>
                <w:highlight w:val="none"/>
                <w:lang w:val="en-US" w:eastAsia="zh-CN"/>
              </w:rPr>
              <w:t>6分</w:t>
            </w:r>
          </w:p>
        </w:tc>
        <w:tc>
          <w:tcPr>
            <w:tcW w:w="7541" w:type="dxa"/>
            <w:noWrap w:val="0"/>
            <w:vAlign w:val="center"/>
          </w:tcPr>
          <w:p>
            <w:pPr>
              <w:spacing w:line="360" w:lineRule="auto"/>
              <w:rPr>
                <w:rFonts w:hint="eastAsia" w:ascii="宋体" w:hAnsi="宋体" w:cs="宋体"/>
                <w:color w:val="auto"/>
                <w:kern w:val="0"/>
                <w:szCs w:val="24"/>
                <w:highlight w:val="none"/>
              </w:rPr>
            </w:pPr>
            <w:r>
              <w:rPr>
                <w:rFonts w:hint="eastAsia" w:ascii="宋体" w:hAnsi="宋体" w:cs="宋体"/>
                <w:color w:val="auto"/>
                <w:kern w:val="0"/>
                <w:szCs w:val="24"/>
                <w:highlight w:val="none"/>
              </w:rPr>
              <w:t>供应商具有2020年11月至今的类似项目业绩，业绩以磋商响应文件中附的合同文件为依据（提供加盖供应商公章的完整合同复印件，以合同签订时间为准），每提供1个得2分，本项满分6分。</w:t>
            </w:r>
          </w:p>
        </w:tc>
      </w:tr>
    </w:tbl>
    <w:p>
      <w:pPr>
        <w:pStyle w:val="95"/>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4．推荐中标候选人</w:t>
      </w:r>
      <w:bookmarkEnd w:id="78"/>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为排名第一的中标候选人。</w:t>
      </w:r>
    </w:p>
    <w:p>
      <w:pPr>
        <w:pStyle w:val="95"/>
        <w:outlineLvl w:val="3"/>
        <w:rPr>
          <w:rFonts w:hint="eastAsia" w:ascii="宋体" w:hAnsi="宋体" w:eastAsia="宋体" w:cs="宋体"/>
          <w:color w:val="auto"/>
          <w:sz w:val="24"/>
          <w:szCs w:val="24"/>
          <w:highlight w:val="none"/>
        </w:rPr>
      </w:pPr>
      <w:bookmarkStart w:id="79" w:name="_Toc4809"/>
      <w:r>
        <w:rPr>
          <w:rFonts w:hint="eastAsia" w:ascii="宋体" w:hAnsi="宋体" w:eastAsia="宋体" w:cs="宋体"/>
          <w:color w:val="auto"/>
          <w:sz w:val="24"/>
          <w:szCs w:val="24"/>
          <w:highlight w:val="none"/>
        </w:rPr>
        <w:t>5．编写评审报告</w:t>
      </w:r>
      <w:bookmarkEnd w:id="7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评审报告是评标委员会根据全体评标成员签字的原始评标记录和评标结果编写的报告，其主要内容包括：</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（1）招标公告刊登的媒体名称、开标日期和地点；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名单和评标委员会成员名单；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（3）评标方法；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（4）开标记录和评标情况及说明，包括投标无效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名单及原因；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（5）评标结果，确定的中标候选人名单或者经采购人委托直接确定的</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（6）其他需要说明的情况，包括评标过程中</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根据评标委员会要求进行的澄清、说明或者补正，评标委员会成员的更换等。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pPr>
        <w:pStyle w:val="96"/>
        <w:spacing w:before="210" w:after="210"/>
        <w:ind w:firstLine="640"/>
        <w:outlineLvl w:val="2"/>
        <w:rPr>
          <w:rFonts w:hint="eastAsia" w:ascii="宋体" w:hAnsi="宋体" w:eastAsia="宋体" w:cs="宋体"/>
          <w:color w:val="auto"/>
          <w:sz w:val="24"/>
          <w:szCs w:val="24"/>
          <w:highlight w:val="none"/>
        </w:rPr>
      </w:pPr>
      <w:bookmarkStart w:id="80" w:name="_Toc30859"/>
      <w:r>
        <w:rPr>
          <w:rFonts w:hint="eastAsia" w:ascii="宋体" w:hAnsi="宋体" w:eastAsia="宋体" w:cs="宋体"/>
          <w:color w:val="auto"/>
          <w:sz w:val="24"/>
          <w:szCs w:val="24"/>
          <w:highlight w:val="none"/>
        </w:rPr>
        <w:t>（三）评标争议处理规则</w:t>
      </w:r>
      <w:bookmarkEnd w:id="8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pPr>
        <w:pStyle w:val="96"/>
        <w:spacing w:before="210" w:after="210"/>
        <w:ind w:firstLine="640"/>
        <w:outlineLvl w:val="2"/>
        <w:rPr>
          <w:rFonts w:hint="eastAsia" w:ascii="宋体" w:hAnsi="宋体" w:eastAsia="宋体" w:cs="宋体"/>
          <w:color w:val="auto"/>
          <w:sz w:val="24"/>
          <w:szCs w:val="24"/>
          <w:highlight w:val="none"/>
        </w:rPr>
      </w:pPr>
      <w:bookmarkStart w:id="81" w:name="_Toc2900"/>
      <w:r>
        <w:rPr>
          <w:rFonts w:hint="eastAsia" w:ascii="宋体" w:hAnsi="宋体" w:eastAsia="宋体" w:cs="宋体"/>
          <w:color w:val="auto"/>
          <w:sz w:val="24"/>
          <w:szCs w:val="24"/>
          <w:highlight w:val="none"/>
        </w:rPr>
        <w:t>（四）评审现场人员的保密责任</w:t>
      </w:r>
      <w:bookmarkEnd w:id="8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pPr>
        <w:pStyle w:val="96"/>
        <w:spacing w:before="210" w:after="210"/>
        <w:ind w:firstLine="640"/>
        <w:outlineLvl w:val="2"/>
        <w:rPr>
          <w:rFonts w:hint="eastAsia" w:ascii="宋体" w:hAnsi="宋体" w:eastAsia="宋体" w:cs="宋体"/>
          <w:color w:val="auto"/>
          <w:sz w:val="24"/>
          <w:szCs w:val="24"/>
          <w:highlight w:val="none"/>
        </w:rPr>
      </w:pPr>
      <w:bookmarkStart w:id="82" w:name="_Toc20093"/>
      <w:r>
        <w:rPr>
          <w:rFonts w:hint="eastAsia" w:ascii="宋体" w:hAnsi="宋体" w:eastAsia="宋体" w:cs="宋体"/>
          <w:color w:val="auto"/>
          <w:sz w:val="24"/>
          <w:szCs w:val="24"/>
          <w:highlight w:val="none"/>
        </w:rPr>
        <w:t>（五）视同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串通投标的情形，其投标无效：</w:t>
      </w:r>
      <w:bookmarkEnd w:id="82"/>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的投标文件由同一单位或者个人编制；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委托同一单位或者个人办理投标事宜；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的投标文件载明的项目管理成员或者联系人员为同一人；</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的投标文件异常一致或者投标报价呈规律性差异。</w:t>
      </w:r>
    </w:p>
    <w:p>
      <w:pPr>
        <w:pStyle w:val="5"/>
        <w:rPr>
          <w:rFonts w:hint="eastAsia" w:ascii="宋体" w:hAnsi="宋体" w:eastAsia="宋体" w:cs="宋体"/>
          <w:color w:val="auto"/>
          <w:sz w:val="24"/>
          <w:szCs w:val="24"/>
          <w:highlight w:val="none"/>
        </w:rPr>
      </w:pPr>
      <w:bookmarkStart w:id="83" w:name="_Toc31588"/>
      <w:r>
        <w:rPr>
          <w:rFonts w:hint="eastAsia" w:ascii="宋体" w:hAnsi="宋体" w:eastAsia="宋体" w:cs="宋体"/>
          <w:color w:val="auto"/>
          <w:sz w:val="24"/>
          <w:szCs w:val="24"/>
          <w:highlight w:val="none"/>
        </w:rPr>
        <w:t>八、中标</w:t>
      </w:r>
      <w:bookmarkEnd w:id="8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1．采购代理机构在评标工作结束后2个工作日内将评审报告送采购人。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5个工作日内未按评标报告推荐的中标候选人顺序确定中标人，又不能说明合法理由的，视同按评标报告推荐的顺序确定排名第一的中标候选人为中标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3．采购代理机构将在</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确定之日起2个工作日内，在【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陕西省政府采购网</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"http://www.ccgp-shaanxi.gov.cn/" </w:instrText>
      </w:r>
      <w:r>
        <w:rPr>
          <w:rFonts w:hint="eastAsia" w:ascii="宋体" w:hAnsi="宋体" w:eastAsia="宋体" w:cs="宋体"/>
          <w:color w:val="auto"/>
          <w:sz w:val="24"/>
          <w:szCs w:val="24"/>
          <w:highlight w:val="none"/>
        </w:rPr>
        <w:fldChar w:fldCharType="separate"/>
      </w:r>
      <w:r>
        <w:rPr>
          <w:rStyle w:val="35"/>
          <w:rFonts w:hint="eastAsia" w:ascii="宋体" w:hAnsi="宋体" w:eastAsia="宋体" w:cs="宋体"/>
          <w:color w:val="auto"/>
          <w:sz w:val="24"/>
          <w:szCs w:val="24"/>
          <w:highlight w:val="none"/>
          <w:u w:val="none"/>
        </w:rPr>
        <w:t>http://www.ccgp-shaanxi.gov.cn/</w:t>
      </w:r>
      <w:r>
        <w:rPr>
          <w:rStyle w:val="35"/>
          <w:rFonts w:hint="eastAsia" w:ascii="宋体" w:hAnsi="宋体" w:eastAsia="宋体" w:cs="宋体"/>
          <w:color w:val="auto"/>
          <w:sz w:val="24"/>
          <w:szCs w:val="24"/>
          <w:highlight w:val="none"/>
          <w:u w:val="none"/>
        </w:rPr>
        <w:fldChar w:fldCharType="end"/>
      </w:r>
      <w:r>
        <w:rPr>
          <w:rFonts w:hint="eastAsia" w:ascii="宋体" w:hAnsi="宋体" w:eastAsia="宋体" w:cs="宋体"/>
          <w:color w:val="auto"/>
          <w:sz w:val="24"/>
          <w:szCs w:val="24"/>
          <w:highlight w:val="none"/>
        </w:rPr>
        <w:t>）上公布中标结果。中标公告期限为1个工作日。</w:t>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b/>
          <w:bCs/>
          <w:color w:val="auto"/>
          <w:sz w:val="24"/>
          <w:szCs w:val="24"/>
          <w:highlight w:val="none"/>
        </w:rPr>
        <w:t>在公告中标结果的同时，代理机构在线向</w:t>
      </w: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发出中标通知书，</w:t>
      </w: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可登录【全国公共资源交易平台（陕西省•西安市）】网站〖首页〉电子交易平台〉企业端〗后，在〖我的项目/项目流程〗模块中点击下载“中标通知书”。</w:t>
      </w:r>
    </w:p>
    <w:p>
      <w:pPr>
        <w:spacing w:line="560" w:lineRule="exact"/>
        <w:ind w:firstLine="480"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下载中标通知书后，向采购代理机构提供一正两副纸质投标文件</w:t>
      </w:r>
      <w:r>
        <w:rPr>
          <w:rFonts w:hint="eastAsia" w:ascii="宋体" w:hAnsi="宋体" w:eastAsia="宋体" w:cs="宋体"/>
          <w:b/>
          <w:bCs/>
          <w:color w:val="auto"/>
          <w:sz w:val="24"/>
          <w:szCs w:val="24"/>
          <w:highlight w:val="none"/>
          <w:lang w:eastAsia="zh-CN"/>
        </w:rPr>
        <w:t>及</w:t>
      </w:r>
      <w:r>
        <w:rPr>
          <w:rFonts w:hint="eastAsia" w:ascii="宋体" w:hAnsi="宋体" w:eastAsia="宋体" w:cs="宋体"/>
          <w:b/>
          <w:bCs/>
          <w:color w:val="auto"/>
          <w:sz w:val="24"/>
          <w:szCs w:val="24"/>
          <w:highlight w:val="none"/>
        </w:rPr>
        <w:t>电子投标文件一份（U盘或移动硬盘；电子投标文件为Word版本和PDF版本，PDF文件为签字、盖章的完整正本扫描件）用于备案及档案保存。</w:t>
      </w:r>
    </w:p>
    <w:p>
      <w:pPr>
        <w:spacing w:line="560" w:lineRule="exact"/>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5．采用综合评分法评审的，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登录【全国公共资源交易中心（陕西省·西安市）】网站〖首页·〉电子交易平台·〉企业端〗，登录后切换到〖我的项目〗模块，依次点选〖项目流程·〉项目管理·〉评标结果查看〗，查看本单位的最终得分与排序。</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84" w:name="_Toc5823"/>
      <w:r>
        <w:rPr>
          <w:rFonts w:hint="eastAsia" w:ascii="宋体" w:hAnsi="宋体" w:eastAsia="宋体" w:cs="宋体"/>
          <w:color w:val="auto"/>
          <w:sz w:val="24"/>
          <w:szCs w:val="24"/>
          <w:highlight w:val="none"/>
        </w:rPr>
        <w:t>6．采购代理机构按照相关规定将评审报告送监管机构备案。</w:t>
      </w:r>
      <w:bookmarkEnd w:id="84"/>
    </w:p>
    <w:p>
      <w:pPr>
        <w:pStyle w:val="5"/>
        <w:rPr>
          <w:rFonts w:hint="eastAsia" w:ascii="宋体" w:hAnsi="宋体" w:eastAsia="宋体" w:cs="宋体"/>
          <w:color w:val="auto"/>
          <w:sz w:val="24"/>
          <w:szCs w:val="24"/>
          <w:highlight w:val="none"/>
        </w:rPr>
      </w:pPr>
      <w:bookmarkStart w:id="85" w:name="_Toc3816"/>
      <w:r>
        <w:rPr>
          <w:rFonts w:hint="eastAsia" w:ascii="宋体" w:hAnsi="宋体" w:eastAsia="宋体" w:cs="宋体"/>
          <w:color w:val="auto"/>
          <w:sz w:val="24"/>
          <w:szCs w:val="24"/>
          <w:highlight w:val="none"/>
        </w:rPr>
        <w:t>九、合同签订、履行及验收</w:t>
      </w:r>
      <w:bookmarkEnd w:id="85"/>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招标文件、投标文件、澄清、补充合同等为政府采购合同的组成部分，具有同等法律效力。</w:t>
      </w:r>
    </w:p>
    <w:p>
      <w:pPr>
        <w:pStyle w:val="96"/>
        <w:spacing w:before="210" w:after="210"/>
        <w:ind w:firstLine="640"/>
        <w:outlineLvl w:val="2"/>
        <w:rPr>
          <w:rFonts w:hint="eastAsia" w:ascii="宋体" w:hAnsi="宋体" w:eastAsia="宋体" w:cs="宋体"/>
          <w:color w:val="auto"/>
          <w:sz w:val="24"/>
          <w:szCs w:val="24"/>
          <w:highlight w:val="none"/>
        </w:rPr>
      </w:pPr>
      <w:bookmarkStart w:id="86" w:name="_Toc30314"/>
      <w:r>
        <w:rPr>
          <w:rFonts w:hint="eastAsia" w:ascii="宋体" w:hAnsi="宋体" w:eastAsia="宋体" w:cs="宋体"/>
          <w:color w:val="auto"/>
          <w:sz w:val="24"/>
          <w:szCs w:val="24"/>
          <w:highlight w:val="none"/>
        </w:rPr>
        <w:t>（一）签订政府采购合同</w:t>
      </w:r>
      <w:bookmarkEnd w:id="8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1．自中标通知书发出之日起</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日内，采购人与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应按招标文件和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投标文件的约定，签订书面合同。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拒绝与采购人签订合同的，采购人可以按照《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政府采购法实施条例》第四十九条规定，确定下一候选人为</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，也可以重新开展政府采购活动。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3．采购人不得向</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提出任何不合理的要求，作为签订合同的条件，不得与</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私下订立背离合同实质性内容的任何协议，所签订的合同不得对招标文件和</w:t>
      </w:r>
      <w:r>
        <w:rPr>
          <w:rFonts w:hint="eastAsia" w:ascii="宋体" w:hAnsi="宋体" w:eastAsia="宋体" w:cs="宋体"/>
          <w:color w:val="auto"/>
          <w:sz w:val="24"/>
          <w:szCs w:val="24"/>
          <w:highlight w:val="none"/>
          <w:lang w:eastAsia="zh-CN"/>
        </w:rPr>
        <w:t>中标人</w:t>
      </w:r>
      <w:r>
        <w:rPr>
          <w:rFonts w:hint="eastAsia" w:ascii="宋体" w:hAnsi="宋体" w:eastAsia="宋体" w:cs="宋体"/>
          <w:color w:val="auto"/>
          <w:sz w:val="24"/>
          <w:szCs w:val="24"/>
          <w:highlight w:val="none"/>
        </w:rPr>
        <w:t>投标文件作实质性修改。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4．质疑或者投诉事项可能影响中标、成交结果的，采购人应当暂停签订合同，已经签订合同的，应当中止履行合同。</w:t>
      </w:r>
    </w:p>
    <w:p>
      <w:pPr>
        <w:pStyle w:val="96"/>
        <w:spacing w:before="210" w:after="210"/>
        <w:ind w:firstLine="640"/>
        <w:outlineLvl w:val="2"/>
        <w:rPr>
          <w:rFonts w:hint="eastAsia" w:ascii="宋体" w:hAnsi="宋体" w:eastAsia="宋体" w:cs="宋体"/>
          <w:color w:val="auto"/>
          <w:sz w:val="24"/>
          <w:szCs w:val="24"/>
          <w:highlight w:val="none"/>
        </w:rPr>
      </w:pPr>
      <w:bookmarkStart w:id="87" w:name="_Toc993"/>
      <w:r>
        <w:rPr>
          <w:rFonts w:hint="eastAsia" w:ascii="宋体" w:hAnsi="宋体" w:eastAsia="宋体" w:cs="宋体"/>
          <w:color w:val="auto"/>
          <w:sz w:val="24"/>
          <w:szCs w:val="24"/>
          <w:highlight w:val="none"/>
        </w:rPr>
        <w:t>（二）合同公告及备案</w:t>
      </w:r>
      <w:bookmarkEnd w:id="87"/>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1．采购人应当自政府采购合同签订之日起2个工作日内，在陕西省政府采购网对合同进行公示，但政府采购合同中涉及国家秘密、商业秘密的内容除外。</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2．采购人应自合同签订之日起7个工作日内将政府采购合同报送监管机构备案。</w:t>
      </w:r>
    </w:p>
    <w:p>
      <w:pPr>
        <w:pStyle w:val="96"/>
        <w:spacing w:before="210" w:after="210"/>
        <w:ind w:firstLine="640"/>
        <w:outlineLvl w:val="2"/>
        <w:rPr>
          <w:rFonts w:hint="eastAsia" w:ascii="宋体" w:hAnsi="宋体" w:eastAsia="宋体" w:cs="宋体"/>
          <w:color w:val="auto"/>
          <w:sz w:val="24"/>
          <w:szCs w:val="24"/>
          <w:highlight w:val="none"/>
        </w:rPr>
      </w:pPr>
      <w:bookmarkStart w:id="88" w:name="_Toc13241"/>
      <w:r>
        <w:rPr>
          <w:rFonts w:hint="eastAsia" w:ascii="宋体" w:hAnsi="宋体" w:eastAsia="宋体" w:cs="宋体"/>
          <w:color w:val="auto"/>
          <w:sz w:val="24"/>
          <w:szCs w:val="24"/>
          <w:highlight w:val="none"/>
        </w:rPr>
        <w:t>（三）履行合同</w:t>
      </w:r>
      <w:bookmarkEnd w:id="88"/>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1．合同一经签订，双方应严格履行合同规定的义务。</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2．在合同履行过程中，如发生合同纠纷，合同双方应按照《中华人民共和国民法典》及合同条款的有关规定进行处理。</w:t>
      </w:r>
    </w:p>
    <w:p>
      <w:pPr>
        <w:pStyle w:val="96"/>
        <w:spacing w:before="210" w:after="210"/>
        <w:ind w:firstLine="640"/>
        <w:outlineLvl w:val="2"/>
        <w:rPr>
          <w:rFonts w:hint="eastAsia" w:ascii="宋体" w:hAnsi="宋体" w:eastAsia="宋体" w:cs="宋体"/>
          <w:color w:val="auto"/>
          <w:sz w:val="24"/>
          <w:szCs w:val="24"/>
          <w:highlight w:val="none"/>
        </w:rPr>
      </w:pPr>
      <w:bookmarkStart w:id="89" w:name="_Toc28391"/>
      <w:r>
        <w:rPr>
          <w:rFonts w:hint="eastAsia" w:ascii="宋体" w:hAnsi="宋体" w:eastAsia="宋体" w:cs="宋体"/>
          <w:color w:val="auto"/>
          <w:sz w:val="24"/>
          <w:szCs w:val="24"/>
          <w:highlight w:val="none"/>
        </w:rPr>
        <w:t>（四）验收或考核</w:t>
      </w:r>
      <w:bookmarkEnd w:id="8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1．采购人严格按照国家相关法律法规的要求及招标文件的要求组织验收或考核。</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2．采购人按《关于促进政府采购公平竞争优化营商环境的通知》（财库〔2019〕38号）、《保障中小企业款项支付条例》（国务院令第728号）等规定及采购合同的约定进行支付合同款项。</w:t>
      </w:r>
    </w:p>
    <w:p>
      <w:pPr>
        <w:pStyle w:val="5"/>
        <w:rPr>
          <w:rFonts w:hint="eastAsia" w:ascii="宋体" w:hAnsi="宋体" w:eastAsia="宋体" w:cs="宋体"/>
          <w:color w:val="auto"/>
          <w:sz w:val="24"/>
          <w:szCs w:val="24"/>
          <w:highlight w:val="none"/>
        </w:rPr>
      </w:pPr>
      <w:bookmarkStart w:id="90" w:name="_Toc8941"/>
      <w:r>
        <w:rPr>
          <w:rFonts w:hint="eastAsia" w:ascii="宋体" w:hAnsi="宋体" w:eastAsia="宋体" w:cs="宋体"/>
          <w:color w:val="auto"/>
          <w:sz w:val="24"/>
          <w:szCs w:val="24"/>
          <w:highlight w:val="none"/>
        </w:rPr>
        <w:t>十、废标及重新招标</w:t>
      </w:r>
      <w:bookmarkEnd w:id="90"/>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政府采购法》第三十六条规定，在招标采购中，出现下列情形之一的，本项目按废标处理：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（1）出现影响采购公正的违法、违规行为的；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的报价均超过了采购预算，采购人不能支付的；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（3）因重大变故，采购任务取消的。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废标后，除采购任务取消外，本项目将重新组织招标。</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3．在递交投标文件阶段、密封性等形式检查阶段、资格审查阶段或评标委员会评标阶段，当出现有效</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不足3家时，本项目将依据西安市财政局《关于进一步规范市级预算单位变更政府采购方式审批管理的通知》（市财发〔2017〕186号）的有关规定，按政府采购监管部门事前批准的采购方式继续进行。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4．招标文件未明确的其他事项，按《</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政府采购法》及其相关法律法规执行。</w:t>
      </w:r>
    </w:p>
    <w:p>
      <w:pPr>
        <w:rPr>
          <w:rFonts w:hint="eastAsia" w:ascii="宋体" w:hAnsi="宋体" w:eastAsia="宋体" w:cs="宋体"/>
          <w:color w:val="auto"/>
          <w:sz w:val="24"/>
          <w:szCs w:val="24"/>
          <w:highlight w:val="none"/>
        </w:rPr>
      </w:pPr>
      <w:bookmarkStart w:id="91" w:name="_Toc100219614"/>
      <w:r>
        <w:rPr>
          <w:rFonts w:hint="eastAsia" w:ascii="宋体" w:hAnsi="宋体" w:eastAsia="宋体" w:cs="宋体"/>
          <w:color w:val="auto"/>
          <w:sz w:val="24"/>
          <w:szCs w:val="24"/>
          <w:highlight w:val="none"/>
        </w:rPr>
        <w:br w:type="page"/>
      </w:r>
    </w:p>
    <w:p>
      <w:pPr>
        <w:pStyle w:val="4"/>
        <w:numPr>
          <w:ilvl w:val="0"/>
          <w:numId w:val="5"/>
        </w:numPr>
        <w:jc w:val="center"/>
        <w:outlineLvl w:val="9"/>
        <w:rPr>
          <w:rFonts w:hint="eastAsia" w:ascii="宋体" w:hAnsi="宋体" w:eastAsia="宋体" w:cs="宋体"/>
          <w:b/>
          <w:bCs/>
          <w:color w:val="auto"/>
          <w:highlight w:val="none"/>
        </w:rPr>
      </w:pPr>
      <w:bookmarkStart w:id="92" w:name="_Toc31046"/>
      <w:bookmarkStart w:id="93" w:name="_Toc17694"/>
      <w:r>
        <w:rPr>
          <w:rFonts w:hint="eastAsia" w:ascii="宋体" w:hAnsi="宋体" w:eastAsia="宋体" w:cs="宋体"/>
          <w:b/>
          <w:bCs/>
          <w:color w:val="auto"/>
          <w:highlight w:val="none"/>
        </w:rPr>
        <w:t xml:space="preserve"> </w:t>
      </w:r>
      <w:bookmarkEnd w:id="91"/>
      <w:bookmarkEnd w:id="92"/>
      <w:bookmarkEnd w:id="93"/>
      <w:bookmarkStart w:id="94" w:name="_Toc26024"/>
      <w:r>
        <w:rPr>
          <w:rFonts w:hint="eastAsia" w:ascii="宋体" w:hAnsi="宋体" w:eastAsia="宋体" w:cs="宋体"/>
          <w:b/>
          <w:bCs/>
          <w:color w:val="auto"/>
          <w:highlight w:val="none"/>
          <w:lang w:eastAsia="zh-CN"/>
        </w:rPr>
        <w:t>服务内容及要求</w:t>
      </w:r>
    </w:p>
    <w:p>
      <w:pPr>
        <w:pBdr>
          <w:bottom w:val="single" w:color="auto" w:sz="4" w:space="1"/>
        </w:pBdr>
        <w:spacing w:before="312" w:beforeLines="100"/>
        <w:ind w:left="420" w:hanging="42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一、服务内容</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一、实施范围</w:t>
      </w:r>
    </w:p>
    <w:p>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次项目实施范围为阎良区新兴街办的全部7个行政村，包括滨河村（水北4个组、官路9个组）、新牛村（南林3个组、新牛、寨子3个组、新兴）、咀子村（咀子、湾里、南康桥）、万南村（万南、万北、黄家窑、王家窑、张大夫）、屈家村（屈家2个组、万东、万西、秦郭、孟家）、井家村（井家、郭家、焦家、袁家、仁合）、邰家村（金东、金西、解家、邰家），合计26个自然村、47个组。</w:t>
      </w: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二、目标任务</w:t>
      </w:r>
    </w:p>
    <w:p>
      <w:pPr>
        <w:ind w:firstLine="480" w:firstLineChars="200"/>
        <w:rPr>
          <w:rFonts w:hint="eastAsia" w:ascii="宋体" w:hAnsi="宋体" w:eastAsia="宋体" w:cs="宋体"/>
          <w:b w:val="0"/>
          <w:bCs w:val="0"/>
          <w:color w:val="FFFF00"/>
          <w:sz w:val="24"/>
          <w:szCs w:val="24"/>
          <w:lang w:val="en-US" w:eastAsia="zh-CN"/>
        </w:rPr>
      </w:pPr>
      <w:r>
        <w:rPr>
          <w:rFonts w:hint="eastAsia" w:ascii="宋体" w:hAnsi="宋体" w:eastAsia="宋体" w:cs="宋体"/>
          <w:b w:val="0"/>
          <w:bCs w:val="0"/>
          <w:sz w:val="24"/>
          <w:szCs w:val="24"/>
          <w:lang w:val="en-US" w:eastAsia="zh-CN"/>
        </w:rPr>
        <w:t>按照“政府监管、市场运作、乡镇（区）主体、分类实施”的工作思路，逐步健全“城乡一体、全面负责、一杆到底”的城乡环卫管理机制，有效提升城乡环境卫生管理水平，基本完成“卫生整洁、设施齐全、管理到位、体制完善”的工作目标，最终实现城乡生活垃圾全方位、无缝隙、全覆盖管理和资源化利用。拟达到绿化完好率95%，清洁、保洁达标率 98%，垃圾清运达标率98%，管理服务质量投诉处理及时率100%，服务满意度90%，治安或突发事件处理率100%，火灾等突发事件处理及时率100%。</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三、环卫保洁工作</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依据《新兴街道农村环卫市场化运营考核办法》中的工作要求和标准，全面负责7个行政村和城市道路的环境卫生保洁。</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工作内容主要包括区域内所有</w:t>
      </w:r>
      <w:r>
        <w:rPr>
          <w:rFonts w:hint="eastAsia" w:ascii="宋体" w:hAnsi="宋体" w:eastAsia="宋体" w:cs="宋体"/>
          <w:b w:val="0"/>
          <w:bCs w:val="0"/>
          <w:color w:val="auto"/>
          <w:sz w:val="24"/>
          <w:szCs w:val="24"/>
          <w:highlight w:val="none"/>
          <w:lang w:val="en-US" w:eastAsia="zh-CN"/>
        </w:rPr>
        <w:t>公共道路主干道沿线、村内外道路保洁和</w:t>
      </w:r>
      <w:r>
        <w:rPr>
          <w:rFonts w:hint="eastAsia" w:ascii="宋体" w:hAnsi="宋体" w:eastAsia="宋体" w:cs="宋体"/>
          <w:b w:val="0"/>
          <w:bCs w:val="0"/>
          <w:color w:val="auto"/>
          <w:sz w:val="24"/>
          <w:szCs w:val="24"/>
          <w:lang w:val="en-US" w:eastAsia="zh-CN"/>
        </w:rPr>
        <w:t>两侧可视范围内清扫清理（不含清理门前三堆），野广告的清理；公共设施的清洗；重大活动（含各类创建）保障等。</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四、垃圾收集转运工作</w:t>
      </w:r>
    </w:p>
    <w:p>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每日对辖区内各生活垃圾收集点进行清运工作，确保生活垃圾无滴漏、遗撒和恶臭，做到“日产日清”。</w:t>
      </w:r>
    </w:p>
    <w:p>
      <w:pPr>
        <w:pStyle w:val="2"/>
        <w:rPr>
          <w:rFonts w:hint="default"/>
          <w:b w:val="0"/>
          <w:bCs w:val="0"/>
          <w:color w:val="auto"/>
          <w:lang w:val="en-US" w:eastAsia="zh-CN"/>
        </w:rPr>
      </w:pPr>
      <w:r>
        <w:rPr>
          <w:rFonts w:hint="eastAsia" w:eastAsia="宋体" w:cs="宋体"/>
          <w:b w:val="0"/>
          <w:bCs w:val="0"/>
          <w:color w:val="auto"/>
          <w:sz w:val="24"/>
          <w:szCs w:val="24"/>
          <w:lang w:val="en-US" w:eastAsia="zh-CN"/>
        </w:rPr>
        <w:t>做到对辖区内出现的生产垃圾、建筑垃圾进行清运，确保辖区无偷倒垃圾堆积。</w:t>
      </w:r>
    </w:p>
    <w:p>
      <w:pPr>
        <w:numPr>
          <w:ilvl w:val="0"/>
          <w:numId w:val="6"/>
        </w:num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绿化养护工作</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val="0"/>
          <w:bCs w:val="0"/>
          <w:color w:val="auto"/>
          <w:sz w:val="24"/>
          <w:szCs w:val="24"/>
          <w:lang w:val="en-US" w:eastAsia="zh-CN"/>
        </w:rPr>
        <w:t xml:space="preserve"> 负责修剪、林下除草、杂物清运、树木刷白、打药、补植：</w:t>
      </w:r>
    </w:p>
    <w:p>
      <w:p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1、107省道、西咸二级路、阎关路两侧绿化带，</w:t>
      </w:r>
    </w:p>
    <w:p>
      <w:pPr>
        <w:numPr>
          <w:ilvl w:val="0"/>
          <w:numId w:val="7"/>
        </w:numP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新兴街道全段、栎阳湖路口、屈家村孟家组绿化带、阎关路万南村张大夫段。</w:t>
      </w:r>
    </w:p>
    <w:p>
      <w:pPr>
        <w:pStyle w:val="2"/>
        <w:numPr>
          <w:ilvl w:val="0"/>
          <w:numId w:val="7"/>
        </w:numPr>
        <w:rPr>
          <w:rFonts w:hint="eastAsia"/>
          <w:b w:val="0"/>
          <w:bCs w:val="0"/>
          <w:color w:val="auto"/>
          <w:lang w:val="en-US" w:eastAsia="zh-CN"/>
        </w:rPr>
      </w:pPr>
      <w:r>
        <w:rPr>
          <w:rFonts w:hint="eastAsia"/>
          <w:b w:val="0"/>
          <w:bCs w:val="0"/>
          <w:color w:val="auto"/>
          <w:lang w:val="en-US" w:eastAsia="zh-CN"/>
        </w:rPr>
        <w:t>各村已建成的集体绿化带。</w:t>
      </w:r>
    </w:p>
    <w:p>
      <w:pPr>
        <w:rPr>
          <w:rFonts w:hint="default" w:ascii="宋体" w:hAnsi="宋体" w:eastAsia="宋体" w:cs="宋体"/>
          <w:b/>
          <w:bCs/>
          <w:color w:val="auto"/>
          <w:sz w:val="24"/>
          <w:szCs w:val="24"/>
          <w:highlight w:val="yellow"/>
          <w:lang w:val="en-US" w:eastAsia="zh-CN"/>
        </w:rPr>
      </w:pPr>
      <w:r>
        <w:rPr>
          <w:rFonts w:hint="eastAsia" w:ascii="宋体" w:hAnsi="宋体" w:eastAsia="宋体" w:cs="宋体"/>
          <w:b/>
          <w:bCs/>
          <w:color w:val="auto"/>
          <w:sz w:val="24"/>
          <w:szCs w:val="24"/>
          <w:lang w:eastAsia="zh-CN"/>
        </w:rPr>
        <w:t>六、</w:t>
      </w:r>
      <w:r>
        <w:rPr>
          <w:rFonts w:hint="eastAsia" w:ascii="宋体" w:hAnsi="宋体" w:eastAsia="宋体" w:cs="宋体"/>
          <w:b/>
          <w:bCs/>
          <w:color w:val="auto"/>
          <w:sz w:val="24"/>
          <w:szCs w:val="24"/>
          <w:lang w:val="en-US" w:eastAsia="zh-CN"/>
        </w:rPr>
        <w:t>公厕管理。</w:t>
      </w:r>
    </w:p>
    <w:p>
      <w:pPr>
        <w:pStyle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管理标准:</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1</w:t>
      </w:r>
      <w:r>
        <w:rPr>
          <w:rFonts w:hint="eastAsia" w:ascii="宋体" w:hAnsi="宋体" w:eastAsia="宋体" w:cs="宋体"/>
          <w:color w:val="auto"/>
          <w:sz w:val="24"/>
          <w:szCs w:val="24"/>
          <w:lang w:eastAsia="zh-CN"/>
        </w:rPr>
        <w:t>、卫生纸无霉烂、变质，严格按核定的有偿服务标准收费</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2</w:t>
      </w:r>
      <w:r>
        <w:rPr>
          <w:rFonts w:hint="eastAsia" w:ascii="宋体" w:hAnsi="宋体" w:eastAsia="宋体" w:cs="宋体"/>
          <w:color w:val="auto"/>
          <w:sz w:val="24"/>
          <w:szCs w:val="24"/>
          <w:lang w:eastAsia="zh-CN"/>
        </w:rPr>
        <w:t>、职责到人，全日开放，方便群众优质服务。</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3</w:t>
      </w:r>
      <w:r>
        <w:rPr>
          <w:rFonts w:hint="eastAsia" w:ascii="宋体" w:hAnsi="宋体" w:eastAsia="宋体" w:cs="宋体"/>
          <w:color w:val="auto"/>
          <w:sz w:val="24"/>
          <w:szCs w:val="24"/>
          <w:lang w:eastAsia="zh-CN"/>
        </w:rPr>
        <w:t>、工具、物品要摆放整齐</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4</w:t>
      </w:r>
      <w:r>
        <w:rPr>
          <w:rFonts w:hint="eastAsia" w:ascii="宋体" w:hAnsi="宋体" w:eastAsia="宋体" w:cs="宋体"/>
          <w:color w:val="auto"/>
          <w:sz w:val="24"/>
          <w:szCs w:val="24"/>
          <w:lang w:eastAsia="zh-CN"/>
        </w:rPr>
        <w:t>、照明、供水、排污设施完好。如有损坏，要及时修复。</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6</w:t>
      </w:r>
      <w:r>
        <w:rPr>
          <w:rFonts w:hint="eastAsia" w:ascii="宋体" w:hAnsi="宋体" w:eastAsia="宋体" w:cs="宋体"/>
          <w:color w:val="auto"/>
          <w:sz w:val="24"/>
          <w:szCs w:val="24"/>
          <w:lang w:eastAsia="zh-CN"/>
        </w:rPr>
        <w:t>、管理房只供管理人员居住使用，不得让外人留宿或作其它用途。做好安全防范工作。</w:t>
      </w:r>
    </w:p>
    <w:p>
      <w:pPr>
        <w:pStyle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卫生标准:</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1</w:t>
      </w:r>
      <w:r>
        <w:rPr>
          <w:rFonts w:hint="eastAsia" w:ascii="宋体" w:hAnsi="宋体" w:eastAsia="宋体" w:cs="宋体"/>
          <w:color w:val="auto"/>
          <w:sz w:val="24"/>
          <w:szCs w:val="24"/>
          <w:lang w:eastAsia="zh-CN"/>
        </w:rPr>
        <w:t>、全日保洁，多次冲洗，做到无臭味</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2</w:t>
      </w:r>
      <w:r>
        <w:rPr>
          <w:rFonts w:hint="eastAsia" w:ascii="宋体" w:hAnsi="宋体" w:eastAsia="宋体" w:cs="宋体"/>
          <w:color w:val="auto"/>
          <w:sz w:val="24"/>
          <w:szCs w:val="24"/>
          <w:lang w:eastAsia="zh-CN"/>
        </w:rPr>
        <w:t>、厕内持续“六面光”。做到无蛛网无烟头、无纸屑、无杂物。</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3</w:t>
      </w:r>
      <w:r>
        <w:rPr>
          <w:rFonts w:hint="eastAsia" w:ascii="宋体" w:hAnsi="宋体" w:eastAsia="宋体" w:cs="宋体"/>
          <w:color w:val="auto"/>
          <w:sz w:val="24"/>
          <w:szCs w:val="24"/>
          <w:lang w:eastAsia="zh-CN"/>
        </w:rPr>
        <w:t>、定期药物消杀，做到无蚊蝇。</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4</w:t>
      </w:r>
      <w:r>
        <w:rPr>
          <w:rFonts w:hint="eastAsia" w:ascii="宋体" w:hAnsi="宋体" w:eastAsia="宋体" w:cs="宋体"/>
          <w:color w:val="auto"/>
          <w:sz w:val="24"/>
          <w:szCs w:val="24"/>
          <w:lang w:eastAsia="zh-CN"/>
        </w:rPr>
        <w:t>、公厕周围环境整洁，墙壁内外无乱写乱画乱贴。</w:t>
      </w:r>
    </w:p>
    <w:p>
      <w:pPr>
        <w:pStyle w:val="2"/>
        <w:rPr>
          <w:rFonts w:hint="eastAsia" w:ascii="宋体" w:hAnsi="宋体" w:eastAsia="宋体" w:cs="宋体"/>
          <w:color w:val="auto"/>
          <w:sz w:val="24"/>
          <w:szCs w:val="24"/>
          <w:lang w:eastAsia="zh-CN"/>
        </w:rPr>
      </w:pPr>
      <w:r>
        <w:rPr>
          <w:rFonts w:hint="eastAsia" w:eastAsia="宋体" w:cs="宋体"/>
          <w:color w:val="auto"/>
          <w:sz w:val="24"/>
          <w:szCs w:val="24"/>
          <w:lang w:val="en-US" w:eastAsia="zh-CN"/>
        </w:rPr>
        <w:t>5</w:t>
      </w:r>
      <w:r>
        <w:rPr>
          <w:rFonts w:hint="eastAsia" w:ascii="宋体" w:hAnsi="宋体" w:eastAsia="宋体" w:cs="宋体"/>
          <w:color w:val="auto"/>
          <w:sz w:val="24"/>
          <w:szCs w:val="24"/>
          <w:lang w:eastAsia="zh-CN"/>
        </w:rPr>
        <w:t>、厕内干净，便槽畅通。无污迹、无尿碱、无便垢。</w:t>
      </w:r>
    </w:p>
    <w:p>
      <w:pP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sz w:val="24"/>
          <w:highlight w:val="none"/>
          <w:lang w:val="en-US" w:eastAsia="zh-CN"/>
        </w:rPr>
        <w:t>注：</w:t>
      </w:r>
      <w:r>
        <w:rPr>
          <w:rFonts w:hint="eastAsia" w:ascii="宋体" w:hAnsi="宋体" w:eastAsia="宋体" w:cs="宋体"/>
          <w:b/>
          <w:color w:val="000000" w:themeColor="text1"/>
          <w:sz w:val="24"/>
          <w:szCs w:val="24"/>
          <w:lang w:val="en-US" w:eastAsia="zh-CN"/>
          <w14:textFill>
            <w14:solidFill>
              <w14:schemeClr w14:val="tx1"/>
            </w14:solidFill>
          </w14:textFill>
        </w:rPr>
        <w:t>服务内容</w:t>
      </w:r>
      <w:r>
        <w:rPr>
          <w:rFonts w:hint="eastAsia" w:ascii="宋体" w:hAnsi="宋体" w:eastAsia="宋体" w:cs="宋体"/>
          <w:b/>
          <w:sz w:val="24"/>
          <w:highlight w:val="none"/>
          <w:lang w:val="en-US" w:eastAsia="zh-CN"/>
        </w:rPr>
        <w:t>为实质性要求，不得负偏离，如有偏离按无效投标处理。</w:t>
      </w:r>
      <w:r>
        <w:rPr>
          <w:rFonts w:hint="eastAsia" w:ascii="宋体" w:hAnsi="宋体" w:eastAsia="宋体" w:cs="宋体"/>
          <w:b/>
          <w:color w:val="000000" w:themeColor="text1"/>
          <w:sz w:val="24"/>
          <w:szCs w:val="24"/>
          <w:lang w:val="en-US" w:eastAsia="zh-CN"/>
          <w14:textFill>
            <w14:solidFill>
              <w14:schemeClr w14:val="tx1"/>
            </w14:solidFill>
          </w14:textFill>
        </w:rPr>
        <w:br w:type="page"/>
      </w:r>
    </w:p>
    <w:p>
      <w:pPr>
        <w:pBdr>
          <w:bottom w:val="single" w:color="auto" w:sz="4" w:space="1"/>
        </w:pBdr>
        <w:spacing w:before="312" w:beforeLines="100"/>
        <w:ind w:left="420" w:hanging="420"/>
        <w:jc w:val="center"/>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szCs w:val="24"/>
          <w:lang w:val="en-US" w:eastAsia="zh-CN"/>
          <w14:textFill>
            <w14:solidFill>
              <w14:schemeClr w14:val="tx1"/>
            </w14:solidFill>
          </w14:textFill>
        </w:rPr>
        <w:t>二、</w:t>
      </w:r>
      <w:r>
        <w:rPr>
          <w:rFonts w:hint="eastAsia" w:ascii="宋体" w:hAnsi="宋体" w:eastAsia="宋体" w:cs="宋体"/>
          <w:b/>
          <w:bCs/>
          <w:color w:val="000000" w:themeColor="text1"/>
          <w:sz w:val="24"/>
          <w:szCs w:val="24"/>
          <w:highlight w:val="none"/>
          <w14:textFill>
            <w14:solidFill>
              <w14:schemeClr w14:val="tx1"/>
            </w14:solidFill>
          </w14:textFill>
        </w:rPr>
        <w:t>商务要求</w:t>
      </w:r>
    </w:p>
    <w:p>
      <w:pPr>
        <w:keepNext w:val="0"/>
        <w:keepLines w:val="0"/>
        <w:pageBreakBefore w:val="0"/>
        <w:widowControl/>
        <w:kinsoku/>
        <w:wordWrap/>
        <w:overflowPunct/>
        <w:topLinePunct w:val="0"/>
        <w:autoSpaceDE/>
        <w:autoSpaceDN/>
        <w:bidi w:val="0"/>
        <w:spacing w:line="480" w:lineRule="exact"/>
        <w:ind w:firstLine="480" w:firstLineChars="200"/>
        <w:textAlignment w:val="auto"/>
        <w:outlineLvl w:val="2"/>
        <w:rPr>
          <w:rFonts w:hint="eastAsia" w:ascii="宋体" w:hAnsi="宋体" w:eastAsia="宋体" w:cs="宋体"/>
          <w:sz w:val="24"/>
          <w:szCs w:val="24"/>
          <w:highlight w:val="none"/>
        </w:rPr>
      </w:pPr>
      <w:bookmarkStart w:id="95" w:name="_Toc24247"/>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lang w:eastAsia="zh-CN"/>
        </w:rPr>
        <w:t>服务期</w:t>
      </w:r>
      <w:r>
        <w:rPr>
          <w:rFonts w:hint="eastAsia" w:ascii="宋体" w:hAnsi="宋体" w:eastAsia="宋体" w:cs="宋体"/>
          <w:b/>
          <w:sz w:val="24"/>
          <w:szCs w:val="24"/>
          <w:highlight w:val="none"/>
        </w:rPr>
        <w:t>及地点：</w:t>
      </w:r>
      <w:bookmarkEnd w:id="95"/>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50"/>
        <w:textAlignment w:val="auto"/>
        <w:rPr>
          <w:rFonts w:hint="eastAsia" w:ascii="宋体" w:hAnsi="宋体" w:eastAsia="宋体" w:cs="宋体"/>
          <w:sz w:val="24"/>
          <w:szCs w:val="24"/>
          <w:highlight w:val="none"/>
          <w:lang w:eastAsia="zh-CN"/>
        </w:rPr>
      </w:pPr>
      <w:bookmarkStart w:id="96" w:name="_Toc167714037"/>
      <w:bookmarkStart w:id="97" w:name="_Toc167715234"/>
      <w:bookmarkStart w:id="98" w:name="_Toc167712839"/>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lang w:eastAsia="zh-CN"/>
        </w:rPr>
        <w:t>服务期</w:t>
      </w:r>
      <w:r>
        <w:rPr>
          <w:rFonts w:hint="eastAsia" w:ascii="宋体" w:hAnsi="宋体" w:eastAsia="宋体" w:cs="宋体"/>
          <w:sz w:val="24"/>
          <w:szCs w:val="24"/>
          <w:highlight w:val="none"/>
        </w:rPr>
        <w:t>：</w:t>
      </w:r>
      <w:bookmarkEnd w:id="96"/>
      <w:bookmarkEnd w:id="97"/>
      <w:bookmarkEnd w:id="98"/>
      <w:r>
        <w:rPr>
          <w:rFonts w:hint="eastAsia" w:ascii="宋体" w:hAnsi="宋体" w:eastAsia="宋体"/>
          <w:color w:val="auto"/>
          <w:sz w:val="24"/>
          <w:highlight w:val="none"/>
          <w:lang w:eastAsia="zh-CN"/>
        </w:rPr>
        <w:t>自合同签订之日起3年</w:t>
      </w:r>
      <w:r>
        <w:rPr>
          <w:rFonts w:hint="eastAsia" w:ascii="宋体" w:hAnsi="宋体" w:eastAsia="宋体" w:cs="宋体"/>
          <w:sz w:val="24"/>
          <w:szCs w:val="24"/>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480" w:lineRule="exact"/>
        <w:ind w:firstLine="840" w:firstLineChars="35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1.2</w:t>
      </w:r>
      <w:r>
        <w:rPr>
          <w:rFonts w:hint="eastAsia" w:ascii="宋体" w:hAnsi="宋体" w:eastAsia="宋体" w:cs="宋体"/>
          <w:sz w:val="24"/>
          <w:szCs w:val="24"/>
          <w:highlight w:val="none"/>
          <w:lang w:eastAsia="zh-CN"/>
        </w:rPr>
        <w:t>服务地点</w:t>
      </w:r>
      <w:r>
        <w:rPr>
          <w:rFonts w:hint="eastAsia" w:ascii="宋体" w:hAnsi="宋体" w:eastAsia="宋体" w:cs="宋体"/>
          <w:sz w:val="24"/>
          <w:szCs w:val="24"/>
          <w:highlight w:val="none"/>
        </w:rPr>
        <w:t>：</w:t>
      </w:r>
      <w:r>
        <w:rPr>
          <w:rFonts w:hint="eastAsia" w:ascii="宋体" w:hAnsi="宋体" w:cs="宋体"/>
          <w:color w:val="auto"/>
          <w:kern w:val="0"/>
          <w:sz w:val="24"/>
          <w:highlight w:val="none"/>
          <w:lang w:eastAsia="zh-CN"/>
        </w:rPr>
        <w:t>西安市阎良区新兴街道办事处</w:t>
      </w:r>
      <w:r>
        <w:rPr>
          <w:rFonts w:hint="eastAsia" w:ascii="宋体" w:hAnsi="宋体" w:eastAsia="宋体" w:cs="宋体"/>
          <w:sz w:val="24"/>
          <w:szCs w:val="24"/>
          <w:highlight w:val="none"/>
        </w:rPr>
        <w:t>。</w:t>
      </w:r>
    </w:p>
    <w:p>
      <w:pPr>
        <w:keepNext w:val="0"/>
        <w:keepLines w:val="0"/>
        <w:pageBreakBefore w:val="0"/>
        <w:widowControl/>
        <w:kinsoku/>
        <w:wordWrap/>
        <w:overflowPunct/>
        <w:topLinePunct w:val="0"/>
        <w:autoSpaceDE/>
        <w:autoSpaceDN/>
        <w:bidi w:val="0"/>
        <w:spacing w:line="480" w:lineRule="exact"/>
        <w:ind w:firstLine="480" w:firstLineChars="200"/>
        <w:textAlignment w:val="auto"/>
        <w:outlineLvl w:val="2"/>
        <w:rPr>
          <w:rFonts w:hint="eastAsia" w:ascii="宋体" w:hAnsi="宋体" w:eastAsia="宋体" w:cs="宋体"/>
          <w:sz w:val="24"/>
          <w:highlight w:val="none"/>
        </w:rPr>
      </w:pPr>
      <w:bookmarkStart w:id="99" w:name="_Toc14764"/>
      <w:r>
        <w:rPr>
          <w:rFonts w:hint="eastAsia" w:ascii="宋体" w:hAnsi="宋体" w:eastAsia="宋体" w:cs="宋体"/>
          <w:b/>
          <w:bCs/>
          <w:sz w:val="24"/>
          <w:highlight w:val="none"/>
          <w:lang w:val="en-US" w:eastAsia="zh-CN"/>
        </w:rPr>
        <w:t>2.</w:t>
      </w:r>
      <w:r>
        <w:rPr>
          <w:rFonts w:hint="eastAsia" w:ascii="宋体" w:hAnsi="宋体" w:eastAsia="宋体" w:cs="宋体"/>
          <w:b/>
          <w:bCs/>
          <w:sz w:val="24"/>
          <w:highlight w:val="none"/>
        </w:rPr>
        <w:t>付款方式：</w:t>
      </w:r>
      <w:bookmarkEnd w:id="99"/>
    </w:p>
    <w:p>
      <w:pPr>
        <w:keepNext w:val="0"/>
        <w:keepLines w:val="0"/>
        <w:pageBreakBefore w:val="0"/>
        <w:widowControl/>
        <w:kinsoku/>
        <w:wordWrap/>
        <w:overflowPunct/>
        <w:topLinePunct w:val="0"/>
        <w:autoSpaceDE/>
        <w:autoSpaceDN/>
        <w:bidi w:val="0"/>
        <w:spacing w:line="480" w:lineRule="exact"/>
        <w:ind w:firstLine="480" w:firstLineChars="200"/>
        <w:textAlignment w:val="auto"/>
        <w:rPr>
          <w:rFonts w:hint="eastAsia" w:ascii="宋体" w:hAnsi="宋体" w:eastAsia="宋体" w:cs="宋体"/>
          <w:b/>
          <w:bCs/>
          <w:sz w:val="24"/>
          <w:highlight w:val="yellow"/>
          <w:lang w:val="en-US" w:eastAsia="zh-CN"/>
        </w:rPr>
      </w:pPr>
      <w:bookmarkStart w:id="100" w:name="_Toc3408"/>
      <w:r>
        <w:rPr>
          <w:rFonts w:hint="eastAsia" w:hAnsi="宋体" w:cs="宋体"/>
          <w:sz w:val="24"/>
          <w:szCs w:val="24"/>
          <w:highlight w:val="yellow"/>
        </w:rPr>
        <w:t>根据每月综合考核评分结果，按月付款。</w:t>
      </w:r>
    </w:p>
    <w:bookmarkEnd w:id="100"/>
    <w:p>
      <w:pPr>
        <w:pStyle w:val="17"/>
        <w:numPr>
          <w:ilvl w:val="0"/>
          <w:numId w:val="0"/>
        </w:numPr>
        <w:spacing w:line="480" w:lineRule="exact"/>
        <w:ind w:firstLine="480" w:firstLineChars="200"/>
        <w:rPr>
          <w:rFonts w:hint="eastAsia" w:hAnsi="宋体"/>
          <w:color w:val="auto"/>
          <w:sz w:val="24"/>
          <w:szCs w:val="24"/>
          <w:highlight w:val="none"/>
        </w:rPr>
      </w:pPr>
      <w:bookmarkStart w:id="101" w:name="_Toc24942"/>
      <w:r>
        <w:rPr>
          <w:rFonts w:hint="eastAsia" w:hAnsi="宋体"/>
          <w:b/>
          <w:bCs/>
          <w:color w:val="auto"/>
          <w:sz w:val="24"/>
          <w:szCs w:val="24"/>
          <w:highlight w:val="none"/>
          <w:lang w:val="en-US" w:eastAsia="zh-CN"/>
        </w:rPr>
        <w:t>3.</w:t>
      </w:r>
      <w:r>
        <w:rPr>
          <w:rFonts w:hint="eastAsia" w:hAnsi="宋体"/>
          <w:b/>
          <w:bCs/>
          <w:color w:val="auto"/>
          <w:sz w:val="24"/>
          <w:szCs w:val="24"/>
          <w:highlight w:val="none"/>
        </w:rPr>
        <w:t>服务承诺：</w:t>
      </w:r>
      <w:r>
        <w:rPr>
          <w:rFonts w:hint="eastAsia" w:hAnsi="宋体"/>
          <w:color w:val="auto"/>
          <w:sz w:val="24"/>
          <w:szCs w:val="24"/>
          <w:highlight w:val="none"/>
        </w:rPr>
        <w:t>成交单位应遵照国家规范规定的质量标准及要求作出明确承诺。</w:t>
      </w:r>
    </w:p>
    <w:p>
      <w:pPr>
        <w:pStyle w:val="17"/>
        <w:spacing w:line="480" w:lineRule="exact"/>
        <w:ind w:firstLine="480" w:firstLineChars="200"/>
        <w:rPr>
          <w:rFonts w:hint="eastAsia" w:hAnsi="宋体"/>
          <w:b/>
          <w:bCs/>
          <w:color w:val="auto"/>
          <w:sz w:val="24"/>
          <w:szCs w:val="24"/>
          <w:highlight w:val="none"/>
        </w:rPr>
      </w:pPr>
      <w:r>
        <w:rPr>
          <w:rFonts w:hint="eastAsia" w:hAnsi="宋体"/>
          <w:b/>
          <w:bCs/>
          <w:color w:val="auto"/>
          <w:sz w:val="24"/>
          <w:szCs w:val="24"/>
          <w:highlight w:val="none"/>
          <w:lang w:val="en-US" w:eastAsia="zh-CN"/>
        </w:rPr>
        <w:t>4.</w:t>
      </w:r>
      <w:r>
        <w:rPr>
          <w:rFonts w:hint="eastAsia" w:hAnsi="宋体"/>
          <w:b/>
          <w:bCs/>
          <w:color w:val="auto"/>
          <w:sz w:val="24"/>
          <w:szCs w:val="24"/>
          <w:highlight w:val="none"/>
        </w:rPr>
        <w:t>其他事项</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1、招标、投标活动受国家法律保护和约束。招标投标双方遵守法律、法规和职业道德，凡在</w:t>
      </w:r>
      <w:r>
        <w:rPr>
          <w:rFonts w:hint="eastAsia" w:ascii="宋体" w:hAnsi="宋体"/>
          <w:color w:val="auto"/>
          <w:sz w:val="24"/>
          <w:highlight w:val="none"/>
          <w:lang w:eastAsia="zh-CN"/>
        </w:rPr>
        <w:t>投标</w:t>
      </w:r>
      <w:r>
        <w:rPr>
          <w:rFonts w:hint="eastAsia" w:ascii="宋体" w:hAnsi="宋体"/>
          <w:color w:val="auto"/>
          <w:sz w:val="24"/>
          <w:highlight w:val="none"/>
        </w:rPr>
        <w:t>过程中弄虚作假，一经查出，追究责任方的法律、经济责任。</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2、双方发生合同争议时，应友好协商解决，不能达成协议时，及时向有关部门要求调解、仲裁或诉讼，发生索赔按现行法律、法规和合同执行。</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3、本文件未尽事宜按《中华人民共和国政府采购法》、《中华人民共和国政府采购法实施条例》及有关规定执行。</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4、成交单位不得对服务业务分包或转包。否则采购人有权终止合同，成交单位要承担由此造成的一切经济损失。</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 xml:space="preserve">5、成交单位不得在服务期间对项目管理人员进行更换，如遇特殊情况须经采购人同意；采购人发现项目管理人员工作不力时，有权提出更换人员，更换的人员必须及时到场。                                                                                           </w:t>
      </w:r>
    </w:p>
    <w:p>
      <w:pPr>
        <w:spacing w:line="480" w:lineRule="exact"/>
        <w:ind w:firstLine="480" w:firstLineChars="200"/>
        <w:rPr>
          <w:rFonts w:hint="eastAsia" w:ascii="宋体" w:hAnsi="宋体"/>
          <w:b/>
          <w:bCs/>
          <w:color w:val="auto"/>
          <w:sz w:val="24"/>
          <w:highlight w:val="none"/>
        </w:rPr>
      </w:pPr>
      <w:r>
        <w:rPr>
          <w:rFonts w:hint="eastAsia" w:ascii="宋体" w:hAnsi="宋体"/>
          <w:b/>
          <w:bCs/>
          <w:color w:val="auto"/>
          <w:sz w:val="24"/>
          <w:highlight w:val="none"/>
          <w:lang w:val="en-US" w:eastAsia="zh-CN"/>
        </w:rPr>
        <w:t>5.</w:t>
      </w:r>
      <w:r>
        <w:rPr>
          <w:rFonts w:hint="eastAsia" w:ascii="宋体" w:hAnsi="宋体"/>
          <w:b/>
          <w:bCs/>
          <w:color w:val="auto"/>
          <w:sz w:val="24"/>
          <w:highlight w:val="none"/>
        </w:rPr>
        <w:t>违约责任</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1、按《中华人民共和国</w:t>
      </w:r>
      <w:r>
        <w:rPr>
          <w:rFonts w:hint="eastAsia" w:ascii="宋体" w:hAnsi="宋体"/>
          <w:color w:val="auto"/>
          <w:sz w:val="24"/>
          <w:highlight w:val="none"/>
          <w:lang w:eastAsia="zh-CN"/>
        </w:rPr>
        <w:t>民法典</w:t>
      </w:r>
      <w:r>
        <w:rPr>
          <w:rFonts w:hint="eastAsia" w:ascii="宋体" w:hAnsi="宋体"/>
          <w:color w:val="auto"/>
          <w:sz w:val="24"/>
          <w:highlight w:val="none"/>
        </w:rPr>
        <w:t>》中的相关条款执行。</w:t>
      </w:r>
    </w:p>
    <w:p>
      <w:pPr>
        <w:spacing w:line="480" w:lineRule="exact"/>
        <w:ind w:firstLine="480" w:firstLineChars="200"/>
        <w:rPr>
          <w:rFonts w:hint="eastAsia" w:ascii="宋体" w:hAnsi="宋体"/>
          <w:color w:val="auto"/>
          <w:sz w:val="24"/>
          <w:highlight w:val="none"/>
        </w:rPr>
      </w:pPr>
      <w:r>
        <w:rPr>
          <w:rFonts w:hint="eastAsia" w:ascii="宋体" w:hAnsi="宋体"/>
          <w:color w:val="auto"/>
          <w:sz w:val="24"/>
          <w:highlight w:val="none"/>
        </w:rPr>
        <w:t>2、未按合同要求提供服务或服务质量不能满足技术要求，采购人有权终止合同，并对供方违约行为进行追究，同时按《中华人民共和国政府采购法》的有关规定进行处罚。</w:t>
      </w:r>
    </w:p>
    <w:bookmarkEnd w:id="101"/>
    <w:p>
      <w:pPr>
        <w:pStyle w:val="5"/>
        <w:keepNext w:val="0"/>
        <w:keepLines w:val="0"/>
        <w:pageBreakBefore w:val="0"/>
        <w:widowControl/>
        <w:kinsoku/>
        <w:wordWrap/>
        <w:overflowPunct/>
        <w:topLinePunct w:val="0"/>
        <w:autoSpaceDE/>
        <w:autoSpaceDN/>
        <w:bidi w:val="0"/>
        <w:spacing w:line="480" w:lineRule="exact"/>
        <w:ind w:left="0" w:leftChars="0" w:firstLine="0" w:firstLineChars="0"/>
        <w:textAlignment w:val="auto"/>
        <w:rPr>
          <w:rFonts w:hint="eastAsia" w:ascii="宋体" w:hAnsi="宋体" w:eastAsia="宋体" w:cs="宋体"/>
          <w:b w:val="0"/>
          <w:bCs/>
          <w:sz w:val="24"/>
          <w:highlight w:val="none"/>
          <w:lang w:val="en-US" w:eastAsia="zh-CN"/>
        </w:rPr>
      </w:pPr>
    </w:p>
    <w:p>
      <w:pPr>
        <w:spacing w:line="400" w:lineRule="exact"/>
        <w:ind w:firstLine="480" w:firstLineChars="200"/>
        <w:rPr>
          <w:rFonts w:hint="eastAsia" w:ascii="宋体" w:hAnsi="宋体" w:eastAsia="宋体" w:cs="宋体"/>
          <w:color w:val="000000" w:themeColor="text1"/>
          <w:sz w:val="24"/>
          <w:szCs w:val="24"/>
          <w:highlight w:val="yellow"/>
          <w14:textFill>
            <w14:solidFill>
              <w14:schemeClr w14:val="tx1"/>
            </w14:solidFill>
          </w14:textFill>
        </w:rPr>
      </w:pPr>
      <w:r>
        <w:rPr>
          <w:rFonts w:hint="eastAsia" w:ascii="宋体" w:hAnsi="宋体" w:eastAsia="宋体" w:cs="宋体"/>
          <w:b/>
          <w:sz w:val="24"/>
          <w:highlight w:val="none"/>
          <w:lang w:val="en-US" w:eastAsia="zh-CN"/>
        </w:rPr>
        <w:t>注：商务要求为实质性要求，不得负偏离，如有偏离按无效投标处理。</w:t>
      </w:r>
    </w:p>
    <w:bookmarkEnd w:id="94"/>
    <w:p>
      <w:pPr>
        <w:rPr>
          <w:rFonts w:hint="eastAsia" w:ascii="宋体" w:hAnsi="宋体" w:eastAsia="宋体" w:cs="宋体"/>
          <w:b/>
          <w:bCs/>
          <w:color w:val="auto"/>
          <w:highlight w:val="none"/>
        </w:rPr>
      </w:pPr>
      <w:bookmarkStart w:id="102" w:name="_Toc100219615"/>
      <w:bookmarkStart w:id="103" w:name="_Toc20811"/>
      <w:bookmarkStart w:id="104" w:name="_Toc13472"/>
      <w:r>
        <w:rPr>
          <w:rFonts w:hint="eastAsia" w:ascii="宋体" w:hAnsi="宋体" w:eastAsia="宋体" w:cs="宋体"/>
          <w:b/>
          <w:bCs/>
          <w:color w:val="auto"/>
          <w:highlight w:val="none"/>
        </w:rPr>
        <w:br w:type="page"/>
      </w:r>
    </w:p>
    <w:p>
      <w:pPr>
        <w:pStyle w:val="4"/>
        <w:ind w:firstLine="2640" w:firstLineChars="600"/>
        <w:jc w:val="both"/>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第四章  合同文本</w:t>
      </w:r>
      <w:bookmarkEnd w:id="102"/>
      <w:bookmarkEnd w:id="103"/>
      <w:bookmarkEnd w:id="104"/>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bookmarkStart w:id="105" w:name="_Toc100219616"/>
      <w:r>
        <w:rPr>
          <w:rFonts w:ascii="宋体" w:hAnsi="宋体"/>
          <w:color w:val="auto"/>
          <w:sz w:val="24"/>
          <w:highlight w:val="none"/>
        </w:rPr>
        <w:t xml:space="preserve">合同编号： </w:t>
      </w:r>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r>
        <w:rPr>
          <w:rFonts w:ascii="宋体" w:hAnsi="宋体"/>
          <w:color w:val="auto"/>
          <w:sz w:val="24"/>
          <w:highlight w:val="none"/>
        </w:rPr>
        <w:t xml:space="preserve">签订地点： </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color w:val="auto"/>
          <w:sz w:val="24"/>
          <w:highlight w:val="none"/>
        </w:rPr>
      </w:pPr>
      <w:r>
        <w:rPr>
          <w:rFonts w:ascii="宋体" w:hAnsi="宋体"/>
          <w:color w:val="auto"/>
          <w:sz w:val="24"/>
          <w:highlight w:val="none"/>
        </w:rPr>
        <w:t>签订时间：</w:t>
      </w:r>
    </w:p>
    <w:p>
      <w:pPr>
        <w:keepNext w:val="0"/>
        <w:keepLines w:val="0"/>
        <w:pageBreakBefore w:val="0"/>
        <w:widowControl w:val="0"/>
        <w:kinsoku/>
        <w:wordWrap/>
        <w:overflowPunct/>
        <w:topLinePunct w:val="0"/>
        <w:bidi w:val="0"/>
        <w:spacing w:line="500" w:lineRule="atLeast"/>
        <w:ind w:firstLine="480" w:firstLineChars="200"/>
        <w:textAlignment w:val="auto"/>
        <w:rPr>
          <w:rFonts w:ascii="宋体" w:hAnsi="宋体"/>
          <w:color w:val="auto"/>
          <w:sz w:val="24"/>
          <w:highlight w:val="none"/>
        </w:rPr>
      </w:pPr>
      <w:r>
        <w:rPr>
          <w:rFonts w:hint="eastAsia" w:ascii="宋体" w:hAnsi="宋体"/>
          <w:color w:val="auto"/>
          <w:sz w:val="24"/>
          <w:highlight w:val="none"/>
        </w:rPr>
        <w:t>采购人（</w:t>
      </w:r>
      <w:r>
        <w:rPr>
          <w:rFonts w:hint="eastAsia" w:ascii="宋体" w:hAnsi="宋体"/>
          <w:color w:val="auto"/>
          <w:sz w:val="24"/>
          <w:highlight w:val="none"/>
          <w:lang w:eastAsia="zh-CN"/>
        </w:rPr>
        <w:t>甲方</w:t>
      </w:r>
      <w:r>
        <w:rPr>
          <w:rFonts w:hint="eastAsia" w:ascii="宋体" w:hAnsi="宋体"/>
          <w:color w:val="auto"/>
          <w:sz w:val="24"/>
          <w:highlight w:val="none"/>
        </w:rPr>
        <w:t>）</w:t>
      </w:r>
      <w:r>
        <w:rPr>
          <w:rFonts w:ascii="宋体" w:hAnsi="宋体"/>
          <w:color w:val="auto"/>
          <w:sz w:val="24"/>
          <w:highlight w:val="none"/>
        </w:rPr>
        <w:t>：</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eastAsia="zh-CN"/>
        </w:rPr>
        <w:t>中标人</w:t>
      </w:r>
      <w:r>
        <w:rPr>
          <w:rFonts w:hint="eastAsia" w:ascii="宋体" w:hAnsi="宋体"/>
          <w:color w:val="auto"/>
          <w:sz w:val="24"/>
          <w:highlight w:val="none"/>
        </w:rPr>
        <w:t>（</w:t>
      </w:r>
      <w:r>
        <w:rPr>
          <w:rFonts w:hint="eastAsia" w:ascii="宋体" w:hAnsi="宋体"/>
          <w:color w:val="auto"/>
          <w:sz w:val="24"/>
          <w:highlight w:val="none"/>
          <w:lang w:eastAsia="zh-CN"/>
        </w:rPr>
        <w:t>乙方</w:t>
      </w:r>
      <w:r>
        <w:rPr>
          <w:rFonts w:hint="eastAsia" w:ascii="宋体" w:hAnsi="宋体"/>
          <w:color w:val="auto"/>
          <w:sz w:val="24"/>
          <w:highlight w:val="none"/>
        </w:rPr>
        <w:t>）</w:t>
      </w:r>
      <w:r>
        <w:rPr>
          <w:rFonts w:ascii="宋体" w:hAnsi="宋体"/>
          <w:color w:val="auto"/>
          <w:sz w:val="24"/>
          <w:highlight w:val="none"/>
        </w:rPr>
        <w:t>：</w:t>
      </w:r>
    </w:p>
    <w:p>
      <w:pPr>
        <w:keepNext w:val="0"/>
        <w:keepLines w:val="0"/>
        <w:pageBreakBefore w:val="0"/>
        <w:widowControl w:val="0"/>
        <w:numPr>
          <w:ilvl w:val="0"/>
          <w:numId w:val="8"/>
        </w:numPr>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合同格式</w:t>
      </w:r>
    </w:p>
    <w:p>
      <w:pPr>
        <w:keepNext w:val="0"/>
        <w:keepLines w:val="0"/>
        <w:pageBreakBefore w:val="0"/>
        <w:widowControl w:val="0"/>
        <w:kinsoku/>
        <w:wordWrap/>
        <w:overflowPunct/>
        <w:topLinePunct w:val="0"/>
        <w:bidi w:val="0"/>
        <w:spacing w:line="500" w:lineRule="atLeast"/>
        <w:textAlignment w:val="auto"/>
        <w:rPr>
          <w:rFonts w:hint="eastAsia" w:ascii="宋体" w:hAnsi="宋体"/>
          <w:color w:val="auto"/>
          <w:spacing w:val="-2"/>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西安市阎良区新兴街道办事处城乡环卫服务外包项目</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lang w:eastAsia="zh-CN"/>
        </w:rPr>
        <w:t>SDZC2023-080</w:t>
      </w:r>
      <w:r>
        <w:rPr>
          <w:rFonts w:hint="eastAsia" w:ascii="宋体" w:hAnsi="宋体" w:cs="宋体"/>
          <w:color w:val="auto"/>
          <w:kern w:val="0"/>
          <w:sz w:val="24"/>
          <w:highlight w:val="none"/>
        </w:rPr>
        <w:t>)</w:t>
      </w:r>
      <w:r>
        <w:rPr>
          <w:rFonts w:hint="eastAsia" w:ascii="宋体" w:hAnsi="宋体"/>
          <w:color w:val="auto"/>
          <w:spacing w:val="-2"/>
          <w:kern w:val="0"/>
          <w:sz w:val="24"/>
          <w:highlight w:val="none"/>
        </w:rPr>
        <w:t>，在</w:t>
      </w:r>
      <w:r>
        <w:rPr>
          <w:rFonts w:hint="eastAsia" w:ascii="宋体" w:hAnsi="宋体"/>
          <w:color w:val="auto"/>
          <w:spacing w:val="-2"/>
          <w:kern w:val="0"/>
          <w:sz w:val="24"/>
          <w:highlight w:val="none"/>
          <w:lang w:val="en-US" w:eastAsia="zh-CN"/>
        </w:rPr>
        <w:t>西安市阎良区财政局</w:t>
      </w:r>
      <w:r>
        <w:rPr>
          <w:rFonts w:hint="eastAsia" w:ascii="宋体" w:hAnsi="宋体"/>
          <w:color w:val="auto"/>
          <w:spacing w:val="-2"/>
          <w:kern w:val="0"/>
          <w:sz w:val="24"/>
          <w:highlight w:val="none"/>
        </w:rPr>
        <w:t>的监督管理下，由陕西上德招标有限公司组织</w:t>
      </w:r>
      <w:r>
        <w:rPr>
          <w:rFonts w:hint="eastAsia" w:ascii="宋体" w:hAnsi="宋体"/>
          <w:color w:val="auto"/>
          <w:spacing w:val="-2"/>
          <w:kern w:val="0"/>
          <w:sz w:val="24"/>
          <w:highlight w:val="none"/>
          <w:lang w:val="en-US" w:eastAsia="zh-CN"/>
        </w:rPr>
        <w:t>公开招标</w:t>
      </w:r>
      <w:r>
        <w:rPr>
          <w:rFonts w:hint="eastAsia" w:ascii="宋体" w:hAnsi="宋体"/>
          <w:color w:val="auto"/>
          <w:spacing w:val="-2"/>
          <w:kern w:val="0"/>
          <w:sz w:val="24"/>
          <w:highlight w:val="none"/>
        </w:rPr>
        <w:t>。</w:t>
      </w:r>
      <w:r>
        <w:rPr>
          <w:rFonts w:hint="eastAsia" w:ascii="宋体" w:hAnsi="宋体"/>
          <w:color w:val="auto"/>
          <w:sz w:val="24"/>
          <w:highlight w:val="none"/>
          <w:lang w:eastAsia="zh-CN"/>
        </w:rPr>
        <w:t>西安市阎良区新兴街道办事处</w:t>
      </w:r>
      <w:r>
        <w:rPr>
          <w:rFonts w:hint="eastAsia" w:ascii="宋体" w:hAnsi="宋体"/>
          <w:color w:val="auto"/>
          <w:spacing w:val="-2"/>
          <w:kern w:val="0"/>
          <w:sz w:val="24"/>
          <w:highlight w:val="none"/>
        </w:rPr>
        <w:t>(以下简称“</w:t>
      </w:r>
      <w:r>
        <w:rPr>
          <w:rFonts w:hint="eastAsia" w:ascii="宋体" w:hAnsi="宋体"/>
          <w:color w:val="auto"/>
          <w:spacing w:val="-2"/>
          <w:kern w:val="0"/>
          <w:sz w:val="24"/>
          <w:highlight w:val="none"/>
          <w:lang w:eastAsia="zh-CN"/>
        </w:rPr>
        <w:t>甲方</w:t>
      </w:r>
      <w:r>
        <w:rPr>
          <w:rFonts w:hint="eastAsia" w:ascii="宋体" w:hAnsi="宋体"/>
          <w:color w:val="auto"/>
          <w:spacing w:val="-2"/>
          <w:kern w:val="0"/>
          <w:sz w:val="24"/>
          <w:highlight w:val="none"/>
        </w:rPr>
        <w:t>”)确定 (</w:t>
      </w:r>
      <w:r>
        <w:rPr>
          <w:rFonts w:hint="eastAsia" w:ascii="宋体" w:hAnsi="宋体"/>
          <w:color w:val="auto"/>
          <w:spacing w:val="-2"/>
          <w:kern w:val="0"/>
          <w:sz w:val="24"/>
          <w:highlight w:val="none"/>
          <w:lang w:eastAsia="zh-CN"/>
        </w:rPr>
        <w:t>中标人</w:t>
      </w:r>
      <w:r>
        <w:rPr>
          <w:rFonts w:hint="eastAsia" w:ascii="宋体" w:hAnsi="宋体"/>
          <w:color w:val="auto"/>
          <w:spacing w:val="-2"/>
          <w:kern w:val="0"/>
          <w:sz w:val="24"/>
          <w:highlight w:val="none"/>
        </w:rPr>
        <w:t>名称) （以下简称“</w:t>
      </w:r>
      <w:r>
        <w:rPr>
          <w:rFonts w:hint="eastAsia" w:ascii="宋体" w:hAnsi="宋体"/>
          <w:color w:val="auto"/>
          <w:spacing w:val="-2"/>
          <w:kern w:val="0"/>
          <w:sz w:val="24"/>
          <w:highlight w:val="none"/>
          <w:lang w:eastAsia="zh-CN"/>
        </w:rPr>
        <w:t>乙方</w:t>
      </w:r>
      <w:r>
        <w:rPr>
          <w:rFonts w:hint="eastAsia" w:ascii="宋体" w:hAnsi="宋体"/>
          <w:color w:val="auto"/>
          <w:spacing w:val="-2"/>
          <w:kern w:val="0"/>
          <w:sz w:val="24"/>
          <w:highlight w:val="none"/>
        </w:rPr>
        <w:t>”）为</w:t>
      </w:r>
      <w:r>
        <w:rPr>
          <w:rFonts w:hint="eastAsia" w:ascii="宋体" w:hAnsi="宋体"/>
          <w:color w:val="auto"/>
          <w:spacing w:val="-2"/>
          <w:kern w:val="0"/>
          <w:sz w:val="24"/>
          <w:highlight w:val="none"/>
          <w:lang w:eastAsia="zh-CN"/>
        </w:rPr>
        <w:t>中标人</w:t>
      </w:r>
      <w:r>
        <w:rPr>
          <w:rFonts w:hint="eastAsia" w:ascii="宋体" w:hAnsi="宋体"/>
          <w:color w:val="auto"/>
          <w:spacing w:val="-2"/>
          <w:kern w:val="0"/>
          <w:sz w:val="24"/>
          <w:highlight w:val="none"/>
        </w:rPr>
        <w:t>。</w:t>
      </w:r>
    </w:p>
    <w:p>
      <w:pPr>
        <w:keepNext w:val="0"/>
        <w:keepLines w:val="0"/>
        <w:pageBreakBefore w:val="0"/>
        <w:widowControl w:val="0"/>
        <w:kinsoku/>
        <w:wordWrap/>
        <w:overflowPunct/>
        <w:topLinePunct w:val="0"/>
        <w:bidi w:val="0"/>
        <w:spacing w:line="500" w:lineRule="atLeast"/>
        <w:ind w:firstLine="472" w:firstLineChars="200"/>
        <w:textAlignment w:val="auto"/>
        <w:rPr>
          <w:rFonts w:hint="eastAsia" w:ascii="宋体" w:hAnsi="宋体"/>
          <w:color w:val="auto"/>
          <w:spacing w:val="-2"/>
          <w:kern w:val="0"/>
          <w:sz w:val="24"/>
          <w:highlight w:val="none"/>
        </w:rPr>
      </w:pPr>
      <w:r>
        <w:rPr>
          <w:rFonts w:hint="eastAsia" w:ascii="宋体" w:hAnsi="宋体"/>
          <w:color w:val="auto"/>
          <w:spacing w:val="-2"/>
          <w:kern w:val="0"/>
          <w:sz w:val="24"/>
          <w:highlight w:val="none"/>
        </w:rPr>
        <w:t>依据《</w:t>
      </w:r>
      <w:r>
        <w:rPr>
          <w:rFonts w:hint="eastAsia" w:ascii="宋体" w:hAnsi="宋体"/>
          <w:color w:val="auto"/>
          <w:spacing w:val="-2"/>
          <w:kern w:val="0"/>
          <w:sz w:val="24"/>
          <w:highlight w:val="none"/>
          <w:lang w:eastAsia="zh-CN"/>
        </w:rPr>
        <w:t>中华人民共和国民法典</w:t>
      </w:r>
      <w:r>
        <w:rPr>
          <w:rFonts w:hint="eastAsia" w:ascii="宋体" w:hAnsi="宋体"/>
          <w:color w:val="auto"/>
          <w:spacing w:val="-2"/>
          <w:kern w:val="0"/>
          <w:sz w:val="24"/>
          <w:highlight w:val="none"/>
        </w:rPr>
        <w:t>》和《中华人民共和国政府采购法》，</w:t>
      </w:r>
      <w:r>
        <w:rPr>
          <w:rFonts w:hint="eastAsia" w:ascii="宋体" w:hAnsi="宋体"/>
          <w:color w:val="auto"/>
          <w:spacing w:val="-2"/>
          <w:kern w:val="0"/>
          <w:sz w:val="24"/>
          <w:highlight w:val="none"/>
          <w:lang w:eastAsia="zh-CN"/>
        </w:rPr>
        <w:t>甲方</w:t>
      </w:r>
      <w:r>
        <w:rPr>
          <w:rFonts w:hint="eastAsia" w:ascii="宋体" w:hAnsi="宋体"/>
          <w:color w:val="auto"/>
          <w:spacing w:val="-2"/>
          <w:kern w:val="0"/>
          <w:sz w:val="24"/>
          <w:highlight w:val="none"/>
        </w:rPr>
        <w:t>通过</w:t>
      </w:r>
      <w:r>
        <w:rPr>
          <w:rFonts w:hint="eastAsia" w:ascii="宋体" w:hAnsi="宋体"/>
          <w:color w:val="auto"/>
          <w:spacing w:val="-2"/>
          <w:kern w:val="0"/>
          <w:sz w:val="24"/>
          <w:highlight w:val="none"/>
          <w:lang w:val="en-US" w:eastAsia="zh-CN"/>
        </w:rPr>
        <w:t>公开招标</w:t>
      </w:r>
      <w:r>
        <w:rPr>
          <w:rFonts w:hint="eastAsia" w:ascii="宋体" w:hAnsi="宋体"/>
          <w:color w:val="auto"/>
          <w:spacing w:val="-2"/>
          <w:kern w:val="0"/>
          <w:sz w:val="24"/>
          <w:highlight w:val="none"/>
        </w:rPr>
        <w:t>采购</w:t>
      </w:r>
      <w:r>
        <w:rPr>
          <w:rFonts w:hint="eastAsia" w:ascii="宋体" w:hAnsi="宋体"/>
          <w:color w:val="auto"/>
          <w:spacing w:val="-2"/>
          <w:kern w:val="0"/>
          <w:sz w:val="24"/>
          <w:highlight w:val="none"/>
          <w:u w:val="single"/>
        </w:rPr>
        <w:t xml:space="preserve">   （采购内容）     </w:t>
      </w:r>
      <w:r>
        <w:rPr>
          <w:rFonts w:hint="eastAsia" w:ascii="宋体" w:hAnsi="宋体"/>
          <w:color w:val="auto"/>
          <w:spacing w:val="-2"/>
          <w:kern w:val="0"/>
          <w:sz w:val="24"/>
          <w:highlight w:val="none"/>
        </w:rPr>
        <w:t>，并接受了</w:t>
      </w:r>
      <w:r>
        <w:rPr>
          <w:rFonts w:hint="eastAsia" w:ascii="宋体" w:hAnsi="宋体"/>
          <w:color w:val="auto"/>
          <w:spacing w:val="-2"/>
          <w:kern w:val="0"/>
          <w:sz w:val="24"/>
          <w:highlight w:val="none"/>
          <w:lang w:eastAsia="zh-CN"/>
        </w:rPr>
        <w:t>乙方</w:t>
      </w:r>
      <w:r>
        <w:rPr>
          <w:rFonts w:hint="eastAsia" w:ascii="宋体" w:hAnsi="宋体"/>
          <w:color w:val="auto"/>
          <w:spacing w:val="-2"/>
          <w:kern w:val="0"/>
          <w:sz w:val="24"/>
          <w:highlight w:val="none"/>
        </w:rPr>
        <w:t>以价格</w:t>
      </w:r>
      <w:r>
        <w:rPr>
          <w:rFonts w:hint="eastAsia" w:ascii="宋体" w:hAnsi="宋体"/>
          <w:color w:val="auto"/>
          <w:spacing w:val="-2"/>
          <w:kern w:val="0"/>
          <w:sz w:val="24"/>
          <w:highlight w:val="none"/>
          <w:u w:val="single"/>
        </w:rPr>
        <w:t xml:space="preserve">    （成交金额大写)   </w:t>
      </w:r>
      <w:r>
        <w:rPr>
          <w:rFonts w:hint="eastAsia" w:ascii="宋体" w:hAnsi="宋体"/>
          <w:color w:val="auto"/>
          <w:spacing w:val="-2"/>
          <w:kern w:val="0"/>
          <w:sz w:val="24"/>
          <w:highlight w:val="none"/>
        </w:rPr>
        <w:t>(以下简称“合同价”)提供的货物和服务。</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本合同在此声明如下：</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本合同中的词语和术语的含义与合同条款中定义的相同。</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w:t>
      </w:r>
      <w:r>
        <w:rPr>
          <w:rFonts w:hint="eastAsia" w:ascii="宋体" w:hAnsi="宋体"/>
          <w:color w:val="auto"/>
          <w:sz w:val="24"/>
          <w:highlight w:val="none"/>
        </w:rPr>
        <w:t>下述文件是本合同的一部分，并与本合同一起阅读和解释：</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2.1</w:t>
      </w:r>
      <w:r>
        <w:rPr>
          <w:rFonts w:hint="eastAsia" w:ascii="宋体" w:hAnsi="宋体"/>
          <w:color w:val="auto"/>
          <w:sz w:val="24"/>
          <w:highlight w:val="none"/>
        </w:rPr>
        <w:t>合同条款</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2.2</w:t>
      </w:r>
      <w:r>
        <w:rPr>
          <w:rFonts w:hint="eastAsia" w:ascii="宋体" w:hAnsi="宋体"/>
          <w:color w:val="auto"/>
          <w:sz w:val="24"/>
          <w:highlight w:val="none"/>
        </w:rPr>
        <w:t>合同条款附件</w:t>
      </w:r>
    </w:p>
    <w:p>
      <w:pPr>
        <w:spacing w:line="520" w:lineRule="exact"/>
        <w:ind w:firstLine="840" w:firstLineChars="350"/>
        <w:rPr>
          <w:rFonts w:hint="eastAsia" w:ascii="宋体" w:hAnsi="宋体"/>
          <w:sz w:val="24"/>
          <w:highlight w:val="none"/>
        </w:rPr>
      </w:pPr>
      <w:r>
        <w:rPr>
          <w:rFonts w:hint="eastAsia" w:ascii="宋体" w:hAnsi="宋体"/>
          <w:sz w:val="24"/>
          <w:highlight w:val="none"/>
        </w:rPr>
        <w:t>附件1—服务方案</w:t>
      </w:r>
    </w:p>
    <w:p>
      <w:pPr>
        <w:spacing w:line="520" w:lineRule="exact"/>
        <w:ind w:firstLine="840" w:firstLineChars="350"/>
        <w:rPr>
          <w:rFonts w:hint="eastAsia" w:ascii="宋体" w:hAnsi="宋体"/>
          <w:sz w:val="24"/>
          <w:highlight w:val="none"/>
        </w:rPr>
      </w:pPr>
      <w:r>
        <w:rPr>
          <w:rFonts w:hint="eastAsia" w:ascii="宋体" w:hAnsi="宋体"/>
          <w:sz w:val="24"/>
          <w:highlight w:val="none"/>
        </w:rPr>
        <w:t>附件2—服务承诺</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2.3</w:t>
      </w:r>
      <w:r>
        <w:rPr>
          <w:rFonts w:hint="eastAsia" w:ascii="宋体" w:hAnsi="宋体"/>
          <w:color w:val="auto"/>
          <w:sz w:val="24"/>
          <w:highlight w:val="none"/>
        </w:rPr>
        <w:t>成交通知书</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2.4</w:t>
      </w:r>
      <w:r>
        <w:rPr>
          <w:rFonts w:hint="eastAsia" w:ascii="宋体" w:hAnsi="宋体"/>
          <w:color w:val="auto"/>
          <w:sz w:val="24"/>
          <w:highlight w:val="none"/>
          <w:lang w:eastAsia="zh-CN"/>
        </w:rPr>
        <w:t>公开招标文件</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2.5</w:t>
      </w:r>
      <w:r>
        <w:rPr>
          <w:rFonts w:hint="eastAsia" w:ascii="宋体" w:hAnsi="宋体"/>
          <w:color w:val="auto"/>
          <w:sz w:val="24"/>
          <w:highlight w:val="none"/>
          <w:lang w:eastAsia="zh-CN"/>
        </w:rPr>
        <w:t>投标文件</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考虑到</w:t>
      </w:r>
      <w:r>
        <w:rPr>
          <w:rFonts w:hint="eastAsia" w:ascii="宋体" w:hAnsi="宋体"/>
          <w:color w:val="auto"/>
          <w:sz w:val="24"/>
          <w:highlight w:val="none"/>
          <w:lang w:eastAsia="zh-CN"/>
        </w:rPr>
        <w:t>甲方</w:t>
      </w:r>
      <w:r>
        <w:rPr>
          <w:rFonts w:hint="eastAsia" w:ascii="宋体" w:hAnsi="宋体"/>
          <w:color w:val="auto"/>
          <w:sz w:val="24"/>
          <w:highlight w:val="none"/>
        </w:rPr>
        <w:t>将按照本合同向</w:t>
      </w:r>
      <w:r>
        <w:rPr>
          <w:rFonts w:hint="eastAsia" w:ascii="宋体" w:hAnsi="宋体"/>
          <w:color w:val="auto"/>
          <w:sz w:val="24"/>
          <w:highlight w:val="none"/>
          <w:lang w:eastAsia="zh-CN"/>
        </w:rPr>
        <w:t>乙方</w:t>
      </w:r>
      <w:r>
        <w:rPr>
          <w:rFonts w:hint="eastAsia" w:ascii="宋体" w:hAnsi="宋体"/>
          <w:color w:val="auto"/>
          <w:sz w:val="24"/>
          <w:highlight w:val="none"/>
        </w:rPr>
        <w:t>支付货款，</w:t>
      </w:r>
      <w:r>
        <w:rPr>
          <w:rFonts w:hint="eastAsia" w:ascii="宋体" w:hAnsi="宋体"/>
          <w:color w:val="auto"/>
          <w:sz w:val="24"/>
          <w:highlight w:val="none"/>
          <w:lang w:eastAsia="zh-CN"/>
        </w:rPr>
        <w:t>乙方</w:t>
      </w:r>
      <w:r>
        <w:rPr>
          <w:rFonts w:hint="eastAsia" w:ascii="宋体" w:hAnsi="宋体"/>
          <w:color w:val="auto"/>
          <w:sz w:val="24"/>
          <w:highlight w:val="none"/>
        </w:rPr>
        <w:t>在此保证全部按照合同的规定向</w:t>
      </w:r>
      <w:r>
        <w:rPr>
          <w:rFonts w:hint="eastAsia" w:ascii="宋体" w:hAnsi="宋体"/>
          <w:color w:val="auto"/>
          <w:sz w:val="24"/>
          <w:highlight w:val="none"/>
          <w:lang w:eastAsia="zh-CN"/>
        </w:rPr>
        <w:t>甲方</w:t>
      </w:r>
      <w:r>
        <w:rPr>
          <w:rFonts w:hint="eastAsia" w:ascii="宋体" w:hAnsi="宋体"/>
          <w:color w:val="auto"/>
          <w:sz w:val="24"/>
          <w:highlight w:val="none"/>
        </w:rPr>
        <w:t>提供服务，并修补缺陷。</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4.</w:t>
      </w:r>
      <w:r>
        <w:rPr>
          <w:rFonts w:hint="eastAsia" w:ascii="宋体" w:hAnsi="宋体"/>
          <w:color w:val="auto"/>
          <w:sz w:val="24"/>
          <w:highlight w:val="none"/>
        </w:rPr>
        <w:t>考虑到</w:t>
      </w:r>
      <w:r>
        <w:rPr>
          <w:rFonts w:hint="eastAsia" w:ascii="宋体" w:hAnsi="宋体"/>
          <w:color w:val="auto"/>
          <w:sz w:val="24"/>
          <w:highlight w:val="none"/>
          <w:lang w:eastAsia="zh-CN"/>
        </w:rPr>
        <w:t>乙方</w:t>
      </w:r>
      <w:r>
        <w:rPr>
          <w:rFonts w:hint="eastAsia" w:ascii="宋体" w:hAnsi="宋体"/>
          <w:color w:val="auto"/>
          <w:sz w:val="24"/>
          <w:highlight w:val="none"/>
        </w:rPr>
        <w:t>提供的服务并修补缺陷，</w:t>
      </w:r>
      <w:r>
        <w:rPr>
          <w:rFonts w:hint="eastAsia" w:ascii="宋体" w:hAnsi="宋体"/>
          <w:color w:val="auto"/>
          <w:sz w:val="24"/>
          <w:highlight w:val="none"/>
          <w:lang w:eastAsia="zh-CN"/>
        </w:rPr>
        <w:t>甲方</w:t>
      </w:r>
      <w:r>
        <w:rPr>
          <w:rFonts w:hint="eastAsia" w:ascii="宋体" w:hAnsi="宋体"/>
          <w:color w:val="auto"/>
          <w:sz w:val="24"/>
          <w:highlight w:val="none"/>
        </w:rPr>
        <w:t>在此保证按照合同规定的时间和方式向</w:t>
      </w:r>
      <w:r>
        <w:rPr>
          <w:rFonts w:hint="eastAsia" w:ascii="宋体" w:hAnsi="宋体"/>
          <w:color w:val="auto"/>
          <w:sz w:val="24"/>
          <w:highlight w:val="none"/>
          <w:lang w:eastAsia="zh-CN"/>
        </w:rPr>
        <w:t>乙方</w:t>
      </w:r>
      <w:r>
        <w:rPr>
          <w:rFonts w:hint="eastAsia" w:ascii="宋体" w:hAnsi="宋体"/>
          <w:color w:val="auto"/>
          <w:sz w:val="24"/>
          <w:highlight w:val="none"/>
        </w:rPr>
        <w:t>支付合同价或其他按合同规定应支付的金额。</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yellow"/>
        </w:rPr>
      </w:pPr>
      <w:r>
        <w:rPr>
          <w:rFonts w:hint="eastAsia" w:ascii="宋体" w:hAnsi="宋体"/>
          <w:color w:val="auto"/>
          <w:sz w:val="24"/>
          <w:highlight w:val="yellow"/>
          <w:lang w:val="en-US" w:eastAsia="zh-CN"/>
        </w:rPr>
        <w:t>5.</w:t>
      </w:r>
      <w:r>
        <w:rPr>
          <w:rFonts w:hint="eastAsia" w:ascii="宋体" w:hAnsi="宋体"/>
          <w:color w:val="auto"/>
          <w:sz w:val="24"/>
          <w:highlight w:val="yellow"/>
        </w:rPr>
        <w:t>付款方式：</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yellow"/>
          <w:lang w:val="en-US" w:eastAsia="zh-CN"/>
        </w:rPr>
      </w:pPr>
      <w:r>
        <w:rPr>
          <w:rFonts w:hint="eastAsia" w:hAnsi="宋体" w:cs="宋体"/>
          <w:sz w:val="24"/>
          <w:szCs w:val="24"/>
          <w:highlight w:val="yellow"/>
        </w:rPr>
        <w:t>根据每月综合考核评分结果，按月付款。</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eastAsiaTheme="minorEastAsia"/>
          <w:color w:val="auto"/>
          <w:sz w:val="24"/>
          <w:highlight w:val="none"/>
          <w:lang w:eastAsia="zh-CN"/>
        </w:rPr>
      </w:pPr>
      <w:r>
        <w:rPr>
          <w:rFonts w:hint="eastAsia" w:ascii="宋体" w:hAnsi="宋体"/>
          <w:color w:val="auto"/>
          <w:sz w:val="24"/>
          <w:highlight w:val="none"/>
          <w:lang w:val="en-US" w:eastAsia="zh-CN"/>
        </w:rPr>
        <w:t>6.</w:t>
      </w:r>
      <w:r>
        <w:rPr>
          <w:rFonts w:hint="eastAsia" w:ascii="宋体" w:hAnsi="宋体"/>
          <w:color w:val="auto"/>
          <w:sz w:val="24"/>
          <w:highlight w:val="none"/>
          <w:lang w:eastAsia="zh-CN"/>
        </w:rPr>
        <w:t>服务期</w:t>
      </w:r>
      <w:r>
        <w:rPr>
          <w:rFonts w:hint="eastAsia" w:ascii="宋体" w:hAnsi="宋体"/>
          <w:color w:val="auto"/>
          <w:sz w:val="24"/>
          <w:highlight w:val="none"/>
        </w:rPr>
        <w:t>：</w:t>
      </w:r>
      <w:r>
        <w:rPr>
          <w:rFonts w:hint="eastAsia" w:ascii="宋体" w:hAnsi="宋体"/>
          <w:color w:val="auto"/>
          <w:sz w:val="24"/>
          <w:highlight w:val="none"/>
          <w:lang w:eastAsia="zh-CN"/>
        </w:rPr>
        <w:t>自合同签订之日起3年。</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eastAsia="zh-CN"/>
        </w:rPr>
        <w:t>服务地点</w:t>
      </w:r>
      <w:r>
        <w:rPr>
          <w:rFonts w:hint="eastAsia" w:ascii="宋体" w:hAnsi="宋体"/>
          <w:color w:val="auto"/>
          <w:sz w:val="24"/>
          <w:highlight w:val="none"/>
        </w:rPr>
        <w:t>：</w:t>
      </w:r>
      <w:r>
        <w:rPr>
          <w:rFonts w:hint="eastAsia" w:ascii="宋体" w:hAnsi="宋体" w:cs="宋体"/>
          <w:color w:val="auto"/>
          <w:kern w:val="0"/>
          <w:sz w:val="24"/>
          <w:highlight w:val="none"/>
          <w:lang w:eastAsia="zh-CN"/>
        </w:rPr>
        <w:t>西安市阎良区新兴街道办事处。</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olor w:val="auto"/>
          <w:sz w:val="24"/>
          <w:highlight w:val="none"/>
        </w:rPr>
      </w:pPr>
      <w:r>
        <w:rPr>
          <w:rFonts w:hint="eastAsia" w:ascii="宋体" w:hAnsi="宋体"/>
          <w:color w:val="auto"/>
          <w:sz w:val="24"/>
          <w:highlight w:val="none"/>
          <w:lang w:val="en-US" w:eastAsia="zh-CN"/>
        </w:rPr>
        <w:t>7.</w:t>
      </w:r>
      <w:r>
        <w:rPr>
          <w:rFonts w:hint="eastAsia" w:ascii="宋体" w:hAnsi="宋体"/>
          <w:color w:val="auto"/>
          <w:szCs w:val="24"/>
        </w:rPr>
        <w:t>本合同一式</w:t>
      </w:r>
      <w:r>
        <w:rPr>
          <w:rFonts w:hint="eastAsia" w:ascii="宋体" w:hAnsi="宋体"/>
          <w:color w:val="auto"/>
          <w:szCs w:val="24"/>
          <w:lang w:eastAsia="zh-CN"/>
        </w:rPr>
        <w:t>伍</w:t>
      </w:r>
      <w:r>
        <w:rPr>
          <w:rFonts w:hint="eastAsia" w:ascii="宋体" w:hAnsi="宋体"/>
          <w:color w:val="auto"/>
          <w:szCs w:val="24"/>
        </w:rPr>
        <w:t>份，其中，</w:t>
      </w:r>
      <w:r>
        <w:rPr>
          <w:rFonts w:hint="eastAsia" w:ascii="宋体" w:hAnsi="宋体"/>
          <w:color w:val="auto"/>
          <w:szCs w:val="24"/>
          <w:lang w:eastAsia="zh-CN"/>
        </w:rPr>
        <w:t>甲方</w:t>
      </w:r>
      <w:r>
        <w:rPr>
          <w:rFonts w:hint="eastAsia" w:ascii="宋体" w:hAnsi="宋体"/>
          <w:color w:val="auto"/>
          <w:szCs w:val="24"/>
        </w:rPr>
        <w:t>贰份，</w:t>
      </w:r>
      <w:r>
        <w:rPr>
          <w:rFonts w:hint="eastAsia" w:ascii="宋体" w:hAnsi="宋体"/>
          <w:szCs w:val="24"/>
          <w:lang w:eastAsia="zh-CN"/>
        </w:rPr>
        <w:t>乙方</w:t>
      </w:r>
      <w:r>
        <w:rPr>
          <w:rFonts w:hint="eastAsia" w:ascii="宋体" w:hAnsi="宋体"/>
          <w:szCs w:val="24"/>
        </w:rPr>
        <w:t>贰份，</w:t>
      </w:r>
      <w:r>
        <w:rPr>
          <w:rFonts w:hint="eastAsia" w:ascii="宋体" w:hAnsi="宋体"/>
          <w:szCs w:val="24"/>
          <w:lang w:eastAsia="zh-CN"/>
        </w:rPr>
        <w:t>西安市阎良区财政局</w:t>
      </w:r>
      <w:r>
        <w:rPr>
          <w:rFonts w:hint="eastAsia" w:ascii="宋体" w:hAnsi="宋体"/>
          <w:szCs w:val="24"/>
        </w:rPr>
        <w:t>备案壹份</w:t>
      </w:r>
      <w:r>
        <w:rPr>
          <w:rFonts w:hint="eastAsia" w:ascii="宋体" w:hAnsi="宋体"/>
          <w:color w:val="auto"/>
          <w:sz w:val="24"/>
          <w:highlight w:val="none"/>
        </w:rPr>
        <w:t>。</w:t>
      </w:r>
    </w:p>
    <w:p>
      <w:pPr>
        <w:keepNext w:val="0"/>
        <w:keepLines w:val="0"/>
        <w:pageBreakBefore w:val="0"/>
        <w:widowControl w:val="0"/>
        <w:kinsoku/>
        <w:wordWrap/>
        <w:overflowPunct/>
        <w:topLinePunct w:val="0"/>
        <w:bidi w:val="0"/>
        <w:adjustRightInd w:val="0"/>
        <w:snapToGrid w:val="0"/>
        <w:spacing w:line="500" w:lineRule="atLeast"/>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本合同由买卖双方共同签字盖章，自最后一方签字盖章之日起生效。</w:t>
      </w:r>
    </w:p>
    <w:p>
      <w:pPr>
        <w:keepNext w:val="0"/>
        <w:keepLines w:val="0"/>
        <w:pageBreakBefore w:val="0"/>
        <w:widowControl w:val="0"/>
        <w:kinsoku/>
        <w:wordWrap/>
        <w:overflowPunct/>
        <w:topLinePunct w:val="0"/>
        <w:bidi w:val="0"/>
        <w:spacing w:line="500" w:lineRule="atLeast"/>
        <w:ind w:firstLine="480" w:firstLineChars="200"/>
        <w:textAlignment w:val="auto"/>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9.为支持和促进中小企业发展，进一步发挥政府采购政策功能作用，根据《陕西省财政厅关于印发&lt;陕西省中小企业政府采购信用融资办法&gt;的通知》（陕财办采〔2018〕23号）、《陕西省财政厅关于加快推进我省中小企业政府采购信用融资工作的通知》（陕财办采[2020]15号）及各级财政部门关于政府采购信用融资工作的规定，为参与陕西省政府采购项目的投标人提供政府采购信用担保和融资服务，并按照程序确定了合作的担保机构和商业银行。</w:t>
      </w:r>
    </w:p>
    <w:p>
      <w:pPr>
        <w:pStyle w:val="2"/>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乙方如果需要融资贷款服务需求的，可凭中标通知书、政府采购合同等相关资料，按照文件规定的相关政策、业务流程申请办理，具体规定可登陆陕西省政府采购信用融资平台（http://www.ccgp-shaanxi.gov.cn/zcdservice/zcd/shanxi/）查询了解。</w:t>
      </w:r>
    </w:p>
    <w:p>
      <w:pPr>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br w:type="page"/>
      </w:r>
    </w:p>
    <w:p>
      <w:pPr>
        <w:rPr>
          <w:rFonts w:hint="eastAsia"/>
        </w:rPr>
      </w:pPr>
    </w:p>
    <w:tbl>
      <w:tblPr>
        <w:tblStyle w:val="28"/>
        <w:tblpPr w:leftFromText="180" w:rightFromText="180" w:vertAnchor="text" w:horzAnchor="margin" w:tblpX="406" w:tblpY="58"/>
        <w:tblOverlap w:val="never"/>
        <w:tblW w:w="0" w:type="dxa"/>
        <w:tblInd w:w="0" w:type="dxa"/>
        <w:tblLayout w:type="fixed"/>
        <w:tblCellMar>
          <w:top w:w="0" w:type="dxa"/>
          <w:left w:w="108" w:type="dxa"/>
          <w:bottom w:w="0" w:type="dxa"/>
          <w:right w:w="108" w:type="dxa"/>
        </w:tblCellMar>
      </w:tblPr>
      <w:tblGrid>
        <w:gridCol w:w="4425"/>
        <w:gridCol w:w="3936"/>
      </w:tblGrid>
      <w:tr>
        <w:tblPrEx>
          <w:tblCellMar>
            <w:top w:w="0" w:type="dxa"/>
            <w:left w:w="108" w:type="dxa"/>
            <w:bottom w:w="0" w:type="dxa"/>
            <w:right w:w="108" w:type="dxa"/>
          </w:tblCellMar>
        </w:tblPrEx>
        <w:trPr>
          <w:trHeight w:val="3093" w:hRule="atLeast"/>
        </w:trPr>
        <w:tc>
          <w:tcPr>
            <w:tcW w:w="4425" w:type="dxa"/>
            <w:noWrap w:val="0"/>
            <w:tcMar>
              <w:top w:w="113" w:type="dxa"/>
              <w:left w:w="113" w:type="dxa"/>
              <w:bottom w:w="113" w:type="dxa"/>
              <w:right w:w="113" w:type="dxa"/>
            </w:tcMar>
            <w:vAlign w:val="top"/>
          </w:tcPr>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lang w:eastAsia="zh-CN"/>
              </w:rPr>
              <w:t>甲方</w:t>
            </w:r>
            <w:r>
              <w:rPr>
                <w:rFonts w:hint="eastAsia" w:ascii="宋体" w:hAnsi="宋体"/>
                <w:color w:val="auto"/>
                <w:sz w:val="24"/>
                <w:highlight w:val="none"/>
              </w:rPr>
              <w:t xml:space="preserve">名称：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地    址：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邮    编：</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电    话：</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传    真：</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代表签字或盖章：</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盖章：</w:t>
            </w:r>
          </w:p>
          <w:p>
            <w:pPr>
              <w:keepNext w:val="0"/>
              <w:keepLines w:val="0"/>
              <w:pageBreakBefore w:val="0"/>
              <w:widowControl w:val="0"/>
              <w:kinsoku/>
              <w:wordWrap/>
              <w:overflowPunct/>
              <w:topLinePunct w:val="0"/>
              <w:autoSpaceDE w:val="0"/>
              <w:autoSpaceDN w:val="0"/>
              <w:bidi w:val="0"/>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年  月  日    </w:t>
            </w:r>
          </w:p>
        </w:tc>
        <w:tc>
          <w:tcPr>
            <w:tcW w:w="3936" w:type="dxa"/>
            <w:noWrap w:val="0"/>
            <w:tcMar>
              <w:top w:w="113" w:type="dxa"/>
              <w:left w:w="113" w:type="dxa"/>
              <w:bottom w:w="113" w:type="dxa"/>
              <w:right w:w="113" w:type="dxa"/>
            </w:tcMar>
            <w:vAlign w:val="top"/>
          </w:tcPr>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lang w:eastAsia="zh-CN"/>
              </w:rPr>
              <w:t>乙方</w:t>
            </w:r>
            <w:r>
              <w:rPr>
                <w:rFonts w:hint="eastAsia" w:ascii="宋体" w:hAnsi="宋体"/>
                <w:color w:val="auto"/>
                <w:sz w:val="24"/>
                <w:highlight w:val="none"/>
              </w:rPr>
              <w:t>名称：</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地    址：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邮    编：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电    话：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传    真：  </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开户银行：</w:t>
            </w:r>
          </w:p>
          <w:p>
            <w:pPr>
              <w:keepNext w:val="0"/>
              <w:keepLines w:val="0"/>
              <w:pageBreakBefore w:val="0"/>
              <w:widowControl w:val="0"/>
              <w:kinsoku/>
              <w:wordWrap/>
              <w:overflowPunct/>
              <w:topLinePunct w:val="0"/>
              <w:autoSpaceDE w:val="0"/>
              <w:autoSpaceDN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帐    号：</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eastAsia="宋体"/>
                <w:color w:val="auto"/>
                <w:sz w:val="24"/>
                <w:highlight w:val="none"/>
                <w:lang w:eastAsia="zh-CN"/>
              </w:rPr>
            </w:pPr>
            <w:r>
              <w:rPr>
                <w:rFonts w:hint="eastAsia" w:ascii="宋体" w:hAnsi="宋体"/>
                <w:color w:val="auto"/>
                <w:sz w:val="24"/>
                <w:highlight w:val="none"/>
              </w:rPr>
              <w:t>代表签字或盖章</w:t>
            </w:r>
            <w:r>
              <w:rPr>
                <w:rFonts w:hint="eastAsia" w:ascii="宋体" w:hAnsi="宋体"/>
                <w:color w:val="auto"/>
                <w:sz w:val="24"/>
                <w:highlight w:val="none"/>
                <w:lang w:eastAsia="zh-CN"/>
              </w:rPr>
              <w:t>：</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盖章：</w:t>
            </w:r>
          </w:p>
          <w:p>
            <w:pPr>
              <w:keepNext w:val="0"/>
              <w:keepLines w:val="0"/>
              <w:pageBreakBefore w:val="0"/>
              <w:widowControl w:val="0"/>
              <w:kinsoku/>
              <w:wordWrap/>
              <w:overflowPunct/>
              <w:topLinePunct w:val="0"/>
              <w:bidi w:val="0"/>
              <w:spacing w:line="500" w:lineRule="atLeast"/>
              <w:ind w:left="240" w:leftChars="100"/>
              <w:textAlignment w:val="auto"/>
              <w:rPr>
                <w:rFonts w:hint="eastAsia" w:ascii="宋体" w:hAnsi="宋体"/>
                <w:color w:val="auto"/>
                <w:sz w:val="24"/>
                <w:highlight w:val="none"/>
              </w:rPr>
            </w:pPr>
            <w:r>
              <w:rPr>
                <w:rFonts w:hint="eastAsia" w:ascii="宋体" w:hAnsi="宋体"/>
                <w:color w:val="auto"/>
                <w:sz w:val="24"/>
                <w:highlight w:val="none"/>
              </w:rPr>
              <w:t xml:space="preserve">             年  月  日</w:t>
            </w:r>
          </w:p>
        </w:tc>
      </w:tr>
    </w:tbl>
    <w:p>
      <w:pPr>
        <w:keepNext w:val="0"/>
        <w:keepLines w:val="0"/>
        <w:pageBreakBefore w:val="0"/>
        <w:widowControl w:val="0"/>
        <w:kinsoku/>
        <w:wordWrap/>
        <w:overflowPunct/>
        <w:topLinePunct w:val="0"/>
        <w:bidi w:val="0"/>
        <w:spacing w:line="500" w:lineRule="atLeast"/>
        <w:textAlignment w:val="auto"/>
        <w:rPr>
          <w:rFonts w:hint="eastAsia" w:ascii="宋体" w:hAnsi="宋体"/>
          <w:color w:val="auto"/>
          <w:sz w:val="24"/>
          <w:highlight w:val="none"/>
        </w:rPr>
      </w:pPr>
      <w:r>
        <w:rPr>
          <w:rFonts w:hint="eastAsia" w:ascii="宋体" w:hAnsi="宋体"/>
          <w:color w:val="auto"/>
          <w:sz w:val="24"/>
          <w:highlight w:val="none"/>
        </w:rPr>
        <w:t xml:space="preserve">             </w:t>
      </w:r>
    </w:p>
    <w:p>
      <w:pPr>
        <w:adjustRightInd w:val="0"/>
        <w:snapToGrid w:val="0"/>
        <w:spacing w:line="480" w:lineRule="exact"/>
        <w:rPr>
          <w:rFonts w:hint="eastAsia" w:ascii="宋体" w:hAnsi="宋体"/>
          <w:color w:val="auto"/>
          <w:kern w:val="0"/>
          <w:sz w:val="24"/>
          <w:highlight w:val="none"/>
        </w:rPr>
      </w:pPr>
    </w:p>
    <w:p>
      <w:pPr>
        <w:rPr>
          <w:rFonts w:hint="eastAsia" w:ascii="宋体" w:hAnsi="宋体"/>
          <w:color w:val="auto"/>
          <w:kern w:val="0"/>
          <w:sz w:val="24"/>
          <w:highlight w:val="none"/>
        </w:rPr>
      </w:pPr>
      <w:r>
        <w:rPr>
          <w:rFonts w:hint="eastAsia" w:ascii="宋体" w:hAnsi="宋体"/>
          <w:color w:val="auto"/>
          <w:kern w:val="0"/>
          <w:sz w:val="24"/>
          <w:highlight w:val="none"/>
        </w:rPr>
        <w:br w:type="page"/>
      </w:r>
    </w:p>
    <w:p>
      <w:pPr>
        <w:spacing w:line="520" w:lineRule="exact"/>
        <w:rPr>
          <w:rFonts w:hint="eastAsia" w:ascii="宋体" w:hAnsi="宋体"/>
          <w:sz w:val="24"/>
        </w:rPr>
      </w:pPr>
      <w:r>
        <w:rPr>
          <w:rFonts w:hint="eastAsia" w:ascii="宋体" w:hAnsi="宋体"/>
          <w:sz w:val="24"/>
        </w:rPr>
        <w:t>二、合同条款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第一条 本着平等互惠、互相支持、共同发展的原则，就甲方针对本项目的事宜，经甲乙双方友好协商，共同签署本合同，以资共同遵守。 </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第二条 服务定义：根据甲方需要，乙方为甲方提供该项目的服务等业务。 </w:t>
      </w:r>
    </w:p>
    <w:p>
      <w:pPr>
        <w:spacing w:line="520" w:lineRule="exact"/>
        <w:ind w:firstLine="616" w:firstLineChars="257"/>
        <w:rPr>
          <w:rFonts w:hint="eastAsia" w:ascii="宋体" w:hAnsi="宋体"/>
          <w:kern w:val="0"/>
          <w:sz w:val="24"/>
        </w:rPr>
      </w:pPr>
      <w:r>
        <w:rPr>
          <w:rFonts w:hint="eastAsia" w:ascii="宋体" w:hAnsi="宋体"/>
          <w:kern w:val="0"/>
          <w:sz w:val="24"/>
        </w:rPr>
        <w:t xml:space="preserve">第三条 乙方服务人员：是指乙方派出的符合本合同资格条件的、在甲方从事本合同规定的服务项目范围以内工作的人员。乙方有义务在本合同有效期内维持其与服务人员合法的劳动合同关系，不得因与服务人员间就劳动法律关系或在其他方面的任何争议或瑕疵影响其履行在本合同项下的义务。 </w:t>
      </w:r>
    </w:p>
    <w:p>
      <w:pPr>
        <w:spacing w:line="520" w:lineRule="exact"/>
        <w:ind w:firstLine="616" w:firstLineChars="257"/>
        <w:rPr>
          <w:rFonts w:hint="eastAsia" w:ascii="宋体" w:hAnsi="宋体"/>
          <w:kern w:val="0"/>
          <w:sz w:val="24"/>
        </w:rPr>
      </w:pPr>
      <w:r>
        <w:rPr>
          <w:rFonts w:hint="eastAsia" w:ascii="宋体" w:hAnsi="宋体"/>
          <w:kern w:val="0"/>
          <w:sz w:val="24"/>
        </w:rPr>
        <w:t>第四条 甲方的权利</w:t>
      </w:r>
    </w:p>
    <w:p>
      <w:pPr>
        <w:spacing w:line="520" w:lineRule="exact"/>
        <w:ind w:firstLine="616" w:firstLineChars="257"/>
        <w:rPr>
          <w:rFonts w:hint="eastAsia" w:ascii="宋体" w:hAnsi="宋体"/>
          <w:kern w:val="0"/>
          <w:sz w:val="24"/>
        </w:rPr>
      </w:pPr>
      <w:r>
        <w:rPr>
          <w:rFonts w:hint="eastAsia" w:ascii="宋体" w:hAnsi="宋体"/>
          <w:kern w:val="0"/>
          <w:sz w:val="24"/>
        </w:rPr>
        <w:t>1、甲方有权享有乙方按照上述约定提供的服务。</w:t>
      </w:r>
    </w:p>
    <w:p>
      <w:pPr>
        <w:spacing w:line="520" w:lineRule="exact"/>
        <w:ind w:firstLine="616" w:firstLineChars="257"/>
        <w:rPr>
          <w:rFonts w:hint="eastAsia" w:ascii="宋体" w:hAnsi="宋体"/>
          <w:kern w:val="0"/>
          <w:sz w:val="24"/>
        </w:rPr>
      </w:pPr>
      <w:r>
        <w:rPr>
          <w:rFonts w:hint="eastAsia" w:ascii="宋体" w:hAnsi="宋体"/>
          <w:kern w:val="0"/>
          <w:sz w:val="24"/>
        </w:rPr>
        <w:t>2、甲方有权要求乙方提供符合本项目服务要求的人员，且提供的服务质量达到前述约定标准。如乙方违反协议约定，未达到服务质量要求的，甲方有权要求乙方限期改正，逾期未改正的或改正后仍给甲方造成损失的，乙方应承担相应的法律责任；</w:t>
      </w:r>
    </w:p>
    <w:p>
      <w:pPr>
        <w:spacing w:line="520" w:lineRule="exact"/>
        <w:ind w:firstLine="616" w:firstLineChars="257"/>
        <w:rPr>
          <w:rFonts w:hint="eastAsia" w:ascii="宋体" w:hAnsi="宋体"/>
          <w:kern w:val="0"/>
          <w:sz w:val="24"/>
        </w:rPr>
      </w:pPr>
      <w:r>
        <w:rPr>
          <w:rFonts w:hint="eastAsia" w:ascii="宋体" w:hAnsi="宋体"/>
          <w:kern w:val="0"/>
          <w:sz w:val="24"/>
        </w:rPr>
        <w:t xml:space="preserve">3、甲方有权根据服务要求和标准考评乙方服务质量，如乙方提供的服务考评不合格或不符合约定的，甲方有权按照一定比例减少支付服务费用，具体减付比例结合乙方提供服务未达到约定的范围，严重程度、给甲方造成的损失情况等确定。          </w:t>
      </w:r>
    </w:p>
    <w:p>
      <w:pPr>
        <w:spacing w:line="520" w:lineRule="exact"/>
        <w:ind w:firstLine="616" w:firstLineChars="257"/>
        <w:rPr>
          <w:rFonts w:hint="eastAsia" w:ascii="宋体" w:hAnsi="宋体"/>
          <w:kern w:val="0"/>
          <w:sz w:val="24"/>
        </w:rPr>
      </w:pPr>
      <w:r>
        <w:rPr>
          <w:rFonts w:hint="eastAsia" w:ascii="宋体" w:hAnsi="宋体"/>
          <w:kern w:val="0"/>
          <w:sz w:val="24"/>
        </w:rPr>
        <w:t>4、</w:t>
      </w:r>
      <w:r>
        <w:rPr>
          <w:rFonts w:hint="eastAsia" w:ascii="宋体" w:hAnsi="宋体"/>
          <w:kern w:val="0"/>
          <w:sz w:val="24"/>
          <w:lang w:eastAsia="zh-CN"/>
        </w:rPr>
        <w:t>甲方各级单位对乙方的服务进行监督考核，</w:t>
      </w:r>
      <w:r>
        <w:rPr>
          <w:rFonts w:hint="eastAsia" w:ascii="宋体" w:hAnsi="宋体" w:eastAsia="宋体" w:cs="宋体"/>
          <w:sz w:val="24"/>
          <w:szCs w:val="24"/>
          <w:highlight w:val="none"/>
          <w:lang w:val="en-US" w:eastAsia="zh-CN"/>
        </w:rPr>
        <w:t>区级部门（农业局、交通局、城管局）、街办、各村对所属区域进行监督。</w:t>
      </w:r>
    </w:p>
    <w:p>
      <w:pPr>
        <w:spacing w:line="520" w:lineRule="exact"/>
        <w:ind w:firstLine="616" w:firstLineChars="257"/>
        <w:rPr>
          <w:rFonts w:hint="eastAsia" w:ascii="宋体" w:hAnsi="宋体"/>
          <w:kern w:val="0"/>
          <w:sz w:val="24"/>
        </w:rPr>
      </w:pPr>
      <w:r>
        <w:rPr>
          <w:rFonts w:hint="eastAsia" w:ascii="宋体" w:hAnsi="宋体"/>
          <w:kern w:val="0"/>
          <w:sz w:val="24"/>
          <w:lang w:val="en-US" w:eastAsia="zh-CN"/>
        </w:rPr>
        <w:t>5、</w:t>
      </w:r>
      <w:r>
        <w:rPr>
          <w:rFonts w:hint="eastAsia" w:ascii="宋体" w:hAnsi="宋体"/>
          <w:kern w:val="0"/>
          <w:sz w:val="24"/>
        </w:rPr>
        <w:t>除本合同约定的服务费用外，乙方不得向甲方及其甲方人员收取其他任何费用，如甲方发现乙方有此类行为，甲方有权要求乙方清退所收费用，退还利息并支付违约金；</w:t>
      </w:r>
    </w:p>
    <w:p>
      <w:pPr>
        <w:spacing w:line="520" w:lineRule="exact"/>
        <w:ind w:firstLine="616" w:firstLineChars="257"/>
        <w:rPr>
          <w:rFonts w:hint="eastAsia" w:ascii="宋体" w:hAnsi="宋体"/>
          <w:kern w:val="0"/>
          <w:sz w:val="24"/>
        </w:rPr>
      </w:pPr>
      <w:r>
        <w:rPr>
          <w:rFonts w:hint="eastAsia" w:ascii="宋体" w:hAnsi="宋体"/>
          <w:kern w:val="0"/>
          <w:sz w:val="24"/>
          <w:lang w:val="en-US" w:eastAsia="zh-CN"/>
        </w:rPr>
        <w:t>6</w:t>
      </w:r>
      <w:r>
        <w:rPr>
          <w:rFonts w:hint="eastAsia" w:ascii="宋体" w:hAnsi="宋体"/>
          <w:kern w:val="0"/>
          <w:sz w:val="24"/>
        </w:rPr>
        <w:t>、对乙方相关服务资料的所有权、使用权的约定：归甲方所有。乙方不得以任何借口留存，否则承担由此产生的一切法律和经济责任。未经甲方允许，任何单位和个人不得转让和使用本项目的相关内容。</w:t>
      </w:r>
    </w:p>
    <w:p>
      <w:pPr>
        <w:spacing w:line="520" w:lineRule="exact"/>
        <w:ind w:firstLine="616" w:firstLineChars="257"/>
        <w:rPr>
          <w:rFonts w:hint="eastAsia" w:ascii="宋体" w:hAnsi="宋体"/>
          <w:kern w:val="0"/>
          <w:sz w:val="24"/>
        </w:rPr>
      </w:pPr>
      <w:r>
        <w:rPr>
          <w:rFonts w:hint="eastAsia" w:ascii="宋体" w:hAnsi="宋体"/>
          <w:kern w:val="0"/>
          <w:sz w:val="24"/>
        </w:rPr>
        <w:t>第五条 甲方的义务</w:t>
      </w:r>
    </w:p>
    <w:p>
      <w:pPr>
        <w:spacing w:line="520" w:lineRule="exact"/>
        <w:ind w:firstLine="616" w:firstLineChars="257"/>
        <w:rPr>
          <w:rFonts w:hint="eastAsia" w:ascii="宋体" w:hAnsi="宋体"/>
          <w:kern w:val="0"/>
          <w:sz w:val="24"/>
        </w:rPr>
      </w:pPr>
      <w:r>
        <w:rPr>
          <w:rFonts w:hint="eastAsia" w:ascii="宋体" w:hAnsi="宋体"/>
          <w:kern w:val="0"/>
          <w:sz w:val="24"/>
        </w:rPr>
        <w:t xml:space="preserve">1、在服务实施过程中，甲方应为乙方提供必要的工作便利与指导，配合乙方履行职责。 </w:t>
      </w:r>
    </w:p>
    <w:p>
      <w:pPr>
        <w:spacing w:line="520" w:lineRule="exact"/>
        <w:ind w:firstLine="616" w:firstLineChars="257"/>
        <w:rPr>
          <w:rFonts w:hint="eastAsia" w:ascii="宋体" w:hAnsi="宋体"/>
          <w:kern w:val="0"/>
          <w:sz w:val="24"/>
        </w:rPr>
      </w:pPr>
      <w:r>
        <w:rPr>
          <w:rFonts w:hint="eastAsia" w:ascii="宋体" w:hAnsi="宋体"/>
          <w:kern w:val="0"/>
          <w:sz w:val="24"/>
        </w:rPr>
        <w:t>2、甲方不得将本合同的内容向甲乙双方以外的、与签订和履行本合同无关的任何第三方透露，不得泄露乙方的商业秘密（包括本合同及其附件和合同签订前的各项方案）。</w:t>
      </w:r>
    </w:p>
    <w:p>
      <w:pPr>
        <w:spacing w:line="520" w:lineRule="exact"/>
        <w:ind w:firstLine="616" w:firstLineChars="257"/>
        <w:rPr>
          <w:rFonts w:hint="eastAsia" w:ascii="宋体" w:hAnsi="宋体"/>
          <w:kern w:val="0"/>
          <w:sz w:val="24"/>
        </w:rPr>
      </w:pPr>
      <w:r>
        <w:rPr>
          <w:rFonts w:hint="eastAsia" w:ascii="宋体" w:hAnsi="宋体"/>
          <w:kern w:val="0"/>
          <w:sz w:val="24"/>
        </w:rPr>
        <w:t>第六条 任何一方违反或擅自变更本合同的约定，应当承担由此给对方造成的经济损失和相关责任。</w:t>
      </w:r>
    </w:p>
    <w:p>
      <w:pPr>
        <w:spacing w:line="520" w:lineRule="exact"/>
        <w:ind w:firstLine="616" w:firstLineChars="257"/>
        <w:rPr>
          <w:rFonts w:hint="eastAsia" w:ascii="宋体" w:hAnsi="宋体"/>
          <w:kern w:val="0"/>
          <w:sz w:val="24"/>
        </w:rPr>
      </w:pPr>
      <w:r>
        <w:rPr>
          <w:rFonts w:hint="eastAsia" w:ascii="宋体" w:hAnsi="宋体"/>
          <w:kern w:val="0"/>
          <w:sz w:val="24"/>
        </w:rPr>
        <w:t>第七条甲方违约责任</w:t>
      </w:r>
    </w:p>
    <w:p>
      <w:pPr>
        <w:spacing w:line="520" w:lineRule="exact"/>
        <w:ind w:firstLine="616" w:firstLineChars="257"/>
        <w:rPr>
          <w:rFonts w:hint="eastAsia" w:ascii="宋体" w:hAnsi="宋体"/>
          <w:kern w:val="0"/>
          <w:sz w:val="24"/>
        </w:rPr>
      </w:pPr>
      <w:r>
        <w:rPr>
          <w:rFonts w:hint="eastAsia" w:ascii="宋体" w:hAnsi="宋体"/>
          <w:kern w:val="0"/>
          <w:sz w:val="24"/>
        </w:rPr>
        <w:t>1、由于甲方的原因或因不可抗力的自然因素影响，则服务周期顺延。</w:t>
      </w:r>
    </w:p>
    <w:p>
      <w:pPr>
        <w:spacing w:line="520" w:lineRule="exact"/>
        <w:ind w:firstLine="616" w:firstLineChars="257"/>
        <w:rPr>
          <w:rFonts w:hint="eastAsia" w:ascii="宋体" w:hAnsi="宋体"/>
          <w:kern w:val="0"/>
          <w:sz w:val="24"/>
        </w:rPr>
      </w:pPr>
      <w:r>
        <w:rPr>
          <w:rFonts w:hint="eastAsia" w:ascii="宋体" w:hAnsi="宋体"/>
          <w:kern w:val="0"/>
          <w:sz w:val="24"/>
        </w:rPr>
        <w:t xml:space="preserve">2、对于乙方提供的资料以及属于乙方的内容，甲方有义务保密，不得向第三方提供或用于本合同以外的项目，否则乙方有权要求甲方按本合同项目款总额的20%赔偿损失。 </w:t>
      </w:r>
    </w:p>
    <w:p>
      <w:pPr>
        <w:spacing w:line="520" w:lineRule="exact"/>
        <w:ind w:firstLine="616" w:firstLineChars="257"/>
        <w:rPr>
          <w:rFonts w:hint="eastAsia" w:ascii="宋体" w:hAnsi="宋体"/>
          <w:kern w:val="0"/>
          <w:sz w:val="24"/>
        </w:rPr>
      </w:pPr>
      <w:r>
        <w:rPr>
          <w:rFonts w:hint="eastAsia" w:ascii="宋体" w:hAnsi="宋体"/>
          <w:kern w:val="0"/>
          <w:sz w:val="24"/>
        </w:rPr>
        <w:t>第八条乙方违约责任</w:t>
      </w:r>
    </w:p>
    <w:p>
      <w:pPr>
        <w:spacing w:line="520" w:lineRule="exact"/>
        <w:ind w:firstLine="616" w:firstLineChars="257"/>
        <w:rPr>
          <w:rFonts w:hint="eastAsia" w:ascii="宋体" w:hAnsi="宋体"/>
          <w:kern w:val="0"/>
          <w:sz w:val="24"/>
        </w:rPr>
      </w:pPr>
      <w:r>
        <w:rPr>
          <w:rFonts w:hint="eastAsia" w:ascii="宋体" w:hAnsi="宋体"/>
          <w:kern w:val="0"/>
          <w:sz w:val="24"/>
        </w:rPr>
        <w:t>1、合同签订后，如乙方擅自中途停止或解除合同，乙方应向甲方双倍返还定金。没有约定定金的，乙方向甲方赔偿服务价款。</w:t>
      </w:r>
    </w:p>
    <w:p>
      <w:pPr>
        <w:spacing w:line="520" w:lineRule="exact"/>
        <w:ind w:firstLine="616" w:firstLineChars="257"/>
        <w:rPr>
          <w:rFonts w:hint="eastAsia" w:ascii="宋体" w:hAnsi="宋体"/>
          <w:kern w:val="0"/>
          <w:sz w:val="24"/>
        </w:rPr>
      </w:pPr>
      <w:r>
        <w:rPr>
          <w:rFonts w:hint="eastAsia" w:ascii="宋体" w:hAnsi="宋体"/>
          <w:kern w:val="0"/>
          <w:sz w:val="24"/>
        </w:rPr>
        <w:t>2、在甲方提供了必要的工作、生活条件，并且保证了项目款按时到位，乙方未能按合同规定的日期提供服务时，应向甲方赔偿拖期损失费，每天的拖期损失费按合同约定的项目总价款。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3、因天气、交通、政府行为、甲方提供的资料不准确等客观原因造成的服务周期拖期，乙方不承担赔偿责任。 </w:t>
      </w:r>
    </w:p>
    <w:p>
      <w:pPr>
        <w:spacing w:line="520" w:lineRule="exact"/>
        <w:ind w:firstLine="616" w:firstLineChars="257"/>
        <w:rPr>
          <w:rFonts w:hint="eastAsia" w:ascii="宋体" w:hAnsi="宋体"/>
          <w:kern w:val="0"/>
          <w:sz w:val="24"/>
        </w:rPr>
      </w:pPr>
      <w:r>
        <w:rPr>
          <w:rFonts w:hint="eastAsia" w:ascii="宋体" w:hAnsi="宋体"/>
          <w:kern w:val="0"/>
          <w:sz w:val="24"/>
        </w:rPr>
        <w:t>4、服务实施过程中，乙方未按</w:t>
      </w:r>
      <w:r>
        <w:rPr>
          <w:rFonts w:hint="eastAsia" w:ascii="宋体" w:hAnsi="宋体"/>
          <w:kern w:val="0"/>
          <w:sz w:val="24"/>
          <w:lang w:eastAsia="zh-CN"/>
        </w:rPr>
        <w:t>投标文件</w:t>
      </w:r>
      <w:r>
        <w:rPr>
          <w:rFonts w:hint="eastAsia" w:ascii="宋体" w:hAnsi="宋体"/>
          <w:kern w:val="0"/>
          <w:sz w:val="24"/>
        </w:rPr>
        <w:t>约定配备服务人员或乙方派驻服务力量无法胜任项目实施要求的，甲方有权提出增加人员和充实技术力量，乙方应立即安排实施，其费用被认为已含在合同价格之中。如乙方拒绝增加人员或充实技术力量，甲方有权利解除合同，乙方应承担由此给甲方造成的经济损失。</w:t>
      </w:r>
    </w:p>
    <w:p>
      <w:pPr>
        <w:spacing w:line="520" w:lineRule="exact"/>
        <w:ind w:firstLine="616" w:firstLineChars="257"/>
        <w:rPr>
          <w:rFonts w:hint="eastAsia" w:ascii="宋体" w:hAnsi="宋体"/>
          <w:kern w:val="0"/>
          <w:sz w:val="24"/>
        </w:rPr>
      </w:pPr>
      <w:r>
        <w:rPr>
          <w:rFonts w:hint="eastAsia" w:ascii="宋体" w:hAnsi="宋体"/>
          <w:kern w:val="0"/>
          <w:sz w:val="24"/>
        </w:rPr>
        <w:t>5、乙方有责任按甲方要求提交项目资料。如乙方未能按规定的服务周期提供服务，每延误一天，应付逾期违约金人民币（但由于受天气等不可抗力的自然因素影响，则工期顺延），逾期10天以上的，甲方除有权终止履行合同外，乙方应承担因延期造成的损失。同时，甲方有权根据乙方所承担服务的质量是否符合要求而对服务的内容进行调整。</w:t>
      </w:r>
    </w:p>
    <w:p>
      <w:pPr>
        <w:spacing w:line="520" w:lineRule="exact"/>
        <w:ind w:firstLine="616" w:firstLineChars="257"/>
        <w:rPr>
          <w:rFonts w:hint="eastAsia" w:ascii="宋体" w:hAnsi="宋体"/>
          <w:kern w:val="0"/>
          <w:sz w:val="24"/>
        </w:rPr>
      </w:pPr>
      <w:r>
        <w:rPr>
          <w:rFonts w:hint="eastAsia" w:ascii="宋体" w:hAnsi="宋体"/>
          <w:kern w:val="0"/>
          <w:sz w:val="24"/>
        </w:rPr>
        <w:t>6、乙方提供的服务质量不合格的，乙方应负责无偿予以采取补救措施，以达到质量要求。因服务最终不符合合同要求（而又非甲方提供的资料原因所致）造成后果时，乙方应对因此造成的直接损失负赔偿责任，并承担相应的法律责任（由于甲方提供的资料原因产生的责任由甲方自己负责）。</w:t>
      </w:r>
    </w:p>
    <w:p>
      <w:pPr>
        <w:spacing w:line="520" w:lineRule="exact"/>
        <w:ind w:firstLine="616" w:firstLineChars="257"/>
        <w:rPr>
          <w:rFonts w:hint="eastAsia" w:ascii="宋体" w:hAnsi="宋体"/>
          <w:kern w:val="0"/>
          <w:sz w:val="24"/>
        </w:rPr>
      </w:pPr>
      <w:r>
        <w:rPr>
          <w:rFonts w:hint="eastAsia" w:ascii="宋体" w:hAnsi="宋体"/>
          <w:kern w:val="0"/>
          <w:sz w:val="24"/>
        </w:rPr>
        <w:t>7、在合同期内和合同终止后，乙方应负责所有资料的保密，非经甲方书面认可，不得向任何人以任何方式提供任何资料。严格按甲方要求程序传递各种资料，否则甲方有权单方解除合同，并追回所付项目款。</w:t>
      </w:r>
    </w:p>
    <w:p>
      <w:pPr>
        <w:spacing w:line="520" w:lineRule="exact"/>
        <w:ind w:firstLine="616" w:firstLineChars="257"/>
        <w:rPr>
          <w:rFonts w:hint="eastAsia" w:ascii="宋体" w:hAnsi="宋体"/>
          <w:kern w:val="0"/>
          <w:sz w:val="24"/>
        </w:rPr>
      </w:pPr>
      <w:r>
        <w:rPr>
          <w:rFonts w:hint="eastAsia" w:ascii="宋体" w:hAnsi="宋体"/>
          <w:kern w:val="0"/>
          <w:sz w:val="24"/>
        </w:rPr>
        <w:t xml:space="preserve">8、乙方不得将本项目的任何部分转包或分包给其他任何单位和个人。若擅自转包或分包本合同标的，甲方有权解除合同，并可要求乙方偿付预算30%的违约金，同时追究其法律责任。 </w:t>
      </w:r>
    </w:p>
    <w:p>
      <w:pPr>
        <w:spacing w:line="520" w:lineRule="exact"/>
        <w:ind w:firstLine="480" w:firstLineChars="200"/>
        <w:rPr>
          <w:rFonts w:hint="eastAsia" w:ascii="宋体" w:hAnsi="宋体"/>
          <w:kern w:val="0"/>
          <w:sz w:val="24"/>
        </w:rPr>
      </w:pPr>
      <w:r>
        <w:rPr>
          <w:rFonts w:hint="eastAsia" w:ascii="宋体" w:hAnsi="宋体"/>
          <w:kern w:val="0"/>
          <w:sz w:val="24"/>
        </w:rPr>
        <w:t>第九条 甲乙任何一方按照本合同规定索取违约金或赔偿金时，应书面通知违约方并说明违约金或赔偿金额；违约方应在收到对方发出的书面索赔通知的十个工作日内按索赔要求支付违约金或经济赔偿；如违约方对违约金或赔偿金额有异议，应在收到通知后七个工作日内通知对方，双方应在收到对方的通知或答复后尽快协商明确违约责任。</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第十条 因执行本合同发生的一切争议，双方应首先友好协商解决。经协商不能解决，应向甲方所在地人民法院提起诉讼。在诉讼期间，除必须在诉讼过程中进行解决的问题外，合同其余部分应继续履行。 </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第十一条 甲、乙双方有一方有正当理由要求变更本合同，须提前一个月以书面形式通知对方并协商解决，双方应签署变更合同。 </w:t>
      </w:r>
    </w:p>
    <w:p>
      <w:pPr>
        <w:spacing w:line="520" w:lineRule="exact"/>
        <w:ind w:firstLine="480" w:firstLineChars="200"/>
        <w:rPr>
          <w:rFonts w:hint="eastAsia" w:ascii="宋体" w:hAnsi="宋体"/>
          <w:kern w:val="0"/>
          <w:sz w:val="24"/>
        </w:rPr>
      </w:pPr>
      <w:r>
        <w:rPr>
          <w:rFonts w:hint="eastAsia" w:ascii="宋体" w:hAnsi="宋体"/>
          <w:kern w:val="0"/>
          <w:sz w:val="24"/>
        </w:rPr>
        <w:t xml:space="preserve">第十二条 本合同期满双方不再续约或者因一方违约导致本合同无法履行，则本合同终止。但合同的终止不得损害第三方的利益，双方应为此做出合理安排。 </w:t>
      </w:r>
    </w:p>
    <w:p>
      <w:pPr>
        <w:spacing w:line="520" w:lineRule="exact"/>
        <w:ind w:firstLine="480" w:firstLineChars="200"/>
        <w:rPr>
          <w:rFonts w:hint="eastAsia" w:ascii="宋体" w:hAnsi="宋体"/>
          <w:kern w:val="0"/>
          <w:sz w:val="24"/>
        </w:rPr>
      </w:pPr>
      <w:r>
        <w:rPr>
          <w:rFonts w:hint="eastAsia" w:ascii="宋体" w:hAnsi="宋体"/>
          <w:kern w:val="0"/>
          <w:sz w:val="24"/>
        </w:rPr>
        <w:t>第十三条 未经对方同意，甲乙任何一方不得将本合同部分或全部权利和义务转让给第三方。</w:t>
      </w:r>
    </w:p>
    <w:p>
      <w:pPr>
        <w:spacing w:line="520" w:lineRule="exact"/>
        <w:ind w:firstLine="480" w:firstLineChars="200"/>
        <w:rPr>
          <w:rFonts w:hint="eastAsia" w:ascii="宋体" w:hAnsi="宋体" w:eastAsia="宋体" w:cs="Times New Roman"/>
          <w:kern w:val="0"/>
          <w:sz w:val="24"/>
        </w:rPr>
      </w:pPr>
      <w:r>
        <w:rPr>
          <w:rFonts w:hint="eastAsia" w:ascii="宋体" w:hAnsi="宋体" w:eastAsia="宋体" w:cs="Times New Roman"/>
          <w:kern w:val="0"/>
          <w:sz w:val="24"/>
        </w:rPr>
        <w:t>第十四条 本合同中涉及的所有“通知”、“同意”、“确认” 等事项均应以书面形式做出，并作为依据。</w:t>
      </w:r>
    </w:p>
    <w:p>
      <w:pPr>
        <w:spacing w:line="500" w:lineRule="exact"/>
        <w:ind w:firstLine="480" w:firstLineChars="200"/>
        <w:rPr>
          <w:rFonts w:hint="eastAsia" w:ascii="宋体" w:hAnsi="宋体"/>
          <w:b/>
          <w:color w:val="auto"/>
          <w:sz w:val="24"/>
          <w:highlight w:val="none"/>
        </w:rPr>
      </w:pPr>
      <w:r>
        <w:rPr>
          <w:rFonts w:hint="eastAsia" w:ascii="宋体" w:hAnsi="宋体" w:eastAsia="宋体" w:cs="Times New Roman"/>
          <w:kern w:val="0"/>
          <w:sz w:val="24"/>
        </w:rPr>
        <w:t>第十五条 本合同有关附件及补充合同是本合同不可分割的组成部分，与本合同具有同等法律效力；本合同未尽事宜，双方另行协商并签署补充合同，作为本合同的附件，具有同等法律效力</w:t>
      </w:r>
      <w:r>
        <w:rPr>
          <w:rFonts w:hint="eastAsia" w:ascii="宋体" w:hAnsi="宋体" w:eastAsia="宋体" w:cs="宋体"/>
          <w:color w:val="auto"/>
          <w:kern w:val="0"/>
          <w:sz w:val="24"/>
          <w:highlight w:val="none"/>
          <w:lang w:eastAsia="zh-CN"/>
        </w:rPr>
        <w:t>。</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
        <w:jc w:val="center"/>
        <w:outlineLvl w:val="9"/>
        <w:rPr>
          <w:rFonts w:hint="eastAsia" w:ascii="宋体" w:hAnsi="宋体" w:eastAsia="宋体" w:cs="宋体"/>
          <w:b/>
          <w:bCs/>
          <w:color w:val="auto"/>
          <w:highlight w:val="none"/>
        </w:rPr>
      </w:pPr>
      <w:bookmarkStart w:id="106" w:name="_Toc31160"/>
      <w:bookmarkStart w:id="107" w:name="_Toc23737"/>
      <w:r>
        <w:rPr>
          <w:rFonts w:hint="eastAsia" w:ascii="宋体" w:hAnsi="宋体" w:eastAsia="宋体" w:cs="宋体"/>
          <w:b/>
          <w:bCs/>
          <w:color w:val="auto"/>
          <w:highlight w:val="none"/>
        </w:rPr>
        <w:t>第五章  投标文件构成及格式</w:t>
      </w:r>
      <w:bookmarkEnd w:id="105"/>
      <w:bookmarkEnd w:id="106"/>
      <w:bookmarkEnd w:id="107"/>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jc w:val="both"/>
        <w:rPr>
          <w:rFonts w:hint="eastAsia" w:ascii="宋体" w:hAnsi="宋体" w:eastAsia="宋体" w:cs="宋体"/>
          <w:color w:val="auto"/>
          <w:sz w:val="32"/>
          <w:szCs w:val="32"/>
          <w:highlight w:val="none"/>
        </w:rPr>
      </w:pPr>
    </w:p>
    <w:p>
      <w:pPr>
        <w:pStyle w:val="4"/>
        <w:jc w:val="center"/>
        <w:outlineLvl w:val="1"/>
        <w:rPr>
          <w:rFonts w:hint="eastAsia" w:ascii="宋体" w:hAnsi="宋体" w:eastAsia="宋体" w:cs="宋体"/>
          <w:b/>
          <w:bCs/>
          <w:color w:val="auto"/>
          <w:sz w:val="40"/>
          <w:szCs w:val="40"/>
          <w:highlight w:val="none"/>
          <w:lang w:eastAsia="zh-CN"/>
        </w:rPr>
      </w:pPr>
      <w:bookmarkStart w:id="108" w:name="_Toc29392"/>
      <w:bookmarkStart w:id="109" w:name="_Toc2407"/>
      <w:r>
        <w:rPr>
          <w:rFonts w:hint="eastAsia" w:ascii="宋体" w:hAnsi="宋体" w:eastAsia="宋体" w:cs="宋体"/>
          <w:b/>
          <w:bCs/>
          <w:color w:val="auto"/>
          <w:sz w:val="40"/>
          <w:szCs w:val="40"/>
          <w:highlight w:val="none"/>
          <w:lang w:eastAsia="zh-CN"/>
        </w:rPr>
        <w:t>西安市阎良区新兴街道办事处</w:t>
      </w:r>
    </w:p>
    <w:p>
      <w:pPr>
        <w:pStyle w:val="4"/>
        <w:jc w:val="center"/>
        <w:outlineLvl w:val="1"/>
        <w:rPr>
          <w:rFonts w:hint="eastAsia" w:ascii="宋体" w:hAnsi="宋体" w:eastAsia="宋体" w:cs="宋体"/>
          <w:b/>
          <w:bCs/>
          <w:color w:val="auto"/>
          <w:sz w:val="40"/>
          <w:szCs w:val="40"/>
          <w:highlight w:val="none"/>
          <w:lang w:eastAsia="zh-CN"/>
        </w:rPr>
      </w:pPr>
      <w:r>
        <w:rPr>
          <w:rFonts w:hint="eastAsia" w:ascii="宋体" w:hAnsi="宋体" w:eastAsia="宋体" w:cs="宋体"/>
          <w:b/>
          <w:bCs/>
          <w:color w:val="auto"/>
          <w:sz w:val="40"/>
          <w:szCs w:val="40"/>
          <w:highlight w:val="none"/>
          <w:lang w:eastAsia="zh-CN"/>
        </w:rPr>
        <w:t>城乡环卫服务外包项目</w:t>
      </w:r>
    </w:p>
    <w:p>
      <w:pPr>
        <w:rPr>
          <w:rFonts w:hint="eastAsia"/>
          <w:sz w:val="32"/>
          <w:szCs w:val="32"/>
          <w:lang w:eastAsia="zh-CN"/>
        </w:rPr>
      </w:pPr>
    </w:p>
    <w:p>
      <w:pPr>
        <w:pStyle w:val="4"/>
        <w:jc w:val="both"/>
        <w:outlineLvl w:val="1"/>
        <w:rPr>
          <w:rFonts w:hint="eastAsia" w:ascii="宋体" w:hAnsi="宋体" w:eastAsia="宋体" w:cs="宋体"/>
          <w:color w:val="auto"/>
          <w:highlight w:val="none"/>
        </w:rPr>
      </w:pPr>
    </w:p>
    <w:p>
      <w:pPr>
        <w:pStyle w:val="4"/>
        <w:outlineLvl w:val="1"/>
        <w:rPr>
          <w:rFonts w:hint="eastAsia" w:ascii="宋体" w:hAnsi="宋体" w:eastAsia="宋体" w:cs="宋体"/>
          <w:b/>
          <w:bCs/>
          <w:color w:val="auto"/>
          <w:sz w:val="56"/>
          <w:szCs w:val="56"/>
          <w:highlight w:val="none"/>
        </w:rPr>
      </w:pPr>
      <w:r>
        <w:rPr>
          <w:rFonts w:hint="eastAsia" w:ascii="宋体" w:hAnsi="宋体" w:eastAsia="宋体" w:cs="宋体"/>
          <w:b/>
          <w:bCs/>
          <w:color w:val="auto"/>
          <w:sz w:val="56"/>
          <w:szCs w:val="56"/>
          <w:highlight w:val="none"/>
        </w:rPr>
        <w:t>投</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标</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文</w:t>
      </w:r>
      <w:r>
        <w:rPr>
          <w:rFonts w:hint="eastAsia" w:ascii="宋体" w:hAnsi="宋体" w:eastAsia="宋体" w:cs="宋体"/>
          <w:b/>
          <w:bCs/>
          <w:color w:val="auto"/>
          <w:sz w:val="56"/>
          <w:szCs w:val="56"/>
          <w:highlight w:val="none"/>
          <w:lang w:val="en-US" w:eastAsia="zh-CN"/>
        </w:rPr>
        <w:t xml:space="preserve"> </w:t>
      </w:r>
      <w:r>
        <w:rPr>
          <w:rFonts w:hint="eastAsia" w:ascii="宋体" w:hAnsi="宋体" w:eastAsia="宋体" w:cs="宋体"/>
          <w:b/>
          <w:bCs/>
          <w:color w:val="auto"/>
          <w:sz w:val="56"/>
          <w:szCs w:val="56"/>
          <w:highlight w:val="none"/>
        </w:rPr>
        <w:t>件</w:t>
      </w:r>
      <w:bookmarkEnd w:id="108"/>
      <w:bookmarkEnd w:id="109"/>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5"/>
        <w:jc w:val="center"/>
        <w:rPr>
          <w:rFonts w:hint="eastAsia" w:ascii="宋体" w:hAnsi="宋体" w:eastAsia="宋体" w:cs="宋体"/>
          <w:b/>
          <w:bCs/>
          <w:color w:val="auto"/>
          <w:sz w:val="32"/>
          <w:szCs w:val="32"/>
          <w:highlight w:val="none"/>
        </w:rPr>
      </w:pPr>
      <w:bookmarkStart w:id="110" w:name="_Toc10966"/>
      <w:r>
        <w:rPr>
          <w:rFonts w:hint="eastAsia" w:ascii="宋体" w:hAnsi="宋体" w:eastAsia="宋体" w:cs="宋体"/>
          <w:b/>
          <w:bCs/>
          <w:color w:val="auto"/>
          <w:highlight w:val="none"/>
        </w:rPr>
        <w:t>（项目编号：</w:t>
      </w:r>
      <w:r>
        <w:rPr>
          <w:rFonts w:hint="eastAsia" w:ascii="宋体" w:hAnsi="宋体" w:eastAsia="宋体" w:cs="宋体"/>
          <w:b/>
          <w:bCs/>
          <w:color w:val="auto"/>
          <w:sz w:val="32"/>
          <w:szCs w:val="32"/>
          <w:highlight w:val="none"/>
          <w:lang w:eastAsia="zh-CN"/>
        </w:rPr>
        <w:t>SDZC2023-080</w:t>
      </w:r>
      <w:r>
        <w:rPr>
          <w:rFonts w:hint="eastAsia" w:ascii="宋体" w:hAnsi="宋体" w:eastAsia="宋体" w:cs="宋体"/>
          <w:b/>
          <w:bCs/>
          <w:color w:val="auto"/>
          <w:highlight w:val="none"/>
        </w:rPr>
        <w:t>）</w:t>
      </w:r>
      <w:bookmarkEnd w:id="110"/>
    </w:p>
    <w:p>
      <w:pPr>
        <w:spacing w:line="560" w:lineRule="exact"/>
        <w:jc w:val="both"/>
        <w:rPr>
          <w:rFonts w:hint="eastAsia" w:ascii="宋体" w:hAnsi="宋体" w:eastAsia="宋体" w:cs="宋体"/>
          <w:color w:val="auto"/>
          <w:sz w:val="32"/>
          <w:szCs w:val="32"/>
          <w:highlight w:val="none"/>
        </w:rPr>
      </w:pPr>
    </w:p>
    <w:p>
      <w:pPr>
        <w:spacing w:line="560" w:lineRule="exact"/>
        <w:jc w:val="both"/>
        <w:rPr>
          <w:rFonts w:hint="eastAsia" w:ascii="宋体" w:hAnsi="宋体" w:eastAsia="宋体" w:cs="宋体"/>
          <w:color w:val="auto"/>
          <w:sz w:val="32"/>
          <w:szCs w:val="32"/>
          <w:highlight w:val="none"/>
        </w:rPr>
      </w:pPr>
    </w:p>
    <w:p>
      <w:pPr>
        <w:spacing w:line="560" w:lineRule="exact"/>
        <w:ind w:firstLine="640" w:firstLineChars="200"/>
        <w:jc w:val="both"/>
        <w:rPr>
          <w:rFonts w:hint="eastAsia" w:ascii="宋体" w:hAnsi="宋体" w:eastAsia="宋体" w:cs="宋体"/>
          <w:color w:val="auto"/>
          <w:sz w:val="32"/>
          <w:szCs w:val="32"/>
          <w:highlight w:val="none"/>
        </w:rPr>
      </w:pP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投标人</w:t>
      </w:r>
      <w:r>
        <w:rPr>
          <w:rFonts w:hint="eastAsia" w:ascii="宋体" w:hAnsi="宋体" w:eastAsia="宋体" w:cs="宋体"/>
          <w:b/>
          <w:bCs/>
          <w:color w:val="auto"/>
          <w:sz w:val="32"/>
          <w:szCs w:val="32"/>
          <w:highlight w:val="none"/>
        </w:rPr>
        <w:t>：__________________</w:t>
      </w: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标  段：__________________</w:t>
      </w:r>
    </w:p>
    <w:p>
      <w:pPr>
        <w:spacing w:line="560" w:lineRule="exact"/>
        <w:ind w:firstLine="640"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时  间：__________________</w:t>
      </w:r>
    </w:p>
    <w:p>
      <w:pPr>
        <w:spacing w:line="560" w:lineRule="exact"/>
        <w:ind w:firstLine="640" w:firstLineChars="200"/>
        <w:jc w:val="both"/>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目    录</w:t>
      </w:r>
    </w:p>
    <w:p>
      <w:pPr>
        <w:spacing w:line="560" w:lineRule="exact"/>
        <w:ind w:firstLine="480" w:firstLineChars="200"/>
        <w:jc w:val="both"/>
        <w:rPr>
          <w:rFonts w:hint="eastAsia" w:ascii="宋体" w:hAnsi="宋体" w:eastAsia="宋体" w:cs="宋体"/>
          <w:color w:val="auto"/>
          <w:sz w:val="24"/>
          <w:szCs w:val="24"/>
          <w:highlight w:val="none"/>
        </w:rPr>
      </w:pP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第一部分  投标函</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第二部分  开标一览表</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资格证明文件</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p>
    <w:p>
      <w:pPr>
        <w:spacing w:line="48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第六部分  投标方案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rPr>
          <w:rFonts w:hint="eastAsia" w:ascii="宋体" w:hAnsi="宋体" w:eastAsia="宋体" w:cs="宋体"/>
          <w:color w:val="auto"/>
          <w:sz w:val="24"/>
          <w:szCs w:val="24"/>
          <w:highlight w:val="none"/>
        </w:rPr>
      </w:pPr>
      <w:bookmarkStart w:id="111" w:name="_Toc16719"/>
      <w:r>
        <w:rPr>
          <w:rFonts w:hint="eastAsia" w:ascii="宋体" w:hAnsi="宋体" w:eastAsia="宋体" w:cs="宋体"/>
          <w:color w:val="auto"/>
          <w:sz w:val="24"/>
          <w:szCs w:val="24"/>
          <w:highlight w:val="none"/>
        </w:rPr>
        <w:t>第一部分  投标函</w:t>
      </w:r>
      <w:bookmarkEnd w:id="111"/>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我方收到贵中心发布的〈项目名称〉（项目编号：〈项目编号〉）招标文件，经详细研究，我方决定参加该项目第___标段的招标活动。为此，我方郑重声明以下诸点，并负法律责任。</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1．我方已详细阅读了招标文件，完全理解并同意招标文件的所有事项及内容。</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已悉知并及时关注了贵中心在陕西省政府采购网、全国公共资源交易平台（陕西省·西安市）上发布的关于本项目的有关变更公告（包括但不限于对招标文件做出的修改或澄清、答疑纪要，以及项目暂停、重启、延期、终止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3．我方同意向贵中心提供与本次招标有关的全部证明材料，并保证所提交的证明材料真实、合法、有效。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4．我方理解最低价不是成交的唯一条件，并尊重评标委员会的评审结果。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5．我方投标文件在开启之日起___个日历日（应不少于90个日历日）内有效。</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若我方成交，我方承诺：（1）将投标文件有效期延长至合同执行完毕；（2）收到成交通知书后提交纸质投标文件一正两副，并按时交纳履约保证金；（3）遵照招标文件中的要求，完成本项目的合同责任和义务。</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112" w:name="_Toc31223"/>
      <w:r>
        <w:rPr>
          <w:rFonts w:hint="eastAsia" w:ascii="宋体" w:hAnsi="宋体" w:eastAsia="宋体" w:cs="宋体"/>
          <w:color w:val="auto"/>
          <w:sz w:val="24"/>
          <w:szCs w:val="24"/>
          <w:highlight w:val="none"/>
        </w:rPr>
        <w:t>7．所有关于此次招标活动的函电，请按下列方式联系：</w:t>
      </w:r>
      <w:bookmarkEnd w:id="112"/>
    </w:p>
    <w:p>
      <w:pPr>
        <w:keepNext w:val="0"/>
        <w:keepLines w:val="0"/>
        <w:pageBreakBefore w:val="0"/>
        <w:widowControl/>
        <w:kinsoku/>
        <w:wordWrap/>
        <w:overflowPunct/>
        <w:topLinePunct w:val="0"/>
        <w:autoSpaceDE/>
        <w:autoSpaceDN/>
        <w:bidi w:val="0"/>
        <w:adjustRightInd/>
        <w:snapToGrid/>
        <w:spacing w:line="560" w:lineRule="exact"/>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法定代表人（主要负责人）或委托代理人：（签字或盖章）</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    编：</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电子邮箱：</w:t>
      </w:r>
    </w:p>
    <w:p>
      <w:pPr>
        <w:keepNext w:val="0"/>
        <w:keepLines w:val="0"/>
        <w:pageBreakBefore w:val="0"/>
        <w:widowControl/>
        <w:kinsoku/>
        <w:wordWrap/>
        <w:overflowPunct/>
        <w:topLinePunct w:val="0"/>
        <w:autoSpaceDE/>
        <w:autoSpaceDN/>
        <w:bidi w:val="0"/>
        <w:adjustRightInd/>
        <w:snapToGrid/>
        <w:spacing w:line="240" w:lineRule="auto"/>
        <w:ind w:firstLine="264" w:firstLineChars="11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rPr>
          <w:rFonts w:hint="eastAsia" w:ascii="宋体" w:hAnsi="宋体" w:eastAsia="宋体" w:cs="宋体"/>
          <w:color w:val="auto"/>
          <w:sz w:val="24"/>
          <w:szCs w:val="24"/>
          <w:highlight w:val="none"/>
        </w:rPr>
      </w:pPr>
      <w:bookmarkStart w:id="113" w:name="_Toc29882"/>
      <w:r>
        <w:rPr>
          <w:rFonts w:hint="eastAsia" w:ascii="宋体" w:hAnsi="宋体" w:eastAsia="宋体" w:cs="宋体"/>
          <w:color w:val="auto"/>
          <w:sz w:val="24"/>
          <w:szCs w:val="24"/>
          <w:highlight w:val="none"/>
        </w:rPr>
        <w:t>第二部分  开标一览表</w:t>
      </w:r>
      <w:bookmarkEnd w:id="113"/>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32"/>
        <w:gridCol w:w="2752"/>
        <w:gridCol w:w="329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457" w:hRule="atLeast"/>
          <w:jc w:val="center"/>
        </w:trPr>
        <w:tc>
          <w:tcPr>
            <w:tcW w:w="1669" w:type="pct"/>
            <w:vMerge w:val="restart"/>
            <w:tcBorders>
              <w:tl2br w:val="single" w:color="auto" w:sz="4" w:space="0"/>
            </w:tcBorders>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报价内容</w:t>
            </w:r>
          </w:p>
          <w:p>
            <w:pPr>
              <w:spacing w:line="560" w:lineRule="exact"/>
              <w:rPr>
                <w:rFonts w:hint="eastAsia" w:ascii="宋体" w:hAnsi="宋体" w:eastAsia="宋体" w:cs="宋体"/>
                <w:sz w:val="24"/>
                <w:szCs w:val="24"/>
                <w:highlight w:val="none"/>
              </w:rPr>
            </w:pPr>
          </w:p>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15" w:type="pct"/>
            <w:shd w:val="clear" w:color="auto" w:fill="D0CECE"/>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A</w:t>
            </w:r>
          </w:p>
        </w:tc>
        <w:tc>
          <w:tcPr>
            <w:tcW w:w="1811" w:type="pct"/>
            <w:shd w:val="clear" w:color="auto" w:fill="D0CECE"/>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545" w:hRule="atLeast"/>
          <w:jc w:val="center"/>
        </w:trPr>
        <w:tc>
          <w:tcPr>
            <w:tcW w:w="1669" w:type="pct"/>
            <w:vMerge w:val="continue"/>
            <w:tcBorders>
              <w:tl2br w:val="single" w:color="auto" w:sz="4" w:space="0"/>
            </w:tcBorders>
            <w:shd w:val="clear" w:color="auto" w:fill="F1F1F1"/>
            <w:noWrap w:val="0"/>
            <w:vAlign w:val="center"/>
          </w:tcPr>
          <w:p>
            <w:pPr>
              <w:spacing w:line="560" w:lineRule="exact"/>
              <w:jc w:val="center"/>
              <w:rPr>
                <w:rFonts w:hint="eastAsia" w:ascii="宋体" w:hAnsi="宋体" w:eastAsia="宋体" w:cs="宋体"/>
                <w:sz w:val="24"/>
                <w:szCs w:val="24"/>
                <w:highlight w:val="none"/>
              </w:rPr>
            </w:pPr>
          </w:p>
        </w:tc>
        <w:tc>
          <w:tcPr>
            <w:tcW w:w="1515" w:type="pct"/>
            <w:shd w:val="clear" w:color="auto" w:fill="ECECEC"/>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合计（元</w:t>
            </w:r>
            <w:r>
              <w:rPr>
                <w:rFonts w:hint="eastAsia" w:ascii="宋体" w:hAnsi="宋体" w:eastAsia="宋体" w:cs="宋体"/>
                <w:sz w:val="24"/>
                <w:szCs w:val="24"/>
                <w:highlight w:val="none"/>
                <w:lang w:val="en-US" w:eastAsia="zh-CN"/>
              </w:rPr>
              <w:t>/年</w:t>
            </w:r>
            <w:r>
              <w:rPr>
                <w:rFonts w:hint="eastAsia" w:ascii="宋体" w:hAnsi="宋体" w:eastAsia="宋体" w:cs="宋体"/>
                <w:sz w:val="24"/>
                <w:szCs w:val="24"/>
                <w:highlight w:val="none"/>
              </w:rPr>
              <w:t>）</w:t>
            </w:r>
          </w:p>
        </w:tc>
        <w:tc>
          <w:tcPr>
            <w:tcW w:w="1811" w:type="pct"/>
            <w:shd w:val="clear" w:color="auto" w:fill="ECECEC"/>
            <w:noWrap w:val="0"/>
            <w:vAlign w:val="center"/>
          </w:tcPr>
          <w:p>
            <w:pPr>
              <w:spacing w:line="56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服务期</w:t>
            </w:r>
          </w:p>
          <w:p>
            <w:pPr>
              <w:spacing w:line="560" w:lineRule="exact"/>
              <w:jc w:val="center"/>
              <w:rPr>
                <w:rFonts w:hint="eastAsia" w:ascii="宋体" w:hAnsi="宋体" w:eastAsia="宋体" w:cs="宋体"/>
                <w:b w:val="0"/>
                <w:bCs w:val="0"/>
                <w:sz w:val="24"/>
                <w:szCs w:val="24"/>
                <w:highlight w:val="none"/>
                <w:lang w:eastAsia="zh-CN"/>
              </w:rPr>
            </w:pPr>
            <w:r>
              <w:rPr>
                <w:rFonts w:hint="eastAsia" w:ascii="宋体" w:hAnsi="宋体" w:eastAsia="宋体" w:cs="宋体"/>
                <w:b w:val="0"/>
                <w:bCs w:val="0"/>
                <w:color w:val="auto"/>
                <w:sz w:val="24"/>
                <w:szCs w:val="24"/>
                <w:highlight w:val="no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Height w:val="1121" w:hRule="atLeast"/>
          <w:jc w:val="center"/>
        </w:trPr>
        <w:tc>
          <w:tcPr>
            <w:tcW w:w="1669" w:type="pct"/>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1515" w:type="pct"/>
            <w:noWrap w:val="0"/>
            <w:vAlign w:val="center"/>
          </w:tcPr>
          <w:p>
            <w:pPr>
              <w:spacing w:line="560" w:lineRule="exact"/>
              <w:jc w:val="center"/>
              <w:rPr>
                <w:rFonts w:hint="eastAsia" w:ascii="宋体" w:hAnsi="宋体" w:eastAsia="宋体" w:cs="宋体"/>
                <w:sz w:val="24"/>
                <w:szCs w:val="24"/>
                <w:highlight w:val="none"/>
              </w:rPr>
            </w:pPr>
          </w:p>
        </w:tc>
        <w:tc>
          <w:tcPr>
            <w:tcW w:w="1811" w:type="pct"/>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69" w:type="pct"/>
            <w:shd w:val="clear" w:color="auto" w:fill="F1F1F1"/>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合计（大写）</w:t>
            </w:r>
          </w:p>
        </w:tc>
        <w:tc>
          <w:tcPr>
            <w:tcW w:w="3330" w:type="pct"/>
            <w:gridSpan w:val="3"/>
            <w:noWrap w:val="0"/>
            <w:vAlign w:val="center"/>
          </w:tcPr>
          <w:p>
            <w:pPr>
              <w:spacing w:line="560" w:lineRule="exact"/>
              <w:jc w:val="center"/>
              <w:rPr>
                <w:rFonts w:hint="eastAsia" w:ascii="宋体" w:hAnsi="宋体" w:eastAsia="宋体" w:cs="宋体"/>
                <w:sz w:val="24"/>
                <w:szCs w:val="24"/>
                <w:highlight w:val="none"/>
              </w:rPr>
            </w:pP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注：出现下列情形的按无效投标处理</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1．A栏未按阿拉伯小写金额样式填写；B栏未填写</w:t>
      </w:r>
      <w:r>
        <w:rPr>
          <w:rFonts w:hint="eastAsia" w:ascii="宋体" w:hAnsi="宋体" w:eastAsia="宋体" w:cs="宋体"/>
          <w:color w:val="auto"/>
          <w:sz w:val="24"/>
          <w:szCs w:val="24"/>
          <w:highlight w:val="none"/>
          <w:lang w:eastAsia="zh-CN"/>
        </w:rPr>
        <w:t>服务期</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2．“合计（大写）”栏未按银行大写金额样式进行填写。样式参考：壹、贰、叁、肆、伍、陆、柒、捌、玖、拾、佰、仟、万、亿、元（圆）、角、分、零、整（正）。</w:t>
      </w:r>
    </w:p>
    <w:p>
      <w:pPr>
        <w:spacing w:line="560" w:lineRule="exact"/>
        <w:ind w:firstLine="480" w:firstLineChars="200"/>
        <w:jc w:val="both"/>
        <w:outlineLvl w:val="2"/>
        <w:rPr>
          <w:rFonts w:hint="eastAsia" w:ascii="宋体" w:hAnsi="宋体" w:eastAsia="宋体" w:cs="宋体"/>
          <w:color w:val="auto"/>
          <w:sz w:val="24"/>
          <w:szCs w:val="24"/>
          <w:highlight w:val="none"/>
        </w:rPr>
      </w:pPr>
      <w:bookmarkStart w:id="114" w:name="_Toc2925"/>
      <w:r>
        <w:rPr>
          <w:rFonts w:hint="eastAsia" w:ascii="宋体" w:hAnsi="宋体" w:eastAsia="宋体" w:cs="宋体"/>
          <w:color w:val="auto"/>
          <w:sz w:val="24"/>
          <w:szCs w:val="24"/>
          <w:highlight w:val="none"/>
        </w:rPr>
        <w:t>3．“合计（大写）”金额与A栏“合计”不一致的。</w:t>
      </w:r>
      <w:bookmarkEnd w:id="11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44"/>
        <w:spacing w:before="60" w:after="60"/>
        <w:jc w:val="center"/>
        <w:rPr>
          <w:rFonts w:ascii="华文仿宋" w:hAnsi="华文仿宋"/>
          <w:b/>
          <w:sz w:val="24"/>
        </w:rPr>
      </w:pPr>
      <w:bookmarkStart w:id="115" w:name="_Toc4813"/>
      <w:r>
        <w:rPr>
          <w:rFonts w:ascii="黑体" w:hAnsi="黑体" w:eastAsia="黑体"/>
          <w:color w:val="0070C0"/>
        </w:rPr>
        <w:t>分项报价表</w:t>
      </w:r>
      <w:r>
        <w:rPr>
          <w:rFonts w:ascii="黑体" w:hAnsi="黑体" w:eastAsia="黑体"/>
          <w:vanish/>
          <w:color w:val="00B050"/>
        </w:rPr>
        <w:t>（服务类适用）</w:t>
      </w:r>
    </w:p>
    <w:p>
      <w:pPr>
        <w:tabs>
          <w:tab w:val="right" w:pos="9072"/>
        </w:tabs>
        <w:spacing w:line="480" w:lineRule="exact"/>
        <w:rPr>
          <w:rFonts w:cstheme="minorHAnsi"/>
        </w:rPr>
      </w:pPr>
      <w:r>
        <w:rPr>
          <w:rFonts w:eastAsiaTheme="majorEastAsia" w:cstheme="minorHAnsi"/>
          <w:color w:val="000000"/>
        </w:rPr>
        <w:tab/>
      </w:r>
      <w:r>
        <w:rPr>
          <w:rFonts w:cstheme="minorHAnsi"/>
        </w:rPr>
        <w:t>单位：元</w:t>
      </w:r>
    </w:p>
    <w:tbl>
      <w:tblPr>
        <w:tblStyle w:val="28"/>
        <w:tblW w:w="9776"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720"/>
        <w:gridCol w:w="1297"/>
        <w:gridCol w:w="4924"/>
        <w:gridCol w:w="851"/>
        <w:gridCol w:w="992"/>
        <w:gridCol w:w="99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9776" w:type="dxa"/>
            <w:gridSpan w:val="6"/>
            <w:shd w:val="clear" w:color="auto" w:fill="F1F1F1" w:themeFill="background1" w:themeFillShade="F2"/>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color w:val="000000" w:themeColor="text1"/>
                <w14:textFill>
                  <w14:solidFill>
                    <w14:schemeClr w14:val="tx1"/>
                  </w14:solidFill>
                </w14:textFill>
              </w:rPr>
              <w:t>费用明细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序号</w:t>
            </w: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费用名称</w:t>
            </w: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费用描述</w:t>
            </w: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数量</w:t>
            </w: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单价</w:t>
            </w:r>
          </w:p>
        </w:tc>
        <w:tc>
          <w:tcPr>
            <w:tcW w:w="992" w:type="dxa"/>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总价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720"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1297"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4924"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851"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67" w:hRule="atLeast"/>
          <w:jc w:val="center"/>
        </w:trPr>
        <w:tc>
          <w:tcPr>
            <w:tcW w:w="8784" w:type="dxa"/>
            <w:gridSpan w:val="5"/>
            <w:noWrap/>
            <w:tcMar>
              <w:top w:w="20" w:type="dxa"/>
              <w:left w:w="20" w:type="dxa"/>
              <w:bottom w:w="0" w:type="dxa"/>
              <w:right w:w="20" w:type="dxa"/>
            </w:tcMar>
            <w:vAlign w:val="center"/>
          </w:tcPr>
          <w:p>
            <w:pPr>
              <w:spacing w:line="440" w:lineRule="exact"/>
              <w:jc w:val="center"/>
              <w:rPr>
                <w:rFonts w:cstheme="minorHAnsi"/>
                <w:b/>
                <w:bCs/>
                <w:color w:val="000000" w:themeColor="text1"/>
                <w14:textFill>
                  <w14:solidFill>
                    <w14:schemeClr w14:val="tx1"/>
                  </w14:solidFill>
                </w14:textFill>
              </w:rPr>
            </w:pPr>
            <w:r>
              <w:rPr>
                <w:rFonts w:cstheme="minorHAnsi"/>
                <w:b/>
                <w:bCs/>
              </w:rPr>
              <w:t>总计</w:t>
            </w:r>
          </w:p>
        </w:tc>
        <w:tc>
          <w:tcPr>
            <w:tcW w:w="992" w:type="dxa"/>
            <w:vAlign w:val="center"/>
          </w:tcPr>
          <w:p>
            <w:pPr>
              <w:spacing w:line="440" w:lineRule="exact"/>
              <w:jc w:val="center"/>
              <w:rPr>
                <w:rFonts w:cstheme="minorHAnsi"/>
                <w:b/>
                <w:bCs/>
                <w:color w:val="000000" w:themeColor="text1"/>
                <w14:textFill>
                  <w14:solidFill>
                    <w14:schemeClr w14:val="tx1"/>
                  </w14:solidFill>
                </w14:textFill>
              </w:rPr>
            </w:pPr>
          </w:p>
        </w:tc>
      </w:tr>
    </w:tbl>
    <w:p>
      <w:pPr>
        <w:spacing w:line="480" w:lineRule="exact"/>
      </w:pPr>
      <w:r>
        <w:rPr>
          <w:rFonts w:ascii="华文仿宋" w:hAnsi="华文仿宋" w:cs="华文仿宋"/>
          <w:lang w:val="zh-CN" w:bidi="zh-CN"/>
        </w:rPr>
        <w:t>供应商：</w:t>
      </w:r>
      <w:r>
        <w:t>（</w:t>
      </w:r>
      <w:r>
        <w:rPr>
          <w:color w:val="auto"/>
        </w:rPr>
        <w:t>供应商全称并加盖公章）</w:t>
      </w:r>
    </w:p>
    <w:p>
      <w:pPr>
        <w:spacing w:line="480" w:lineRule="exact"/>
        <w:rPr>
          <w:rFonts w:ascii="华文仿宋" w:hAnsi="华文仿宋"/>
        </w:rPr>
      </w:pPr>
    </w:p>
    <w:p>
      <w:pPr>
        <w:spacing w:line="480" w:lineRule="exact"/>
        <w:rPr>
          <w:lang w:val="zh-CN" w:bidi="zh-CN"/>
        </w:rPr>
      </w:pPr>
      <w:r>
        <w:rPr>
          <w:lang w:val="zh-CN" w:bidi="zh-CN"/>
        </w:rPr>
        <w:t>说明：</w:t>
      </w:r>
      <w:r>
        <w:rPr>
          <w:rFonts w:hint="eastAsia"/>
          <w:lang w:val="zh-CN" w:bidi="zh-CN"/>
        </w:rPr>
        <w:t>1</w:t>
      </w:r>
      <w:r>
        <w:rPr>
          <w:rFonts w:hint="eastAsia" w:ascii="Calibri" w:hAnsi="Calibri" w:eastAsia="宋体" w:cstheme="minorHAnsi"/>
          <w:color w:val="000000"/>
          <w:kern w:val="24"/>
        </w:rPr>
        <w:t>．</w:t>
      </w:r>
      <w:r>
        <w:rPr>
          <w:lang w:val="zh-CN" w:bidi="zh-CN"/>
        </w:rPr>
        <w:t>此表</w:t>
      </w:r>
      <w:r>
        <w:rPr>
          <w:rFonts w:hint="eastAsia"/>
          <w:lang w:val="zh-CN" w:bidi="zh-CN"/>
        </w:rPr>
        <w:t>由供应商按</w:t>
      </w:r>
      <w:r>
        <w:rPr>
          <w:lang w:val="zh-CN" w:bidi="zh-CN"/>
        </w:rPr>
        <w:t>项目情况自行列支，仅作参考。</w:t>
      </w:r>
    </w:p>
    <w:p>
      <w:pPr>
        <w:spacing w:line="480" w:lineRule="exact"/>
        <w:ind w:firstLine="720" w:firstLineChars="300"/>
        <w:rPr>
          <w:lang w:val="zh-CN" w:bidi="zh-CN"/>
        </w:rPr>
      </w:pPr>
      <w:r>
        <w:rPr>
          <w:rFonts w:hint="eastAsia"/>
          <w:lang w:val="zh-CN" w:bidi="zh-CN"/>
        </w:rPr>
        <w:t>2</w:t>
      </w:r>
      <w:r>
        <w:rPr>
          <w:rFonts w:hint="eastAsia" w:ascii="Calibri" w:hAnsi="Calibri" w:eastAsia="宋体" w:cstheme="minorHAnsi"/>
          <w:color w:val="000000"/>
          <w:kern w:val="24"/>
        </w:rPr>
        <w:t>．</w:t>
      </w:r>
      <w:r>
        <w:rPr>
          <w:lang w:val="zh-CN" w:bidi="zh-CN"/>
        </w:rPr>
        <w:t>表格空间不足时，可自行扩展。</w:t>
      </w:r>
    </w:p>
    <w:p>
      <w:pPr>
        <w:spacing w:line="560" w:lineRule="exact"/>
        <w:ind w:firstLine="480" w:firstLineChars="200"/>
        <w:jc w:val="both"/>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15"/>
    </w:p>
    <w:p>
      <w:pPr>
        <w:pStyle w:val="5"/>
        <w:rPr>
          <w:rFonts w:hint="eastAsia" w:ascii="宋体" w:hAnsi="宋体" w:eastAsia="宋体" w:cs="宋体"/>
          <w:color w:val="auto"/>
          <w:sz w:val="24"/>
          <w:szCs w:val="24"/>
          <w:highlight w:val="none"/>
        </w:rPr>
      </w:pPr>
      <w:bookmarkStart w:id="116" w:name="_Toc14582"/>
      <w:r>
        <w:rPr>
          <w:rFonts w:hint="eastAsia" w:ascii="宋体" w:hAnsi="宋体" w:eastAsia="宋体" w:cs="宋体"/>
          <w:color w:val="auto"/>
          <w:sz w:val="24"/>
          <w:szCs w:val="24"/>
          <w:highlight w:val="none"/>
        </w:rPr>
        <w:t>第三部分  资格证明文件</w:t>
      </w:r>
      <w:bookmarkEnd w:id="11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按照招标文件第一章《投标邀请函》所列“</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资格要求”提供各项资格证明文件，未按要求提供的，其投标文件将被视为无效文件。</w:t>
      </w:r>
    </w:p>
    <w:p>
      <w:pPr>
        <w:pStyle w:val="22"/>
        <w:outlineLvl w:val="2"/>
        <w:rPr>
          <w:rFonts w:hint="eastAsia" w:ascii="宋体" w:hAnsi="宋体" w:eastAsia="宋体" w:cs="宋体"/>
          <w:b/>
          <w:bCs/>
          <w:color w:val="auto"/>
          <w:sz w:val="24"/>
          <w:szCs w:val="24"/>
          <w:highlight w:val="none"/>
        </w:rPr>
      </w:pPr>
      <w:bookmarkStart w:id="117" w:name="_Toc30097"/>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、基本资格条件：</w:t>
      </w:r>
      <w:bookmarkEnd w:id="117"/>
    </w:p>
    <w:p>
      <w:pPr>
        <w:pStyle w:val="96"/>
        <w:spacing w:before="210" w:after="210"/>
        <w:ind w:firstLine="640"/>
        <w:outlineLvl w:val="3"/>
        <w:rPr>
          <w:rFonts w:hint="eastAsia" w:ascii="宋体" w:hAnsi="宋体" w:eastAsia="宋体" w:cs="宋体"/>
          <w:color w:val="auto"/>
          <w:sz w:val="24"/>
          <w:szCs w:val="24"/>
          <w:highlight w:val="none"/>
        </w:rPr>
      </w:pPr>
      <w:bookmarkStart w:id="118" w:name="_Toc18090"/>
      <w:r>
        <w:rPr>
          <w:rFonts w:hint="eastAsia" w:ascii="宋体" w:hAnsi="宋体" w:eastAsia="宋体" w:cs="宋体"/>
          <w:color w:val="auto"/>
          <w:sz w:val="24"/>
          <w:szCs w:val="24"/>
          <w:highlight w:val="none"/>
        </w:rPr>
        <w:t>（一）有效的登记注册证</w:t>
      </w:r>
      <w:bookmarkEnd w:id="118"/>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spacing w:before="210" w:after="210"/>
        <w:ind w:firstLine="640"/>
        <w:outlineLvl w:val="3"/>
        <w:rPr>
          <w:rFonts w:hint="eastAsia" w:ascii="宋体" w:hAnsi="宋体" w:eastAsia="宋体" w:cs="宋体"/>
          <w:color w:val="auto"/>
          <w:sz w:val="24"/>
          <w:szCs w:val="24"/>
          <w:highlight w:val="none"/>
        </w:rPr>
      </w:pPr>
      <w:bookmarkStart w:id="119" w:name="_Toc16913"/>
      <w:r>
        <w:rPr>
          <w:rFonts w:hint="eastAsia" w:ascii="宋体" w:hAnsi="宋体" w:eastAsia="宋体" w:cs="宋体"/>
          <w:color w:val="auto"/>
          <w:sz w:val="24"/>
          <w:szCs w:val="24"/>
          <w:highlight w:val="none"/>
        </w:rPr>
        <w:t>（二）财务状况报告</w:t>
      </w:r>
      <w:bookmarkEnd w:id="119"/>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种形式任选一种，其中采用第二种形式的须按下方给定格式（详见《中国人民银行关于取消企业银行账户许可的通知》银发〔2019〕41号附件1）填写基本存款账户信息。</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基本存款账户信息</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账户名称：</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账户号码：</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法定代表人：（签字或盖章）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基本存款账户编号：向开户银行进行询问</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spacing w:before="210" w:after="210"/>
        <w:ind w:firstLine="640"/>
        <w:outlineLvl w:val="3"/>
        <w:rPr>
          <w:rFonts w:hint="eastAsia" w:ascii="宋体" w:hAnsi="宋体" w:eastAsia="宋体" w:cs="宋体"/>
          <w:color w:val="auto"/>
          <w:sz w:val="24"/>
          <w:szCs w:val="24"/>
          <w:highlight w:val="none"/>
        </w:rPr>
      </w:pPr>
      <w:bookmarkStart w:id="120" w:name="_Toc14710"/>
      <w:r>
        <w:rPr>
          <w:rFonts w:hint="eastAsia" w:ascii="宋体" w:hAnsi="宋体" w:eastAsia="宋体" w:cs="宋体"/>
          <w:color w:val="auto"/>
          <w:sz w:val="24"/>
          <w:szCs w:val="24"/>
          <w:highlight w:val="none"/>
        </w:rPr>
        <w:t>（三）社会保障资金缴纳证明</w:t>
      </w:r>
      <w:bookmarkEnd w:id="120"/>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pStyle w:val="96"/>
        <w:numPr>
          <w:ilvl w:val="0"/>
          <w:numId w:val="9"/>
        </w:numPr>
        <w:spacing w:before="210" w:after="210"/>
        <w:ind w:firstLine="640"/>
        <w:outlineLvl w:val="3"/>
        <w:rPr>
          <w:rFonts w:hint="eastAsia" w:ascii="宋体" w:hAnsi="宋体" w:eastAsia="宋体" w:cs="宋体"/>
          <w:color w:val="auto"/>
          <w:sz w:val="24"/>
          <w:szCs w:val="24"/>
          <w:highlight w:val="none"/>
        </w:rPr>
      </w:pPr>
      <w:bookmarkStart w:id="121" w:name="_Toc13670"/>
      <w:r>
        <w:rPr>
          <w:rFonts w:hint="eastAsia" w:ascii="宋体" w:hAnsi="宋体" w:eastAsia="宋体" w:cs="宋体"/>
          <w:color w:val="auto"/>
          <w:sz w:val="24"/>
          <w:szCs w:val="24"/>
          <w:highlight w:val="none"/>
        </w:rPr>
        <w:t>税收缴纳证明</w:t>
      </w:r>
      <w:bookmarkEnd w:id="121"/>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pStyle w:val="96"/>
        <w:numPr>
          <w:ilvl w:val="0"/>
          <w:numId w:val="9"/>
        </w:numPr>
        <w:spacing w:before="210" w:after="210"/>
        <w:ind w:left="0" w:leftChars="0" w:firstLine="480" w:firstLineChars="200"/>
        <w:outlineLvl w:val="3"/>
        <w:rPr>
          <w:rFonts w:hint="eastAsia" w:ascii="宋体" w:hAnsi="宋体" w:eastAsia="宋体" w:cs="宋体"/>
          <w:color w:val="auto"/>
          <w:sz w:val="24"/>
          <w:szCs w:val="24"/>
          <w:highlight w:val="none"/>
        </w:rPr>
      </w:pPr>
      <w:bookmarkStart w:id="122" w:name="_Toc32361"/>
      <w:r>
        <w:rPr>
          <w:rFonts w:hint="eastAsia" w:ascii="宋体" w:hAnsi="宋体" w:eastAsia="宋体" w:cs="宋体"/>
          <w:color w:val="auto"/>
          <w:sz w:val="24"/>
          <w:szCs w:val="24"/>
          <w:highlight w:val="none"/>
        </w:rPr>
        <w:t>履行合同的说明和承诺</w:t>
      </w:r>
      <w:bookmarkEnd w:id="122"/>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提示：提供具有履行本合同所必需的设备和专业技术能力的说明及承诺；（提供书面说明及承诺，加盖投标人公章</w:t>
      </w:r>
      <w:r>
        <w:rPr>
          <w:rFonts w:hint="eastAsia" w:ascii="宋体" w:hAnsi="宋体" w:eastAsia="宋体" w:cs="宋体"/>
          <w:color w:val="auto"/>
          <w:sz w:val="24"/>
          <w:szCs w:val="24"/>
          <w:highlight w:val="none"/>
          <w:lang w:eastAsia="zh-CN"/>
        </w:rPr>
        <w:t>，内容格式自拟</w:t>
      </w:r>
      <w:r>
        <w:rPr>
          <w:rFonts w:hint="eastAsia" w:ascii="宋体" w:hAnsi="宋体" w:eastAsia="宋体" w:cs="宋体"/>
          <w:color w:val="auto"/>
          <w:sz w:val="24"/>
          <w:szCs w:val="24"/>
          <w:highlight w:val="none"/>
        </w:rPr>
        <w:t>）</w:t>
      </w:r>
    </w:p>
    <w:p>
      <w:pPr>
        <w:pStyle w:val="96"/>
        <w:keepNext/>
        <w:numPr>
          <w:ilvl w:val="0"/>
          <w:numId w:val="0"/>
        </w:numPr>
        <w:spacing w:before="210" w:beforeLines="50" w:after="210" w:afterLines="50" w:line="560" w:lineRule="exact"/>
        <w:jc w:val="both"/>
        <w:outlineLvl w:val="9"/>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22"/>
        <w:rPr>
          <w:rFonts w:hint="eastAsia"/>
        </w:rPr>
      </w:pPr>
    </w:p>
    <w:p>
      <w:pPr>
        <w:pStyle w:val="96"/>
        <w:spacing w:before="210" w:after="210"/>
        <w:ind w:firstLine="640"/>
        <w:outlineLvl w:val="3"/>
        <w:rPr>
          <w:rFonts w:hint="eastAsia" w:ascii="宋体" w:hAnsi="宋体" w:eastAsia="宋体" w:cs="宋体"/>
          <w:color w:val="auto"/>
          <w:sz w:val="24"/>
          <w:szCs w:val="24"/>
          <w:highlight w:val="none"/>
        </w:rPr>
      </w:pPr>
      <w:bookmarkStart w:id="123" w:name="_Toc856"/>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）无重大违法记录声明（按下方给定格式进行填写）</w:t>
      </w:r>
      <w:bookmarkEnd w:id="123"/>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在参加政府采购活动前三年内因违法经营被禁止在一定期限内参加政府采购活动，期限届满的，可以参加政府采购活动，但应提供期限届满的证明材料。</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无重大违法记录声明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我方作为〈项目名称〉（项目编号：〈项目编号〉）第___标段的</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，在此郑重声明：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1．在参加本次政府采购活动前3年内的经营活动中___（填“没有”或“有”）重大违法记录。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2．我方___（填“未被列入”或“被列入”）失信被执行人名单。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3．我方___（填“未被列入”或“被列入”）</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4．我方___（填“未被列入”或“被列入”）政府采购严重违法失信行为记录名单。</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如有不实，我方将无条件地退出本项目的采购活动，并遵照《</w:t>
      </w:r>
      <w:r>
        <w:rPr>
          <w:rFonts w:hint="eastAsia" w:ascii="宋体" w:hAnsi="宋体" w:eastAsia="宋体" w:cs="宋体"/>
          <w:color w:val="auto"/>
          <w:sz w:val="24"/>
          <w:szCs w:val="24"/>
          <w:highlight w:val="none"/>
          <w:lang w:eastAsia="zh-CN"/>
        </w:rPr>
        <w:t>中华人民共和国</w:t>
      </w:r>
      <w:r>
        <w:rPr>
          <w:rFonts w:hint="eastAsia" w:ascii="宋体" w:hAnsi="宋体" w:eastAsia="宋体" w:cs="宋体"/>
          <w:color w:val="auto"/>
          <w:sz w:val="24"/>
          <w:szCs w:val="24"/>
          <w:highlight w:val="none"/>
        </w:rPr>
        <w:t>政府采购法》有关“提供虚假材料的规定”接受处罚。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  期：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22"/>
        <w:outlineLvl w:val="2"/>
        <w:rPr>
          <w:rFonts w:hint="eastAsia" w:ascii="宋体" w:hAnsi="宋体" w:eastAsia="宋体" w:cs="宋体"/>
          <w:b/>
          <w:bCs/>
          <w:color w:val="auto"/>
          <w:sz w:val="24"/>
          <w:szCs w:val="24"/>
          <w:highlight w:val="none"/>
        </w:rPr>
      </w:pPr>
      <w:bookmarkStart w:id="124" w:name="_Toc20821"/>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特定</w:t>
      </w:r>
      <w:r>
        <w:rPr>
          <w:rFonts w:hint="eastAsia" w:ascii="宋体" w:hAnsi="宋体" w:eastAsia="宋体" w:cs="宋体"/>
          <w:b/>
          <w:bCs/>
          <w:color w:val="auto"/>
          <w:sz w:val="24"/>
          <w:szCs w:val="24"/>
          <w:highlight w:val="none"/>
        </w:rPr>
        <w:t>资格条件：</w:t>
      </w:r>
      <w:bookmarkEnd w:id="124"/>
    </w:p>
    <w:p>
      <w:pPr>
        <w:pStyle w:val="22"/>
        <w:outlineLvl w:val="3"/>
        <w:rPr>
          <w:rFonts w:hint="eastAsia" w:ascii="宋体" w:hAnsi="宋体" w:eastAsia="宋体" w:cs="宋体"/>
          <w:b/>
          <w:bCs/>
          <w:color w:val="auto"/>
          <w:sz w:val="24"/>
          <w:szCs w:val="24"/>
          <w:highlight w:val="none"/>
          <w:lang w:val="en-US" w:eastAsia="zh-CN"/>
        </w:rPr>
      </w:pPr>
      <w:bookmarkStart w:id="125" w:name="_Toc29319"/>
      <w:bookmarkStart w:id="126" w:name="_Toc25582"/>
      <w:r>
        <w:rPr>
          <w:rFonts w:hint="eastAsia" w:ascii="宋体" w:hAnsi="宋体" w:eastAsia="宋体" w:cs="宋体"/>
          <w:b/>
          <w:bCs/>
          <w:color w:val="auto"/>
          <w:sz w:val="24"/>
          <w:szCs w:val="24"/>
          <w:highlight w:val="none"/>
          <w:lang w:val="en-US" w:eastAsia="zh-CN"/>
        </w:rPr>
        <w:t>（一）法定代表人授权委托书\身份证明（按下方给定格式进行填写）</w:t>
      </w:r>
      <w:bookmarkEnd w:id="125"/>
      <w:bookmarkEnd w:id="12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（1）法定代表人包括：①企业法人的法定代表人；②个人独资企业的投资人；③分支机构的负责人；④合伙企业的执行事务合伙人（委派代表）；⑤个体工商户业主；⑥农民专业合作社的法定代表人。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（2）法定代表人授权委托书\身份证明（二选一）：法定代表人委托代理人参加投标时，提供法定代表人授权委托书；法定代表人亲自参加投标时，提供法定代表人身份证明。</w:t>
      </w: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法定代表人身份证明（格式）</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〈法定代表人姓名〉系〈</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全称〉的法定代表人，特此证明。</w:t>
      </w:r>
    </w:p>
    <w:tbl>
      <w:tblPr>
        <w:tblStyle w:val="28"/>
        <w:tblW w:w="905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05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798" w:hRule="atLeast"/>
          <w:jc w:val="center"/>
        </w:trPr>
        <w:tc>
          <w:tcPr>
            <w:tcW w:w="9057" w:type="dxa"/>
            <w:vAlign w:val="center"/>
          </w:tcPr>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r>
    </w:tbl>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r>
        <w:rPr>
          <w:rFonts w:hint="eastAsia" w:ascii="宋体" w:hAnsi="宋体" w:eastAsia="宋体" w:cs="宋体"/>
          <w:color w:val="auto"/>
          <w:sz w:val="24"/>
          <w:szCs w:val="24"/>
          <w:highlight w:val="none"/>
        </w:rPr>
        <w:br w:type="page"/>
      </w:r>
    </w:p>
    <w:p>
      <w:pPr>
        <w:spacing w:line="560" w:lineRule="exact"/>
        <w:ind w:firstLine="480"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法定代表人授权委托书</w:t>
      </w:r>
      <w:r>
        <w:rPr>
          <w:rFonts w:hint="eastAsia" w:ascii="宋体" w:hAnsi="宋体" w:eastAsia="宋体" w:cs="宋体"/>
          <w:b/>
          <w:bCs/>
          <w:color w:val="auto"/>
          <w:sz w:val="24"/>
          <w:szCs w:val="24"/>
          <w:highlight w:val="none"/>
        </w:rPr>
        <w:t>（格式）</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〉〈政府采购代理机构〉：</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委派〈代理人姓名〉代表我方参加贵中心组织的〈项目名称〉（项目编号：〈项目编号〉）第___标段政府采购活动，以我方名义签署、澄清、确认、递交、撤回、修改投标文件，签订合同和全权处理一切与之有关的事宜，其法律后果由我方承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本授权有效期与投标文件有效期一致。代理人无转委托权。</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代理人姓名：_________________________</w:t>
      </w:r>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联系电话：______________</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身份证（护照）号码：_________________</w:t>
      </w:r>
      <w:r>
        <w:rPr>
          <w:rFonts w:hint="eastAsia" w:ascii="宋体" w:hAnsi="宋体" w:eastAsia="宋体" w:cs="宋体"/>
          <w:color w:val="auto"/>
          <w:sz w:val="24"/>
          <w:szCs w:val="24"/>
          <w:highlight w:val="none"/>
        </w:rPr>
        <w:tab/>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职务：__________________</w:t>
      </w:r>
    </w:p>
    <w:p>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通讯地址：____________________________</w:t>
      </w: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p>
      <w:pPr>
        <w:spacing w:line="560" w:lineRule="exact"/>
        <w:ind w:firstLine="480" w:firstLineChars="200"/>
        <w:rPr>
          <w:rFonts w:hint="eastAsia" w:ascii="宋体" w:hAnsi="宋体" w:eastAsia="宋体" w:cs="宋体"/>
          <w:color w:val="auto"/>
          <w:sz w:val="24"/>
          <w:szCs w:val="24"/>
          <w:highlight w:val="none"/>
        </w:rPr>
      </w:pPr>
    </w:p>
    <w:tbl>
      <w:tblPr>
        <w:tblStyle w:val="28"/>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7"/>
        <w:gridCol w:w="236"/>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1" w:hRule="atLeast"/>
          <w:jc w:val="center"/>
        </w:trPr>
        <w:tc>
          <w:tcPr>
            <w:tcW w:w="4717"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4686" w:type="dxa"/>
            <w:vMerge w:val="restart"/>
            <w:tcBorders>
              <w:top w:val="single" w:color="auto" w:sz="12" w:space="0"/>
              <w:left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身份证正反面（扫描件）</w:t>
            </w:r>
          </w:p>
          <w:p>
            <w:pPr>
              <w:spacing w:line="560" w:lineRule="exact"/>
              <w:ind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或护照资料页（扫描件）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717"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236" w:type="dxa"/>
            <w:tcBorders>
              <w:top w:val="nil"/>
              <w:left w:val="single" w:color="auto" w:sz="12" w:space="0"/>
              <w:bottom w:val="nil"/>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c>
          <w:tcPr>
            <w:tcW w:w="4686" w:type="dxa"/>
            <w:vMerge w:val="continue"/>
            <w:tcBorders>
              <w:left w:val="single" w:color="auto" w:sz="12" w:space="0"/>
              <w:bottom w:val="single" w:color="auto" w:sz="12" w:space="0"/>
              <w:right w:val="single" w:color="auto" w:sz="12" w:space="0"/>
            </w:tcBorders>
            <w:vAlign w:val="center"/>
          </w:tcPr>
          <w:p>
            <w:pPr>
              <w:spacing w:line="560" w:lineRule="exact"/>
              <w:ind w:firstLine="480" w:firstLineChars="200"/>
              <w:jc w:val="center"/>
              <w:rPr>
                <w:rFonts w:hint="eastAsia" w:ascii="宋体" w:hAnsi="宋体" w:eastAsia="宋体" w:cs="宋体"/>
                <w:color w:val="auto"/>
                <w:sz w:val="24"/>
                <w:szCs w:val="24"/>
                <w:highlight w:val="none"/>
              </w:rPr>
            </w:pPr>
          </w:p>
        </w:tc>
      </w:tr>
    </w:tbl>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w:t>
      </w:r>
      <w:r>
        <w:rPr>
          <w:rFonts w:hint="eastAsia" w:ascii="宋体" w:hAnsi="宋体" w:eastAsia="宋体" w:cs="宋体"/>
          <w:color w:val="auto"/>
          <w:sz w:val="24"/>
          <w:szCs w:val="24"/>
          <w:highlight w:val="none"/>
        </w:rPr>
        <w:t>定代表人：（签字或盖章）</w:t>
      </w: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1680" w:firstLineChars="7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授权日期：      年  月  日</w:t>
      </w:r>
    </w:p>
    <w:p>
      <w:pPr>
        <w:spacing w:line="560" w:lineRule="exact"/>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numPr>
          <w:ilvl w:val="0"/>
          <w:numId w:val="10"/>
        </w:numPr>
        <w:bidi w:val="0"/>
        <w:jc w:val="center"/>
        <w:rPr>
          <w:rFonts w:hint="eastAsia"/>
          <w:b/>
          <w:bCs/>
          <w:sz w:val="36"/>
          <w:szCs w:val="36"/>
        </w:rPr>
      </w:pPr>
      <w:bookmarkStart w:id="127" w:name="_Toc6896"/>
      <w:r>
        <w:rPr>
          <w:rFonts w:hint="eastAsia"/>
          <w:b/>
          <w:bCs/>
          <w:sz w:val="36"/>
          <w:szCs w:val="36"/>
        </w:rPr>
        <w:t>中小企业声明函</w:t>
      </w:r>
    </w:p>
    <w:p>
      <w:pPr>
        <w:numPr>
          <w:ilvl w:val="0"/>
          <w:numId w:val="0"/>
        </w:numPr>
        <w:bidi w:val="0"/>
        <w:jc w:val="center"/>
        <w:rPr>
          <w:rFonts w:hint="eastAsia"/>
          <w:b/>
          <w:bCs/>
          <w:sz w:val="36"/>
          <w:szCs w:val="36"/>
        </w:rPr>
      </w:pPr>
      <w:r>
        <w:rPr>
          <w:rFonts w:hint="eastAsia"/>
          <w:b/>
          <w:bCs/>
          <w:sz w:val="36"/>
          <w:szCs w:val="36"/>
        </w:rPr>
        <w:t>中小企业声明函（</w:t>
      </w:r>
      <w:r>
        <w:rPr>
          <w:rFonts w:hint="eastAsia"/>
          <w:b/>
          <w:bCs/>
          <w:sz w:val="36"/>
          <w:szCs w:val="36"/>
          <w:lang w:eastAsia="zh-CN"/>
        </w:rPr>
        <w:t>服务</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 号）的规定，本公司参加（</w:t>
      </w:r>
      <w:r>
        <w:rPr>
          <w:rFonts w:hint="eastAsia" w:ascii="宋体" w:hAnsi="宋体" w:eastAsia="宋体" w:cs="宋体"/>
          <w:i/>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i/>
          <w:spacing w:val="6"/>
          <w:sz w:val="24"/>
          <w:szCs w:val="24"/>
          <w:u w:val="single"/>
        </w:rPr>
        <w:t>项目名称</w:t>
      </w:r>
      <w:r>
        <w:rPr>
          <w:rFonts w:hint="eastAsia" w:ascii="宋体" w:hAnsi="宋体" w:eastAsia="宋体" w:cs="宋体"/>
          <w:spacing w:val="6"/>
          <w:sz w:val="24"/>
          <w:szCs w:val="24"/>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人，营业收入为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 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i w:val="0"/>
          <w:iCs/>
          <w:spacing w:val="6"/>
          <w:sz w:val="24"/>
          <w:szCs w:val="24"/>
        </w:rPr>
        <w:t>2</w:t>
      </w:r>
      <w:r>
        <w:rPr>
          <w:rFonts w:hint="eastAsia" w:ascii="宋体" w:hAnsi="宋体" w:eastAsia="宋体" w:cs="宋体"/>
          <w:i w:val="0"/>
          <w:iCs/>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人，营业收入为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备注： 1.从业人员、营业收入、资产总额填报上一年度数据，无上一年度数据的新成立企业可不填报。</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2" w:firstLineChars="100"/>
        <w:textAlignment w:val="auto"/>
        <w:rPr>
          <w:rFonts w:hint="eastAsia" w:ascii="宋体" w:hAnsi="宋体"/>
          <w:color w:val="auto"/>
          <w:sz w:val="24"/>
          <w:highlight w:val="yellow"/>
        </w:rPr>
      </w:pPr>
      <w:r>
        <w:rPr>
          <w:rFonts w:hint="eastAsia" w:ascii="宋体" w:hAnsi="宋体" w:eastAsia="宋体" w:cs="宋体"/>
          <w:spacing w:val="6"/>
          <w:sz w:val="24"/>
          <w:szCs w:val="24"/>
          <w:lang w:val="en-US" w:eastAsia="zh-CN"/>
        </w:rPr>
        <w:t>3.本项目</w:t>
      </w:r>
      <w:r>
        <w:rPr>
          <w:rFonts w:hint="eastAsia" w:ascii="宋体" w:hAnsi="宋体" w:eastAsia="宋体" w:cs="宋体"/>
          <w:spacing w:val="6"/>
          <w:sz w:val="24"/>
          <w:szCs w:val="24"/>
        </w:rPr>
        <w:t>采购标的对应的中小企业划分标准所属行业为</w:t>
      </w:r>
      <w:r>
        <w:rPr>
          <w:rFonts w:hint="eastAsia" w:ascii="宋体" w:hAnsi="宋体" w:eastAsia="宋体" w:cs="宋体"/>
          <w:spacing w:val="6"/>
          <w:sz w:val="24"/>
          <w:szCs w:val="24"/>
          <w:highlight w:val="none"/>
          <w:u w:val="single"/>
          <w:lang w:val="en-US" w:eastAsia="zh-CN"/>
        </w:rPr>
        <w:t>（其他未列明行业）</w:t>
      </w:r>
      <w:r>
        <w:rPr>
          <w:rFonts w:hint="eastAsia" w:ascii="宋体" w:hAnsi="宋体" w:eastAsia="宋体" w:cs="宋体"/>
          <w:spacing w:val="6"/>
          <w:sz w:val="24"/>
          <w:szCs w:val="24"/>
          <w:u w:val="none"/>
          <w:lang w:val="en-US" w:eastAsia="zh-CN"/>
        </w:rPr>
        <w:t>。（所属行业类别投标人不得更改，否则，造成不利影响投标人自行承担）</w:t>
      </w:r>
    </w:p>
    <w:p>
      <w:pPr>
        <w:pStyle w:val="96"/>
        <w:spacing w:before="210" w:after="210"/>
        <w:ind w:firstLine="640"/>
        <w:outlineLvl w:val="3"/>
        <w:rPr>
          <w:rFonts w:hint="eastAsia" w:ascii="宋体" w:hAnsi="宋体" w:eastAsia="宋体" w:cs="宋体"/>
          <w:color w:val="auto"/>
          <w:sz w:val="24"/>
          <w:szCs w:val="24"/>
          <w:highlight w:val="none"/>
          <w:lang w:eastAsia="zh-CN"/>
        </w:rPr>
      </w:pPr>
    </w:p>
    <w:p>
      <w:pPr>
        <w:pStyle w:val="96"/>
        <w:spacing w:before="210" w:after="210"/>
        <w:ind w:firstLine="640"/>
        <w:outlineLvl w:val="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投标邀请函中要求的其他资格证明文件</w:t>
      </w:r>
      <w:bookmarkEnd w:id="127"/>
    </w:p>
    <w:p>
      <w:pPr>
        <w:pStyle w:val="96"/>
        <w:spacing w:before="210" w:after="210"/>
        <w:ind w:firstLine="640"/>
        <w:rPr>
          <w:rFonts w:hint="eastAsia" w:ascii="宋体" w:hAnsi="宋体" w:eastAsia="宋体" w:cs="宋体"/>
          <w:color w:val="auto"/>
          <w:sz w:val="24"/>
          <w:szCs w:val="24"/>
          <w:highlight w:val="none"/>
          <w:lang w:eastAsia="zh-CN"/>
        </w:rPr>
      </w:pPr>
      <w:bookmarkStart w:id="128" w:name="_Toc1431"/>
      <w:r>
        <w:rPr>
          <w:rFonts w:hint="eastAsia" w:ascii="宋体" w:hAnsi="宋体" w:eastAsia="宋体" w:cs="宋体"/>
          <w:color w:val="auto"/>
          <w:sz w:val="24"/>
          <w:szCs w:val="24"/>
          <w:highlight w:val="none"/>
        </w:rPr>
        <w:t>提示：</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可通过【信用中国】（www.creditchina.gov.cn）、【中国政府采购网】（www.ccgp.gov.cn）</w:t>
      </w:r>
      <w:r>
        <w:rPr>
          <w:rFonts w:hint="eastAsia" w:ascii="宋体" w:hAnsi="宋体" w:eastAsia="宋体" w:cs="宋体"/>
          <w:color w:val="auto"/>
          <w:sz w:val="24"/>
          <w:szCs w:val="24"/>
          <w:highlight w:val="none"/>
          <w:lang w:eastAsia="zh-CN"/>
        </w:rPr>
        <w:t>、“国家企业信用信息公示系统”</w:t>
      </w:r>
      <w:r>
        <w:rPr>
          <w:rFonts w:hint="eastAsia" w:ascii="宋体" w:hAnsi="宋体" w:eastAsia="宋体" w:cs="宋体"/>
          <w:color w:val="auto"/>
          <w:sz w:val="24"/>
          <w:szCs w:val="24"/>
          <w:highlight w:val="none"/>
        </w:rPr>
        <w:t>网站对自身信用记录</w:t>
      </w:r>
      <w:r>
        <w:rPr>
          <w:rFonts w:hint="eastAsia" w:ascii="宋体" w:hAnsi="宋体" w:eastAsia="宋体" w:cs="宋体"/>
          <w:color w:val="auto"/>
          <w:sz w:val="24"/>
          <w:szCs w:val="24"/>
          <w:highlight w:val="none"/>
          <w:lang w:eastAsia="zh-CN"/>
        </w:rPr>
        <w:t>及控股、管理关系</w:t>
      </w:r>
      <w:r>
        <w:rPr>
          <w:rFonts w:hint="eastAsia" w:ascii="宋体" w:hAnsi="宋体" w:eastAsia="宋体" w:cs="宋体"/>
          <w:color w:val="auto"/>
          <w:sz w:val="24"/>
          <w:szCs w:val="24"/>
          <w:highlight w:val="none"/>
        </w:rPr>
        <w:t>进行自查</w:t>
      </w:r>
      <w:r>
        <w:rPr>
          <w:rFonts w:hint="eastAsia" w:ascii="宋体" w:hAnsi="宋体" w:eastAsia="宋体" w:cs="宋体"/>
          <w:color w:val="auto"/>
          <w:sz w:val="24"/>
          <w:szCs w:val="24"/>
          <w:highlight w:val="none"/>
          <w:lang w:eastAsia="zh-CN"/>
        </w:rPr>
        <w:t>。</w:t>
      </w:r>
      <w:bookmarkEnd w:id="128"/>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pStyle w:val="96"/>
        <w:spacing w:before="210" w:after="210"/>
        <w:ind w:firstLine="640"/>
        <w:outlineLvl w:val="9"/>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rPr>
          <w:rFonts w:hint="eastAsia" w:ascii="宋体" w:hAnsi="宋体" w:eastAsia="宋体" w:cs="宋体"/>
          <w:color w:val="auto"/>
          <w:sz w:val="24"/>
          <w:szCs w:val="24"/>
          <w:highlight w:val="none"/>
        </w:rPr>
      </w:pPr>
      <w:bookmarkStart w:id="129" w:name="_Toc2219"/>
      <w:r>
        <w:rPr>
          <w:rFonts w:hint="eastAsia" w:ascii="宋体" w:hAnsi="宋体" w:eastAsia="宋体" w:cs="宋体"/>
          <w:color w:val="auto"/>
          <w:sz w:val="24"/>
          <w:szCs w:val="24"/>
          <w:highlight w:val="none"/>
        </w:rPr>
        <w:t xml:space="preserve">第四部分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概况</w:t>
      </w:r>
      <w:bookmarkEnd w:id="129"/>
    </w:p>
    <w:p>
      <w:pPr>
        <w:pStyle w:val="96"/>
        <w:spacing w:before="210" w:after="210"/>
        <w:ind w:firstLine="640"/>
        <w:outlineLvl w:val="2"/>
        <w:rPr>
          <w:rFonts w:hint="eastAsia" w:ascii="宋体" w:hAnsi="宋体" w:eastAsia="宋体" w:cs="宋体"/>
          <w:color w:val="auto"/>
          <w:sz w:val="24"/>
          <w:szCs w:val="24"/>
          <w:highlight w:val="none"/>
        </w:rPr>
      </w:pPr>
      <w:bookmarkStart w:id="130" w:name="_Toc10755"/>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基本信息</w:t>
      </w:r>
      <w:bookmarkEnd w:id="130"/>
    </w:p>
    <w:tbl>
      <w:tblPr>
        <w:tblStyle w:val="88"/>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992"/>
        <w:gridCol w:w="1424"/>
        <w:gridCol w:w="1411"/>
        <w:gridCol w:w="1464"/>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全称</w:t>
            </w: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注册地址</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成立时间</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统一社会信用代码</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单位性质</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法定代表人</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（主要负责人）</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所属行业</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基本存款账户</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开户银行</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基本存款</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账户账号</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上年度</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营业收入*</w:t>
            </w: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资产总额</w:t>
            </w: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经营范围</w:t>
            </w: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资质证书名称</w:t>
            </w:r>
          </w:p>
        </w:tc>
        <w:tc>
          <w:tcPr>
            <w:tcW w:w="2416" w:type="dxa"/>
            <w:gridSpan w:val="2"/>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证书号</w:t>
            </w:r>
          </w:p>
        </w:tc>
        <w:tc>
          <w:tcPr>
            <w:tcW w:w="1411"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等级</w:t>
            </w:r>
          </w:p>
        </w:tc>
        <w:tc>
          <w:tcPr>
            <w:tcW w:w="2929" w:type="dxa"/>
            <w:gridSpan w:val="2"/>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2416" w:type="dxa"/>
            <w:gridSpan w:val="2"/>
          </w:tcPr>
          <w:p>
            <w:pPr>
              <w:ind w:firstLine="0"/>
              <w:jc w:val="both"/>
              <w:rPr>
                <w:rFonts w:hint="eastAsia" w:ascii="宋体" w:hAnsi="宋体" w:eastAsia="宋体" w:cs="宋体"/>
                <w:color w:val="auto"/>
                <w:kern w:val="2"/>
                <w:sz w:val="24"/>
                <w:szCs w:val="24"/>
                <w:highlight w:val="none"/>
              </w:rPr>
            </w:pPr>
          </w:p>
        </w:tc>
        <w:tc>
          <w:tcPr>
            <w:tcW w:w="1411" w:type="dxa"/>
          </w:tcPr>
          <w:p>
            <w:pPr>
              <w:ind w:firstLine="0"/>
              <w:jc w:val="both"/>
              <w:rPr>
                <w:rFonts w:hint="eastAsia" w:ascii="宋体" w:hAnsi="宋体" w:eastAsia="宋体" w:cs="宋体"/>
                <w:color w:val="auto"/>
                <w:kern w:val="2"/>
                <w:sz w:val="24"/>
                <w:szCs w:val="24"/>
                <w:highlight w:val="none"/>
              </w:rPr>
            </w:pPr>
          </w:p>
        </w:tc>
        <w:tc>
          <w:tcPr>
            <w:tcW w:w="2929" w:type="dxa"/>
            <w:gridSpan w:val="2"/>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restart"/>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从业人员总数</w:t>
            </w:r>
          </w:p>
        </w:tc>
        <w:tc>
          <w:tcPr>
            <w:tcW w:w="992" w:type="dxa"/>
            <w:vMerge w:val="restart"/>
          </w:tcPr>
          <w:p>
            <w:pPr>
              <w:ind w:firstLine="0"/>
              <w:jc w:val="both"/>
              <w:rPr>
                <w:rFonts w:hint="eastAsia" w:ascii="宋体" w:hAnsi="宋体" w:eastAsia="宋体" w:cs="宋体"/>
                <w:color w:val="auto"/>
                <w:kern w:val="2"/>
                <w:sz w:val="24"/>
                <w:szCs w:val="24"/>
                <w:highlight w:val="none"/>
              </w:rPr>
            </w:pPr>
          </w:p>
        </w:tc>
        <w:tc>
          <w:tcPr>
            <w:tcW w:w="142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管理人员</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11" w:type="dxa"/>
          </w:tcPr>
          <w:p>
            <w:pPr>
              <w:ind w:firstLine="0"/>
              <w:jc w:val="both"/>
              <w:rPr>
                <w:rFonts w:hint="eastAsia" w:ascii="宋体" w:hAnsi="宋体" w:eastAsia="宋体" w:cs="宋体"/>
                <w:color w:val="auto"/>
                <w:kern w:val="2"/>
                <w:sz w:val="24"/>
                <w:szCs w:val="24"/>
                <w:highlight w:val="none"/>
              </w:rPr>
            </w:pPr>
          </w:p>
        </w:tc>
        <w:tc>
          <w:tcPr>
            <w:tcW w:w="146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专业技术</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人员数量</w:t>
            </w:r>
          </w:p>
        </w:tc>
        <w:tc>
          <w:tcPr>
            <w:tcW w:w="1465" w:type="dxa"/>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vMerge w:val="continue"/>
          </w:tcPr>
          <w:p>
            <w:pPr>
              <w:ind w:firstLine="0"/>
              <w:jc w:val="both"/>
              <w:rPr>
                <w:rFonts w:hint="eastAsia" w:ascii="宋体" w:hAnsi="宋体" w:eastAsia="宋体" w:cs="宋体"/>
                <w:color w:val="auto"/>
                <w:kern w:val="2"/>
                <w:sz w:val="24"/>
                <w:szCs w:val="24"/>
                <w:highlight w:val="none"/>
              </w:rPr>
            </w:pPr>
          </w:p>
        </w:tc>
        <w:tc>
          <w:tcPr>
            <w:tcW w:w="992" w:type="dxa"/>
            <w:vMerge w:val="continue"/>
          </w:tcPr>
          <w:p>
            <w:pPr>
              <w:ind w:firstLine="0"/>
              <w:jc w:val="both"/>
              <w:rPr>
                <w:rFonts w:hint="eastAsia" w:ascii="宋体" w:hAnsi="宋体" w:eastAsia="宋体" w:cs="宋体"/>
                <w:color w:val="auto"/>
                <w:kern w:val="2"/>
                <w:sz w:val="24"/>
                <w:szCs w:val="24"/>
                <w:highlight w:val="none"/>
              </w:rPr>
            </w:pPr>
          </w:p>
        </w:tc>
        <w:tc>
          <w:tcPr>
            <w:tcW w:w="142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残疾人</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11" w:type="dxa"/>
          </w:tcPr>
          <w:p>
            <w:pPr>
              <w:ind w:firstLine="0"/>
              <w:jc w:val="both"/>
              <w:rPr>
                <w:rFonts w:hint="eastAsia" w:ascii="宋体" w:hAnsi="宋体" w:eastAsia="宋体" w:cs="宋体"/>
                <w:color w:val="auto"/>
                <w:kern w:val="2"/>
                <w:sz w:val="24"/>
                <w:szCs w:val="24"/>
                <w:highlight w:val="none"/>
              </w:rPr>
            </w:pPr>
          </w:p>
        </w:tc>
        <w:tc>
          <w:tcPr>
            <w:tcW w:w="1464" w:type="dxa"/>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少数民族</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465" w:type="dxa"/>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68" w:type="dxa"/>
            <w:gridSpan w:val="6"/>
          </w:tcPr>
          <w:p>
            <w:pPr>
              <w:ind w:firstLine="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rPr>
              <w:t>存在直接控股、管理关系的相关</w:t>
            </w:r>
            <w:r>
              <w:rPr>
                <w:rFonts w:hint="eastAsia" w:ascii="宋体" w:hAnsi="宋体" w:eastAsia="宋体" w:cs="宋体"/>
                <w:color w:val="auto"/>
                <w:kern w:val="2"/>
                <w:sz w:val="24"/>
                <w:szCs w:val="24"/>
                <w:highlight w:val="none"/>
                <w:lang w:eastAsia="zh-CN"/>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关系</w:t>
            </w:r>
          </w:p>
        </w:tc>
        <w:tc>
          <w:tcPr>
            <w:tcW w:w="6756" w:type="dxa"/>
            <w:gridSpan w:val="5"/>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投标人</w:t>
            </w:r>
            <w:r>
              <w:rPr>
                <w:rFonts w:hint="eastAsia" w:ascii="宋体" w:hAnsi="宋体" w:eastAsia="宋体" w:cs="宋体"/>
                <w:color w:val="auto"/>
                <w:kern w:val="2"/>
                <w:sz w:val="24"/>
                <w:szCs w:val="24"/>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p>
        </w:tc>
        <w:tc>
          <w:tcPr>
            <w:tcW w:w="6756" w:type="dxa"/>
            <w:gridSpan w:val="5"/>
          </w:tcPr>
          <w:p>
            <w:pPr>
              <w:ind w:firstLine="0"/>
              <w:jc w:val="both"/>
              <w:rPr>
                <w:rFonts w:hint="eastAsia" w:ascii="宋体" w:hAnsi="宋体" w:eastAsia="宋体" w:cs="宋体"/>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12" w:type="dxa"/>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说明</w:t>
            </w:r>
          </w:p>
        </w:tc>
        <w:tc>
          <w:tcPr>
            <w:tcW w:w="6756" w:type="dxa"/>
            <w:gridSpan w:val="5"/>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1.成立时间至提交投标文件截止时间不足一年的可不填写“上年度营业收入”；</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2.招标文件接受联合体的，联合体各方均应提供；</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3.表格空间不足时，请自行扩展。</w:t>
            </w:r>
          </w:p>
        </w:tc>
      </w:tr>
    </w:tbl>
    <w:p>
      <w:pPr>
        <w:pStyle w:val="96"/>
        <w:spacing w:before="210" w:after="210"/>
        <w:ind w:firstLine="640"/>
        <w:outlineLvl w:val="2"/>
        <w:rPr>
          <w:rFonts w:hint="eastAsia" w:ascii="宋体" w:hAnsi="宋体" w:eastAsia="宋体" w:cs="宋体"/>
          <w:color w:val="auto"/>
          <w:sz w:val="24"/>
          <w:szCs w:val="24"/>
          <w:highlight w:val="none"/>
        </w:rPr>
      </w:pPr>
      <w:bookmarkStart w:id="131" w:name="_Toc11055"/>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性质</w:t>
      </w:r>
      <w:bookmarkEnd w:id="131"/>
    </w:p>
    <w:p>
      <w:pPr>
        <w:pStyle w:val="95"/>
        <w:outlineLvl w:val="3"/>
        <w:rPr>
          <w:rFonts w:hint="eastAsia" w:ascii="宋体" w:hAnsi="宋体" w:eastAsia="宋体" w:cs="宋体"/>
          <w:color w:val="auto"/>
          <w:sz w:val="24"/>
          <w:szCs w:val="24"/>
          <w:highlight w:val="none"/>
        </w:rPr>
      </w:pPr>
      <w:bookmarkStart w:id="132" w:name="_Toc2373"/>
      <w:r>
        <w:rPr>
          <w:rFonts w:hint="eastAsia" w:ascii="宋体" w:hAnsi="宋体" w:eastAsia="宋体" w:cs="宋体"/>
          <w:color w:val="auto"/>
          <w:sz w:val="24"/>
          <w:szCs w:val="24"/>
          <w:highlight w:val="none"/>
        </w:rPr>
        <w:t>1．中小企业声明函</w:t>
      </w:r>
      <w:bookmarkEnd w:id="132"/>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填报前请认真阅读《工业和信息化部、国家统计局、国家发展和改革委员会、财政部关于印发中小企业划型标准规定的通知》（工信部联企业〔2011〕300号）和《财政部、工业和信息化部关于印发〈政府采购促进中小企业发展管理办法〉的通知》（财库〔2020〕46号）相关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bidi w:val="0"/>
        <w:jc w:val="center"/>
        <w:rPr>
          <w:rFonts w:hint="eastAsia"/>
          <w:b/>
          <w:bCs/>
          <w:sz w:val="36"/>
          <w:szCs w:val="36"/>
        </w:rPr>
      </w:pPr>
      <w:r>
        <w:rPr>
          <w:rFonts w:hint="eastAsia"/>
          <w:b/>
          <w:bCs/>
          <w:sz w:val="36"/>
          <w:szCs w:val="36"/>
        </w:rPr>
        <w:t>中小企业声明函（</w:t>
      </w:r>
      <w:r>
        <w:rPr>
          <w:rFonts w:hint="eastAsia"/>
          <w:b/>
          <w:bCs/>
          <w:sz w:val="36"/>
          <w:szCs w:val="36"/>
          <w:lang w:eastAsia="zh-CN"/>
        </w:rPr>
        <w:t>服务</w:t>
      </w:r>
      <w:r>
        <w:rPr>
          <w:rFonts w:hint="eastAsia"/>
          <w:b/>
          <w:bCs/>
          <w:sz w:val="36"/>
          <w:szCs w:val="36"/>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本公司郑重声明，根据《政府采购促进中小企业发展管理办法》（财库﹝2020﹞46 号）的规定，本公司参加（</w:t>
      </w:r>
      <w:r>
        <w:rPr>
          <w:rFonts w:hint="eastAsia" w:ascii="宋体" w:hAnsi="宋体" w:eastAsia="宋体" w:cs="宋体"/>
          <w:i/>
          <w:spacing w:val="6"/>
          <w:sz w:val="24"/>
          <w:szCs w:val="24"/>
          <w:u w:val="single"/>
        </w:rPr>
        <w:t>单位名称）</w:t>
      </w:r>
      <w:r>
        <w:rPr>
          <w:rFonts w:hint="eastAsia" w:ascii="宋体" w:hAnsi="宋体" w:eastAsia="宋体" w:cs="宋体"/>
          <w:spacing w:val="6"/>
          <w:sz w:val="24"/>
          <w:szCs w:val="24"/>
        </w:rPr>
        <w:t>的（</w:t>
      </w:r>
      <w:r>
        <w:rPr>
          <w:rFonts w:hint="eastAsia" w:ascii="宋体" w:hAnsi="宋体" w:eastAsia="宋体" w:cs="宋体"/>
          <w:i/>
          <w:spacing w:val="6"/>
          <w:sz w:val="24"/>
          <w:szCs w:val="24"/>
          <w:u w:val="single"/>
        </w:rPr>
        <w:t>项目名称</w:t>
      </w:r>
      <w:r>
        <w:rPr>
          <w:rFonts w:hint="eastAsia" w:ascii="宋体" w:hAnsi="宋体" w:eastAsia="宋体" w:cs="宋体"/>
          <w:spacing w:val="6"/>
          <w:sz w:val="24"/>
          <w:szCs w:val="24"/>
        </w:rPr>
        <w:t>）采购活动，服务全部由符合政策要求的中小企业承接。相关企业的具体情况如下：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人，营业收入为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 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i w:val="0"/>
          <w:iCs/>
          <w:spacing w:val="6"/>
          <w:sz w:val="24"/>
          <w:szCs w:val="24"/>
        </w:rPr>
      </w:pPr>
      <w:r>
        <w:rPr>
          <w:rFonts w:hint="eastAsia" w:ascii="宋体" w:hAnsi="宋体" w:eastAsia="宋体" w:cs="宋体"/>
          <w:i w:val="0"/>
          <w:iCs/>
          <w:spacing w:val="6"/>
          <w:sz w:val="24"/>
          <w:szCs w:val="24"/>
        </w:rPr>
        <w:t>2</w:t>
      </w:r>
      <w:r>
        <w:rPr>
          <w:rFonts w:hint="eastAsia" w:ascii="宋体" w:hAnsi="宋体" w:eastAsia="宋体" w:cs="宋体"/>
          <w:i w:val="0"/>
          <w:iCs/>
          <w:spacing w:val="6"/>
          <w:sz w:val="24"/>
          <w:szCs w:val="24"/>
          <w:lang w:val="en-US" w:eastAsia="zh-CN"/>
        </w:rPr>
        <w:t>.</w:t>
      </w:r>
      <w:r>
        <w:rPr>
          <w:rFonts w:hint="eastAsia" w:ascii="宋体" w:hAnsi="宋体" w:eastAsia="宋体" w:cs="宋体"/>
          <w:i w:val="0"/>
          <w:iCs/>
          <w:spacing w:val="6"/>
          <w:sz w:val="24"/>
          <w:szCs w:val="24"/>
          <w:u w:val="single"/>
        </w:rPr>
        <w:t>（标的名称）</w:t>
      </w:r>
      <w:r>
        <w:rPr>
          <w:rFonts w:hint="eastAsia" w:ascii="宋体" w:hAnsi="宋体" w:eastAsia="宋体" w:cs="宋体"/>
          <w:i w:val="0"/>
          <w:iCs/>
          <w:spacing w:val="6"/>
          <w:sz w:val="24"/>
          <w:szCs w:val="24"/>
        </w:rPr>
        <w:t>，属于</w:t>
      </w:r>
      <w:r>
        <w:rPr>
          <w:rFonts w:hint="eastAsia" w:ascii="宋体" w:hAnsi="宋体" w:eastAsia="宋体" w:cs="宋体"/>
          <w:i w:val="0"/>
          <w:iCs/>
          <w:spacing w:val="6"/>
          <w:sz w:val="24"/>
          <w:szCs w:val="24"/>
          <w:u w:val="single"/>
        </w:rPr>
        <w:t>（采购文件中明确的所属行业）</w:t>
      </w:r>
      <w:r>
        <w:rPr>
          <w:rFonts w:hint="eastAsia" w:ascii="宋体" w:hAnsi="宋体" w:eastAsia="宋体" w:cs="宋体"/>
          <w:i w:val="0"/>
          <w:iCs/>
          <w:spacing w:val="6"/>
          <w:sz w:val="24"/>
          <w:szCs w:val="24"/>
        </w:rPr>
        <w:t>；承接企业为</w:t>
      </w:r>
      <w:r>
        <w:rPr>
          <w:rFonts w:hint="eastAsia" w:ascii="宋体" w:hAnsi="宋体" w:eastAsia="宋体" w:cs="宋体"/>
          <w:i w:val="0"/>
          <w:iCs/>
          <w:spacing w:val="6"/>
          <w:sz w:val="24"/>
          <w:szCs w:val="24"/>
          <w:u w:val="single"/>
        </w:rPr>
        <w:t>（企业名称）</w:t>
      </w:r>
      <w:r>
        <w:rPr>
          <w:rFonts w:hint="eastAsia" w:ascii="宋体" w:hAnsi="宋体" w:eastAsia="宋体" w:cs="宋体"/>
          <w:i w:val="0"/>
          <w:iCs/>
          <w:spacing w:val="6"/>
          <w:sz w:val="24"/>
          <w:szCs w:val="24"/>
        </w:rPr>
        <w:t>，从业人员</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rPr>
        <w:t xml:space="preserve">人，营业收入为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万元，资产总额为</w:t>
      </w:r>
      <w:r>
        <w:rPr>
          <w:rFonts w:hint="eastAsia" w:ascii="宋体" w:hAnsi="宋体" w:eastAsia="宋体" w:cs="宋体"/>
          <w:i w:val="0"/>
          <w:iCs/>
          <w:spacing w:val="6"/>
          <w:sz w:val="24"/>
          <w:szCs w:val="24"/>
          <w:u w:val="single"/>
        </w:rPr>
        <w:t xml:space="preserve"> </w:t>
      </w:r>
      <w:r>
        <w:rPr>
          <w:rFonts w:hint="eastAsia" w:ascii="宋体" w:hAnsi="宋体" w:eastAsia="宋体" w:cs="宋体"/>
          <w:i w:val="0"/>
          <w:iCs/>
          <w:spacing w:val="6"/>
          <w:sz w:val="24"/>
          <w:szCs w:val="24"/>
          <w:u w:val="single"/>
        </w:rPr>
        <w:tab/>
      </w:r>
      <w:r>
        <w:rPr>
          <w:rFonts w:hint="eastAsia" w:ascii="宋体" w:hAnsi="宋体" w:eastAsia="宋体" w:cs="宋体"/>
          <w:i w:val="0"/>
          <w:iCs/>
          <w:spacing w:val="6"/>
          <w:sz w:val="24"/>
          <w:szCs w:val="24"/>
        </w:rPr>
        <w:t>万元，属于</w:t>
      </w:r>
      <w:r>
        <w:rPr>
          <w:rFonts w:hint="eastAsia" w:ascii="宋体" w:hAnsi="宋体" w:eastAsia="宋体" w:cs="宋体"/>
          <w:i w:val="0"/>
          <w:iCs/>
          <w:spacing w:val="6"/>
          <w:sz w:val="24"/>
          <w:szCs w:val="24"/>
          <w:u w:val="single"/>
        </w:rPr>
        <w:t>（中型企业、小型企业、微型企业）</w:t>
      </w:r>
      <w:r>
        <w:rPr>
          <w:rFonts w:hint="eastAsia" w:ascii="宋体" w:hAnsi="宋体" w:eastAsia="宋体" w:cs="宋体"/>
          <w:i w:val="0"/>
          <w:iCs/>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本企业对上述声明内容的真实性负责。如有虚假，将依法承担相应责任。</w:t>
      </w:r>
    </w:p>
    <w:p>
      <w:pPr>
        <w:spacing w:line="588" w:lineRule="exact"/>
        <w:ind w:firstLine="504" w:firstLineChars="200"/>
        <w:jc w:val="center"/>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企业名称（盖章）：</w:t>
      </w:r>
    </w:p>
    <w:p>
      <w:pPr>
        <w:keepNext w:val="0"/>
        <w:keepLines w:val="0"/>
        <w:pageBreakBefore w:val="0"/>
        <w:widowControl w:val="0"/>
        <w:kinsoku/>
        <w:wordWrap/>
        <w:overflowPunct/>
        <w:topLinePunct w:val="0"/>
        <w:autoSpaceDE/>
        <w:autoSpaceDN/>
        <w:bidi w:val="0"/>
        <w:adjustRightInd/>
        <w:snapToGrid/>
        <w:spacing w:line="360" w:lineRule="auto"/>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r>
        <w:rPr>
          <w:rFonts w:hint="eastAsia" w:ascii="宋体" w:hAnsi="宋体" w:eastAsia="宋体" w:cs="宋体"/>
          <w:spacing w:val="6"/>
          <w:sz w:val="24"/>
          <w:szCs w:val="24"/>
        </w:rPr>
        <w:t xml:space="preserve"> 日期：</w:t>
      </w:r>
    </w:p>
    <w:p>
      <w:pPr>
        <w:keepNext w:val="0"/>
        <w:keepLines w:val="0"/>
        <w:pageBreakBefore w:val="0"/>
        <w:widowControl w:val="0"/>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备注： 1.从业人员、营业收入、资产总额填报上一年度数据，无上一年度数据的新成立企业可不填报。</w:t>
      </w:r>
    </w:p>
    <w:p>
      <w:pPr>
        <w:keepNext w:val="0"/>
        <w:keepLines w:val="0"/>
        <w:pageBreakBefore w:val="0"/>
        <w:widowControl w:val="0"/>
        <w:numPr>
          <w:ilvl w:val="0"/>
          <w:numId w:val="11"/>
        </w:numPr>
        <w:kinsoku/>
        <w:wordWrap/>
        <w:overflowPunct/>
        <w:topLinePunct w:val="0"/>
        <w:autoSpaceDE/>
        <w:autoSpaceDN/>
        <w:bidi w:val="0"/>
        <w:adjustRightInd/>
        <w:snapToGrid/>
        <w:spacing w:line="440" w:lineRule="exact"/>
        <w:ind w:firstLine="504" w:firstLineChars="200"/>
        <w:textAlignment w:val="auto"/>
        <w:rPr>
          <w:rFonts w:hint="eastAsia" w:ascii="宋体" w:hAnsi="宋体" w:eastAsia="宋体" w:cs="宋体"/>
          <w:spacing w:val="6"/>
          <w:sz w:val="24"/>
          <w:szCs w:val="24"/>
        </w:rPr>
      </w:pPr>
      <w:r>
        <w:rPr>
          <w:rFonts w:hint="eastAsia" w:ascii="宋体" w:hAnsi="宋体" w:eastAsia="宋体" w:cs="宋体"/>
          <w:spacing w:val="6"/>
          <w:sz w:val="24"/>
          <w:szCs w:val="24"/>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52" w:firstLineChars="100"/>
        <w:textAlignment w:val="auto"/>
        <w:rPr>
          <w:rFonts w:hint="eastAsia" w:ascii="宋体" w:hAnsi="宋体"/>
          <w:color w:val="auto"/>
          <w:sz w:val="24"/>
          <w:highlight w:val="yellow"/>
        </w:rPr>
      </w:pPr>
      <w:r>
        <w:rPr>
          <w:rFonts w:hint="eastAsia" w:ascii="宋体" w:hAnsi="宋体" w:eastAsia="宋体" w:cs="宋体"/>
          <w:spacing w:val="6"/>
          <w:sz w:val="24"/>
          <w:szCs w:val="24"/>
          <w:lang w:val="en-US" w:eastAsia="zh-CN"/>
        </w:rPr>
        <w:t>3.本项目</w:t>
      </w:r>
      <w:r>
        <w:rPr>
          <w:rFonts w:hint="eastAsia" w:ascii="宋体" w:hAnsi="宋体" w:eastAsia="宋体" w:cs="宋体"/>
          <w:spacing w:val="6"/>
          <w:sz w:val="24"/>
          <w:szCs w:val="24"/>
        </w:rPr>
        <w:t>采购标的对应的中小企业划分标准所属行业为</w:t>
      </w:r>
      <w:r>
        <w:rPr>
          <w:rFonts w:hint="eastAsia" w:ascii="宋体" w:hAnsi="宋体" w:eastAsia="宋体" w:cs="宋体"/>
          <w:spacing w:val="6"/>
          <w:sz w:val="24"/>
          <w:szCs w:val="24"/>
          <w:highlight w:val="none"/>
          <w:u w:val="single"/>
          <w:lang w:val="en-US" w:eastAsia="zh-CN"/>
        </w:rPr>
        <w:t>（其他未列明行业）</w:t>
      </w:r>
      <w:r>
        <w:rPr>
          <w:rFonts w:hint="eastAsia" w:ascii="宋体" w:hAnsi="宋体" w:eastAsia="宋体" w:cs="宋体"/>
          <w:spacing w:val="6"/>
          <w:sz w:val="24"/>
          <w:szCs w:val="24"/>
          <w:u w:val="none"/>
          <w:lang w:val="en-US" w:eastAsia="zh-CN"/>
        </w:rPr>
        <w:t>。（所属行业类别投标人不得更改，否则，造成不利影响投标人自行承担）</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2．残疾人福利性单位声明函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为残疾人福利性单位的，应按下文给定格式填写声明函。未提供或未按给定格式提供声明函的，将不能享受招标文件规定的价格优惠政策，但不影响投标文件的有效性。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在填报前请认真阅读《财政部、民政部、中国残疾人联合会关于促进残疾人就业政府采购政策的通知》（财库〔2017〕141号）相关规定。</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6"/>
        <w:outlineLvl w:val="4"/>
        <w:rPr>
          <w:rFonts w:hint="eastAsia" w:ascii="宋体" w:hAnsi="宋体" w:eastAsia="宋体" w:cs="宋体"/>
          <w:color w:val="auto"/>
          <w:sz w:val="24"/>
          <w:szCs w:val="24"/>
          <w:highlight w:val="none"/>
        </w:rPr>
      </w:pPr>
      <w:bookmarkStart w:id="133" w:name="_Toc22185"/>
      <w:r>
        <w:rPr>
          <w:rFonts w:hint="eastAsia" w:ascii="宋体" w:hAnsi="宋体" w:eastAsia="宋体" w:cs="宋体"/>
          <w:color w:val="auto"/>
          <w:sz w:val="24"/>
          <w:szCs w:val="24"/>
          <w:highlight w:val="none"/>
        </w:rPr>
        <w:t>残疾人福利性单位声明函（格式）</w:t>
      </w:r>
      <w:bookmarkEnd w:id="133"/>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项目名称〉（项目编号：〈项目编号〉）第___标段采购活动提供本单位制造的货物，或者提供其他残疾人福利性单位制造的货物（不包括使用非残疾人福利性单位注册商标的货物）。</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445" w:firstLineChars="101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3．监狱企业证明函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说明：当且仅当</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为监狱企业的，应当提供由省级以上监狱管理局、戒毒管理局（含新疆生产建设兵团）出具的属于监狱企业的证明函（格式不限）。未提供证明函的，将不能享受招标文件规定的价格优惠政策，但不影响投标文件的有效性。</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监狱企业证明函</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监狱企业参加政府采购活动时，应当提供由省级以上监狱管理局、戒毒管理局（含新疆生产建设兵团）出具的属于监狱企业的证明文件。</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rPr>
          <w:rFonts w:hint="eastAsia" w:ascii="宋体" w:hAnsi="宋体" w:eastAsia="宋体" w:cs="宋体"/>
          <w:color w:val="auto"/>
          <w:sz w:val="24"/>
          <w:szCs w:val="24"/>
          <w:highlight w:val="none"/>
        </w:rPr>
      </w:pPr>
      <w:bookmarkStart w:id="134" w:name="_Toc21046"/>
      <w:r>
        <w:rPr>
          <w:rFonts w:hint="eastAsia" w:ascii="宋体" w:hAnsi="宋体" w:eastAsia="宋体" w:cs="宋体"/>
          <w:color w:val="auto"/>
          <w:sz w:val="24"/>
          <w:szCs w:val="24"/>
          <w:highlight w:val="none"/>
        </w:rPr>
        <w:t xml:space="preserve">第五部分  </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参加政府采购活动承诺书</w:t>
      </w:r>
      <w:bookmarkEnd w:id="134"/>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未签署下列承诺书的，将被视为无效投标，其责任由</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自行承担。</w:t>
      </w:r>
    </w:p>
    <w:p>
      <w:pPr>
        <w:pStyle w:val="6"/>
        <w:rPr>
          <w:rFonts w:hint="eastAsia" w:ascii="宋体" w:hAnsi="宋体" w:eastAsia="宋体" w:cs="宋体"/>
          <w:color w:val="auto"/>
          <w:sz w:val="24"/>
          <w:szCs w:val="24"/>
          <w:highlight w:val="none"/>
        </w:rPr>
      </w:pPr>
      <w:bookmarkStart w:id="135" w:name="_Toc9294"/>
      <w:r>
        <w:rPr>
          <w:rFonts w:hint="eastAsia" w:ascii="宋体" w:hAnsi="宋体" w:eastAsia="宋体" w:cs="宋体"/>
          <w:color w:val="auto"/>
          <w:sz w:val="24"/>
          <w:szCs w:val="24"/>
          <w:highlight w:val="none"/>
        </w:rPr>
        <w:t>（一）质量安全责任承诺书</w:t>
      </w:r>
      <w:bookmarkEnd w:id="135"/>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为保证本采购项目顺利进行，作为</w:t>
      </w:r>
      <w:r>
        <w:rPr>
          <w:rFonts w:hint="eastAsia" w:ascii="宋体" w:hAnsi="宋体" w:eastAsia="宋体" w:cs="宋体"/>
          <w:color w:val="auto"/>
          <w:sz w:val="24"/>
          <w:szCs w:val="24"/>
          <w:highlight w:val="none"/>
          <w:lang w:eastAsia="zh-CN"/>
        </w:rPr>
        <w:t xml:space="preserve">投标人 </w:t>
      </w:r>
      <w:r>
        <w:rPr>
          <w:rFonts w:hint="eastAsia" w:ascii="宋体" w:hAnsi="宋体" w:eastAsia="宋体" w:cs="宋体"/>
          <w:color w:val="auto"/>
          <w:sz w:val="24"/>
          <w:szCs w:val="24"/>
          <w:highlight w:val="none"/>
        </w:rPr>
        <w:t>，现郑重承诺：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．我方将严格按照国家现行相关服务标准及规范，在规定的时限内，保质、保量完成项目全部内容，并向采购人交付合格产品。</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．对于服务过程中产生的任何安全事故，我方承担全部责任。</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．我方提供的服务符合现行的国家、行业、地区、企业标准及要求，标准不一致的，以更为严格的为准，我方对提供服务的质量、安全、环保等承担全部责任。</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spacing w:line="560" w:lineRule="exact"/>
        <w:ind w:firstLine="480" w:firstLineChars="200"/>
        <w:jc w:val="both"/>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136" w:name="_Toc20474"/>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（二）参加政府采购活动行为自律承诺书</w:t>
      </w:r>
      <w:bookmarkEnd w:id="136"/>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作为参加本次政府采购项目的</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，我方郑重承诺在参与政府采购活动中遵纪守法、公平竞争、诚实守信，如有违反愿承担一切责任及后果：</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1．不与采购人、采购代理机构、政府采购评审专家恶意串通，不向其行贿或提供其他不正当利益；</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2．不与其他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恶意串通，采取“围标、串标、陪标”等商业欺诈手段谋取中标、成交；</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3．不提供虚假或无效证明文件（包括但不限于资格证明文件、合同及验收文件、检验检测报告、从业人员资格证书、机构或所投产品的各类认证证书等）或虚假材料谋取中标、成交；</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5．不以不正当理由拒不与采购人签订政府采购合同，或逾期签订政府采购合同，或不按照采购文件确定的事项签订政府采购合同；</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6．不以不正当理由拒绝履行合同义务，不会擅自变更、中止或者终止政府采购合同或将政府采购合同转包；</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7．不在提供商品、服务或工程施工过程中提供假冒伪劣产品，损害采购人的合法权益或公共利益；</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8．不采取捏造事实、提供虚假材料或者以非法手段取得证明材料进行质疑和投诉；</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9．不发生其他有悖于政府采购公开、公平、公正和诚信原则的行为。</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10．尊重和接受政府采购监督管理部门的监督和采购人、采购代理机构的政府采购工作要求，愿意承担因违约行为给采购人造成的损失。</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2656" w:firstLineChars="1107"/>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    年  月  日</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5"/>
        <w:rPr>
          <w:rFonts w:hint="eastAsia" w:ascii="宋体" w:hAnsi="宋体" w:eastAsia="宋体" w:cs="宋体"/>
          <w:color w:val="auto"/>
          <w:sz w:val="24"/>
          <w:szCs w:val="24"/>
          <w:highlight w:val="none"/>
        </w:rPr>
      </w:pPr>
      <w:bookmarkStart w:id="137" w:name="_Toc22151"/>
      <w:r>
        <w:rPr>
          <w:rFonts w:hint="eastAsia" w:ascii="宋体" w:hAnsi="宋体" w:eastAsia="宋体" w:cs="宋体"/>
          <w:color w:val="auto"/>
          <w:sz w:val="24"/>
          <w:szCs w:val="24"/>
          <w:highlight w:val="none"/>
        </w:rPr>
        <w:t>第六部分  投标方案</w:t>
      </w:r>
      <w:bookmarkEnd w:id="137"/>
    </w:p>
    <w:p>
      <w:pPr>
        <w:rPr>
          <w:rFonts w:hint="eastAsia" w:ascii="宋体" w:hAnsi="宋体" w:eastAsia="宋体" w:cs="宋体"/>
          <w:color w:val="auto"/>
          <w:sz w:val="24"/>
          <w:szCs w:val="24"/>
          <w:highlight w:val="none"/>
        </w:rPr>
      </w:pPr>
    </w:p>
    <w:p>
      <w:pPr>
        <w:pStyle w:val="96"/>
        <w:spacing w:before="210" w:after="210"/>
        <w:ind w:firstLine="640"/>
        <w:outlineLvl w:val="2"/>
        <w:rPr>
          <w:rFonts w:hint="eastAsia" w:ascii="宋体" w:hAnsi="宋体" w:eastAsia="宋体" w:cs="宋体"/>
          <w:color w:val="auto"/>
          <w:sz w:val="24"/>
          <w:szCs w:val="24"/>
          <w:highlight w:val="none"/>
        </w:rPr>
      </w:pPr>
      <w:bookmarkStart w:id="138" w:name="_Toc6111"/>
      <w:r>
        <w:rPr>
          <w:rFonts w:hint="eastAsia" w:ascii="宋体" w:hAnsi="宋体" w:eastAsia="宋体" w:cs="宋体"/>
          <w:color w:val="auto"/>
          <w:sz w:val="24"/>
          <w:szCs w:val="24"/>
          <w:highlight w:val="none"/>
        </w:rPr>
        <w:t>（一）技术要求响应索引表</w:t>
      </w:r>
      <w:bookmarkEnd w:id="138"/>
    </w:p>
    <w:tbl>
      <w:tblPr>
        <w:tblStyle w:val="28"/>
        <w:tblW w:w="908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741"/>
        <w:gridCol w:w="2826"/>
        <w:gridCol w:w="2940"/>
        <w:gridCol w:w="1287"/>
        <w:gridCol w:w="128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26" w:type="dxa"/>
            <w:tcBorders>
              <w:top w:val="single" w:color="auto" w:sz="12" w:space="0"/>
              <w:bottom w:val="single" w:color="auto" w:sz="2" w:space="0"/>
            </w:tcBorders>
            <w:shd w:val="clear" w:color="auto" w:fill="F1F1F1" w:themeFill="background1" w:themeFillShade="F2"/>
            <w:vAlign w:val="center"/>
          </w:tcPr>
          <w:p>
            <w:pPr>
              <w:spacing w:line="360" w:lineRule="exact"/>
              <w:ind w:left="240" w:leftChars="100"/>
              <w:jc w:val="center"/>
              <w:rPr>
                <w:rFonts w:hint="eastAsia" w:ascii="宋体" w:hAnsi="宋体" w:eastAsia="宋体" w:cs="宋体"/>
                <w:b/>
                <w:szCs w:val="24"/>
                <w:highlight w:val="none"/>
              </w:rPr>
            </w:pPr>
            <w:r>
              <w:rPr>
                <w:rFonts w:hint="eastAsia" w:ascii="宋体" w:hAnsi="宋体" w:eastAsia="宋体" w:cs="宋体"/>
                <w:b/>
                <w:szCs w:val="24"/>
                <w:highlight w:val="none"/>
              </w:rPr>
              <w:t>招标文件</w:t>
            </w:r>
          </w:p>
          <w:p>
            <w:pPr>
              <w:spacing w:line="360" w:lineRule="exact"/>
              <w:ind w:left="240" w:leftChars="100"/>
              <w:jc w:val="center"/>
              <w:rPr>
                <w:rFonts w:hint="eastAsia" w:ascii="宋体" w:hAnsi="宋体" w:eastAsia="宋体" w:cs="宋体"/>
                <w:b/>
                <w:bCs/>
                <w:color w:val="auto"/>
                <w:sz w:val="24"/>
                <w:szCs w:val="24"/>
                <w:highlight w:val="none"/>
              </w:rPr>
            </w:pPr>
            <w:r>
              <w:rPr>
                <w:rFonts w:hint="eastAsia" w:ascii="宋体" w:hAnsi="宋体" w:eastAsia="宋体" w:cs="宋体"/>
                <w:b/>
                <w:bCs/>
                <w:sz w:val="24"/>
                <w:highlight w:val="none"/>
                <w:lang w:eastAsia="zh-CN"/>
              </w:rPr>
              <w:t>服务内容及要求</w:t>
            </w:r>
          </w:p>
        </w:tc>
        <w:tc>
          <w:tcPr>
            <w:tcW w:w="2940"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szCs w:val="24"/>
                <w:highlight w:val="none"/>
              </w:rPr>
            </w:pPr>
            <w:r>
              <w:rPr>
                <w:rFonts w:hint="eastAsia" w:ascii="宋体" w:hAnsi="宋体" w:eastAsia="宋体" w:cs="宋体"/>
                <w:b/>
                <w:szCs w:val="24"/>
                <w:highlight w:val="none"/>
              </w:rPr>
              <w:t>投标文件</w:t>
            </w:r>
          </w:p>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rPr>
              <w:t>技术响应</w:t>
            </w:r>
          </w:p>
        </w:tc>
        <w:tc>
          <w:tcPr>
            <w:tcW w:w="1287"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lang w:eastAsia="zh-CN"/>
              </w:rPr>
              <w:t>响应情况</w:t>
            </w:r>
          </w:p>
        </w:tc>
        <w:tc>
          <w:tcPr>
            <w:tcW w:w="1287" w:type="dxa"/>
            <w:tcBorders>
              <w:top w:val="single" w:color="auto" w:sz="12" w:space="0"/>
              <w:bottom w:val="single" w:color="auto" w:sz="2" w:space="0"/>
            </w:tcBorders>
            <w:shd w:val="clear" w:color="auto" w:fill="F1F1F1" w:themeFill="background1" w:themeFillShade="F2"/>
            <w:vAlign w:val="center"/>
          </w:tcPr>
          <w:p>
            <w:pPr>
              <w:spacing w:line="360" w:lineRule="exact"/>
              <w:jc w:val="center"/>
              <w:rPr>
                <w:rFonts w:hint="eastAsia" w:ascii="宋体" w:hAnsi="宋体" w:eastAsia="宋体" w:cs="宋体"/>
                <w:b/>
                <w:bCs/>
                <w:color w:val="auto"/>
                <w:sz w:val="24"/>
                <w:szCs w:val="24"/>
                <w:highlight w:val="none"/>
              </w:rPr>
            </w:pPr>
            <w:r>
              <w:rPr>
                <w:rFonts w:hint="eastAsia" w:ascii="宋体" w:hAnsi="宋体" w:eastAsia="宋体" w:cs="宋体"/>
                <w:b/>
                <w:szCs w:val="24"/>
                <w:highlight w:val="none"/>
                <w:lang w:eastAsia="zh-CN"/>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826"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940"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7"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7" w:type="dxa"/>
            <w:tcBorders>
              <w:top w:val="single" w:color="auto" w:sz="2"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p>
        </w:tc>
        <w:tc>
          <w:tcPr>
            <w:tcW w:w="2826" w:type="dxa"/>
            <w:vAlign w:val="center"/>
          </w:tcPr>
          <w:p>
            <w:pPr>
              <w:jc w:val="center"/>
              <w:rPr>
                <w:rFonts w:hint="eastAsia" w:ascii="宋体" w:hAnsi="宋体" w:eastAsia="宋体" w:cs="宋体"/>
                <w:color w:val="auto"/>
                <w:sz w:val="24"/>
                <w:szCs w:val="24"/>
                <w:highlight w:val="none"/>
              </w:rPr>
            </w:pPr>
          </w:p>
        </w:tc>
        <w:tc>
          <w:tcPr>
            <w:tcW w:w="2940"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c>
          <w:tcPr>
            <w:tcW w:w="1287"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94" w:hRule="atLeast"/>
          <w:jc w:val="center"/>
        </w:trPr>
        <w:tc>
          <w:tcPr>
            <w:tcW w:w="741"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8340" w:type="dxa"/>
            <w:gridSpan w:val="4"/>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none"/>
              </w:rPr>
              <w:t>第三章</w:t>
            </w:r>
            <w:r>
              <w:rPr>
                <w:rFonts w:hint="eastAsia" w:ascii="宋体" w:hAnsi="宋体" w:eastAsia="宋体" w:cs="宋体"/>
                <w:color w:val="auto"/>
                <w:sz w:val="24"/>
                <w:szCs w:val="24"/>
                <w:highlight w:val="none"/>
                <w:u w:val="none"/>
                <w:lang w:eastAsia="zh-CN"/>
              </w:rPr>
              <w:t>服务内容及要求中的</w:t>
            </w:r>
            <w:r>
              <w:rPr>
                <w:rFonts w:hint="eastAsia" w:ascii="宋体" w:hAnsi="宋体" w:eastAsia="宋体" w:cs="宋体"/>
                <w:b/>
                <w:bCs/>
                <w:color w:val="auto"/>
                <w:sz w:val="24"/>
                <w:szCs w:val="24"/>
                <w:highlight w:val="none"/>
                <w:u w:val="none"/>
                <w:lang w:eastAsia="zh-CN"/>
              </w:rPr>
              <w:t>一、服务内容</w:t>
            </w:r>
            <w:r>
              <w:rPr>
                <w:rFonts w:hint="eastAsia" w:ascii="宋体" w:hAnsi="宋体" w:eastAsia="宋体" w:cs="宋体"/>
                <w:color w:val="auto"/>
                <w:sz w:val="24"/>
                <w:szCs w:val="24"/>
                <w:highlight w:val="none"/>
                <w:lang w:eastAsia="zh-CN"/>
              </w:rPr>
              <w:t>》逐条做出</w:t>
            </w:r>
            <w:r>
              <w:rPr>
                <w:rFonts w:hint="eastAsia" w:ascii="宋体" w:hAnsi="宋体" w:eastAsia="宋体" w:cs="宋体"/>
                <w:color w:val="auto"/>
                <w:sz w:val="24"/>
                <w:szCs w:val="24"/>
                <w:highlight w:val="none"/>
              </w:rPr>
              <w:t>响应。</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2．响应说明按实际响应情况填写“优于”、“响应”、“不响应”。</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yellow"/>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sz w:val="24"/>
          <w:szCs w:val="24"/>
          <w:highlight w:val="none"/>
        </w:rPr>
      </w:pPr>
      <w:bookmarkStart w:id="139" w:name="_Toc16334"/>
      <w:bookmarkStart w:id="140" w:name="_Toc846"/>
      <w:r>
        <w:rPr>
          <w:rFonts w:hint="eastAsia" w:ascii="宋体" w:hAnsi="宋体" w:eastAsia="宋体" w:cs="宋体"/>
          <w:sz w:val="24"/>
          <w:szCs w:val="24"/>
          <w:highlight w:val="none"/>
        </w:rPr>
        <w:t>（二）商务要求响应索引表</w:t>
      </w:r>
      <w:bookmarkEnd w:id="139"/>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843"/>
        <w:gridCol w:w="3215"/>
        <w:gridCol w:w="3345"/>
        <w:gridCol w:w="146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381"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招标文件条款明细</w:t>
            </w:r>
          </w:p>
        </w:tc>
        <w:tc>
          <w:tcPr>
            <w:tcW w:w="3519"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响应索引</w:t>
            </w:r>
          </w:p>
        </w:tc>
        <w:tc>
          <w:tcPr>
            <w:tcW w:w="1526" w:type="dxa"/>
            <w:tcBorders>
              <w:top w:val="single" w:color="auto" w:sz="12" w:space="0"/>
              <w:bottom w:val="single" w:color="auto" w:sz="2" w:space="0"/>
            </w:tcBorders>
            <w:shd w:val="clear" w:color="auto" w:fill="F1F1F1"/>
            <w:noWrap w:val="0"/>
            <w:vAlign w:val="center"/>
          </w:tcPr>
          <w:p>
            <w:pPr>
              <w:spacing w:line="560" w:lineRule="exact"/>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3381"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3519"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c>
          <w:tcPr>
            <w:tcW w:w="1526" w:type="dxa"/>
            <w:tcBorders>
              <w:top w:val="single" w:color="auto" w:sz="2" w:space="0"/>
            </w:tcBorders>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p>
        </w:tc>
        <w:tc>
          <w:tcPr>
            <w:tcW w:w="3381" w:type="dxa"/>
            <w:noWrap w:val="0"/>
            <w:vAlign w:val="center"/>
          </w:tcPr>
          <w:p>
            <w:pPr>
              <w:spacing w:line="560" w:lineRule="exact"/>
              <w:jc w:val="center"/>
              <w:rPr>
                <w:rFonts w:hint="eastAsia" w:ascii="宋体" w:hAnsi="宋体" w:eastAsia="宋体" w:cs="宋体"/>
                <w:sz w:val="24"/>
                <w:szCs w:val="24"/>
                <w:highlight w:val="none"/>
              </w:rPr>
            </w:pPr>
          </w:p>
        </w:tc>
        <w:tc>
          <w:tcPr>
            <w:tcW w:w="3519" w:type="dxa"/>
            <w:noWrap w:val="0"/>
            <w:vAlign w:val="center"/>
          </w:tcPr>
          <w:p>
            <w:pPr>
              <w:spacing w:line="560" w:lineRule="exact"/>
              <w:jc w:val="center"/>
              <w:rPr>
                <w:rFonts w:hint="eastAsia" w:ascii="宋体" w:hAnsi="宋体" w:eastAsia="宋体" w:cs="宋体"/>
                <w:sz w:val="24"/>
                <w:szCs w:val="24"/>
                <w:highlight w:val="none"/>
              </w:rPr>
            </w:pPr>
          </w:p>
        </w:tc>
        <w:tc>
          <w:tcPr>
            <w:tcW w:w="1526" w:type="dxa"/>
            <w:noWrap w:val="0"/>
            <w:vAlign w:val="center"/>
          </w:tcPr>
          <w:p>
            <w:pPr>
              <w:spacing w:line="560" w:lineRule="exact"/>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37" w:hRule="atLeast"/>
          <w:jc w:val="center"/>
        </w:trPr>
        <w:tc>
          <w:tcPr>
            <w:tcW w:w="867" w:type="dxa"/>
            <w:noWrap w:val="0"/>
            <w:vAlign w:val="center"/>
          </w:tcPr>
          <w:p>
            <w:pPr>
              <w:spacing w:line="560" w:lineRule="exact"/>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tc>
        <w:tc>
          <w:tcPr>
            <w:tcW w:w="8426" w:type="dxa"/>
            <w:gridSpan w:val="3"/>
            <w:noWrap w:val="0"/>
            <w:vAlign w:val="center"/>
          </w:tcPr>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《第三章服务内容及要求中的</w:t>
            </w: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、商务要求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响应。</w:t>
            </w:r>
          </w:p>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2．响应说明按实际响 应情况填写“优于”、“响应”、“不响应”。</w:t>
            </w:r>
          </w:p>
          <w:p>
            <w:pPr>
              <w:spacing w:line="560" w:lineRule="exact"/>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3．“响应索引”单元格中注明引用位置，如“见商务响应方案</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.1.1”。</w:t>
            </w:r>
          </w:p>
        </w:tc>
      </w:tr>
    </w:tbl>
    <w:p>
      <w:pPr>
        <w:spacing w:line="560" w:lineRule="exact"/>
        <w:ind w:firstLine="2762" w:firstLineChars="1151"/>
        <w:jc w:val="both"/>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投标人</w:t>
      </w:r>
      <w:r>
        <w:rPr>
          <w:rFonts w:hint="eastAsia" w:ascii="宋体" w:hAnsi="宋体" w:eastAsia="宋体" w:cs="宋体"/>
          <w:sz w:val="24"/>
          <w:szCs w:val="24"/>
          <w:highlight w:val="none"/>
        </w:rPr>
        <w:t>全称并加盖公章）</w:t>
      </w:r>
    </w:p>
    <w:p>
      <w:pPr>
        <w:spacing w:line="560" w:lineRule="exact"/>
        <w:ind w:firstLine="480" w:firstLineChars="200"/>
        <w:jc w:val="both"/>
        <w:rPr>
          <w:rFonts w:hint="eastAsia" w:ascii="宋体" w:hAnsi="宋体" w:eastAsia="宋体" w:cs="宋体"/>
          <w:sz w:val="24"/>
          <w:szCs w:val="24"/>
          <w:highlight w:val="none"/>
        </w:rPr>
      </w:pPr>
    </w:p>
    <w:p>
      <w:pPr>
        <w:spacing w:line="560" w:lineRule="exact"/>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附：商务响应方案</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）合同条款响应</w:t>
      </w:r>
      <w:bookmarkEnd w:id="140"/>
    </w:p>
    <w:tbl>
      <w:tblPr>
        <w:tblStyle w:val="2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988"/>
        <w:gridCol w:w="1549"/>
        <w:gridCol w:w="2517"/>
        <w:gridCol w:w="2532"/>
        <w:gridCol w:w="128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549"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条款名称</w:t>
            </w:r>
          </w:p>
        </w:tc>
        <w:tc>
          <w:tcPr>
            <w:tcW w:w="2518"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招标文件合同条款明细</w:t>
            </w:r>
          </w:p>
        </w:tc>
        <w:tc>
          <w:tcPr>
            <w:tcW w:w="2533"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投标文件合同条款响应</w:t>
            </w:r>
          </w:p>
        </w:tc>
        <w:tc>
          <w:tcPr>
            <w:tcW w:w="1282" w:type="dxa"/>
            <w:tcBorders>
              <w:top w:val="single" w:color="auto" w:sz="12" w:space="0"/>
              <w:bottom w:val="single" w:color="auto" w:sz="2" w:space="0"/>
            </w:tcBorders>
            <w:shd w:val="clear" w:color="auto" w:fill="F1F1F1" w:themeFill="background1" w:themeFillShade="F2"/>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响应说明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549"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518"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2533" w:type="dxa"/>
            <w:tcBorders>
              <w:top w:val="single" w:color="auto" w:sz="2" w:space="0"/>
            </w:tcBorders>
            <w:vAlign w:val="center"/>
          </w:tcPr>
          <w:p>
            <w:pPr>
              <w:jc w:val="center"/>
              <w:rPr>
                <w:rFonts w:hint="eastAsia" w:ascii="宋体" w:hAnsi="宋体" w:eastAsia="宋体" w:cs="宋体"/>
                <w:color w:val="auto"/>
                <w:sz w:val="24"/>
                <w:szCs w:val="24"/>
                <w:highlight w:val="none"/>
              </w:rPr>
            </w:pPr>
          </w:p>
        </w:tc>
        <w:tc>
          <w:tcPr>
            <w:tcW w:w="1282" w:type="dxa"/>
            <w:tcBorders>
              <w:top w:val="single" w:color="auto" w:sz="2" w:space="0"/>
            </w:tcBorders>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p>
        </w:tc>
        <w:tc>
          <w:tcPr>
            <w:tcW w:w="1549" w:type="dxa"/>
            <w:vAlign w:val="center"/>
          </w:tcPr>
          <w:p>
            <w:pPr>
              <w:jc w:val="center"/>
              <w:rPr>
                <w:rFonts w:hint="eastAsia" w:ascii="宋体" w:hAnsi="宋体" w:eastAsia="宋体" w:cs="宋体"/>
                <w:color w:val="auto"/>
                <w:sz w:val="24"/>
                <w:szCs w:val="24"/>
                <w:highlight w:val="none"/>
              </w:rPr>
            </w:pPr>
          </w:p>
        </w:tc>
        <w:tc>
          <w:tcPr>
            <w:tcW w:w="2518" w:type="dxa"/>
            <w:vAlign w:val="center"/>
          </w:tcPr>
          <w:p>
            <w:pPr>
              <w:jc w:val="center"/>
              <w:rPr>
                <w:rFonts w:hint="eastAsia" w:ascii="宋体" w:hAnsi="宋体" w:eastAsia="宋体" w:cs="宋体"/>
                <w:color w:val="auto"/>
                <w:sz w:val="24"/>
                <w:szCs w:val="24"/>
                <w:highlight w:val="none"/>
              </w:rPr>
            </w:pPr>
          </w:p>
        </w:tc>
        <w:tc>
          <w:tcPr>
            <w:tcW w:w="2533" w:type="dxa"/>
            <w:vAlign w:val="center"/>
          </w:tcPr>
          <w:p>
            <w:pPr>
              <w:jc w:val="center"/>
              <w:rPr>
                <w:rFonts w:hint="eastAsia" w:ascii="宋体" w:hAnsi="宋体" w:eastAsia="宋体" w:cs="宋体"/>
                <w:color w:val="auto"/>
                <w:sz w:val="24"/>
                <w:szCs w:val="24"/>
                <w:highlight w:val="none"/>
              </w:rPr>
            </w:pPr>
          </w:p>
        </w:tc>
        <w:tc>
          <w:tcPr>
            <w:tcW w:w="1282" w:type="dxa"/>
            <w:vAlign w:val="center"/>
          </w:tcPr>
          <w:p>
            <w:pPr>
              <w:jc w:val="center"/>
              <w:rPr>
                <w:rFonts w:hint="eastAsia" w:ascii="宋体" w:hAnsi="宋体" w:eastAsia="宋体" w:cs="宋体"/>
                <w:color w:val="auto"/>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7" w:hRule="atLeast"/>
          <w:jc w:val="center"/>
        </w:trPr>
        <w:tc>
          <w:tcPr>
            <w:tcW w:w="988" w:type="dxa"/>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82" w:type="dxa"/>
            <w:gridSpan w:val="4"/>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1．“完全接受”的条款无需在本表中列出，按表下方所做“声明”执行；对于需要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填报的内容，以及“不能接受”或“有条件接受”的条款，则应写明该条款名称及条款明细、以及</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所能接受的条件。</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2．根据《政府采购货物和服务招标投标管理办法》（财政部87号令）第六十三条，若投标文件含有采购人不能接受的附加条件的，投标无效。</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3．因表格空间因有限，不足以容纳响应内容时，允许在表后进行响应，但须在表中注明引用位置，如“见本表下方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.1.1”。</w:t>
            </w:r>
          </w:p>
        </w:tc>
      </w:tr>
    </w:tbl>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声明：除上表所列的合同条款外，招标文件中的其他合同条款我方均完全接受。</w:t>
      </w: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r>
        <w:rPr>
          <w:rFonts w:hint="eastAsia" w:ascii="宋体" w:hAnsi="宋体" w:eastAsia="宋体" w:cs="宋体"/>
          <w:color w:val="auto"/>
          <w:sz w:val="24"/>
          <w:szCs w:val="24"/>
          <w:highlight w:val="none"/>
        </w:rPr>
        <w:br w:type="page"/>
      </w:r>
    </w:p>
    <w:p>
      <w:pPr>
        <w:pStyle w:val="96"/>
        <w:spacing w:before="210" w:after="210"/>
        <w:ind w:firstLine="640"/>
        <w:outlineLvl w:val="2"/>
        <w:rPr>
          <w:rFonts w:hint="eastAsia" w:ascii="宋体" w:hAnsi="宋体" w:eastAsia="宋体" w:cs="宋体"/>
          <w:color w:val="auto"/>
          <w:sz w:val="24"/>
          <w:szCs w:val="24"/>
          <w:highlight w:val="none"/>
        </w:rPr>
      </w:pPr>
      <w:bookmarkStart w:id="141" w:name="_Toc18773"/>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）其他需要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提供的材料</w:t>
      </w:r>
      <w:bookmarkEnd w:id="141"/>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1．项目实施人员情况表</w:t>
      </w:r>
    </w:p>
    <w:tbl>
      <w:tblPr>
        <w:tblStyle w:val="28"/>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941"/>
        <w:gridCol w:w="1221"/>
        <w:gridCol w:w="23"/>
        <w:gridCol w:w="1319"/>
        <w:gridCol w:w="17"/>
        <w:gridCol w:w="6"/>
        <w:gridCol w:w="1529"/>
        <w:gridCol w:w="1683"/>
        <w:gridCol w:w="40"/>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00" w:type="dxa"/>
            <w:gridSpan w:val="11"/>
            <w:tcBorders>
              <w:top w:val="single" w:color="auto" w:sz="12"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21"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tc>
        <w:tc>
          <w:tcPr>
            <w:tcW w:w="1342"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52" w:type="dxa"/>
            <w:gridSpan w:val="3"/>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在本行业从业工作年限</w:t>
            </w: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42" w:type="dxa"/>
            <w:gridSpan w:val="2"/>
            <w:vAlign w:val="center"/>
          </w:tcPr>
          <w:p>
            <w:pPr>
              <w:jc w:val="both"/>
              <w:rPr>
                <w:rFonts w:hint="eastAsia" w:ascii="宋体" w:hAnsi="宋体" w:eastAsia="宋体" w:cs="宋体"/>
                <w:color w:val="auto"/>
                <w:sz w:val="24"/>
                <w:szCs w:val="24"/>
                <w:highlight w:val="none"/>
              </w:rPr>
            </w:pPr>
          </w:p>
        </w:tc>
        <w:tc>
          <w:tcPr>
            <w:tcW w:w="1552" w:type="dxa"/>
            <w:gridSpan w:val="3"/>
            <w:vAlign w:val="center"/>
          </w:tcPr>
          <w:p>
            <w:pPr>
              <w:jc w:val="both"/>
              <w:rPr>
                <w:rFonts w:hint="eastAsia" w:ascii="宋体" w:hAnsi="宋体" w:eastAsia="宋体" w:cs="宋体"/>
                <w:color w:val="auto"/>
                <w:sz w:val="24"/>
                <w:szCs w:val="24"/>
                <w:highlight w:val="none"/>
              </w:rPr>
            </w:pP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42" w:type="dxa"/>
            <w:gridSpan w:val="2"/>
            <w:vAlign w:val="center"/>
          </w:tcPr>
          <w:p>
            <w:pPr>
              <w:jc w:val="both"/>
              <w:rPr>
                <w:rFonts w:hint="eastAsia" w:ascii="宋体" w:hAnsi="宋体" w:eastAsia="宋体" w:cs="宋体"/>
                <w:color w:val="auto"/>
                <w:sz w:val="24"/>
                <w:szCs w:val="24"/>
                <w:highlight w:val="none"/>
              </w:rPr>
            </w:pPr>
          </w:p>
        </w:tc>
        <w:tc>
          <w:tcPr>
            <w:tcW w:w="1552" w:type="dxa"/>
            <w:gridSpan w:val="3"/>
            <w:vAlign w:val="center"/>
          </w:tcPr>
          <w:p>
            <w:pPr>
              <w:jc w:val="both"/>
              <w:rPr>
                <w:rFonts w:hint="eastAsia" w:ascii="宋体" w:hAnsi="宋体" w:eastAsia="宋体" w:cs="宋体"/>
                <w:color w:val="auto"/>
                <w:sz w:val="24"/>
                <w:szCs w:val="24"/>
                <w:highlight w:val="none"/>
              </w:rPr>
            </w:pPr>
          </w:p>
        </w:tc>
        <w:tc>
          <w:tcPr>
            <w:tcW w:w="1683" w:type="dxa"/>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062" w:type="dxa"/>
            <w:gridSpan w:val="2"/>
            <w:tcBorders>
              <w:left w:val="single" w:color="auto" w:sz="2" w:space="0"/>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21"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w:t>
            </w:r>
          </w:p>
        </w:tc>
        <w:tc>
          <w:tcPr>
            <w:tcW w:w="1359" w:type="dxa"/>
            <w:gridSpan w:val="3"/>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35"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在本行业从业工作年限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21" w:type="dxa"/>
            <w:vAlign w:val="center"/>
          </w:tcPr>
          <w:p>
            <w:pPr>
              <w:jc w:val="both"/>
              <w:rPr>
                <w:rFonts w:hint="eastAsia" w:ascii="宋体" w:hAnsi="宋体" w:eastAsia="宋体" w:cs="宋体"/>
                <w:color w:val="auto"/>
                <w:sz w:val="24"/>
                <w:szCs w:val="24"/>
                <w:highlight w:val="none"/>
              </w:rPr>
            </w:pPr>
          </w:p>
        </w:tc>
        <w:tc>
          <w:tcPr>
            <w:tcW w:w="1359" w:type="dxa"/>
            <w:gridSpan w:val="3"/>
            <w:vAlign w:val="center"/>
          </w:tcPr>
          <w:p>
            <w:pPr>
              <w:jc w:val="both"/>
              <w:rPr>
                <w:rFonts w:hint="eastAsia" w:ascii="宋体" w:hAnsi="宋体" w:eastAsia="宋体" w:cs="宋体"/>
                <w:color w:val="auto"/>
                <w:sz w:val="24"/>
                <w:szCs w:val="24"/>
                <w:highlight w:val="none"/>
              </w:rPr>
            </w:pPr>
          </w:p>
        </w:tc>
        <w:tc>
          <w:tcPr>
            <w:tcW w:w="1535" w:type="dxa"/>
            <w:gridSpan w:val="2"/>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技术人员/服务人员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29"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从事类似项目工作年限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900" w:type="dxa"/>
            <w:gridSpan w:val="11"/>
            <w:tcBorders>
              <w:top w:val="single" w:color="auto" w:sz="6" w:space="0"/>
              <w:left w:val="single" w:color="auto" w:sz="12" w:space="0"/>
              <w:bottom w:val="single" w:color="auto" w:sz="6" w:space="0"/>
              <w:right w:val="single" w:color="auto" w:sz="12" w:space="0"/>
            </w:tcBorders>
            <w:shd w:val="clear" w:color="auto" w:fill="F1F1F1" w:themeFill="background1" w:themeFillShade="F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w:t>
            </w: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529" w:type="dxa"/>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从事类似项目工作年限</w:t>
            </w:r>
          </w:p>
        </w:tc>
        <w:tc>
          <w:tcPr>
            <w:tcW w:w="1723" w:type="dxa"/>
            <w:gridSpan w:val="2"/>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业绩和经历</w:t>
            </w: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拟派</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99" w:type="dxa"/>
            <w:tcBorders>
              <w:top w:val="single" w:color="auto" w:sz="6" w:space="0"/>
              <w:left w:val="single" w:color="auto" w:sz="12" w:space="0"/>
              <w:bottom w:val="single" w:color="auto" w:sz="6" w:space="0"/>
              <w:right w:val="single" w:color="auto" w:sz="6" w:space="0"/>
            </w:tcBorders>
            <w:vAlign w:val="center"/>
          </w:tcPr>
          <w:p>
            <w:pPr>
              <w:jc w:val="both"/>
              <w:rPr>
                <w:rFonts w:hint="eastAsia" w:ascii="宋体" w:hAnsi="宋体" w:eastAsia="宋体" w:cs="宋体"/>
                <w:color w:val="auto"/>
                <w:sz w:val="24"/>
                <w:szCs w:val="24"/>
                <w:highlight w:val="none"/>
              </w:rPr>
            </w:pPr>
          </w:p>
        </w:tc>
        <w:tc>
          <w:tcPr>
            <w:tcW w:w="941" w:type="dxa"/>
            <w:tcBorders>
              <w:left w:val="single" w:color="auto" w:sz="6" w:space="0"/>
            </w:tcBorders>
            <w:vAlign w:val="center"/>
          </w:tcPr>
          <w:p>
            <w:pPr>
              <w:jc w:val="both"/>
              <w:rPr>
                <w:rFonts w:hint="eastAsia" w:ascii="宋体" w:hAnsi="宋体" w:eastAsia="宋体" w:cs="宋体"/>
                <w:color w:val="auto"/>
                <w:sz w:val="24"/>
                <w:szCs w:val="24"/>
                <w:highlight w:val="none"/>
              </w:rPr>
            </w:pPr>
          </w:p>
        </w:tc>
        <w:tc>
          <w:tcPr>
            <w:tcW w:w="1244" w:type="dxa"/>
            <w:gridSpan w:val="2"/>
            <w:tcBorders>
              <w:right w:val="single" w:color="auto" w:sz="2" w:space="0"/>
            </w:tcBorders>
            <w:vAlign w:val="center"/>
          </w:tcPr>
          <w:p>
            <w:pPr>
              <w:jc w:val="both"/>
              <w:rPr>
                <w:rFonts w:hint="eastAsia" w:ascii="宋体" w:hAnsi="宋体" w:eastAsia="宋体" w:cs="宋体"/>
                <w:color w:val="auto"/>
                <w:sz w:val="24"/>
                <w:szCs w:val="24"/>
                <w:highlight w:val="none"/>
              </w:rPr>
            </w:pPr>
          </w:p>
        </w:tc>
        <w:tc>
          <w:tcPr>
            <w:tcW w:w="1342" w:type="dxa"/>
            <w:gridSpan w:val="3"/>
            <w:tcBorders>
              <w:left w:val="single" w:color="auto" w:sz="2" w:space="0"/>
            </w:tcBorders>
            <w:vAlign w:val="center"/>
          </w:tcPr>
          <w:p>
            <w:pPr>
              <w:jc w:val="both"/>
              <w:rPr>
                <w:rFonts w:hint="eastAsia" w:ascii="宋体" w:hAnsi="宋体" w:eastAsia="宋体" w:cs="宋体"/>
                <w:color w:val="auto"/>
                <w:sz w:val="24"/>
                <w:szCs w:val="24"/>
                <w:highlight w:val="none"/>
              </w:rPr>
            </w:pPr>
          </w:p>
        </w:tc>
        <w:tc>
          <w:tcPr>
            <w:tcW w:w="1529" w:type="dxa"/>
            <w:vAlign w:val="center"/>
          </w:tcPr>
          <w:p>
            <w:pPr>
              <w:jc w:val="both"/>
              <w:rPr>
                <w:rFonts w:hint="eastAsia" w:ascii="宋体" w:hAnsi="宋体" w:eastAsia="宋体" w:cs="宋体"/>
                <w:color w:val="auto"/>
                <w:sz w:val="24"/>
                <w:szCs w:val="24"/>
                <w:highlight w:val="none"/>
              </w:rPr>
            </w:pPr>
          </w:p>
        </w:tc>
        <w:tc>
          <w:tcPr>
            <w:tcW w:w="1723" w:type="dxa"/>
            <w:gridSpan w:val="2"/>
            <w:vAlign w:val="center"/>
          </w:tcPr>
          <w:p>
            <w:pPr>
              <w:jc w:val="both"/>
              <w:rPr>
                <w:rFonts w:hint="eastAsia" w:ascii="宋体" w:hAnsi="宋体" w:eastAsia="宋体" w:cs="宋体"/>
                <w:color w:val="auto"/>
                <w:sz w:val="24"/>
                <w:szCs w:val="24"/>
                <w:highlight w:val="none"/>
              </w:rPr>
            </w:pPr>
          </w:p>
        </w:tc>
        <w:tc>
          <w:tcPr>
            <w:tcW w:w="1022" w:type="dxa"/>
            <w:tcBorders>
              <w:right w:val="single" w:color="auto" w:sz="12" w:space="0"/>
            </w:tcBorders>
            <w:vAlign w:val="center"/>
          </w:tcPr>
          <w:p>
            <w:pPr>
              <w:jc w:val="both"/>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99" w:type="dxa"/>
            <w:tcBorders>
              <w:top w:val="single" w:color="auto" w:sz="6" w:space="0"/>
              <w:left w:val="single" w:color="auto" w:sz="12" w:space="0"/>
              <w:bottom w:val="single" w:color="auto" w:sz="12" w:space="0"/>
              <w:right w:val="single" w:color="auto" w:sz="6"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7801" w:type="dxa"/>
            <w:gridSpan w:val="10"/>
            <w:tcBorders>
              <w:left w:val="single" w:color="auto" w:sz="6" w:space="0"/>
              <w:bottom w:val="single" w:color="auto" w:sz="12" w:space="0"/>
              <w:right w:val="single" w:color="auto" w:sz="12" w:space="0"/>
            </w:tcBorders>
            <w:vAlign w:val="center"/>
          </w:tcPr>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1．表格行数不足时请自行扩展。</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2．表中所列“项目负责人、管理人员、技术人员/服务人员、辅助人员”仅为示例，</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可根据招标文件要求自行安排人员类别。</w:t>
            </w:r>
          </w:p>
          <w:p>
            <w:pPr>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3．招标文件对人员“资格\学历\职称”提出要求的，应在本表下方附相应的“资格证\学历证\职称证”等证明文件。</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outlineLvl w:val="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2．拟投入项目的专业设备情况表</w:t>
      </w:r>
    </w:p>
    <w:tbl>
      <w:tblPr>
        <w:tblStyle w:val="88"/>
        <w:tblW w:w="886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552"/>
        <w:gridCol w:w="1361"/>
        <w:gridCol w:w="1474"/>
        <w:gridCol w:w="851"/>
        <w:gridCol w:w="1559"/>
        <w:gridCol w:w="1418"/>
        <w:gridCol w:w="165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1361"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设备名称</w:t>
            </w:r>
          </w:p>
        </w:tc>
        <w:tc>
          <w:tcPr>
            <w:tcW w:w="1474"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计量单位</w:t>
            </w:r>
          </w:p>
        </w:tc>
        <w:tc>
          <w:tcPr>
            <w:tcW w:w="851"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数量</w:t>
            </w:r>
          </w:p>
        </w:tc>
        <w:tc>
          <w:tcPr>
            <w:tcW w:w="1559"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生产企业</w:t>
            </w:r>
          </w:p>
        </w:tc>
        <w:tc>
          <w:tcPr>
            <w:tcW w:w="1418"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使用年限</w:t>
            </w:r>
          </w:p>
        </w:tc>
        <w:tc>
          <w:tcPr>
            <w:tcW w:w="1653" w:type="dxa"/>
            <w:tcBorders>
              <w:top w:val="single" w:color="auto" w:sz="12" w:space="0"/>
              <w:bottom w:val="single" w:color="auto" w:sz="2" w:space="0"/>
            </w:tcBorders>
            <w:shd w:val="clear" w:color="auto" w:fill="F1F1F1" w:themeFill="background1" w:themeFillShade="F2"/>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自购/外协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tcBorders>
              <w:top w:val="single" w:color="auto" w:sz="2" w:space="0"/>
            </w:tcBorders>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36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74"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851"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559"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418" w:type="dxa"/>
            <w:shd w:val="clear" w:color="auto" w:fill="auto"/>
            <w:vAlign w:val="center"/>
          </w:tcPr>
          <w:p>
            <w:pPr>
              <w:ind w:firstLine="0"/>
              <w:jc w:val="both"/>
              <w:rPr>
                <w:rFonts w:hint="eastAsia" w:ascii="宋体" w:hAnsi="宋体" w:eastAsia="宋体" w:cs="宋体"/>
                <w:color w:val="auto"/>
                <w:kern w:val="2"/>
                <w:sz w:val="24"/>
                <w:szCs w:val="24"/>
                <w:highlight w:val="none"/>
              </w:rPr>
            </w:pPr>
          </w:p>
        </w:tc>
        <w:tc>
          <w:tcPr>
            <w:tcW w:w="1653" w:type="dxa"/>
            <w:shd w:val="clear" w:color="auto" w:fill="auto"/>
            <w:vAlign w:val="center"/>
          </w:tcPr>
          <w:p>
            <w:pPr>
              <w:ind w:firstLine="0"/>
              <w:jc w:val="both"/>
              <w:rPr>
                <w:rFonts w:hint="eastAsia" w:ascii="宋体" w:hAnsi="宋体" w:eastAsia="宋体" w:cs="宋体"/>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552" w:type="dxa"/>
            <w:shd w:val="clear" w:color="auto" w:fill="auto"/>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备注</w:t>
            </w:r>
          </w:p>
        </w:tc>
        <w:tc>
          <w:tcPr>
            <w:tcW w:w="8316" w:type="dxa"/>
            <w:gridSpan w:val="6"/>
            <w:shd w:val="clear" w:color="auto" w:fill="auto"/>
            <w:vAlign w:val="center"/>
          </w:tcPr>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1．表格行数不足时请自行扩展。</w:t>
            </w:r>
          </w:p>
          <w:p>
            <w:pPr>
              <w:ind w:firstLine="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2．设备可以填写单台设备，也可以填写成套设备。</w:t>
            </w:r>
          </w:p>
        </w:tc>
      </w:tr>
    </w:tbl>
    <w:p>
      <w:pPr>
        <w:spacing w:line="560" w:lineRule="exact"/>
        <w:ind w:firstLine="2762" w:firstLineChars="1151"/>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全称并加盖公章）</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3．业绩</w:t>
      </w: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p>
    <w:p>
      <w:pPr>
        <w:spacing w:line="560" w:lineRule="exact"/>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4.其他（根据招标文件要求自行补充）</w:t>
      </w:r>
    </w:p>
    <w:sectPr>
      <w:headerReference r:id="rId9" w:type="first"/>
      <w:footerReference r:id="rId12" w:type="first"/>
      <w:headerReference r:id="rId8" w:type="default"/>
      <w:footerReference r:id="rId10" w:type="default"/>
      <w:footerReference r:id="rId11" w:type="even"/>
      <w:pgSz w:w="11906" w:h="16838"/>
      <w:pgMar w:top="1440" w:right="1406" w:bottom="1440" w:left="1633" w:header="851" w:footer="992" w:gutter="0"/>
      <w:pgBorders>
        <w:top w:val="none" w:sz="0" w:space="0"/>
        <w:left w:val="none" w:sz="0" w:space="0"/>
        <w:bottom w:val="none" w:sz="0" w:space="0"/>
        <w:right w:val="none" w:sz="0" w:space="0"/>
      </w:pgBorders>
      <w:pgNumType w:fmt="decimal" w:start="2"/>
      <w:cols w:space="425" w:num="1"/>
      <w:titlePg/>
      <w:docGrid w:type="linesAndChars" w:linePitch="4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7" name="直接箭头连接符 7"/>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1312;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BT160b/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35"/>
        <w:rFonts w:ascii="宋体" w:hAnsi="宋体"/>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jc w:val="left"/>
      <w:rPr>
        <w:rFonts w:hint="eastAsia" w:ascii="仿宋" w:hAnsi="仿宋" w:eastAsia="仿宋"/>
        <w:b/>
        <w:szCs w:val="21"/>
      </w:rPr>
    </w:pPr>
    <w:r>
      <w:rPr>
        <w:rFonts w:hint="eastAsia" w:ascii="仿宋" w:hAnsi="仿宋" w:eastAsia="仿宋"/>
        <w:b/>
        <w:szCs w:val="21"/>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126365</wp:posOffset>
              </wp:positionV>
              <wp:extent cx="5588000" cy="34925"/>
              <wp:effectExtent l="0" t="4445" r="12700" b="17780"/>
              <wp:wrapNone/>
              <wp:docPr id="6" name="直接箭头连接符 6"/>
              <wp:cNvGraphicFramePr/>
              <a:graphic xmlns:a="http://schemas.openxmlformats.org/drawingml/2006/main">
                <a:graphicData uri="http://schemas.microsoft.com/office/word/2010/wordprocessingShape">
                  <wps:wsp>
                    <wps:cNvCnPr/>
                    <wps:spPr>
                      <a:xfrm>
                        <a:off x="0" y="0"/>
                        <a:ext cx="5588000" cy="34925"/>
                      </a:xfrm>
                      <a:prstGeom prst="straightConnector1">
                        <a:avLst/>
                      </a:prstGeom>
                      <a:ln w="317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05pt;margin-top:9.95pt;height:2.75pt;width:440pt;z-index:251662336;mso-width-relative:page;mso-height-relative:page;" filled="f" stroked="t" coordsize="21600,21600" o:gfxdata="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hHe19QAAAAGAQAADwAAAAAAAAABACAAAAAiAAAAZHJzL2Rvd25yZXYu&#10;eG1sUEsBAhQAFAAAAAgAh07iQFOFMQn/AQAA8AMAAA4AAAAAAAAAAQAgAAAAIwEAAGRycy9lMm9E&#10;b2MueG1sUEsFBgAAAAAGAAYAWQEAAJQFAAAAAA==&#10;">
              <v:fill on="f" focussize="0,0"/>
              <v:stroke weight="0.25pt" color="#000000" joinstyle="round"/>
              <v:imagedata o:title=""/>
              <o:lock v:ext="edit" aspectratio="f"/>
            </v:shape>
          </w:pict>
        </mc:Fallback>
      </mc:AlternateContent>
    </w:r>
  </w:p>
  <w:p>
    <w:pPr>
      <w:spacing w:line="280" w:lineRule="exact"/>
      <w:jc w:val="center"/>
      <w:rPr>
        <w:rFonts w:hint="eastAsia" w:ascii="宋体" w:hAnsi="宋体"/>
        <w:b/>
        <w:sz w:val="18"/>
        <w:szCs w:val="18"/>
      </w:rPr>
    </w:pPr>
    <w:r>
      <w:rPr>
        <w:rFonts w:hint="eastAsia" w:ascii="宋体" w:hAnsi="宋体"/>
        <w:b/>
        <w:sz w:val="18"/>
        <w:szCs w:val="18"/>
      </w:rPr>
      <w:t>陕西上德招标有限公司（</w:t>
    </w:r>
    <w:r>
      <w:rPr>
        <w:rFonts w:ascii="宋体" w:hAnsi="宋体"/>
        <w:b/>
        <w:sz w:val="18"/>
        <w:szCs w:val="18"/>
      </w:rPr>
      <w:fldChar w:fldCharType="begin"/>
    </w:r>
    <w:r>
      <w:rPr>
        <w:rFonts w:ascii="宋体" w:hAnsi="宋体"/>
        <w:b/>
        <w:sz w:val="18"/>
        <w:szCs w:val="18"/>
      </w:rPr>
      <w:instrText xml:space="preserve"> HYPERLINK "http://www.sxsdzb.com/" </w:instrText>
    </w:r>
    <w:r>
      <w:rPr>
        <w:rFonts w:ascii="宋体" w:hAnsi="宋体"/>
        <w:b/>
        <w:sz w:val="18"/>
        <w:szCs w:val="18"/>
      </w:rPr>
      <w:fldChar w:fldCharType="separate"/>
    </w:r>
    <w:r>
      <w:rPr>
        <w:rStyle w:val="35"/>
        <w:rFonts w:ascii="宋体" w:hAnsi="宋体"/>
        <w:sz w:val="18"/>
        <w:szCs w:val="18"/>
      </w:rPr>
      <w:t>http://www.sxsdzb.com/</w:t>
    </w:r>
    <w:r>
      <w:rPr>
        <w:rFonts w:ascii="宋体" w:hAnsi="宋体"/>
        <w:b/>
        <w:sz w:val="18"/>
        <w:szCs w:val="18"/>
      </w:rPr>
      <w:fldChar w:fldCharType="end"/>
    </w:r>
    <w:r>
      <w:rPr>
        <w:rFonts w:hint="eastAsia" w:ascii="宋体" w:hAnsi="宋体"/>
        <w:b/>
        <w:sz w:val="18"/>
        <w:szCs w:val="18"/>
      </w:rPr>
      <w:t>）    西安市经开区凤城八路正尚国际金融广场A座7层703第</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PAGE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53</w:t>
    </w:r>
    <w:r>
      <w:rPr>
        <w:rFonts w:ascii="宋体" w:hAnsi="宋体"/>
        <w:b/>
        <w:sz w:val="18"/>
        <w:szCs w:val="18"/>
      </w:rPr>
      <w:fldChar w:fldCharType="end"/>
    </w:r>
    <w:r>
      <w:rPr>
        <w:rFonts w:hint="eastAsia" w:ascii="宋体" w:hAnsi="宋体"/>
        <w:b/>
        <w:sz w:val="18"/>
        <w:szCs w:val="18"/>
      </w:rPr>
      <w:t>页 共</w:t>
    </w:r>
    <w:r>
      <w:rPr>
        <w:rFonts w:ascii="宋体" w:hAnsi="宋体"/>
        <w:b/>
        <w:sz w:val="18"/>
        <w:szCs w:val="18"/>
      </w:rPr>
      <w:fldChar w:fldCharType="begin"/>
    </w:r>
    <w:r>
      <w:rPr>
        <w:rFonts w:ascii="宋体" w:hAnsi="宋体"/>
        <w:b/>
        <w:sz w:val="18"/>
        <w:szCs w:val="18"/>
      </w:rPr>
      <w:instrText xml:space="preserve"> </w:instrText>
    </w:r>
    <w:r>
      <w:rPr>
        <w:rFonts w:hint="eastAsia" w:ascii="宋体" w:hAnsi="宋体"/>
        <w:b/>
        <w:sz w:val="18"/>
        <w:szCs w:val="18"/>
      </w:rPr>
      <w:instrText xml:space="preserve">NUMPAGES  \* Arabic  \* MERGEFORMAT</w:instrText>
    </w:r>
    <w:r>
      <w:rPr>
        <w:rFonts w:ascii="宋体" w:hAnsi="宋体"/>
        <w:b/>
        <w:sz w:val="18"/>
        <w:szCs w:val="18"/>
      </w:rPr>
      <w:instrText xml:space="preserve"> </w:instrText>
    </w:r>
    <w:r>
      <w:rPr>
        <w:rFonts w:ascii="宋体" w:hAnsi="宋体"/>
        <w:b/>
        <w:sz w:val="18"/>
        <w:szCs w:val="18"/>
      </w:rPr>
      <w:fldChar w:fldCharType="separate"/>
    </w:r>
    <w:r>
      <w:rPr>
        <w:rFonts w:ascii="宋体" w:hAnsi="宋体"/>
        <w:b/>
        <w:sz w:val="18"/>
        <w:szCs w:val="18"/>
      </w:rPr>
      <w:t>70</w:t>
    </w:r>
    <w:r>
      <w:rPr>
        <w:rFonts w:ascii="宋体" w:hAnsi="宋体"/>
        <w:b/>
        <w:sz w:val="18"/>
        <w:szCs w:val="18"/>
      </w:rPr>
      <w:fldChar w:fldCharType="end"/>
    </w:r>
    <w:r>
      <w:rPr>
        <w:rFonts w:hint="eastAsia" w:ascii="宋体" w:hAnsi="宋体"/>
        <w:b/>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z w:val="18"/>
        <w:szCs w:val="18"/>
        <w:u w:val="single"/>
        <w:lang w:val="en-US" w:eastAsia="zh-CN"/>
      </w:rPr>
    </w:pPr>
    <w:r>
      <w:rPr>
        <w:rFonts w:hint="eastAsia" w:ascii="宋体" w:hAnsi="宋体"/>
        <w:b/>
        <w:sz w:val="18"/>
        <w:szCs w:val="18"/>
        <w:u w:val="single"/>
        <w:lang w:eastAsia="zh-CN"/>
      </w:rPr>
      <w:t>西安市阎良区新兴街道办事处城乡环卫服务外包项目</w:t>
    </w:r>
    <w:r>
      <w:rPr>
        <w:rFonts w:hint="eastAsia" w:ascii="宋体" w:hAnsi="宋体"/>
        <w:b/>
        <w:sz w:val="18"/>
        <w:szCs w:val="18"/>
        <w:u w:val="single"/>
      </w:rPr>
      <w:t xml:space="preserve">       </w:t>
    </w:r>
    <w:r>
      <w:rPr>
        <w:rFonts w:hint="eastAsia" w:ascii="宋体" w:hAnsi="宋体"/>
        <w:b/>
        <w:sz w:val="18"/>
        <w:szCs w:val="18"/>
        <w:u w:val="single"/>
        <w:lang w:val="en-US" w:eastAsia="zh-CN"/>
      </w:rPr>
      <w:t xml:space="preserve">                  </w:t>
    </w:r>
    <w:r>
      <w:rPr>
        <w:rFonts w:hint="eastAsia" w:ascii="宋体" w:hAnsi="宋体"/>
        <w:b/>
        <w:sz w:val="18"/>
        <w:szCs w:val="18"/>
        <w:u w:val="single"/>
      </w:rPr>
      <w:t xml:space="preserve">    项目编号: </w:t>
    </w:r>
    <w:r>
      <w:rPr>
        <w:rFonts w:hint="eastAsia" w:ascii="宋体" w:hAnsi="宋体"/>
        <w:b/>
        <w:sz w:val="18"/>
        <w:szCs w:val="18"/>
        <w:u w:val="single"/>
        <w:lang w:eastAsia="zh-CN"/>
      </w:rPr>
      <w:t>SDZC2023-080</w:t>
    </w:r>
  </w:p>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pacing w:val="0"/>
        <w:sz w:val="18"/>
        <w:szCs w:val="18"/>
        <w:u w:val="single"/>
        <w:lang w:val="en-US" w:eastAsia="zh-CN"/>
      </w:rPr>
    </w:pPr>
    <w:r>
      <w:rPr>
        <w:rFonts w:hint="eastAsia" w:ascii="宋体" w:hAnsi="宋体"/>
        <w:b/>
        <w:spacing w:val="0"/>
        <w:sz w:val="18"/>
        <w:szCs w:val="18"/>
        <w:u w:val="single"/>
        <w:lang w:eastAsia="zh-CN"/>
      </w:rPr>
      <w:t>西安市阎良区新兴街道办事处城乡环卫服务外包项目</w:t>
    </w:r>
    <w:r>
      <w:rPr>
        <w:rFonts w:hint="eastAsia" w:ascii="宋体" w:hAnsi="宋体"/>
        <w:b/>
        <w:spacing w:val="0"/>
        <w:sz w:val="18"/>
        <w:szCs w:val="18"/>
        <w:u w:val="single"/>
        <w:lang w:val="en-US" w:eastAsia="zh-CN"/>
      </w:rPr>
      <w:t xml:space="preserve">                           </w:t>
    </w:r>
    <w:r>
      <w:rPr>
        <w:rFonts w:hint="eastAsia" w:ascii="宋体" w:hAnsi="宋体"/>
        <w:b/>
        <w:spacing w:val="0"/>
        <w:sz w:val="18"/>
        <w:szCs w:val="18"/>
        <w:u w:val="single"/>
      </w:rPr>
      <w:t xml:space="preserve">项目编号: </w:t>
    </w:r>
    <w:r>
      <w:rPr>
        <w:rFonts w:hint="eastAsia" w:ascii="宋体" w:hAnsi="宋体"/>
        <w:b/>
        <w:spacing w:val="0"/>
        <w:sz w:val="18"/>
        <w:szCs w:val="18"/>
        <w:u w:val="single"/>
        <w:lang w:eastAsia="zh-CN"/>
      </w:rPr>
      <w:t>SDZC2023-080</w:t>
    </w:r>
  </w:p>
  <w:p>
    <w:pPr>
      <w:pStyle w:val="2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60" w:lineRule="exact"/>
      <w:rPr>
        <w:rFonts w:hint="default" w:ascii="宋体" w:hAnsi="宋体" w:eastAsia="宋体"/>
        <w:b/>
        <w:spacing w:val="0"/>
        <w:sz w:val="18"/>
        <w:szCs w:val="18"/>
        <w:u w:val="single"/>
        <w:lang w:val="en-US" w:eastAsia="zh-CN"/>
      </w:rPr>
    </w:pPr>
    <w:r>
      <w:rPr>
        <w:rFonts w:hint="eastAsia" w:ascii="宋体" w:hAnsi="宋体"/>
        <w:b/>
        <w:spacing w:val="0"/>
        <w:sz w:val="18"/>
        <w:szCs w:val="18"/>
        <w:u w:val="single"/>
        <w:lang w:eastAsia="zh-CN"/>
      </w:rPr>
      <w:t>西安市阎良区新兴街道办事处城乡环卫服务外包项目</w:t>
    </w:r>
    <w:r>
      <w:rPr>
        <w:rFonts w:hint="eastAsia" w:ascii="宋体" w:hAnsi="宋体"/>
        <w:b/>
        <w:spacing w:val="0"/>
        <w:sz w:val="18"/>
        <w:szCs w:val="18"/>
        <w:u w:val="single"/>
        <w:lang w:val="en-US" w:eastAsia="zh-CN"/>
      </w:rPr>
      <w:t xml:space="preserve">                          </w:t>
    </w:r>
    <w:r>
      <w:rPr>
        <w:rFonts w:hint="eastAsia" w:ascii="宋体" w:hAnsi="宋体" w:eastAsiaTheme="minorEastAsia"/>
        <w:b/>
        <w:spacing w:val="0"/>
        <w:sz w:val="18"/>
        <w:szCs w:val="18"/>
        <w:u w:val="single"/>
      </w:rPr>
      <w:t xml:space="preserve">项目编号: </w:t>
    </w:r>
    <w:r>
      <w:rPr>
        <w:rFonts w:hint="eastAsia" w:ascii="宋体" w:hAnsi="宋体"/>
        <w:b/>
        <w:spacing w:val="0"/>
        <w:sz w:val="18"/>
        <w:szCs w:val="18"/>
        <w:u w:val="single"/>
        <w:lang w:eastAsia="zh-CN"/>
      </w:rPr>
      <w:t>SDZC2023-080</w:t>
    </w:r>
  </w:p>
  <w:p>
    <w:pPr>
      <w:pStyle w:val="2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8D267F"/>
    <w:multiLevelType w:val="singleLevel"/>
    <w:tmpl w:val="958D267F"/>
    <w:lvl w:ilvl="0" w:tentative="0">
      <w:start w:val="4"/>
      <w:numFmt w:val="chineseCounting"/>
      <w:suff w:val="nothing"/>
      <w:lvlText w:val="（%1）"/>
      <w:lvlJc w:val="left"/>
      <w:rPr>
        <w:rFonts w:hint="eastAsia"/>
      </w:rPr>
    </w:lvl>
  </w:abstractNum>
  <w:abstractNum w:abstractNumId="1">
    <w:nsid w:val="AC4F17C0"/>
    <w:multiLevelType w:val="singleLevel"/>
    <w:tmpl w:val="AC4F17C0"/>
    <w:lvl w:ilvl="0" w:tentative="0">
      <w:start w:val="3"/>
      <w:numFmt w:val="chineseCounting"/>
      <w:suff w:val="space"/>
      <w:lvlText w:val="第%1章"/>
      <w:lvlJc w:val="left"/>
      <w:rPr>
        <w:rFonts w:hint="eastAsia"/>
      </w:rPr>
    </w:lvl>
  </w:abstractNum>
  <w:abstractNum w:abstractNumId="2">
    <w:nsid w:val="BC13A961"/>
    <w:multiLevelType w:val="singleLevel"/>
    <w:tmpl w:val="BC13A961"/>
    <w:lvl w:ilvl="0" w:tentative="0">
      <w:start w:val="5"/>
      <w:numFmt w:val="chineseCounting"/>
      <w:suff w:val="nothing"/>
      <w:lvlText w:val="%1、"/>
      <w:lvlJc w:val="left"/>
      <w:rPr>
        <w:rFonts w:hint="eastAsia"/>
      </w:rPr>
    </w:lvl>
  </w:abstractNum>
  <w:abstractNum w:abstractNumId="3">
    <w:nsid w:val="F94E758E"/>
    <w:multiLevelType w:val="singleLevel"/>
    <w:tmpl w:val="F94E758E"/>
    <w:lvl w:ilvl="0" w:tentative="0">
      <w:start w:val="2"/>
      <w:numFmt w:val="chineseCounting"/>
      <w:suff w:val="nothing"/>
      <w:lvlText w:val="（%1）"/>
      <w:lvlJc w:val="left"/>
      <w:rPr>
        <w:rFonts w:hint="eastAsia"/>
      </w:rPr>
    </w:lvl>
  </w:abstractNum>
  <w:abstractNum w:abstractNumId="4">
    <w:nsid w:val="1226A23A"/>
    <w:multiLevelType w:val="singleLevel"/>
    <w:tmpl w:val="1226A23A"/>
    <w:lvl w:ilvl="0" w:tentative="0">
      <w:start w:val="2"/>
      <w:numFmt w:val="decimal"/>
      <w:lvlText w:val="%1."/>
      <w:lvlJc w:val="left"/>
      <w:pPr>
        <w:tabs>
          <w:tab w:val="left" w:pos="312"/>
        </w:tabs>
      </w:pPr>
    </w:lvl>
  </w:abstractNum>
  <w:abstractNum w:abstractNumId="5">
    <w:nsid w:val="24F6DA4E"/>
    <w:multiLevelType w:val="singleLevel"/>
    <w:tmpl w:val="24F6DA4E"/>
    <w:lvl w:ilvl="0" w:tentative="0">
      <w:start w:val="1"/>
      <w:numFmt w:val="decimal"/>
      <w:lvlText w:val="%1."/>
      <w:lvlJc w:val="left"/>
      <w:pPr>
        <w:ind w:left="425" w:hanging="425"/>
      </w:pPr>
      <w:rPr>
        <w:rFonts w:hint="default"/>
      </w:rPr>
    </w:lvl>
  </w:abstractNum>
  <w:abstractNum w:abstractNumId="6">
    <w:nsid w:val="2893CC60"/>
    <w:multiLevelType w:val="singleLevel"/>
    <w:tmpl w:val="2893CC60"/>
    <w:lvl w:ilvl="0" w:tentative="0">
      <w:start w:val="2"/>
      <w:numFmt w:val="decimal"/>
      <w:suff w:val="nothing"/>
      <w:lvlText w:val="%1、"/>
      <w:lvlJc w:val="left"/>
    </w:lvl>
  </w:abstractNum>
  <w:abstractNum w:abstractNumId="7">
    <w:nsid w:val="55A6183C"/>
    <w:multiLevelType w:val="singleLevel"/>
    <w:tmpl w:val="55A6183C"/>
    <w:lvl w:ilvl="0" w:tentative="0">
      <w:start w:val="1"/>
      <w:numFmt w:val="chineseCounting"/>
      <w:suff w:val="nothing"/>
      <w:lvlText w:val="%1、"/>
      <w:lvlJc w:val="left"/>
    </w:lvl>
  </w:abstractNum>
  <w:abstractNum w:abstractNumId="8">
    <w:nsid w:val="5C3CC36B"/>
    <w:multiLevelType w:val="singleLevel"/>
    <w:tmpl w:val="5C3CC36B"/>
    <w:lvl w:ilvl="0" w:tentative="0">
      <w:start w:val="3"/>
      <w:numFmt w:val="chineseCounting"/>
      <w:suff w:val="nothing"/>
      <w:lvlText w:val="（%1）"/>
      <w:lvlJc w:val="left"/>
      <w:rPr>
        <w:rFonts w:hint="eastAsia"/>
      </w:rPr>
    </w:lvl>
  </w:abstractNum>
  <w:abstractNum w:abstractNumId="9">
    <w:nsid w:val="6D4132C2"/>
    <w:multiLevelType w:val="multilevel"/>
    <w:tmpl w:val="6D4132C2"/>
    <w:lvl w:ilvl="0" w:tentative="0">
      <w:start w:val="1"/>
      <w:numFmt w:val="none"/>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14:cntxtalts w14:val="0"/>
      </w:rPr>
    </w:lvl>
    <w:lvl w:ilvl="1" w:tentative="0">
      <w:start w:val="1"/>
      <w:numFmt w:val="none"/>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14:cntxtalts w14:val="0"/>
      </w:rPr>
    </w:lvl>
    <w:lvl w:ilvl="2" w:tentative="0">
      <w:start w:val="1"/>
      <w:numFmt w:val="none"/>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14:cntxtalts w14:val="0"/>
      </w:rPr>
    </w:lvl>
    <w:lvl w:ilvl="3" w:tentative="0">
      <w:start w:val="1"/>
      <w:numFmt w:val="decimal"/>
      <w:pStyle w:val="7"/>
      <w:lvlText w:val="%1.%2.%3.%4"/>
      <w:lvlJc w:val="left"/>
      <w:pPr>
        <w:ind w:left="864" w:hanging="864"/>
      </w:pPr>
      <w:rPr>
        <w:rFonts w:hint="eastAsia"/>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2" w:hanging="1152"/>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4" w:hanging="1584"/>
      </w:pPr>
      <w:rPr>
        <w:rFonts w:hint="eastAsia"/>
      </w:rPr>
    </w:lvl>
  </w:abstractNum>
  <w:abstractNum w:abstractNumId="10">
    <w:nsid w:val="7A914DF8"/>
    <w:multiLevelType w:val="singleLevel"/>
    <w:tmpl w:val="7A914DF8"/>
    <w:lvl w:ilvl="0" w:tentative="0">
      <w:start w:val="2"/>
      <w:numFmt w:val="decimal"/>
      <w:lvlText w:val="%1."/>
      <w:lvlJc w:val="left"/>
      <w:pPr>
        <w:tabs>
          <w:tab w:val="left" w:pos="312"/>
        </w:tabs>
      </w:pPr>
    </w:lvl>
  </w:abstractNum>
  <w:num w:numId="1">
    <w:abstractNumId w:val="9"/>
  </w:num>
  <w:num w:numId="2">
    <w:abstractNumId w:val="10"/>
  </w:num>
  <w:num w:numId="3">
    <w:abstractNumId w:val="8"/>
  </w:num>
  <w:num w:numId="4">
    <w:abstractNumId w:val="5"/>
  </w:num>
  <w:num w:numId="5">
    <w:abstractNumId w:val="1"/>
  </w:num>
  <w:num w:numId="6">
    <w:abstractNumId w:val="2"/>
  </w:num>
  <w:num w:numId="7">
    <w:abstractNumId w:val="6"/>
  </w:num>
  <w:num w:numId="8">
    <w:abstractNumId w:val="7"/>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ODNlYjZjZWMzNDM3YjRkMjE4MzBmODAzNWZiY2UifQ=="/>
  </w:docVars>
  <w:rsids>
    <w:rsidRoot w:val="006A6B87"/>
    <w:rsid w:val="0000159C"/>
    <w:rsid w:val="000019FA"/>
    <w:rsid w:val="00002BB3"/>
    <w:rsid w:val="00003F53"/>
    <w:rsid w:val="00004F9A"/>
    <w:rsid w:val="00006A52"/>
    <w:rsid w:val="00012137"/>
    <w:rsid w:val="00012844"/>
    <w:rsid w:val="00012F9B"/>
    <w:rsid w:val="000131C6"/>
    <w:rsid w:val="00013929"/>
    <w:rsid w:val="00014DAF"/>
    <w:rsid w:val="00015802"/>
    <w:rsid w:val="00016042"/>
    <w:rsid w:val="000162A2"/>
    <w:rsid w:val="00021AF9"/>
    <w:rsid w:val="00022A4E"/>
    <w:rsid w:val="00022F41"/>
    <w:rsid w:val="00023261"/>
    <w:rsid w:val="000234CF"/>
    <w:rsid w:val="000235C8"/>
    <w:rsid w:val="000251DF"/>
    <w:rsid w:val="00027E6B"/>
    <w:rsid w:val="0003251F"/>
    <w:rsid w:val="00032BB4"/>
    <w:rsid w:val="00033377"/>
    <w:rsid w:val="00033B5A"/>
    <w:rsid w:val="000353DD"/>
    <w:rsid w:val="00037F2F"/>
    <w:rsid w:val="00037FD3"/>
    <w:rsid w:val="000403A2"/>
    <w:rsid w:val="00040799"/>
    <w:rsid w:val="00040973"/>
    <w:rsid w:val="00043830"/>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0B"/>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34A7"/>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67F98"/>
    <w:rsid w:val="00271136"/>
    <w:rsid w:val="00272337"/>
    <w:rsid w:val="00272E7E"/>
    <w:rsid w:val="00273219"/>
    <w:rsid w:val="00273A93"/>
    <w:rsid w:val="002742EA"/>
    <w:rsid w:val="0027449B"/>
    <w:rsid w:val="00275C8F"/>
    <w:rsid w:val="00276641"/>
    <w:rsid w:val="00276C8A"/>
    <w:rsid w:val="002771C6"/>
    <w:rsid w:val="00277949"/>
    <w:rsid w:val="0028033D"/>
    <w:rsid w:val="002827C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379C"/>
    <w:rsid w:val="002E43F6"/>
    <w:rsid w:val="002E4813"/>
    <w:rsid w:val="002E7C3E"/>
    <w:rsid w:val="002F074B"/>
    <w:rsid w:val="002F1C19"/>
    <w:rsid w:val="002F1C7D"/>
    <w:rsid w:val="002F1EC9"/>
    <w:rsid w:val="002F25EC"/>
    <w:rsid w:val="002F2A10"/>
    <w:rsid w:val="002F2AAA"/>
    <w:rsid w:val="002F2EAB"/>
    <w:rsid w:val="002F30DD"/>
    <w:rsid w:val="002F3224"/>
    <w:rsid w:val="002F3350"/>
    <w:rsid w:val="002F7D7D"/>
    <w:rsid w:val="00300067"/>
    <w:rsid w:val="00300513"/>
    <w:rsid w:val="00300B27"/>
    <w:rsid w:val="0030123B"/>
    <w:rsid w:val="00301E0D"/>
    <w:rsid w:val="00301FAE"/>
    <w:rsid w:val="003024CF"/>
    <w:rsid w:val="00306470"/>
    <w:rsid w:val="00311862"/>
    <w:rsid w:val="00316D60"/>
    <w:rsid w:val="003172BB"/>
    <w:rsid w:val="00322208"/>
    <w:rsid w:val="003245F8"/>
    <w:rsid w:val="00325D47"/>
    <w:rsid w:val="00325EF1"/>
    <w:rsid w:val="00326169"/>
    <w:rsid w:val="00327A6B"/>
    <w:rsid w:val="00330EA4"/>
    <w:rsid w:val="00332A7C"/>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482"/>
    <w:rsid w:val="003833FB"/>
    <w:rsid w:val="00383F8F"/>
    <w:rsid w:val="003872CB"/>
    <w:rsid w:val="00387AFC"/>
    <w:rsid w:val="00390290"/>
    <w:rsid w:val="0039216D"/>
    <w:rsid w:val="00392EBD"/>
    <w:rsid w:val="00393459"/>
    <w:rsid w:val="003943D1"/>
    <w:rsid w:val="0039449C"/>
    <w:rsid w:val="00395695"/>
    <w:rsid w:val="003A0002"/>
    <w:rsid w:val="003A0295"/>
    <w:rsid w:val="003A0D83"/>
    <w:rsid w:val="003A192D"/>
    <w:rsid w:val="003A2A14"/>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0ECF"/>
    <w:rsid w:val="0040124D"/>
    <w:rsid w:val="004017C8"/>
    <w:rsid w:val="0040181A"/>
    <w:rsid w:val="004024C2"/>
    <w:rsid w:val="00405285"/>
    <w:rsid w:val="004068A7"/>
    <w:rsid w:val="00406C11"/>
    <w:rsid w:val="00407BBB"/>
    <w:rsid w:val="004106B2"/>
    <w:rsid w:val="00412CBC"/>
    <w:rsid w:val="00414D38"/>
    <w:rsid w:val="004155E3"/>
    <w:rsid w:val="00415649"/>
    <w:rsid w:val="004156E2"/>
    <w:rsid w:val="00415AB5"/>
    <w:rsid w:val="00416478"/>
    <w:rsid w:val="00420875"/>
    <w:rsid w:val="0042388D"/>
    <w:rsid w:val="00425038"/>
    <w:rsid w:val="0042688F"/>
    <w:rsid w:val="00427ABD"/>
    <w:rsid w:val="004317AB"/>
    <w:rsid w:val="00431DBF"/>
    <w:rsid w:val="00433512"/>
    <w:rsid w:val="0043432D"/>
    <w:rsid w:val="00441423"/>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5EFB"/>
    <w:rsid w:val="004D7112"/>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E18"/>
    <w:rsid w:val="00512B77"/>
    <w:rsid w:val="00515ADE"/>
    <w:rsid w:val="00515E63"/>
    <w:rsid w:val="005176F4"/>
    <w:rsid w:val="005203BA"/>
    <w:rsid w:val="005220F8"/>
    <w:rsid w:val="00522932"/>
    <w:rsid w:val="0052539A"/>
    <w:rsid w:val="005309DD"/>
    <w:rsid w:val="005330CB"/>
    <w:rsid w:val="0053320F"/>
    <w:rsid w:val="005340C0"/>
    <w:rsid w:val="00534E48"/>
    <w:rsid w:val="0053507D"/>
    <w:rsid w:val="00535F18"/>
    <w:rsid w:val="00537136"/>
    <w:rsid w:val="005406CD"/>
    <w:rsid w:val="00544037"/>
    <w:rsid w:val="00544FDF"/>
    <w:rsid w:val="0054537C"/>
    <w:rsid w:val="00547AD0"/>
    <w:rsid w:val="005509F0"/>
    <w:rsid w:val="00551012"/>
    <w:rsid w:val="00553778"/>
    <w:rsid w:val="00553AC5"/>
    <w:rsid w:val="00554646"/>
    <w:rsid w:val="00554791"/>
    <w:rsid w:val="00555365"/>
    <w:rsid w:val="005555A0"/>
    <w:rsid w:val="0056050F"/>
    <w:rsid w:val="00560BBE"/>
    <w:rsid w:val="005612F2"/>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C8A"/>
    <w:rsid w:val="00594467"/>
    <w:rsid w:val="00594F66"/>
    <w:rsid w:val="005960B9"/>
    <w:rsid w:val="005A1806"/>
    <w:rsid w:val="005A20E0"/>
    <w:rsid w:val="005A32F2"/>
    <w:rsid w:val="005A3DFC"/>
    <w:rsid w:val="005A43AB"/>
    <w:rsid w:val="005A4B53"/>
    <w:rsid w:val="005A5A7B"/>
    <w:rsid w:val="005A5B0F"/>
    <w:rsid w:val="005A69F8"/>
    <w:rsid w:val="005A6B45"/>
    <w:rsid w:val="005A7B9D"/>
    <w:rsid w:val="005B0579"/>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E1"/>
    <w:rsid w:val="005E548A"/>
    <w:rsid w:val="005E5BCC"/>
    <w:rsid w:val="005E5CCE"/>
    <w:rsid w:val="005E6CCC"/>
    <w:rsid w:val="005F1247"/>
    <w:rsid w:val="005F19BB"/>
    <w:rsid w:val="005F3B5B"/>
    <w:rsid w:val="005F6909"/>
    <w:rsid w:val="005F6C88"/>
    <w:rsid w:val="0060005D"/>
    <w:rsid w:val="006022C0"/>
    <w:rsid w:val="00602E42"/>
    <w:rsid w:val="00603657"/>
    <w:rsid w:val="00603BB4"/>
    <w:rsid w:val="0060479B"/>
    <w:rsid w:val="00606A55"/>
    <w:rsid w:val="00611AC2"/>
    <w:rsid w:val="00611FFE"/>
    <w:rsid w:val="00613BB6"/>
    <w:rsid w:val="0061777B"/>
    <w:rsid w:val="00624066"/>
    <w:rsid w:val="0062454A"/>
    <w:rsid w:val="00624620"/>
    <w:rsid w:val="00624946"/>
    <w:rsid w:val="00625173"/>
    <w:rsid w:val="00630CCB"/>
    <w:rsid w:val="00631E71"/>
    <w:rsid w:val="0063350A"/>
    <w:rsid w:val="006340A0"/>
    <w:rsid w:val="0063581A"/>
    <w:rsid w:val="00635858"/>
    <w:rsid w:val="00636BF4"/>
    <w:rsid w:val="00637FE9"/>
    <w:rsid w:val="00642CB1"/>
    <w:rsid w:val="006431A9"/>
    <w:rsid w:val="006460E3"/>
    <w:rsid w:val="006466DF"/>
    <w:rsid w:val="00646A42"/>
    <w:rsid w:val="006518D0"/>
    <w:rsid w:val="00652393"/>
    <w:rsid w:val="00656003"/>
    <w:rsid w:val="00657150"/>
    <w:rsid w:val="006571DD"/>
    <w:rsid w:val="0065774D"/>
    <w:rsid w:val="0065792C"/>
    <w:rsid w:val="00662E32"/>
    <w:rsid w:val="0066668A"/>
    <w:rsid w:val="00667CAB"/>
    <w:rsid w:val="00675065"/>
    <w:rsid w:val="00675563"/>
    <w:rsid w:val="00675DAD"/>
    <w:rsid w:val="00682389"/>
    <w:rsid w:val="00685346"/>
    <w:rsid w:val="00685390"/>
    <w:rsid w:val="00685B24"/>
    <w:rsid w:val="006870E8"/>
    <w:rsid w:val="00690BC5"/>
    <w:rsid w:val="00690C8E"/>
    <w:rsid w:val="00691341"/>
    <w:rsid w:val="006933DD"/>
    <w:rsid w:val="0069471D"/>
    <w:rsid w:val="00695670"/>
    <w:rsid w:val="00695E20"/>
    <w:rsid w:val="006A2D90"/>
    <w:rsid w:val="006A3BA0"/>
    <w:rsid w:val="006A4EC6"/>
    <w:rsid w:val="006A6B87"/>
    <w:rsid w:val="006A6DF3"/>
    <w:rsid w:val="006A7769"/>
    <w:rsid w:val="006B20D5"/>
    <w:rsid w:val="006B34F6"/>
    <w:rsid w:val="006B4952"/>
    <w:rsid w:val="006B5EA1"/>
    <w:rsid w:val="006B62C2"/>
    <w:rsid w:val="006B6316"/>
    <w:rsid w:val="006B6C2F"/>
    <w:rsid w:val="006B7A21"/>
    <w:rsid w:val="006B7F10"/>
    <w:rsid w:val="006C042B"/>
    <w:rsid w:val="006C2543"/>
    <w:rsid w:val="006C2A45"/>
    <w:rsid w:val="006C4042"/>
    <w:rsid w:val="006C6C85"/>
    <w:rsid w:val="006C6F0B"/>
    <w:rsid w:val="006C700A"/>
    <w:rsid w:val="006C7C59"/>
    <w:rsid w:val="006D0312"/>
    <w:rsid w:val="006D06D5"/>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3F7A"/>
    <w:rsid w:val="00704218"/>
    <w:rsid w:val="00706102"/>
    <w:rsid w:val="00711356"/>
    <w:rsid w:val="00713D33"/>
    <w:rsid w:val="00716375"/>
    <w:rsid w:val="00717B21"/>
    <w:rsid w:val="00721BA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7959"/>
    <w:rsid w:val="007A0298"/>
    <w:rsid w:val="007A0EED"/>
    <w:rsid w:val="007A1F61"/>
    <w:rsid w:val="007A2D00"/>
    <w:rsid w:val="007A3433"/>
    <w:rsid w:val="007A5B38"/>
    <w:rsid w:val="007A7AC5"/>
    <w:rsid w:val="007B1707"/>
    <w:rsid w:val="007B1F48"/>
    <w:rsid w:val="007B4190"/>
    <w:rsid w:val="007B5A22"/>
    <w:rsid w:val="007B7795"/>
    <w:rsid w:val="007C1E2E"/>
    <w:rsid w:val="007C32E6"/>
    <w:rsid w:val="007C551E"/>
    <w:rsid w:val="007C6103"/>
    <w:rsid w:val="007C7079"/>
    <w:rsid w:val="007C745E"/>
    <w:rsid w:val="007C7E4A"/>
    <w:rsid w:val="007D20D8"/>
    <w:rsid w:val="007D249E"/>
    <w:rsid w:val="007D2EE8"/>
    <w:rsid w:val="007D4745"/>
    <w:rsid w:val="007D5763"/>
    <w:rsid w:val="007D596E"/>
    <w:rsid w:val="007D6288"/>
    <w:rsid w:val="007D7193"/>
    <w:rsid w:val="007D7958"/>
    <w:rsid w:val="007D7D00"/>
    <w:rsid w:val="007E051D"/>
    <w:rsid w:val="007E1576"/>
    <w:rsid w:val="007E2BD2"/>
    <w:rsid w:val="007E5F41"/>
    <w:rsid w:val="007E6CF2"/>
    <w:rsid w:val="007F0B94"/>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21BA2"/>
    <w:rsid w:val="00822824"/>
    <w:rsid w:val="008228B9"/>
    <w:rsid w:val="00824639"/>
    <w:rsid w:val="00826C95"/>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80D1C"/>
    <w:rsid w:val="00880EB6"/>
    <w:rsid w:val="00881B84"/>
    <w:rsid w:val="00885CC3"/>
    <w:rsid w:val="00886362"/>
    <w:rsid w:val="008876A3"/>
    <w:rsid w:val="00887DFB"/>
    <w:rsid w:val="0089283A"/>
    <w:rsid w:val="00892ADC"/>
    <w:rsid w:val="00893813"/>
    <w:rsid w:val="0089658C"/>
    <w:rsid w:val="00897000"/>
    <w:rsid w:val="008A0739"/>
    <w:rsid w:val="008A2458"/>
    <w:rsid w:val="008A66B8"/>
    <w:rsid w:val="008A7EED"/>
    <w:rsid w:val="008B25E6"/>
    <w:rsid w:val="008B2B1D"/>
    <w:rsid w:val="008B5009"/>
    <w:rsid w:val="008B7E45"/>
    <w:rsid w:val="008C1237"/>
    <w:rsid w:val="008C64FB"/>
    <w:rsid w:val="008C6F63"/>
    <w:rsid w:val="008C771B"/>
    <w:rsid w:val="008C77A4"/>
    <w:rsid w:val="008D0DB7"/>
    <w:rsid w:val="008D2DAF"/>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A3C"/>
    <w:rsid w:val="00922DE7"/>
    <w:rsid w:val="00922EFB"/>
    <w:rsid w:val="00923A6C"/>
    <w:rsid w:val="009249C8"/>
    <w:rsid w:val="0093115A"/>
    <w:rsid w:val="00931671"/>
    <w:rsid w:val="00932C0E"/>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43A5"/>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30370"/>
    <w:rsid w:val="00A32017"/>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A54"/>
    <w:rsid w:val="00A91B7E"/>
    <w:rsid w:val="00A96F13"/>
    <w:rsid w:val="00AA1080"/>
    <w:rsid w:val="00AA16D3"/>
    <w:rsid w:val="00AA18CA"/>
    <w:rsid w:val="00AA1D98"/>
    <w:rsid w:val="00AA3063"/>
    <w:rsid w:val="00AA3BFA"/>
    <w:rsid w:val="00AA4BCE"/>
    <w:rsid w:val="00AA5A0A"/>
    <w:rsid w:val="00AA5E84"/>
    <w:rsid w:val="00AA725C"/>
    <w:rsid w:val="00AB3274"/>
    <w:rsid w:val="00AB3E05"/>
    <w:rsid w:val="00AB7A0E"/>
    <w:rsid w:val="00AC0409"/>
    <w:rsid w:val="00AC0C60"/>
    <w:rsid w:val="00AC178D"/>
    <w:rsid w:val="00AC1897"/>
    <w:rsid w:val="00AC2E63"/>
    <w:rsid w:val="00AC2EA5"/>
    <w:rsid w:val="00AC3A70"/>
    <w:rsid w:val="00AC63F8"/>
    <w:rsid w:val="00AC7144"/>
    <w:rsid w:val="00AC75AF"/>
    <w:rsid w:val="00AD0634"/>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104AA"/>
    <w:rsid w:val="00B11872"/>
    <w:rsid w:val="00B13758"/>
    <w:rsid w:val="00B13979"/>
    <w:rsid w:val="00B15E4F"/>
    <w:rsid w:val="00B17E7D"/>
    <w:rsid w:val="00B2012B"/>
    <w:rsid w:val="00B20B29"/>
    <w:rsid w:val="00B20CB9"/>
    <w:rsid w:val="00B20D52"/>
    <w:rsid w:val="00B2167C"/>
    <w:rsid w:val="00B22598"/>
    <w:rsid w:val="00B246D3"/>
    <w:rsid w:val="00B262C9"/>
    <w:rsid w:val="00B26A2C"/>
    <w:rsid w:val="00B26BDA"/>
    <w:rsid w:val="00B30526"/>
    <w:rsid w:val="00B3125B"/>
    <w:rsid w:val="00B32F9A"/>
    <w:rsid w:val="00B32FCD"/>
    <w:rsid w:val="00B34577"/>
    <w:rsid w:val="00B34E07"/>
    <w:rsid w:val="00B43464"/>
    <w:rsid w:val="00B45223"/>
    <w:rsid w:val="00B45C7D"/>
    <w:rsid w:val="00B461F3"/>
    <w:rsid w:val="00B46548"/>
    <w:rsid w:val="00B47EFD"/>
    <w:rsid w:val="00B50604"/>
    <w:rsid w:val="00B50C36"/>
    <w:rsid w:val="00B51C5E"/>
    <w:rsid w:val="00B52083"/>
    <w:rsid w:val="00B52525"/>
    <w:rsid w:val="00B52A88"/>
    <w:rsid w:val="00B52B44"/>
    <w:rsid w:val="00B52D72"/>
    <w:rsid w:val="00B56BAC"/>
    <w:rsid w:val="00B56E5B"/>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611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B09"/>
    <w:rsid w:val="00BF4A06"/>
    <w:rsid w:val="00C00340"/>
    <w:rsid w:val="00C03270"/>
    <w:rsid w:val="00C03937"/>
    <w:rsid w:val="00C048FB"/>
    <w:rsid w:val="00C04CFA"/>
    <w:rsid w:val="00C074A8"/>
    <w:rsid w:val="00C076EF"/>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38D5"/>
    <w:rsid w:val="00C45741"/>
    <w:rsid w:val="00C4699F"/>
    <w:rsid w:val="00C472A3"/>
    <w:rsid w:val="00C50C4A"/>
    <w:rsid w:val="00C524B1"/>
    <w:rsid w:val="00C53D6E"/>
    <w:rsid w:val="00C56B9D"/>
    <w:rsid w:val="00C60706"/>
    <w:rsid w:val="00C61A1B"/>
    <w:rsid w:val="00C6464D"/>
    <w:rsid w:val="00C64FE6"/>
    <w:rsid w:val="00C65838"/>
    <w:rsid w:val="00C72DBC"/>
    <w:rsid w:val="00C74041"/>
    <w:rsid w:val="00C76B39"/>
    <w:rsid w:val="00C77891"/>
    <w:rsid w:val="00C80803"/>
    <w:rsid w:val="00C8081E"/>
    <w:rsid w:val="00C8194B"/>
    <w:rsid w:val="00C8510F"/>
    <w:rsid w:val="00C856C4"/>
    <w:rsid w:val="00C8634C"/>
    <w:rsid w:val="00C86F92"/>
    <w:rsid w:val="00C90072"/>
    <w:rsid w:val="00C9533B"/>
    <w:rsid w:val="00CA14A2"/>
    <w:rsid w:val="00CA408B"/>
    <w:rsid w:val="00CA597B"/>
    <w:rsid w:val="00CB0748"/>
    <w:rsid w:val="00CB18BD"/>
    <w:rsid w:val="00CB1B09"/>
    <w:rsid w:val="00CB232C"/>
    <w:rsid w:val="00CB2D79"/>
    <w:rsid w:val="00CB2E90"/>
    <w:rsid w:val="00CB31D0"/>
    <w:rsid w:val="00CB4405"/>
    <w:rsid w:val="00CB4EF4"/>
    <w:rsid w:val="00CB5BD0"/>
    <w:rsid w:val="00CB63F6"/>
    <w:rsid w:val="00CC042F"/>
    <w:rsid w:val="00CC11D6"/>
    <w:rsid w:val="00CC237A"/>
    <w:rsid w:val="00CC2593"/>
    <w:rsid w:val="00CC2A69"/>
    <w:rsid w:val="00CD2668"/>
    <w:rsid w:val="00CD2B6F"/>
    <w:rsid w:val="00CD2FAC"/>
    <w:rsid w:val="00CD3879"/>
    <w:rsid w:val="00CD495B"/>
    <w:rsid w:val="00CD5C64"/>
    <w:rsid w:val="00CD69A5"/>
    <w:rsid w:val="00CD7C0B"/>
    <w:rsid w:val="00CD7C6C"/>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1893"/>
    <w:rsid w:val="00D21E87"/>
    <w:rsid w:val="00D23DB6"/>
    <w:rsid w:val="00D242FC"/>
    <w:rsid w:val="00D24CEB"/>
    <w:rsid w:val="00D24F90"/>
    <w:rsid w:val="00D26400"/>
    <w:rsid w:val="00D264F9"/>
    <w:rsid w:val="00D31768"/>
    <w:rsid w:val="00D33471"/>
    <w:rsid w:val="00D35E6A"/>
    <w:rsid w:val="00D361F7"/>
    <w:rsid w:val="00D37A4D"/>
    <w:rsid w:val="00D37BDA"/>
    <w:rsid w:val="00D41D8D"/>
    <w:rsid w:val="00D475DD"/>
    <w:rsid w:val="00D50781"/>
    <w:rsid w:val="00D51C08"/>
    <w:rsid w:val="00D51F3E"/>
    <w:rsid w:val="00D55D74"/>
    <w:rsid w:val="00D568D6"/>
    <w:rsid w:val="00D613B2"/>
    <w:rsid w:val="00D61D4F"/>
    <w:rsid w:val="00D62526"/>
    <w:rsid w:val="00D65B3B"/>
    <w:rsid w:val="00D6655A"/>
    <w:rsid w:val="00D73BEF"/>
    <w:rsid w:val="00D75DD7"/>
    <w:rsid w:val="00D8461E"/>
    <w:rsid w:val="00D848AF"/>
    <w:rsid w:val="00D84D41"/>
    <w:rsid w:val="00D85867"/>
    <w:rsid w:val="00D90438"/>
    <w:rsid w:val="00D90F7C"/>
    <w:rsid w:val="00D91BBB"/>
    <w:rsid w:val="00D93BBB"/>
    <w:rsid w:val="00D9483F"/>
    <w:rsid w:val="00D957E5"/>
    <w:rsid w:val="00D9612C"/>
    <w:rsid w:val="00D96B41"/>
    <w:rsid w:val="00DA02CE"/>
    <w:rsid w:val="00DA0DFD"/>
    <w:rsid w:val="00DA26D1"/>
    <w:rsid w:val="00DA7EC9"/>
    <w:rsid w:val="00DB18FC"/>
    <w:rsid w:val="00DB2769"/>
    <w:rsid w:val="00DB4762"/>
    <w:rsid w:val="00DB630A"/>
    <w:rsid w:val="00DB6473"/>
    <w:rsid w:val="00DC3ED2"/>
    <w:rsid w:val="00DC4AE1"/>
    <w:rsid w:val="00DC6B38"/>
    <w:rsid w:val="00DC767D"/>
    <w:rsid w:val="00DC7A15"/>
    <w:rsid w:val="00DD0CDD"/>
    <w:rsid w:val="00DD26EA"/>
    <w:rsid w:val="00DD35BB"/>
    <w:rsid w:val="00DD5EDD"/>
    <w:rsid w:val="00DD6B34"/>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6B6"/>
    <w:rsid w:val="00E227F4"/>
    <w:rsid w:val="00E23903"/>
    <w:rsid w:val="00E2465F"/>
    <w:rsid w:val="00E2575E"/>
    <w:rsid w:val="00E25E0D"/>
    <w:rsid w:val="00E27DAA"/>
    <w:rsid w:val="00E27FDC"/>
    <w:rsid w:val="00E303C9"/>
    <w:rsid w:val="00E30E7D"/>
    <w:rsid w:val="00E31BA9"/>
    <w:rsid w:val="00E332F8"/>
    <w:rsid w:val="00E33659"/>
    <w:rsid w:val="00E4021E"/>
    <w:rsid w:val="00E40872"/>
    <w:rsid w:val="00E41594"/>
    <w:rsid w:val="00E4296F"/>
    <w:rsid w:val="00E46A08"/>
    <w:rsid w:val="00E47BE1"/>
    <w:rsid w:val="00E518FB"/>
    <w:rsid w:val="00E56FE8"/>
    <w:rsid w:val="00E57945"/>
    <w:rsid w:val="00E57C5E"/>
    <w:rsid w:val="00E6057C"/>
    <w:rsid w:val="00E607A7"/>
    <w:rsid w:val="00E60C5E"/>
    <w:rsid w:val="00E63BD1"/>
    <w:rsid w:val="00E6467D"/>
    <w:rsid w:val="00E66BCF"/>
    <w:rsid w:val="00E71342"/>
    <w:rsid w:val="00E728E4"/>
    <w:rsid w:val="00E77471"/>
    <w:rsid w:val="00E777FC"/>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F6C"/>
    <w:rsid w:val="00EA04D2"/>
    <w:rsid w:val="00EA6401"/>
    <w:rsid w:val="00EA68DB"/>
    <w:rsid w:val="00EB0764"/>
    <w:rsid w:val="00EB1322"/>
    <w:rsid w:val="00EB1A62"/>
    <w:rsid w:val="00EB4FC8"/>
    <w:rsid w:val="00EB6E57"/>
    <w:rsid w:val="00EB7A4C"/>
    <w:rsid w:val="00EC0DD8"/>
    <w:rsid w:val="00EC2A66"/>
    <w:rsid w:val="00EC3672"/>
    <w:rsid w:val="00EC44FF"/>
    <w:rsid w:val="00ED0960"/>
    <w:rsid w:val="00ED3782"/>
    <w:rsid w:val="00ED56C1"/>
    <w:rsid w:val="00ED7D80"/>
    <w:rsid w:val="00EE1F49"/>
    <w:rsid w:val="00EE1F87"/>
    <w:rsid w:val="00EE3720"/>
    <w:rsid w:val="00EE3F92"/>
    <w:rsid w:val="00EE7634"/>
    <w:rsid w:val="00EF271D"/>
    <w:rsid w:val="00EF4228"/>
    <w:rsid w:val="00EF473E"/>
    <w:rsid w:val="00EF4DC8"/>
    <w:rsid w:val="00EF659E"/>
    <w:rsid w:val="00EF6A13"/>
    <w:rsid w:val="00EF6F24"/>
    <w:rsid w:val="00F00971"/>
    <w:rsid w:val="00F01751"/>
    <w:rsid w:val="00F02CF2"/>
    <w:rsid w:val="00F0385A"/>
    <w:rsid w:val="00F053D3"/>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4AD2"/>
    <w:rsid w:val="00F37170"/>
    <w:rsid w:val="00F43040"/>
    <w:rsid w:val="00F440E7"/>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355F"/>
    <w:rsid w:val="00F85256"/>
    <w:rsid w:val="00F87572"/>
    <w:rsid w:val="00F87CA2"/>
    <w:rsid w:val="00F91976"/>
    <w:rsid w:val="00F92C8D"/>
    <w:rsid w:val="00F931AD"/>
    <w:rsid w:val="00F95FE5"/>
    <w:rsid w:val="00F9741A"/>
    <w:rsid w:val="00FA18B4"/>
    <w:rsid w:val="00FA1F53"/>
    <w:rsid w:val="00FA2095"/>
    <w:rsid w:val="00FA244D"/>
    <w:rsid w:val="00FA7224"/>
    <w:rsid w:val="00FB01BB"/>
    <w:rsid w:val="00FB1215"/>
    <w:rsid w:val="00FB3D8E"/>
    <w:rsid w:val="00FB4CB0"/>
    <w:rsid w:val="00FB608E"/>
    <w:rsid w:val="00FB6392"/>
    <w:rsid w:val="00FC39BA"/>
    <w:rsid w:val="00FC3DAC"/>
    <w:rsid w:val="00FD1428"/>
    <w:rsid w:val="00FD20C5"/>
    <w:rsid w:val="00FD221D"/>
    <w:rsid w:val="00FD2761"/>
    <w:rsid w:val="00FD309E"/>
    <w:rsid w:val="00FD37B5"/>
    <w:rsid w:val="00FD4568"/>
    <w:rsid w:val="00FD5B5E"/>
    <w:rsid w:val="00FD613E"/>
    <w:rsid w:val="00FD6F4D"/>
    <w:rsid w:val="00FE0559"/>
    <w:rsid w:val="00FE05A0"/>
    <w:rsid w:val="00FE3884"/>
    <w:rsid w:val="00FE3FCF"/>
    <w:rsid w:val="00FF2E19"/>
    <w:rsid w:val="00FF756F"/>
    <w:rsid w:val="01227D26"/>
    <w:rsid w:val="025B2DC4"/>
    <w:rsid w:val="02A80FA1"/>
    <w:rsid w:val="037A49DC"/>
    <w:rsid w:val="03F92894"/>
    <w:rsid w:val="04D07A99"/>
    <w:rsid w:val="0532605E"/>
    <w:rsid w:val="05EA06E6"/>
    <w:rsid w:val="062F07EF"/>
    <w:rsid w:val="064E6FAC"/>
    <w:rsid w:val="069D4979"/>
    <w:rsid w:val="06C02D91"/>
    <w:rsid w:val="070E3A3F"/>
    <w:rsid w:val="07372051"/>
    <w:rsid w:val="082779D0"/>
    <w:rsid w:val="084C206A"/>
    <w:rsid w:val="08AF5C17"/>
    <w:rsid w:val="08CC281C"/>
    <w:rsid w:val="0A8C6210"/>
    <w:rsid w:val="0B3D67C1"/>
    <w:rsid w:val="0BBF3AF2"/>
    <w:rsid w:val="0C18767D"/>
    <w:rsid w:val="0C38016B"/>
    <w:rsid w:val="0C4D41B4"/>
    <w:rsid w:val="0C886EAB"/>
    <w:rsid w:val="0CD30126"/>
    <w:rsid w:val="0D3861DB"/>
    <w:rsid w:val="0D7511DD"/>
    <w:rsid w:val="0DF93BB4"/>
    <w:rsid w:val="0E3E3FD7"/>
    <w:rsid w:val="0E7A273F"/>
    <w:rsid w:val="0EB07F45"/>
    <w:rsid w:val="10051A3A"/>
    <w:rsid w:val="1018023C"/>
    <w:rsid w:val="10F25D7A"/>
    <w:rsid w:val="11292A0B"/>
    <w:rsid w:val="121877CE"/>
    <w:rsid w:val="13102F71"/>
    <w:rsid w:val="140137CB"/>
    <w:rsid w:val="145558C5"/>
    <w:rsid w:val="150F1F18"/>
    <w:rsid w:val="151A0919"/>
    <w:rsid w:val="15205ED3"/>
    <w:rsid w:val="159E5049"/>
    <w:rsid w:val="15CC1BB7"/>
    <w:rsid w:val="15D66ED9"/>
    <w:rsid w:val="1642631D"/>
    <w:rsid w:val="16894DB2"/>
    <w:rsid w:val="175E3CFF"/>
    <w:rsid w:val="176D1177"/>
    <w:rsid w:val="17887D5F"/>
    <w:rsid w:val="181D1A4D"/>
    <w:rsid w:val="18235FF2"/>
    <w:rsid w:val="18381785"/>
    <w:rsid w:val="18FC0A05"/>
    <w:rsid w:val="19230DE2"/>
    <w:rsid w:val="194B4364"/>
    <w:rsid w:val="19DF45AE"/>
    <w:rsid w:val="1A147DA1"/>
    <w:rsid w:val="1A564145"/>
    <w:rsid w:val="1A70446A"/>
    <w:rsid w:val="1BA333BA"/>
    <w:rsid w:val="1BC51582"/>
    <w:rsid w:val="1BCC0B62"/>
    <w:rsid w:val="1BDE43F2"/>
    <w:rsid w:val="1C305AEA"/>
    <w:rsid w:val="1D3E783E"/>
    <w:rsid w:val="1D56777E"/>
    <w:rsid w:val="1DA34EBE"/>
    <w:rsid w:val="1ED02718"/>
    <w:rsid w:val="1FFC12EA"/>
    <w:rsid w:val="20050FBC"/>
    <w:rsid w:val="21AE2AB8"/>
    <w:rsid w:val="21DA565B"/>
    <w:rsid w:val="22F56BF1"/>
    <w:rsid w:val="23BA6CF8"/>
    <w:rsid w:val="23DD54D0"/>
    <w:rsid w:val="2407582A"/>
    <w:rsid w:val="24294678"/>
    <w:rsid w:val="243E45C7"/>
    <w:rsid w:val="24727DCD"/>
    <w:rsid w:val="24827E18"/>
    <w:rsid w:val="25824FE5"/>
    <w:rsid w:val="261C26E6"/>
    <w:rsid w:val="261F47B0"/>
    <w:rsid w:val="26BD744C"/>
    <w:rsid w:val="26BE1CB8"/>
    <w:rsid w:val="26E17BDE"/>
    <w:rsid w:val="26FC4FA5"/>
    <w:rsid w:val="281A500B"/>
    <w:rsid w:val="28433F5A"/>
    <w:rsid w:val="288C387C"/>
    <w:rsid w:val="289C18BC"/>
    <w:rsid w:val="291735B9"/>
    <w:rsid w:val="29203D1F"/>
    <w:rsid w:val="2A092F82"/>
    <w:rsid w:val="2A0B0AA8"/>
    <w:rsid w:val="2A5A558B"/>
    <w:rsid w:val="2A93551D"/>
    <w:rsid w:val="2AC52913"/>
    <w:rsid w:val="2C3E1BDD"/>
    <w:rsid w:val="2C7D0FBC"/>
    <w:rsid w:val="2C892158"/>
    <w:rsid w:val="2C9254B0"/>
    <w:rsid w:val="2D0B7011"/>
    <w:rsid w:val="2D216834"/>
    <w:rsid w:val="2D426ED6"/>
    <w:rsid w:val="2D8D5C78"/>
    <w:rsid w:val="2DB9081B"/>
    <w:rsid w:val="2DE37067"/>
    <w:rsid w:val="2F060E7D"/>
    <w:rsid w:val="2F0F2DE8"/>
    <w:rsid w:val="2F4B1946"/>
    <w:rsid w:val="2F517D03"/>
    <w:rsid w:val="2F5C7FF7"/>
    <w:rsid w:val="303074BA"/>
    <w:rsid w:val="30AC28B9"/>
    <w:rsid w:val="31124E12"/>
    <w:rsid w:val="3115220C"/>
    <w:rsid w:val="31541D0B"/>
    <w:rsid w:val="33247CD6"/>
    <w:rsid w:val="336F402B"/>
    <w:rsid w:val="33841D5E"/>
    <w:rsid w:val="33B92E77"/>
    <w:rsid w:val="33C00B55"/>
    <w:rsid w:val="33D62126"/>
    <w:rsid w:val="351A05CF"/>
    <w:rsid w:val="355C665B"/>
    <w:rsid w:val="35942299"/>
    <w:rsid w:val="359F0C3E"/>
    <w:rsid w:val="35C91817"/>
    <w:rsid w:val="364E2F3D"/>
    <w:rsid w:val="37B02C8E"/>
    <w:rsid w:val="37BC5AD7"/>
    <w:rsid w:val="37C4673A"/>
    <w:rsid w:val="38231018"/>
    <w:rsid w:val="3875032D"/>
    <w:rsid w:val="38797524"/>
    <w:rsid w:val="39DA12C6"/>
    <w:rsid w:val="39DD0A1D"/>
    <w:rsid w:val="3A5F3290"/>
    <w:rsid w:val="3A83468A"/>
    <w:rsid w:val="3AA36ADA"/>
    <w:rsid w:val="3B3825A4"/>
    <w:rsid w:val="3B3A743F"/>
    <w:rsid w:val="3B416D4D"/>
    <w:rsid w:val="3E95498C"/>
    <w:rsid w:val="3F9E3891"/>
    <w:rsid w:val="40443AC7"/>
    <w:rsid w:val="409969B6"/>
    <w:rsid w:val="40CB0B39"/>
    <w:rsid w:val="42E61C5A"/>
    <w:rsid w:val="44A36BED"/>
    <w:rsid w:val="451505D5"/>
    <w:rsid w:val="461D2299"/>
    <w:rsid w:val="47E15034"/>
    <w:rsid w:val="4856407A"/>
    <w:rsid w:val="48847FFB"/>
    <w:rsid w:val="48D91E83"/>
    <w:rsid w:val="49112EE1"/>
    <w:rsid w:val="491D214E"/>
    <w:rsid w:val="496F0613"/>
    <w:rsid w:val="49B605D8"/>
    <w:rsid w:val="4A0621B7"/>
    <w:rsid w:val="4A123335"/>
    <w:rsid w:val="4A2C52C8"/>
    <w:rsid w:val="4A631DE2"/>
    <w:rsid w:val="4B217CD3"/>
    <w:rsid w:val="4B3A2B43"/>
    <w:rsid w:val="4B5D5C92"/>
    <w:rsid w:val="4BBE277F"/>
    <w:rsid w:val="4C2F4672"/>
    <w:rsid w:val="4C716A38"/>
    <w:rsid w:val="4C957214"/>
    <w:rsid w:val="4D243AAB"/>
    <w:rsid w:val="4D9E5CA8"/>
    <w:rsid w:val="4DF60FEC"/>
    <w:rsid w:val="4E823E01"/>
    <w:rsid w:val="4EDC61F0"/>
    <w:rsid w:val="4F8F3E16"/>
    <w:rsid w:val="500D0826"/>
    <w:rsid w:val="50B12FCF"/>
    <w:rsid w:val="515A0737"/>
    <w:rsid w:val="525941F7"/>
    <w:rsid w:val="52750905"/>
    <w:rsid w:val="53B4545D"/>
    <w:rsid w:val="548B737D"/>
    <w:rsid w:val="561072C2"/>
    <w:rsid w:val="565D28F6"/>
    <w:rsid w:val="57C82282"/>
    <w:rsid w:val="585D60C3"/>
    <w:rsid w:val="586456A3"/>
    <w:rsid w:val="58B101BD"/>
    <w:rsid w:val="59A0095D"/>
    <w:rsid w:val="5B2B24A8"/>
    <w:rsid w:val="5BC85B04"/>
    <w:rsid w:val="5CAB1AF3"/>
    <w:rsid w:val="5CB00EB7"/>
    <w:rsid w:val="5D600B2F"/>
    <w:rsid w:val="5DEA21A7"/>
    <w:rsid w:val="5E9B7945"/>
    <w:rsid w:val="5EC56770"/>
    <w:rsid w:val="5F3C4C84"/>
    <w:rsid w:val="60E90C3A"/>
    <w:rsid w:val="616D381B"/>
    <w:rsid w:val="61944EFC"/>
    <w:rsid w:val="61A22D98"/>
    <w:rsid w:val="61B70F80"/>
    <w:rsid w:val="61C54B0A"/>
    <w:rsid w:val="61DF5D9B"/>
    <w:rsid w:val="62067254"/>
    <w:rsid w:val="624B3430"/>
    <w:rsid w:val="62AC2121"/>
    <w:rsid w:val="62E25A20"/>
    <w:rsid w:val="6349021D"/>
    <w:rsid w:val="637D0D3C"/>
    <w:rsid w:val="638E3496"/>
    <w:rsid w:val="6413753B"/>
    <w:rsid w:val="643E324C"/>
    <w:rsid w:val="646D18AF"/>
    <w:rsid w:val="65717652"/>
    <w:rsid w:val="65CD2ADA"/>
    <w:rsid w:val="66625E23"/>
    <w:rsid w:val="66806C64"/>
    <w:rsid w:val="66DC6D4D"/>
    <w:rsid w:val="67580AC9"/>
    <w:rsid w:val="684C37A9"/>
    <w:rsid w:val="689F73A2"/>
    <w:rsid w:val="698D5183"/>
    <w:rsid w:val="69965CFB"/>
    <w:rsid w:val="69E27B32"/>
    <w:rsid w:val="6A9D00B4"/>
    <w:rsid w:val="6B8359E9"/>
    <w:rsid w:val="6C0B2879"/>
    <w:rsid w:val="6D7D4E4F"/>
    <w:rsid w:val="6DAB7F9D"/>
    <w:rsid w:val="6E5D42B4"/>
    <w:rsid w:val="6E625D89"/>
    <w:rsid w:val="6EFF5CCE"/>
    <w:rsid w:val="6F35716C"/>
    <w:rsid w:val="6F6F69B0"/>
    <w:rsid w:val="6F991C7F"/>
    <w:rsid w:val="707327C8"/>
    <w:rsid w:val="70F27898"/>
    <w:rsid w:val="70F80C27"/>
    <w:rsid w:val="70FF6BF9"/>
    <w:rsid w:val="71793B16"/>
    <w:rsid w:val="734343DB"/>
    <w:rsid w:val="73467A28"/>
    <w:rsid w:val="734E5C82"/>
    <w:rsid w:val="736A0201"/>
    <w:rsid w:val="741144D9"/>
    <w:rsid w:val="741D5387"/>
    <w:rsid w:val="756E5221"/>
    <w:rsid w:val="76543F77"/>
    <w:rsid w:val="76DF18DF"/>
    <w:rsid w:val="777A05E8"/>
    <w:rsid w:val="7A5C5D83"/>
    <w:rsid w:val="7A897F87"/>
    <w:rsid w:val="7BBF74F9"/>
    <w:rsid w:val="7C7C44BA"/>
    <w:rsid w:val="7C7D7DD5"/>
    <w:rsid w:val="7C9C2DAE"/>
    <w:rsid w:val="7CF60FEF"/>
    <w:rsid w:val="7DBB1012"/>
    <w:rsid w:val="7E21356B"/>
    <w:rsid w:val="7E4121CA"/>
    <w:rsid w:val="7E92713B"/>
    <w:rsid w:val="7EB7471D"/>
    <w:rsid w:val="7EFC7B34"/>
    <w:rsid w:val="7F0F5AB9"/>
    <w:rsid w:val="7FBE4DEA"/>
    <w:rsid w:val="7FDC1E3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cs="Times New Roman" w:asciiTheme="minorHAnsi" w:hAnsiTheme="minorHAnsi" w:eastAsiaTheme="minorEastAsia"/>
      <w:sz w:val="24"/>
      <w:szCs w:val="24"/>
      <w:lang w:val="en-US" w:eastAsia="zh-CN" w:bidi="ar-SA"/>
    </w:rPr>
  </w:style>
  <w:style w:type="paragraph" w:styleId="4">
    <w:name w:val="heading 1"/>
    <w:basedOn w:val="1"/>
    <w:next w:val="1"/>
    <w:link w:val="60"/>
    <w:qFormat/>
    <w:uiPriority w:val="9"/>
    <w:pPr>
      <w:spacing w:line="360" w:lineRule="auto"/>
      <w:jc w:val="center"/>
      <w:outlineLvl w:val="0"/>
    </w:pPr>
    <w:rPr>
      <w:rFonts w:ascii="方正小标宋_GBK" w:hAnsi="仿宋" w:eastAsia="方正小标宋_GBK"/>
      <w:sz w:val="44"/>
      <w:szCs w:val="44"/>
    </w:rPr>
  </w:style>
  <w:style w:type="paragraph" w:styleId="5">
    <w:name w:val="heading 2"/>
    <w:basedOn w:val="1"/>
    <w:next w:val="1"/>
    <w:link w:val="61"/>
    <w:unhideWhenUsed/>
    <w:qFormat/>
    <w:uiPriority w:val="9"/>
    <w:pPr>
      <w:spacing w:line="560" w:lineRule="exact"/>
      <w:ind w:firstLine="640" w:firstLineChars="200"/>
      <w:jc w:val="both"/>
      <w:outlineLvl w:val="1"/>
    </w:pPr>
    <w:rPr>
      <w:rFonts w:ascii="楷体" w:hAnsi="楷体" w:eastAsia="黑体"/>
      <w:sz w:val="32"/>
      <w:szCs w:val="32"/>
    </w:rPr>
  </w:style>
  <w:style w:type="paragraph" w:styleId="6">
    <w:name w:val="heading 3"/>
    <w:basedOn w:val="1"/>
    <w:next w:val="1"/>
    <w:link w:val="62"/>
    <w:unhideWhenUsed/>
    <w:qFormat/>
    <w:uiPriority w:val="9"/>
    <w:pPr>
      <w:spacing w:line="560" w:lineRule="exact"/>
      <w:jc w:val="center"/>
      <w:outlineLvl w:val="2"/>
    </w:pPr>
    <w:rPr>
      <w:rFonts w:ascii="方正小标宋_GBK" w:hAnsi="仿宋" w:eastAsia="方正小标宋_GBK"/>
      <w:sz w:val="36"/>
      <w:szCs w:val="36"/>
    </w:rPr>
  </w:style>
  <w:style w:type="paragraph" w:styleId="7">
    <w:name w:val="heading 4"/>
    <w:basedOn w:val="1"/>
    <w:next w:val="1"/>
    <w:link w:val="63"/>
    <w:semiHidden/>
    <w:unhideWhenUsed/>
    <w:qFormat/>
    <w:uiPriority w:val="9"/>
    <w:pPr>
      <w:keepNext/>
      <w:numPr>
        <w:ilvl w:val="3"/>
        <w:numId w:val="1"/>
      </w:numPr>
      <w:spacing w:before="240" w:after="60"/>
      <w:outlineLvl w:val="3"/>
    </w:pPr>
    <w:rPr>
      <w:rFonts w:cstheme="majorBidi"/>
      <w:b/>
      <w:bCs/>
      <w:sz w:val="28"/>
      <w:szCs w:val="28"/>
    </w:rPr>
  </w:style>
  <w:style w:type="paragraph" w:styleId="8">
    <w:name w:val="heading 5"/>
    <w:basedOn w:val="1"/>
    <w:next w:val="1"/>
    <w:link w:val="64"/>
    <w:semiHidden/>
    <w:unhideWhenUsed/>
    <w:qFormat/>
    <w:uiPriority w:val="9"/>
    <w:pPr>
      <w:numPr>
        <w:ilvl w:val="4"/>
        <w:numId w:val="1"/>
      </w:numPr>
      <w:spacing w:before="240" w:after="60"/>
      <w:outlineLvl w:val="4"/>
    </w:pPr>
    <w:rPr>
      <w:b/>
      <w:bCs/>
      <w:i/>
      <w:iCs/>
      <w:sz w:val="26"/>
      <w:szCs w:val="26"/>
    </w:rPr>
  </w:style>
  <w:style w:type="paragraph" w:styleId="9">
    <w:name w:val="heading 6"/>
    <w:basedOn w:val="1"/>
    <w:next w:val="1"/>
    <w:link w:val="65"/>
    <w:semiHidden/>
    <w:unhideWhenUsed/>
    <w:qFormat/>
    <w:uiPriority w:val="9"/>
    <w:pPr>
      <w:numPr>
        <w:ilvl w:val="5"/>
        <w:numId w:val="1"/>
      </w:numPr>
      <w:spacing w:before="240" w:after="60"/>
      <w:outlineLvl w:val="5"/>
    </w:pPr>
    <w:rPr>
      <w:rFonts w:cstheme="majorBidi"/>
      <w:b/>
      <w:bCs/>
      <w:sz w:val="22"/>
      <w:szCs w:val="22"/>
    </w:rPr>
  </w:style>
  <w:style w:type="paragraph" w:styleId="10">
    <w:name w:val="heading 7"/>
    <w:basedOn w:val="1"/>
    <w:next w:val="1"/>
    <w:link w:val="66"/>
    <w:semiHidden/>
    <w:unhideWhenUsed/>
    <w:qFormat/>
    <w:uiPriority w:val="9"/>
    <w:pPr>
      <w:numPr>
        <w:ilvl w:val="6"/>
        <w:numId w:val="1"/>
      </w:numPr>
      <w:spacing w:before="240" w:after="60"/>
      <w:outlineLvl w:val="6"/>
    </w:pPr>
  </w:style>
  <w:style w:type="paragraph" w:styleId="11">
    <w:name w:val="heading 8"/>
    <w:basedOn w:val="1"/>
    <w:next w:val="1"/>
    <w:link w:val="67"/>
    <w:semiHidden/>
    <w:unhideWhenUsed/>
    <w:qFormat/>
    <w:uiPriority w:val="9"/>
    <w:pPr>
      <w:numPr>
        <w:ilvl w:val="7"/>
        <w:numId w:val="1"/>
      </w:numPr>
      <w:spacing w:before="240" w:after="60"/>
      <w:outlineLvl w:val="7"/>
    </w:pPr>
    <w:rPr>
      <w:rFonts w:cstheme="majorBidi"/>
      <w:i/>
      <w:iCs/>
    </w:rPr>
  </w:style>
  <w:style w:type="paragraph" w:styleId="12">
    <w:name w:val="heading 9"/>
    <w:basedOn w:val="1"/>
    <w:next w:val="1"/>
    <w:link w:val="68"/>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480"/>
    </w:pPr>
    <w:rPr>
      <w:rFonts w:ascii="宋体" w:hAnsi="宋体"/>
    </w:rPr>
  </w:style>
  <w:style w:type="paragraph" w:styleId="13">
    <w:name w:val="caption"/>
    <w:basedOn w:val="1"/>
    <w:next w:val="1"/>
    <w:semiHidden/>
    <w:unhideWhenUsed/>
    <w:qFormat/>
    <w:uiPriority w:val="35"/>
    <w:rPr>
      <w:rFonts w:eastAsia="黑体" w:asciiTheme="majorHAnsi" w:hAnsiTheme="majorHAnsi" w:cstheme="majorBidi"/>
      <w:sz w:val="20"/>
      <w:szCs w:val="20"/>
    </w:rPr>
  </w:style>
  <w:style w:type="paragraph" w:styleId="14">
    <w:name w:val="Document Map"/>
    <w:basedOn w:val="1"/>
    <w:link w:val="92"/>
    <w:semiHidden/>
    <w:unhideWhenUsed/>
    <w:qFormat/>
    <w:uiPriority w:val="99"/>
    <w:pPr>
      <w:spacing w:line="400" w:lineRule="exact"/>
      <w:jc w:val="both"/>
    </w:pPr>
    <w:rPr>
      <w:rFonts w:ascii="宋体" w:hAnsi="Calibri Light" w:eastAsia="宋体" w:cs="Calibri Light"/>
      <w:kern w:val="2"/>
      <w:sz w:val="18"/>
      <w:szCs w:val="18"/>
    </w:rPr>
  </w:style>
  <w:style w:type="paragraph" w:styleId="15">
    <w:name w:val="annotation text"/>
    <w:basedOn w:val="1"/>
    <w:link w:val="84"/>
    <w:unhideWhenUsed/>
    <w:qFormat/>
    <w:uiPriority w:val="99"/>
    <w:pPr>
      <w:spacing w:line="400" w:lineRule="exact"/>
    </w:pPr>
    <w:rPr>
      <w:rFonts w:ascii="Calibri Light" w:hAnsi="Calibri Light" w:eastAsia="华文仿宋" w:cs="Calibri Light"/>
      <w:kern w:val="2"/>
      <w:sz w:val="28"/>
      <w:szCs w:val="28"/>
    </w:rPr>
  </w:style>
  <w:style w:type="paragraph" w:styleId="16">
    <w:name w:val="Body Text"/>
    <w:basedOn w:val="1"/>
    <w:next w:val="1"/>
    <w:unhideWhenUsed/>
    <w:qFormat/>
    <w:uiPriority w:val="99"/>
    <w:pPr>
      <w:spacing w:after="120"/>
    </w:pPr>
    <w:rPr>
      <w:rFonts w:eastAsia="Times New Roman"/>
    </w:rPr>
  </w:style>
  <w:style w:type="paragraph" w:styleId="17">
    <w:name w:val="Plain Text"/>
    <w:basedOn w:val="1"/>
    <w:qFormat/>
    <w:uiPriority w:val="0"/>
    <w:rPr>
      <w:rFonts w:ascii="宋体" w:hAnsi="Courier New"/>
      <w:szCs w:val="20"/>
    </w:rPr>
  </w:style>
  <w:style w:type="paragraph" w:styleId="18">
    <w:name w:val="Date"/>
    <w:basedOn w:val="1"/>
    <w:next w:val="1"/>
    <w:link w:val="57"/>
    <w:semiHidden/>
    <w:unhideWhenUsed/>
    <w:qFormat/>
    <w:uiPriority w:val="99"/>
    <w:pPr>
      <w:ind w:left="100" w:leftChars="2500"/>
    </w:pPr>
  </w:style>
  <w:style w:type="paragraph" w:styleId="19">
    <w:name w:val="Balloon Text"/>
    <w:basedOn w:val="1"/>
    <w:link w:val="83"/>
    <w:semiHidden/>
    <w:unhideWhenUsed/>
    <w:qFormat/>
    <w:uiPriority w:val="99"/>
    <w:rPr>
      <w:sz w:val="18"/>
      <w:szCs w:val="18"/>
    </w:rPr>
  </w:style>
  <w:style w:type="paragraph" w:styleId="20">
    <w:name w:val="footer"/>
    <w:basedOn w:val="1"/>
    <w:next w:val="16"/>
    <w:link w:val="59"/>
    <w:unhideWhenUsed/>
    <w:qFormat/>
    <w:uiPriority w:val="99"/>
    <w:pPr>
      <w:tabs>
        <w:tab w:val="center" w:pos="4153"/>
        <w:tab w:val="right" w:pos="8306"/>
      </w:tabs>
      <w:snapToGrid w:val="0"/>
      <w:spacing w:line="240" w:lineRule="atLeast"/>
    </w:pPr>
    <w:rPr>
      <w:sz w:val="18"/>
      <w:szCs w:val="18"/>
    </w:rPr>
  </w:style>
  <w:style w:type="paragraph" w:styleId="21">
    <w:name w:val="header"/>
    <w:basedOn w:val="1"/>
    <w:link w:val="58"/>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2">
    <w:name w:val="toc 1"/>
    <w:basedOn w:val="1"/>
    <w:next w:val="1"/>
    <w:unhideWhenUsed/>
    <w:qFormat/>
    <w:uiPriority w:val="39"/>
    <w:pPr>
      <w:spacing w:before="100" w:beforeLines="100" w:after="100" w:afterLines="100"/>
    </w:pPr>
    <w:rPr>
      <w:rFonts w:ascii="Calibri" w:hAnsi="Calibri" w:eastAsia="宋体"/>
      <w:kern w:val="32"/>
      <w:sz w:val="32"/>
    </w:rPr>
  </w:style>
  <w:style w:type="paragraph" w:styleId="23">
    <w:name w:val="Subtitle"/>
    <w:basedOn w:val="1"/>
    <w:next w:val="1"/>
    <w:link w:val="70"/>
    <w:qFormat/>
    <w:uiPriority w:val="11"/>
    <w:pPr>
      <w:keepNext/>
      <w:spacing w:before="50" w:beforeLines="50" w:after="50" w:afterLines="50"/>
      <w:jc w:val="center"/>
      <w:outlineLvl w:val="1"/>
    </w:pPr>
    <w:rPr>
      <w:rFonts w:ascii="Calibri" w:hAnsi="Calibri" w:eastAsia="黑体" w:cstheme="majorBidi"/>
      <w:sz w:val="32"/>
    </w:rPr>
  </w:style>
  <w:style w:type="paragraph" w:styleId="24">
    <w:name w:val="Normal (Web)"/>
    <w:basedOn w:val="1"/>
    <w:qFormat/>
    <w:uiPriority w:val="99"/>
    <w:rPr>
      <w:szCs w:val="24"/>
    </w:rPr>
  </w:style>
  <w:style w:type="paragraph" w:styleId="25">
    <w:name w:val="Title"/>
    <w:basedOn w:val="1"/>
    <w:next w:val="1"/>
    <w:link w:val="69"/>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26">
    <w:name w:val="annotation subject"/>
    <w:basedOn w:val="15"/>
    <w:next w:val="15"/>
    <w:link w:val="91"/>
    <w:semiHidden/>
    <w:unhideWhenUsed/>
    <w:qFormat/>
    <w:uiPriority w:val="99"/>
    <w:rPr>
      <w:b/>
      <w:bCs/>
    </w:rPr>
  </w:style>
  <w:style w:type="paragraph" w:styleId="27">
    <w:name w:val="Body Text First Indent"/>
    <w:basedOn w:val="16"/>
    <w:next w:val="2"/>
    <w:qFormat/>
    <w:uiPriority w:val="0"/>
    <w:pPr>
      <w:ind w:firstLine="420" w:firstLineChars="100"/>
    </w:p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page number"/>
    <w:qFormat/>
    <w:uiPriority w:val="0"/>
    <w:rPr>
      <w:rFonts w:ascii="Times New Roman" w:hAnsi="Times New Roman" w:eastAsia="宋体" w:cs="Times New Roman"/>
    </w:rPr>
  </w:style>
  <w:style w:type="character" w:styleId="33">
    <w:name w:val="FollowedHyperlink"/>
    <w:basedOn w:val="30"/>
    <w:semiHidden/>
    <w:unhideWhenUsed/>
    <w:qFormat/>
    <w:uiPriority w:val="99"/>
    <w:rPr>
      <w:color w:val="954F72" w:themeColor="followedHyperlink"/>
      <w:u w:val="single"/>
      <w14:textFill>
        <w14:solidFill>
          <w14:schemeClr w14:val="folHlink"/>
        </w14:solidFill>
      </w14:textFill>
    </w:rPr>
  </w:style>
  <w:style w:type="character" w:styleId="34">
    <w:name w:val="Emphasis"/>
    <w:basedOn w:val="30"/>
    <w:qFormat/>
    <w:uiPriority w:val="20"/>
    <w:rPr>
      <w:rFonts w:asciiTheme="minorHAnsi" w:hAnsiTheme="minorHAnsi"/>
      <w:b/>
      <w:i/>
      <w:iCs/>
    </w:rPr>
  </w:style>
  <w:style w:type="character" w:styleId="35">
    <w:name w:val="Hyperlink"/>
    <w:basedOn w:val="30"/>
    <w:unhideWhenUsed/>
    <w:qFormat/>
    <w:uiPriority w:val="99"/>
    <w:rPr>
      <w:color w:val="0563C1" w:themeColor="hyperlink"/>
      <w:u w:val="single"/>
      <w14:textFill>
        <w14:solidFill>
          <w14:schemeClr w14:val="hlink"/>
        </w14:solidFill>
      </w14:textFill>
    </w:rPr>
  </w:style>
  <w:style w:type="character" w:styleId="36">
    <w:name w:val="annotation reference"/>
    <w:basedOn w:val="30"/>
    <w:semiHidden/>
    <w:unhideWhenUsed/>
    <w:qFormat/>
    <w:uiPriority w:val="99"/>
    <w:rPr>
      <w:sz w:val="21"/>
      <w:szCs w:val="21"/>
    </w:rPr>
  </w:style>
  <w:style w:type="paragraph" w:customStyle="1" w:styleId="37">
    <w:name w:val="※封面大标题"/>
    <w:basedOn w:val="1"/>
    <w:next w:val="1"/>
    <w:qFormat/>
    <w:uiPriority w:val="0"/>
    <w:pPr>
      <w:jc w:val="center"/>
    </w:pPr>
    <w:rPr>
      <w:rFonts w:ascii="华文中宋" w:hAnsi="华文中宋" w:eastAsia="华文中宋"/>
      <w:sz w:val="96"/>
      <w:szCs w:val="96"/>
    </w:rPr>
  </w:style>
  <w:style w:type="paragraph" w:customStyle="1" w:styleId="38">
    <w:name w:val="※封面题颌"/>
    <w:basedOn w:val="1"/>
    <w:next w:val="1"/>
    <w:qFormat/>
    <w:uiPriority w:val="0"/>
    <w:pPr>
      <w:jc w:val="center"/>
    </w:pPr>
    <w:rPr>
      <w:rFonts w:ascii="Calibri Light" w:hAnsi="Calibri Light" w:eastAsia="华文仿宋"/>
      <w:sz w:val="36"/>
      <w:szCs w:val="36"/>
    </w:rPr>
  </w:style>
  <w:style w:type="paragraph" w:customStyle="1" w:styleId="39">
    <w:name w:val="※封面题眉"/>
    <w:basedOn w:val="1"/>
    <w:next w:val="37"/>
    <w:qFormat/>
    <w:uiPriority w:val="0"/>
    <w:pPr>
      <w:jc w:val="center"/>
    </w:pPr>
    <w:rPr>
      <w:rFonts w:ascii="华文仿宋" w:hAnsi="华文仿宋" w:eastAsia="华文仿宋"/>
      <w:sz w:val="52"/>
      <w:szCs w:val="28"/>
    </w:rPr>
  </w:style>
  <w:style w:type="paragraph" w:customStyle="1" w:styleId="40">
    <w:name w:val="※封面题须"/>
    <w:basedOn w:val="1"/>
    <w:qFormat/>
    <w:uiPriority w:val="0"/>
    <w:pPr>
      <w:ind w:left="850" w:leftChars="350" w:right="250" w:rightChars="250" w:hanging="500" w:hangingChars="500"/>
    </w:pPr>
    <w:rPr>
      <w:rFonts w:ascii="Calibri" w:hAnsi="Calibri" w:eastAsia="宋体"/>
      <w:sz w:val="36"/>
      <w:szCs w:val="36"/>
    </w:rPr>
  </w:style>
  <w:style w:type="paragraph" w:customStyle="1" w:styleId="41">
    <w:name w:val="※目录（次）"/>
    <w:basedOn w:val="1"/>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42">
    <w:name w:val="※目录（主）"/>
    <w:basedOn w:val="1"/>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43">
    <w:name w:val="※小标题 1"/>
    <w:basedOn w:val="1"/>
    <w:next w:val="1"/>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44">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45">
    <w:name w:val="※小标题 一"/>
    <w:basedOn w:val="44"/>
    <w:next w:val="44"/>
    <w:qFormat/>
    <w:uiPriority w:val="0"/>
    <w:pPr>
      <w:spacing w:before="120" w:line="240" w:lineRule="auto"/>
      <w:outlineLvl w:val="2"/>
    </w:pPr>
    <w:rPr>
      <w:b/>
      <w:color w:val="203864" w:themeColor="accent5" w:themeShade="80"/>
      <w:sz w:val="32"/>
    </w:rPr>
  </w:style>
  <w:style w:type="paragraph" w:customStyle="1" w:styleId="46">
    <w:name w:val="※小标题（1）"/>
    <w:basedOn w:val="1"/>
    <w:next w:val="44"/>
    <w:qFormat/>
    <w:uiPriority w:val="0"/>
    <w:pPr>
      <w:wordWrap w:val="0"/>
      <w:spacing w:line="400" w:lineRule="exact"/>
      <w:ind w:firstLine="200" w:firstLineChars="200"/>
      <w:outlineLvl w:val="5"/>
    </w:pPr>
    <w:rPr>
      <w:rFonts w:ascii="Calibri Light" w:hAnsi="Calibri Light" w:eastAsia="华文仿宋"/>
      <w:b/>
      <w:sz w:val="28"/>
      <w:szCs w:val="28"/>
    </w:rPr>
  </w:style>
  <w:style w:type="paragraph" w:customStyle="1" w:styleId="47">
    <w:name w:val="※小标题（一）"/>
    <w:basedOn w:val="1"/>
    <w:next w:val="44"/>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48">
    <w:name w:val="※页脚（横屏）"/>
    <w:basedOn w:val="1"/>
    <w:qFormat/>
    <w:uiPriority w:val="0"/>
    <w:pPr>
      <w:tabs>
        <w:tab w:val="center" w:pos="7000"/>
      </w:tabs>
      <w:wordWrap w:val="0"/>
      <w:spacing w:line="240" w:lineRule="atLeast"/>
    </w:pPr>
    <w:rPr>
      <w:rFonts w:ascii="宋体" w:hAnsi="宋体" w:eastAsia="宋体"/>
      <w:sz w:val="18"/>
      <w:szCs w:val="18"/>
    </w:rPr>
  </w:style>
  <w:style w:type="paragraph" w:customStyle="1" w:styleId="49">
    <w:name w:val="※页脚（竖屏）"/>
    <w:basedOn w:val="1"/>
    <w:qFormat/>
    <w:uiPriority w:val="0"/>
    <w:pPr>
      <w:tabs>
        <w:tab w:val="center" w:pos="4536"/>
      </w:tabs>
      <w:wordWrap w:val="0"/>
      <w:spacing w:line="240" w:lineRule="atLeast"/>
    </w:pPr>
    <w:rPr>
      <w:rFonts w:ascii="宋体" w:hAnsi="宋体" w:eastAsia="宋体"/>
      <w:sz w:val="18"/>
      <w:szCs w:val="18"/>
    </w:rPr>
  </w:style>
  <w:style w:type="paragraph" w:customStyle="1" w:styleId="50">
    <w:name w:val="※页眉"/>
    <w:basedOn w:val="44"/>
    <w:qFormat/>
    <w:uiPriority w:val="0"/>
    <w:pPr>
      <w:pBdr>
        <w:bottom w:val="single" w:color="auto" w:sz="4" w:space="1"/>
      </w:pBdr>
      <w:spacing w:line="240" w:lineRule="atLeast"/>
      <w:jc w:val="right"/>
    </w:pPr>
    <w:rPr>
      <w:rFonts w:ascii="宋体" w:hAnsi="宋体" w:eastAsia="宋体"/>
      <w:sz w:val="18"/>
    </w:rPr>
  </w:style>
  <w:style w:type="paragraph" w:customStyle="1" w:styleId="51">
    <w:name w:val="※章节标题（第X章）"/>
    <w:basedOn w:val="1"/>
    <w:qFormat/>
    <w:uiPriority w:val="0"/>
    <w:pPr>
      <w:jc w:val="center"/>
      <w:outlineLvl w:val="0"/>
    </w:pPr>
    <w:rPr>
      <w:rFonts w:ascii="Calibri Light" w:hAnsi="Calibri Light" w:eastAsia="黑体"/>
      <w:sz w:val="36"/>
      <w:szCs w:val="28"/>
    </w:rPr>
  </w:style>
  <w:style w:type="paragraph" w:customStyle="1" w:styleId="52">
    <w:name w:val="※章节标题（第Y部分）"/>
    <w:basedOn w:val="1"/>
    <w:next w:val="1"/>
    <w:qFormat/>
    <w:uiPriority w:val="0"/>
    <w:pPr>
      <w:jc w:val="center"/>
      <w:outlineLvl w:val="1"/>
    </w:pPr>
    <w:rPr>
      <w:rFonts w:ascii="Calibri Light" w:hAnsi="Calibri Light" w:eastAsia="黑体"/>
      <w:color w:val="1F4E79" w:themeColor="accent1" w:themeShade="80"/>
      <w:sz w:val="32"/>
      <w:szCs w:val="36"/>
    </w:rPr>
  </w:style>
  <w:style w:type="paragraph" w:customStyle="1" w:styleId="53">
    <w:name w:val="※章节标题（第Z部分分项）"/>
    <w:basedOn w:val="52"/>
    <w:qFormat/>
    <w:uiPriority w:val="0"/>
    <w:pPr>
      <w:outlineLvl w:val="2"/>
    </w:pPr>
  </w:style>
  <w:style w:type="paragraph" w:customStyle="1" w:styleId="54">
    <w:name w:val="※正文（落款）"/>
    <w:basedOn w:val="1"/>
    <w:qFormat/>
    <w:uiPriority w:val="0"/>
    <w:pPr>
      <w:tabs>
        <w:tab w:val="center" w:pos="6663"/>
      </w:tabs>
      <w:wordWrap w:val="0"/>
      <w:spacing w:line="240" w:lineRule="atLeast"/>
    </w:pPr>
    <w:rPr>
      <w:rFonts w:ascii="Calibri Light" w:hAnsi="Calibri Light" w:eastAsia="华文仿宋"/>
      <w:sz w:val="28"/>
      <w:szCs w:val="28"/>
    </w:rPr>
  </w:style>
  <w:style w:type="paragraph" w:customStyle="1" w:styleId="55">
    <w:name w:val="※正文（缩进2）"/>
    <w:basedOn w:val="44"/>
    <w:qFormat/>
    <w:uiPriority w:val="0"/>
    <w:pPr>
      <w:ind w:firstLine="200" w:firstLineChars="200"/>
    </w:pPr>
  </w:style>
  <w:style w:type="paragraph" w:customStyle="1" w:styleId="56">
    <w:name w:val="※正文（缩进4）"/>
    <w:basedOn w:val="44"/>
    <w:qFormat/>
    <w:uiPriority w:val="0"/>
    <w:pPr>
      <w:ind w:firstLine="400" w:firstLineChars="400"/>
    </w:pPr>
  </w:style>
  <w:style w:type="character" w:customStyle="1" w:styleId="57">
    <w:name w:val="日期 字符"/>
    <w:basedOn w:val="30"/>
    <w:link w:val="18"/>
    <w:semiHidden/>
    <w:qFormat/>
    <w:uiPriority w:val="99"/>
    <w:rPr>
      <w:rFonts w:ascii="华文仿宋" w:hAnsi="华文仿宋" w:eastAsia="华文仿宋"/>
      <w:sz w:val="28"/>
      <w:szCs w:val="28"/>
    </w:rPr>
  </w:style>
  <w:style w:type="character" w:customStyle="1" w:styleId="58">
    <w:name w:val="页眉 字符"/>
    <w:basedOn w:val="30"/>
    <w:link w:val="21"/>
    <w:qFormat/>
    <w:uiPriority w:val="0"/>
    <w:rPr>
      <w:rFonts w:ascii="华文仿宋" w:hAnsi="华文仿宋" w:eastAsia="华文仿宋"/>
      <w:sz w:val="18"/>
      <w:szCs w:val="18"/>
    </w:rPr>
  </w:style>
  <w:style w:type="character" w:customStyle="1" w:styleId="59">
    <w:name w:val="页脚 字符"/>
    <w:basedOn w:val="30"/>
    <w:link w:val="20"/>
    <w:qFormat/>
    <w:uiPriority w:val="99"/>
    <w:rPr>
      <w:rFonts w:ascii="华文仿宋" w:hAnsi="华文仿宋" w:eastAsia="华文仿宋"/>
      <w:sz w:val="18"/>
      <w:szCs w:val="18"/>
    </w:rPr>
  </w:style>
  <w:style w:type="character" w:customStyle="1" w:styleId="60">
    <w:name w:val="标题 1 字符"/>
    <w:basedOn w:val="30"/>
    <w:link w:val="4"/>
    <w:qFormat/>
    <w:uiPriority w:val="9"/>
    <w:rPr>
      <w:rFonts w:ascii="方正小标宋_GBK" w:hAnsi="仿宋" w:eastAsia="方正小标宋_GBK"/>
      <w:sz w:val="44"/>
      <w:szCs w:val="44"/>
    </w:rPr>
  </w:style>
  <w:style w:type="character" w:customStyle="1" w:styleId="61">
    <w:name w:val="标题 2 字符"/>
    <w:basedOn w:val="30"/>
    <w:link w:val="5"/>
    <w:qFormat/>
    <w:uiPriority w:val="9"/>
    <w:rPr>
      <w:rFonts w:ascii="楷体" w:hAnsi="楷体" w:eastAsia="黑体"/>
      <w:sz w:val="32"/>
      <w:szCs w:val="32"/>
    </w:rPr>
  </w:style>
  <w:style w:type="character" w:customStyle="1" w:styleId="62">
    <w:name w:val="标题 3 字符"/>
    <w:basedOn w:val="30"/>
    <w:link w:val="6"/>
    <w:qFormat/>
    <w:uiPriority w:val="9"/>
    <w:rPr>
      <w:rFonts w:ascii="方正小标宋_GBK" w:hAnsi="仿宋" w:eastAsia="方正小标宋_GBK"/>
      <w:sz w:val="36"/>
      <w:szCs w:val="36"/>
    </w:rPr>
  </w:style>
  <w:style w:type="character" w:customStyle="1" w:styleId="63">
    <w:name w:val="标题 4 字符"/>
    <w:basedOn w:val="30"/>
    <w:link w:val="7"/>
    <w:semiHidden/>
    <w:qFormat/>
    <w:uiPriority w:val="9"/>
    <w:rPr>
      <w:rFonts w:cstheme="majorBidi"/>
      <w:b/>
      <w:bCs/>
      <w:sz w:val="28"/>
      <w:szCs w:val="28"/>
    </w:rPr>
  </w:style>
  <w:style w:type="character" w:customStyle="1" w:styleId="64">
    <w:name w:val="标题 5 字符"/>
    <w:basedOn w:val="30"/>
    <w:link w:val="8"/>
    <w:semiHidden/>
    <w:qFormat/>
    <w:uiPriority w:val="9"/>
    <w:rPr>
      <w:b/>
      <w:bCs/>
      <w:i/>
      <w:iCs/>
      <w:sz w:val="26"/>
      <w:szCs w:val="26"/>
    </w:rPr>
  </w:style>
  <w:style w:type="character" w:customStyle="1" w:styleId="65">
    <w:name w:val="标题 6 字符"/>
    <w:basedOn w:val="30"/>
    <w:link w:val="9"/>
    <w:semiHidden/>
    <w:qFormat/>
    <w:uiPriority w:val="9"/>
    <w:rPr>
      <w:rFonts w:cstheme="majorBidi"/>
      <w:b/>
      <w:bCs/>
    </w:rPr>
  </w:style>
  <w:style w:type="character" w:customStyle="1" w:styleId="66">
    <w:name w:val="标题 7 字符"/>
    <w:basedOn w:val="30"/>
    <w:link w:val="10"/>
    <w:semiHidden/>
    <w:qFormat/>
    <w:uiPriority w:val="9"/>
    <w:rPr>
      <w:sz w:val="24"/>
      <w:szCs w:val="24"/>
    </w:rPr>
  </w:style>
  <w:style w:type="character" w:customStyle="1" w:styleId="67">
    <w:name w:val="标题 8 字符"/>
    <w:basedOn w:val="30"/>
    <w:link w:val="11"/>
    <w:semiHidden/>
    <w:qFormat/>
    <w:uiPriority w:val="9"/>
    <w:rPr>
      <w:rFonts w:cstheme="majorBidi"/>
      <w:i/>
      <w:iCs/>
      <w:sz w:val="24"/>
      <w:szCs w:val="24"/>
    </w:rPr>
  </w:style>
  <w:style w:type="character" w:customStyle="1" w:styleId="68">
    <w:name w:val="标题 9 字符"/>
    <w:basedOn w:val="30"/>
    <w:link w:val="12"/>
    <w:semiHidden/>
    <w:qFormat/>
    <w:uiPriority w:val="9"/>
    <w:rPr>
      <w:rFonts w:asciiTheme="majorHAnsi" w:hAnsiTheme="majorHAnsi" w:eastAsiaTheme="majorEastAsia" w:cstheme="majorBidi"/>
    </w:rPr>
  </w:style>
  <w:style w:type="character" w:customStyle="1" w:styleId="69">
    <w:name w:val="标题 字符"/>
    <w:basedOn w:val="30"/>
    <w:link w:val="25"/>
    <w:qFormat/>
    <w:uiPriority w:val="10"/>
    <w:rPr>
      <w:rFonts w:asciiTheme="majorHAnsi" w:hAnsiTheme="majorHAnsi" w:eastAsiaTheme="majorEastAsia" w:cstheme="majorBidi"/>
      <w:b/>
      <w:bCs/>
      <w:kern w:val="28"/>
      <w:sz w:val="32"/>
      <w:szCs w:val="32"/>
    </w:rPr>
  </w:style>
  <w:style w:type="character" w:customStyle="1" w:styleId="70">
    <w:name w:val="副标题 字符"/>
    <w:basedOn w:val="30"/>
    <w:link w:val="23"/>
    <w:qFormat/>
    <w:uiPriority w:val="11"/>
    <w:rPr>
      <w:rFonts w:ascii="Calibri" w:hAnsi="Calibri" w:eastAsia="黑体" w:cstheme="majorBidi"/>
      <w:sz w:val="32"/>
      <w:szCs w:val="24"/>
    </w:rPr>
  </w:style>
  <w:style w:type="paragraph" w:styleId="71">
    <w:name w:val="No Spacing"/>
    <w:basedOn w:val="1"/>
    <w:qFormat/>
    <w:uiPriority w:val="1"/>
    <w:rPr>
      <w:szCs w:val="32"/>
    </w:rPr>
  </w:style>
  <w:style w:type="paragraph" w:styleId="72">
    <w:name w:val="List Paragraph"/>
    <w:basedOn w:val="1"/>
    <w:qFormat/>
    <w:uiPriority w:val="0"/>
    <w:pPr>
      <w:ind w:left="720"/>
      <w:contextualSpacing/>
    </w:pPr>
  </w:style>
  <w:style w:type="paragraph" w:styleId="73">
    <w:name w:val="Quote"/>
    <w:basedOn w:val="1"/>
    <w:next w:val="1"/>
    <w:link w:val="74"/>
    <w:qFormat/>
    <w:uiPriority w:val="29"/>
    <w:rPr>
      <w:i/>
    </w:rPr>
  </w:style>
  <w:style w:type="character" w:customStyle="1" w:styleId="74">
    <w:name w:val="引用 字符"/>
    <w:basedOn w:val="30"/>
    <w:link w:val="73"/>
    <w:qFormat/>
    <w:uiPriority w:val="29"/>
    <w:rPr>
      <w:i/>
      <w:sz w:val="24"/>
      <w:szCs w:val="24"/>
    </w:rPr>
  </w:style>
  <w:style w:type="paragraph" w:styleId="75">
    <w:name w:val="Intense Quote"/>
    <w:basedOn w:val="1"/>
    <w:next w:val="1"/>
    <w:link w:val="76"/>
    <w:qFormat/>
    <w:uiPriority w:val="30"/>
    <w:pPr>
      <w:ind w:left="720" w:right="720"/>
    </w:pPr>
    <w:rPr>
      <w:b/>
      <w:i/>
      <w:szCs w:val="22"/>
    </w:rPr>
  </w:style>
  <w:style w:type="character" w:customStyle="1" w:styleId="76">
    <w:name w:val="明显引用 字符"/>
    <w:basedOn w:val="30"/>
    <w:link w:val="75"/>
    <w:qFormat/>
    <w:uiPriority w:val="30"/>
    <w:rPr>
      <w:b/>
      <w:i/>
      <w:sz w:val="24"/>
    </w:rPr>
  </w:style>
  <w:style w:type="character" w:customStyle="1" w:styleId="77">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78">
    <w:name w:val="Intense Emphasis"/>
    <w:basedOn w:val="30"/>
    <w:qFormat/>
    <w:uiPriority w:val="21"/>
    <w:rPr>
      <w:b/>
      <w:i/>
      <w:sz w:val="24"/>
      <w:szCs w:val="24"/>
      <w:u w:val="single"/>
    </w:rPr>
  </w:style>
  <w:style w:type="character" w:customStyle="1" w:styleId="79">
    <w:name w:val="Subtle Reference"/>
    <w:basedOn w:val="30"/>
    <w:qFormat/>
    <w:uiPriority w:val="31"/>
    <w:rPr>
      <w:sz w:val="24"/>
      <w:szCs w:val="24"/>
      <w:u w:val="single"/>
    </w:rPr>
  </w:style>
  <w:style w:type="character" w:customStyle="1" w:styleId="80">
    <w:name w:val="Intense Reference"/>
    <w:basedOn w:val="30"/>
    <w:qFormat/>
    <w:uiPriority w:val="32"/>
    <w:rPr>
      <w:b/>
      <w:sz w:val="24"/>
      <w:u w:val="single"/>
    </w:rPr>
  </w:style>
  <w:style w:type="character" w:customStyle="1" w:styleId="81">
    <w:name w:val="Book Title"/>
    <w:basedOn w:val="30"/>
    <w:qFormat/>
    <w:uiPriority w:val="33"/>
    <w:rPr>
      <w:rFonts w:asciiTheme="majorHAnsi" w:hAnsiTheme="majorHAnsi" w:eastAsiaTheme="majorEastAsia"/>
      <w:b/>
      <w:i/>
      <w:sz w:val="24"/>
      <w:szCs w:val="24"/>
    </w:rPr>
  </w:style>
  <w:style w:type="paragraph" w:customStyle="1" w:styleId="82">
    <w:name w:val="TOC Heading"/>
    <w:basedOn w:val="4"/>
    <w:next w:val="1"/>
    <w:semiHidden/>
    <w:unhideWhenUsed/>
    <w:qFormat/>
    <w:uiPriority w:val="39"/>
    <w:pPr>
      <w:outlineLvl w:val="9"/>
    </w:pPr>
  </w:style>
  <w:style w:type="character" w:customStyle="1" w:styleId="83">
    <w:name w:val="批注框文本 字符"/>
    <w:basedOn w:val="30"/>
    <w:link w:val="19"/>
    <w:semiHidden/>
    <w:qFormat/>
    <w:uiPriority w:val="99"/>
    <w:rPr>
      <w:sz w:val="18"/>
      <w:szCs w:val="18"/>
    </w:rPr>
  </w:style>
  <w:style w:type="character" w:customStyle="1" w:styleId="84">
    <w:name w:val="批注文字 字符"/>
    <w:basedOn w:val="30"/>
    <w:link w:val="15"/>
    <w:qFormat/>
    <w:uiPriority w:val="99"/>
    <w:rPr>
      <w:rFonts w:ascii="Calibri Light" w:hAnsi="Calibri Light" w:eastAsia="华文仿宋" w:cs="Calibri Light"/>
      <w:kern w:val="2"/>
      <w:sz w:val="28"/>
      <w:szCs w:val="28"/>
    </w:rPr>
  </w:style>
  <w:style w:type="paragraph" w:customStyle="1" w:styleId="85">
    <w:name w:val="@正文"/>
    <w:basedOn w:val="44"/>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86">
    <w:name w:val="@一级小标题"/>
    <w:basedOn w:val="1"/>
    <w:next w:val="85"/>
    <w:qFormat/>
    <w:uiPriority w:val="0"/>
    <w:pPr>
      <w:keepNext/>
      <w:spacing w:before="120" w:after="60"/>
      <w:outlineLvl w:val="2"/>
    </w:pPr>
    <w:rPr>
      <w:rFonts w:ascii="Calibri" w:hAnsi="Calibri" w:eastAsia="黑体"/>
      <w:kern w:val="28"/>
      <w:sz w:val="28"/>
    </w:rPr>
  </w:style>
  <w:style w:type="paragraph" w:customStyle="1" w:styleId="87">
    <w:name w:val="@标题"/>
    <w:basedOn w:val="1"/>
    <w:next w:val="85"/>
    <w:qFormat/>
    <w:uiPriority w:val="0"/>
    <w:pPr>
      <w:keepNext/>
      <w:spacing w:before="50" w:beforeLines="50" w:after="50" w:afterLines="50"/>
      <w:jc w:val="center"/>
      <w:outlineLvl w:val="1"/>
    </w:pPr>
    <w:rPr>
      <w:rFonts w:ascii="Calibri" w:hAnsi="Calibri" w:eastAsia="黑体"/>
      <w:kern w:val="32"/>
      <w:sz w:val="32"/>
    </w:rPr>
  </w:style>
  <w:style w:type="table" w:customStyle="1" w:styleId="88">
    <w:name w:val="网格型1"/>
    <w:basedOn w:val="28"/>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9">
    <w:name w:val="页眉 Char1"/>
    <w:basedOn w:val="30"/>
    <w:semiHidden/>
    <w:qFormat/>
    <w:uiPriority w:val="99"/>
    <w:rPr>
      <w:rFonts w:cs="Calibri Light"/>
      <w:sz w:val="18"/>
      <w:szCs w:val="18"/>
    </w:rPr>
  </w:style>
  <w:style w:type="character" w:customStyle="1" w:styleId="90">
    <w:name w:val="页脚 Char1"/>
    <w:basedOn w:val="30"/>
    <w:semiHidden/>
    <w:qFormat/>
    <w:uiPriority w:val="99"/>
    <w:rPr>
      <w:rFonts w:cs="Calibri Light"/>
      <w:sz w:val="18"/>
      <w:szCs w:val="18"/>
    </w:rPr>
  </w:style>
  <w:style w:type="character" w:customStyle="1" w:styleId="91">
    <w:name w:val="批注主题 字符"/>
    <w:basedOn w:val="84"/>
    <w:link w:val="26"/>
    <w:semiHidden/>
    <w:qFormat/>
    <w:uiPriority w:val="99"/>
    <w:rPr>
      <w:rFonts w:ascii="Calibri Light" w:hAnsi="Calibri Light" w:eastAsia="华文仿宋" w:cs="Calibri Light"/>
      <w:b/>
      <w:bCs/>
      <w:kern w:val="2"/>
      <w:sz w:val="28"/>
      <w:szCs w:val="28"/>
    </w:rPr>
  </w:style>
  <w:style w:type="character" w:customStyle="1" w:styleId="92">
    <w:name w:val="文档结构图 字符"/>
    <w:basedOn w:val="30"/>
    <w:link w:val="14"/>
    <w:semiHidden/>
    <w:qFormat/>
    <w:uiPriority w:val="99"/>
    <w:rPr>
      <w:rFonts w:ascii="宋体" w:hAnsi="Calibri Light" w:eastAsia="宋体" w:cs="Calibri Light"/>
      <w:kern w:val="2"/>
      <w:sz w:val="18"/>
      <w:szCs w:val="18"/>
    </w:rPr>
  </w:style>
  <w:style w:type="character" w:styleId="93">
    <w:name w:val="Placeholder Text"/>
    <w:basedOn w:val="30"/>
    <w:semiHidden/>
    <w:qFormat/>
    <w:uiPriority w:val="99"/>
    <w:rPr>
      <w:color w:val="808080"/>
    </w:rPr>
  </w:style>
  <w:style w:type="character" w:customStyle="1" w:styleId="94">
    <w:name w:val="Unresolved Mention"/>
    <w:basedOn w:val="30"/>
    <w:semiHidden/>
    <w:unhideWhenUsed/>
    <w:qFormat/>
    <w:uiPriority w:val="99"/>
    <w:rPr>
      <w:color w:val="605E5C"/>
      <w:shd w:val="clear" w:color="auto" w:fill="E1DFDD"/>
    </w:rPr>
  </w:style>
  <w:style w:type="paragraph" w:customStyle="1" w:styleId="95">
    <w:name w:val="样式1"/>
    <w:basedOn w:val="6"/>
    <w:link w:val="97"/>
    <w:qFormat/>
    <w:uiPriority w:val="0"/>
    <w:pPr>
      <w:jc w:val="left"/>
    </w:pPr>
    <w:rPr>
      <w:rFonts w:eastAsia="楷体"/>
      <w:sz w:val="32"/>
    </w:rPr>
  </w:style>
  <w:style w:type="paragraph" w:customStyle="1" w:styleId="96">
    <w:name w:val="样式2"/>
    <w:basedOn w:val="87"/>
    <w:link w:val="99"/>
    <w:qFormat/>
    <w:uiPriority w:val="0"/>
    <w:pPr>
      <w:spacing w:line="560" w:lineRule="exact"/>
      <w:ind w:firstLine="643" w:firstLineChars="200"/>
      <w:jc w:val="both"/>
    </w:pPr>
    <w:rPr>
      <w:rFonts w:ascii="仿宋_GB2312" w:hAnsi="仿宋" w:eastAsia="仿宋_GB2312"/>
      <w:b/>
      <w:bCs/>
      <w:szCs w:val="32"/>
    </w:rPr>
  </w:style>
  <w:style w:type="character" w:customStyle="1" w:styleId="97">
    <w:name w:val="样式1 字符"/>
    <w:basedOn w:val="61"/>
    <w:link w:val="95"/>
    <w:qFormat/>
    <w:uiPriority w:val="0"/>
    <w:rPr>
      <w:rFonts w:ascii="方正小标宋_GBK" w:hAnsi="仿宋" w:eastAsia="楷体"/>
      <w:sz w:val="32"/>
      <w:szCs w:val="36"/>
    </w:rPr>
  </w:style>
  <w:style w:type="paragraph" w:customStyle="1" w:styleId="98">
    <w:name w:val="样式3"/>
    <w:basedOn w:val="1"/>
    <w:link w:val="100"/>
    <w:qFormat/>
    <w:uiPriority w:val="0"/>
    <w:pPr>
      <w:spacing w:line="560" w:lineRule="exact"/>
      <w:jc w:val="center"/>
    </w:pPr>
    <w:rPr>
      <w:rFonts w:ascii="方正小标宋_GBK" w:hAnsi="仿宋" w:eastAsia="方正小标宋_GBK"/>
      <w:sz w:val="36"/>
      <w:szCs w:val="36"/>
    </w:rPr>
  </w:style>
  <w:style w:type="character" w:customStyle="1" w:styleId="99">
    <w:name w:val="样式2 字符"/>
    <w:basedOn w:val="30"/>
    <w:link w:val="96"/>
    <w:qFormat/>
    <w:uiPriority w:val="0"/>
    <w:rPr>
      <w:rFonts w:ascii="仿宋_GB2312" w:hAnsi="仿宋" w:eastAsia="仿宋_GB2312"/>
      <w:b/>
      <w:bCs/>
      <w:kern w:val="32"/>
      <w:sz w:val="32"/>
      <w:szCs w:val="32"/>
    </w:rPr>
  </w:style>
  <w:style w:type="character" w:customStyle="1" w:styleId="100">
    <w:name w:val="样式3 字符"/>
    <w:basedOn w:val="30"/>
    <w:link w:val="98"/>
    <w:qFormat/>
    <w:uiPriority w:val="0"/>
    <w:rPr>
      <w:rFonts w:ascii="方正小标宋_GBK" w:hAnsi="仿宋" w:eastAsia="方正小标宋_GBK"/>
      <w:sz w:val="36"/>
      <w:szCs w:val="36"/>
    </w:rPr>
  </w:style>
  <w:style w:type="paragraph" w:customStyle="1" w:styleId="10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102">
    <w:name w:val="p15"/>
    <w:basedOn w:val="1"/>
    <w:qFormat/>
    <w:uiPriority w:val="99"/>
    <w:pPr>
      <w:widowControl/>
    </w:pPr>
    <w:rPr>
      <w:kern w:val="0"/>
      <w:sz w:val="21"/>
      <w:szCs w:val="21"/>
    </w:rPr>
  </w:style>
  <w:style w:type="paragraph" w:customStyle="1" w:styleId="103">
    <w:name w:val="正文 New"/>
    <w:qFormat/>
    <w:uiPriority w:val="99"/>
    <w:pPr>
      <w:widowControl w:val="0"/>
      <w:jc w:val="both"/>
    </w:pPr>
    <w:rPr>
      <w:rFonts w:ascii="Times New Roman" w:hAnsi="Times New Roman" w:eastAsia="宋体" w:cs="Times New Roman"/>
      <w:lang w:val="en-US" w:eastAsia="zh-CN" w:bidi="ar-SA"/>
    </w:rPr>
  </w:style>
  <w:style w:type="paragraph" w:customStyle="1" w:styleId="104">
    <w:name w:val="tit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5">
    <w:name w:val="WPSOffice手动目录 1"/>
    <w:qFormat/>
    <w:uiPriority w:val="0"/>
    <w:pPr>
      <w:ind w:leftChars="0"/>
    </w:pPr>
    <w:rPr>
      <w:rFonts w:ascii="Times New Roman" w:hAnsi="Times New Roman" w:eastAsia="宋体" w:cs="Times New Roman"/>
      <w:sz w:val="20"/>
      <w:szCs w:val="20"/>
    </w:rPr>
  </w:style>
  <w:style w:type="paragraph" w:customStyle="1" w:styleId="106">
    <w:name w:val="WPSOffice手动目录 2"/>
    <w:qFormat/>
    <w:uiPriority w:val="0"/>
    <w:pPr>
      <w:ind w:leftChars="200"/>
    </w:pPr>
    <w:rPr>
      <w:rFonts w:ascii="Times New Roman" w:hAnsi="Times New Roman" w:eastAsia="宋体" w:cs="Times New Roman"/>
      <w:sz w:val="20"/>
      <w:szCs w:val="20"/>
    </w:rPr>
  </w:style>
  <w:style w:type="paragraph" w:customStyle="1" w:styleId="107">
    <w:name w:val="WPSOffice手动目录 3"/>
    <w:qFormat/>
    <w:uiPriority w:val="0"/>
    <w:pPr>
      <w:ind w:leftChars="400"/>
    </w:pPr>
    <w:rPr>
      <w:rFonts w:ascii="Times New Roman" w:hAnsi="Times New Roman" w:eastAsia="宋体" w:cs="Times New Roman"/>
      <w:sz w:val="20"/>
      <w:szCs w:val="20"/>
    </w:rPr>
  </w:style>
  <w:style w:type="paragraph" w:customStyle="1" w:styleId="10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823A8D-A678-4E48-B7B4-2C97FA0C4A8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78</Pages>
  <Words>31392</Words>
  <Characters>33605</Characters>
  <Lines>1035</Lines>
  <Paragraphs>716</Paragraphs>
  <TotalTime>48</TotalTime>
  <ScaleCrop>false</ScaleCrop>
  <LinksUpToDate>false</LinksUpToDate>
  <CharactersWithSpaces>34456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2022-04-07T08:51:00Z</dcterms:created>
  <dc:creator>lenovo</dc:creator>
  <cp:lastModifiedBy>宝@老头</cp:lastModifiedBy>
  <cp:lastPrinted>2022-04-09T07:59:00Z</cp:lastPrinted>
  <dcterms:modified xsi:type="dcterms:W3CDTF">2023-06-07T07:58:15Z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05EDD0F39F94416EB476F789BA83EF5C</vt:lpwstr>
  </property>
</Properties>
</file>