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sz w:val="24"/>
          <w:szCs w:val="24"/>
        </w:rPr>
      </w:pPr>
      <w:r>
        <w:rPr>
          <w:rFonts w:hint="eastAsia" w:ascii="宋体" w:hAnsi="宋体"/>
          <w:b/>
          <w:sz w:val="44"/>
          <w:szCs w:val="44"/>
        </w:rPr>
        <w:t xml:space="preserve">                        </w:t>
      </w:r>
    </w:p>
    <w:p>
      <w:pPr>
        <w:pStyle w:val="7"/>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采购项目编号：YC23103002（CGQ）</w:t>
      </w:r>
    </w:p>
    <w:p/>
    <w:p>
      <w:pPr>
        <w:spacing w:line="360" w:lineRule="atLeast"/>
        <w:jc w:val="center"/>
        <w:rPr>
          <w:rFonts w:asciiTheme="minorEastAsia" w:hAnsiTheme="minorEastAsia" w:eastAsiaTheme="minorEastAsia" w:cstheme="minorEastAsia"/>
          <w:b/>
          <w:sz w:val="44"/>
          <w:szCs w:val="44"/>
        </w:rPr>
      </w:pPr>
    </w:p>
    <w:p>
      <w:pPr>
        <w:spacing w:line="360" w:lineRule="atLeast"/>
        <w:jc w:val="center"/>
        <w:rPr>
          <w:rFonts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西安市临潼区2023年防返贫监测</w:t>
      </w:r>
    </w:p>
    <w:p>
      <w:pPr>
        <w:spacing w:line="360" w:lineRule="atLeast"/>
        <w:jc w:val="center"/>
        <w:rPr>
          <w:rFonts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预警平台运维服务</w:t>
      </w:r>
    </w:p>
    <w:p>
      <w:pPr>
        <w:pStyle w:val="2"/>
      </w:pPr>
    </w:p>
    <w:p>
      <w:pPr>
        <w:pStyle w:val="2"/>
      </w:pPr>
    </w:p>
    <w:p>
      <w:pPr>
        <w:pStyle w:val="2"/>
      </w:pPr>
    </w:p>
    <w:p>
      <w:pPr>
        <w:spacing w:line="360" w:lineRule="atLeast"/>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44"/>
          <w:szCs w:val="44"/>
        </w:rPr>
        <w:t>单一来源谈判文件</w:t>
      </w:r>
      <w:r>
        <w:rPr>
          <w:rFonts w:hint="eastAsia" w:asciiTheme="minorEastAsia" w:hAnsiTheme="minorEastAsia" w:eastAsiaTheme="minorEastAsia" w:cstheme="minorEastAsia"/>
          <w:b/>
          <w:sz w:val="72"/>
          <w:szCs w:val="72"/>
        </w:rPr>
        <w:t xml:space="preserve"> </w:t>
      </w:r>
    </w:p>
    <w:p>
      <w:pPr>
        <w:rPr>
          <w:rFonts w:asciiTheme="minorEastAsia" w:hAnsiTheme="minorEastAsia" w:eastAsiaTheme="minorEastAsia" w:cstheme="minorEastAsia"/>
          <w:b/>
          <w:sz w:val="30"/>
        </w:rPr>
      </w:pPr>
      <w:r>
        <w:rPr>
          <w:rFonts w:hint="eastAsia" w:hAnsi="宋体"/>
          <w:sz w:val="32"/>
          <w:szCs w:val="32"/>
        </w:rPr>
        <w:drawing>
          <wp:anchor distT="0" distB="0" distL="114300" distR="114300" simplePos="0" relativeHeight="251661312" behindDoc="0" locked="0" layoutInCell="1" allowOverlap="1">
            <wp:simplePos x="0" y="0"/>
            <wp:positionH relativeFrom="column">
              <wp:posOffset>1788795</wp:posOffset>
            </wp:positionH>
            <wp:positionV relativeFrom="paragraph">
              <wp:posOffset>160020</wp:posOffset>
            </wp:positionV>
            <wp:extent cx="2015490" cy="1608455"/>
            <wp:effectExtent l="0" t="0" r="0" b="10795"/>
            <wp:wrapSquare wrapText="bothSides"/>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0"/>
                    <a:stretch>
                      <a:fillRect/>
                    </a:stretch>
                  </pic:blipFill>
                  <pic:spPr>
                    <a:xfrm>
                      <a:off x="0" y="0"/>
                      <a:ext cx="2015490" cy="1608455"/>
                    </a:xfrm>
                    <a:prstGeom prst="rect">
                      <a:avLst/>
                    </a:prstGeom>
                    <a:noFill/>
                    <a:ln>
                      <a:noFill/>
                    </a:ln>
                  </pic:spPr>
                </pic:pic>
              </a:graphicData>
            </a:graphic>
          </wp:anchor>
        </w:drawing>
      </w:r>
      <w:r>
        <w:rPr>
          <w:rFonts w:hint="eastAsia" w:asciiTheme="minorEastAsia" w:hAnsiTheme="minorEastAsia" w:eastAsiaTheme="minorEastAsia" w:cstheme="minorEastAsia"/>
          <w:b/>
          <w:sz w:val="30"/>
        </w:rPr>
        <w:t xml:space="preserve">                      </w:t>
      </w:r>
    </w:p>
    <w:p>
      <w:pPr>
        <w:rPr>
          <w:rFonts w:asciiTheme="minorEastAsia" w:hAnsiTheme="minorEastAsia" w:eastAsiaTheme="minorEastAsia" w:cstheme="minorEastAsia"/>
          <w:b/>
          <w:sz w:val="30"/>
        </w:rPr>
      </w:pPr>
      <w:r>
        <w:rPr>
          <w:rFonts w:hint="eastAsia" w:asciiTheme="minorEastAsia" w:hAnsiTheme="minorEastAsia" w:eastAsiaTheme="minorEastAsia" w:cstheme="minorEastAsia"/>
          <w:b/>
          <w:sz w:val="30"/>
        </w:rPr>
        <w:t xml:space="preserve"> </w:t>
      </w:r>
    </w:p>
    <w:p>
      <w:pPr>
        <w:jc w:val="center"/>
        <w:rPr>
          <w:rFonts w:asciiTheme="minorEastAsia" w:hAnsiTheme="minorEastAsia" w:eastAsiaTheme="minorEastAsia" w:cstheme="minorEastAsia"/>
          <w:b/>
          <w:sz w:val="30"/>
        </w:rPr>
      </w:pPr>
    </w:p>
    <w:p>
      <w:pPr>
        <w:jc w:val="center"/>
        <w:rPr>
          <w:rFonts w:asciiTheme="minorEastAsia" w:hAnsiTheme="minorEastAsia" w:eastAsiaTheme="minorEastAsia" w:cstheme="minorEastAsia"/>
          <w:b/>
          <w:sz w:val="30"/>
        </w:rPr>
      </w:pPr>
    </w:p>
    <w:p>
      <w:pPr>
        <w:pStyle w:val="2"/>
        <w:rPr>
          <w:rFonts w:asciiTheme="minorEastAsia" w:hAnsiTheme="minorEastAsia" w:eastAsiaTheme="minorEastAsia" w:cstheme="minorEastAsia"/>
          <w:b/>
          <w:sz w:val="30"/>
        </w:rPr>
      </w:pPr>
    </w:p>
    <w:p>
      <w:pPr>
        <w:pStyle w:val="2"/>
        <w:rPr>
          <w:rFonts w:asciiTheme="minorEastAsia" w:hAnsiTheme="minorEastAsia" w:eastAsiaTheme="minorEastAsia" w:cstheme="minorEastAsia"/>
          <w:b/>
          <w:sz w:val="30"/>
        </w:rPr>
      </w:pPr>
    </w:p>
    <w:p>
      <w:pPr>
        <w:pStyle w:val="2"/>
        <w:ind w:left="0" w:firstLine="0"/>
        <w:rPr>
          <w:rFonts w:asciiTheme="minorEastAsia" w:hAnsiTheme="minorEastAsia" w:eastAsiaTheme="minorEastAsia" w:cstheme="minorEastAsia"/>
          <w:b/>
          <w:sz w:val="30"/>
        </w:rPr>
      </w:pPr>
    </w:p>
    <w:p>
      <w:pPr>
        <w:rPr>
          <w:rFonts w:asciiTheme="minorEastAsia" w:hAnsiTheme="minorEastAsia" w:eastAsiaTheme="minorEastAsia" w:cstheme="minorEastAsia"/>
          <w:sz w:val="22"/>
        </w:rPr>
      </w:pPr>
    </w:p>
    <w:p>
      <w:pPr>
        <w:spacing w:line="360" w:lineRule="auto"/>
        <w:ind w:firstLine="1285" w:firstLineChars="40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采   购   人：</w:t>
      </w:r>
      <w:r>
        <w:rPr>
          <w:rFonts w:hint="eastAsia" w:ascii="宋体" w:hAnsi="宋体" w:cs="宋体"/>
          <w:b/>
          <w:color w:val="000000"/>
          <w:sz w:val="32"/>
          <w:szCs w:val="32"/>
        </w:rPr>
        <w:t>西安市临潼区乡村振兴局</w:t>
      </w:r>
    </w:p>
    <w:p>
      <w:pPr>
        <w:spacing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   </w:t>
      </w:r>
    </w:p>
    <w:p>
      <w:pPr>
        <w:spacing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  采购代理机构：亿诚建设项目管理有限公司 </w:t>
      </w:r>
    </w:p>
    <w:p>
      <w:pPr>
        <w:spacing w:line="360" w:lineRule="auto"/>
        <w:rPr>
          <w:rFonts w:asciiTheme="minorEastAsia" w:hAnsiTheme="minorEastAsia" w:eastAsiaTheme="minorEastAsia" w:cstheme="minorEastAsia"/>
          <w:b/>
          <w:sz w:val="32"/>
          <w:szCs w:val="32"/>
        </w:rPr>
      </w:pPr>
    </w:p>
    <w:p>
      <w:pPr>
        <w:spacing w:line="360" w:lineRule="auto"/>
        <w:jc w:val="center"/>
        <w:rPr>
          <w:highlight w:val="none"/>
        </w:rPr>
        <w:sectPr>
          <w:headerReference r:id="rId3" w:type="first"/>
          <w:footerReference r:id="rId4" w:type="default"/>
          <w:pgSz w:w="11906" w:h="16838"/>
          <w:pgMar w:top="1440" w:right="1800" w:bottom="1440" w:left="1800" w:header="851" w:footer="992" w:gutter="0"/>
          <w:pgNumType w:start="1"/>
          <w:cols w:space="720" w:num="1"/>
          <w:titlePg/>
          <w:docGrid w:type="lines" w:linePitch="312" w:charSpace="0"/>
        </w:sectPr>
      </w:pPr>
      <w:r>
        <w:rPr>
          <w:rFonts w:hint="eastAsia" w:asciiTheme="minorEastAsia" w:hAnsiTheme="minorEastAsia" w:eastAsiaTheme="minorEastAsia" w:cstheme="minorEastAsia"/>
          <w:b/>
          <w:sz w:val="32"/>
          <w:szCs w:val="32"/>
          <w:highlight w:val="none"/>
        </w:rPr>
        <w:t>二○二</w:t>
      </w:r>
      <w:r>
        <w:rPr>
          <w:rFonts w:hint="eastAsia" w:asciiTheme="minorEastAsia" w:hAnsiTheme="minorEastAsia" w:eastAsiaTheme="minorEastAsia" w:cstheme="minorEastAsia"/>
          <w:b/>
          <w:sz w:val="32"/>
          <w:szCs w:val="32"/>
          <w:highlight w:val="none"/>
          <w:lang w:val="en-US" w:eastAsia="zh-CN"/>
        </w:rPr>
        <w:t>三</w:t>
      </w:r>
      <w:r>
        <w:rPr>
          <w:rFonts w:hint="eastAsia" w:asciiTheme="minorEastAsia" w:hAnsiTheme="minorEastAsia" w:eastAsiaTheme="minorEastAsia" w:cstheme="minorEastAsia"/>
          <w:b/>
          <w:sz w:val="32"/>
          <w:szCs w:val="32"/>
          <w:highlight w:val="none"/>
        </w:rPr>
        <w:t>年</w:t>
      </w:r>
      <w:r>
        <w:rPr>
          <w:rFonts w:hint="eastAsia" w:asciiTheme="minorEastAsia" w:hAnsiTheme="minorEastAsia" w:eastAsiaTheme="minorEastAsia" w:cstheme="minorEastAsia"/>
          <w:b/>
          <w:sz w:val="32"/>
          <w:szCs w:val="32"/>
          <w:highlight w:val="none"/>
          <w:lang w:val="en-US" w:eastAsia="zh-CN"/>
        </w:rPr>
        <w:t>三</w:t>
      </w:r>
      <w:r>
        <w:rPr>
          <w:rFonts w:hint="eastAsia" w:asciiTheme="minorEastAsia" w:hAnsiTheme="minorEastAsia" w:eastAsiaTheme="minorEastAsia" w:cstheme="minorEastAsia"/>
          <w:b/>
          <w:sz w:val="32"/>
          <w:szCs w:val="32"/>
          <w:highlight w:val="none"/>
        </w:rPr>
        <w:t>月</w:t>
      </w:r>
    </w:p>
    <w:p>
      <w:pPr>
        <w:jc w:val="center"/>
        <w:rPr>
          <w:rFonts w:ascii="宋体" w:hAnsi="宋体" w:cs="宋体"/>
          <w:b/>
          <w:sz w:val="36"/>
          <w:szCs w:val="36"/>
        </w:rPr>
      </w:pPr>
      <w:r>
        <w:rPr>
          <w:rFonts w:hint="eastAsia" w:ascii="宋体" w:hAnsi="宋体" w:cs="宋体"/>
          <w:b/>
          <w:sz w:val="36"/>
          <w:szCs w:val="36"/>
        </w:rPr>
        <w:t>目   录</w:t>
      </w:r>
    </w:p>
    <w:p>
      <w:bookmarkStart w:id="0" w:name="_Toc1827"/>
    </w:p>
    <w:p>
      <w:pPr>
        <w:pStyle w:val="13"/>
        <w:tabs>
          <w:tab w:val="right" w:leader="dot" w:pos="8306"/>
        </w:tabs>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"1-2" \h \u </w:instrText>
      </w:r>
      <w:r>
        <w:rPr>
          <w:rFonts w:hint="eastAsia" w:ascii="宋体" w:hAnsi="宋体" w:cs="宋体"/>
          <w:sz w:val="28"/>
          <w:szCs w:val="28"/>
        </w:rP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_Toc23049 </w:instrText>
      </w:r>
      <w:r>
        <w:rPr>
          <w:rFonts w:hint="eastAsia" w:ascii="宋体" w:hAnsi="宋体" w:cs="宋体"/>
          <w:sz w:val="28"/>
          <w:szCs w:val="28"/>
        </w:rPr>
        <w:fldChar w:fldCharType="separate"/>
      </w:r>
      <w:r>
        <w:rPr>
          <w:rFonts w:hint="eastAsia" w:ascii="宋体" w:hAnsi="宋体" w:cs="宋体"/>
          <w:sz w:val="28"/>
          <w:szCs w:val="28"/>
        </w:rPr>
        <w:t>第一章 邀请书</w:t>
      </w:r>
      <w:r>
        <w:rPr>
          <w:sz w:val="28"/>
          <w:szCs w:val="28"/>
        </w:rPr>
        <w:tab/>
      </w:r>
      <w:r>
        <w:rPr>
          <w:sz w:val="28"/>
          <w:szCs w:val="28"/>
        </w:rPr>
        <w:fldChar w:fldCharType="begin"/>
      </w:r>
      <w:r>
        <w:rPr>
          <w:sz w:val="28"/>
          <w:szCs w:val="28"/>
        </w:rPr>
        <w:instrText xml:space="preserve"> PAGEREF _Toc23049 \h </w:instrText>
      </w:r>
      <w:r>
        <w:rPr>
          <w:sz w:val="28"/>
          <w:szCs w:val="28"/>
        </w:rPr>
        <w:fldChar w:fldCharType="separate"/>
      </w:r>
      <w:r>
        <w:rPr>
          <w:sz w:val="28"/>
          <w:szCs w:val="28"/>
        </w:rPr>
        <w:t>1</w:t>
      </w:r>
      <w:r>
        <w:rPr>
          <w:sz w:val="28"/>
          <w:szCs w:val="28"/>
        </w:rPr>
        <w:fldChar w:fldCharType="end"/>
      </w:r>
      <w:r>
        <w:rPr>
          <w:rFonts w:hint="eastAsia" w:ascii="宋体" w:hAnsi="宋体" w:cs="宋体"/>
          <w:sz w:val="28"/>
          <w:szCs w:val="28"/>
        </w:rPr>
        <w:fldChar w:fldCharType="end"/>
      </w:r>
    </w:p>
    <w:p>
      <w:pPr>
        <w:pStyle w:val="13"/>
        <w:tabs>
          <w:tab w:val="right" w:leader="dot" w:pos="8306"/>
        </w:tabs>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_Toc32715 </w:instrText>
      </w:r>
      <w:r>
        <w:rPr>
          <w:rFonts w:hint="eastAsia" w:ascii="宋体" w:hAnsi="宋体" w:cs="宋体"/>
          <w:sz w:val="28"/>
          <w:szCs w:val="28"/>
        </w:rPr>
        <w:fldChar w:fldCharType="separate"/>
      </w:r>
      <w:r>
        <w:rPr>
          <w:rFonts w:hint="eastAsia" w:ascii="宋体" w:hAnsi="宋体" w:cs="宋体"/>
          <w:sz w:val="28"/>
          <w:szCs w:val="28"/>
        </w:rPr>
        <w:t>第二章 供应商须知及前附表</w:t>
      </w:r>
      <w:r>
        <w:rPr>
          <w:sz w:val="28"/>
          <w:szCs w:val="28"/>
        </w:rPr>
        <w:tab/>
      </w:r>
      <w:r>
        <w:rPr>
          <w:sz w:val="28"/>
          <w:szCs w:val="28"/>
        </w:rPr>
        <w:fldChar w:fldCharType="begin"/>
      </w:r>
      <w:r>
        <w:rPr>
          <w:sz w:val="28"/>
          <w:szCs w:val="28"/>
        </w:rPr>
        <w:instrText xml:space="preserve"> PAGEREF _Toc32715 \h </w:instrText>
      </w:r>
      <w:r>
        <w:rPr>
          <w:sz w:val="28"/>
          <w:szCs w:val="28"/>
        </w:rPr>
        <w:fldChar w:fldCharType="separate"/>
      </w:r>
      <w:r>
        <w:rPr>
          <w:sz w:val="28"/>
          <w:szCs w:val="28"/>
        </w:rPr>
        <w:t>4</w:t>
      </w:r>
      <w:r>
        <w:rPr>
          <w:sz w:val="28"/>
          <w:szCs w:val="28"/>
        </w:rPr>
        <w:fldChar w:fldCharType="end"/>
      </w:r>
      <w:r>
        <w:rPr>
          <w:rFonts w:hint="eastAsia" w:ascii="宋体" w:hAnsi="宋体" w:cs="宋体"/>
          <w:sz w:val="28"/>
          <w:szCs w:val="28"/>
        </w:rPr>
        <w:fldChar w:fldCharType="end"/>
      </w:r>
    </w:p>
    <w:p>
      <w:pPr>
        <w:pStyle w:val="13"/>
        <w:tabs>
          <w:tab w:val="right" w:leader="dot" w:pos="8306"/>
        </w:tabs>
        <w:rPr>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_Toc13281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第三章 合同条款及格式</w:t>
      </w:r>
      <w:r>
        <w:rPr>
          <w:sz w:val="28"/>
          <w:szCs w:val="28"/>
          <w:highlight w:val="none"/>
        </w:rPr>
        <w:tab/>
      </w:r>
      <w:r>
        <w:rPr>
          <w:sz w:val="28"/>
          <w:szCs w:val="28"/>
          <w:highlight w:val="none"/>
        </w:rPr>
        <w:fldChar w:fldCharType="begin"/>
      </w:r>
      <w:r>
        <w:rPr>
          <w:sz w:val="28"/>
          <w:szCs w:val="28"/>
          <w:highlight w:val="none"/>
        </w:rPr>
        <w:instrText xml:space="preserve"> PAGEREF _Toc13281 \h </w:instrText>
      </w:r>
      <w:r>
        <w:rPr>
          <w:sz w:val="28"/>
          <w:szCs w:val="28"/>
          <w:highlight w:val="none"/>
        </w:rPr>
        <w:fldChar w:fldCharType="separate"/>
      </w:r>
      <w:r>
        <w:rPr>
          <w:sz w:val="28"/>
          <w:szCs w:val="28"/>
          <w:highlight w:val="none"/>
        </w:rPr>
        <w:t>17</w:t>
      </w:r>
      <w:r>
        <w:rPr>
          <w:sz w:val="28"/>
          <w:szCs w:val="28"/>
          <w:highlight w:val="none"/>
        </w:rPr>
        <w:fldChar w:fldCharType="end"/>
      </w:r>
      <w:r>
        <w:rPr>
          <w:rFonts w:hint="eastAsia" w:ascii="宋体" w:hAnsi="宋体" w:cs="宋体"/>
          <w:sz w:val="28"/>
          <w:szCs w:val="28"/>
          <w:highlight w:val="none"/>
        </w:rPr>
        <w:fldChar w:fldCharType="end"/>
      </w:r>
    </w:p>
    <w:p>
      <w:pPr>
        <w:pStyle w:val="13"/>
        <w:tabs>
          <w:tab w:val="right" w:leader="dot" w:pos="8306"/>
        </w:tabs>
        <w:rPr>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_Toc1195 </w:instrText>
      </w:r>
      <w:r>
        <w:rPr>
          <w:rFonts w:hint="eastAsia" w:ascii="宋体" w:hAnsi="宋体" w:cs="宋体"/>
          <w:sz w:val="28"/>
          <w:szCs w:val="28"/>
          <w:highlight w:val="none"/>
        </w:rPr>
        <w:fldChar w:fldCharType="separate"/>
      </w:r>
      <w:r>
        <w:rPr>
          <w:rFonts w:hint="eastAsia" w:hAnsi="宋体" w:cs="宋体"/>
          <w:sz w:val="28"/>
          <w:szCs w:val="28"/>
          <w:highlight w:val="none"/>
        </w:rPr>
        <w:t>第四章 谈判方法</w:t>
      </w:r>
      <w:r>
        <w:rPr>
          <w:sz w:val="28"/>
          <w:szCs w:val="28"/>
          <w:highlight w:val="none"/>
        </w:rPr>
        <w:tab/>
      </w:r>
      <w:r>
        <w:rPr>
          <w:sz w:val="28"/>
          <w:szCs w:val="28"/>
          <w:highlight w:val="none"/>
        </w:rPr>
        <w:fldChar w:fldCharType="begin"/>
      </w:r>
      <w:r>
        <w:rPr>
          <w:sz w:val="28"/>
          <w:szCs w:val="28"/>
          <w:highlight w:val="none"/>
        </w:rPr>
        <w:instrText xml:space="preserve"> PAGEREF _Toc1195 \h </w:instrText>
      </w:r>
      <w:r>
        <w:rPr>
          <w:sz w:val="28"/>
          <w:szCs w:val="28"/>
          <w:highlight w:val="none"/>
        </w:rPr>
        <w:fldChar w:fldCharType="separate"/>
      </w:r>
      <w:r>
        <w:rPr>
          <w:sz w:val="28"/>
          <w:szCs w:val="28"/>
          <w:highlight w:val="none"/>
        </w:rPr>
        <w:t>21</w:t>
      </w:r>
      <w:r>
        <w:rPr>
          <w:sz w:val="28"/>
          <w:szCs w:val="28"/>
          <w:highlight w:val="none"/>
        </w:rPr>
        <w:fldChar w:fldCharType="end"/>
      </w:r>
      <w:r>
        <w:rPr>
          <w:rFonts w:hint="eastAsia" w:ascii="宋体" w:hAnsi="宋体" w:cs="宋体"/>
          <w:sz w:val="28"/>
          <w:szCs w:val="28"/>
          <w:highlight w:val="none"/>
        </w:rPr>
        <w:fldChar w:fldCharType="end"/>
      </w:r>
    </w:p>
    <w:p>
      <w:pPr>
        <w:pStyle w:val="13"/>
        <w:tabs>
          <w:tab w:val="right" w:leader="dot" w:pos="8306"/>
        </w:tabs>
        <w:rPr>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_Toc5175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第五章 采购需求及商务要求</w:t>
      </w:r>
      <w:r>
        <w:rPr>
          <w:sz w:val="28"/>
          <w:szCs w:val="28"/>
          <w:highlight w:val="none"/>
        </w:rPr>
        <w:tab/>
      </w:r>
      <w:r>
        <w:rPr>
          <w:sz w:val="28"/>
          <w:szCs w:val="28"/>
          <w:highlight w:val="none"/>
        </w:rPr>
        <w:fldChar w:fldCharType="begin"/>
      </w:r>
      <w:r>
        <w:rPr>
          <w:sz w:val="28"/>
          <w:szCs w:val="28"/>
          <w:highlight w:val="none"/>
        </w:rPr>
        <w:instrText xml:space="preserve"> PAGEREF _Toc5175 \h </w:instrText>
      </w:r>
      <w:r>
        <w:rPr>
          <w:sz w:val="28"/>
          <w:szCs w:val="28"/>
          <w:highlight w:val="none"/>
        </w:rPr>
        <w:fldChar w:fldCharType="separate"/>
      </w:r>
      <w:r>
        <w:rPr>
          <w:sz w:val="28"/>
          <w:szCs w:val="28"/>
          <w:highlight w:val="none"/>
        </w:rPr>
        <w:t>23</w:t>
      </w:r>
      <w:r>
        <w:rPr>
          <w:sz w:val="28"/>
          <w:szCs w:val="28"/>
          <w:highlight w:val="none"/>
        </w:rPr>
        <w:fldChar w:fldCharType="end"/>
      </w:r>
      <w:r>
        <w:rPr>
          <w:rFonts w:hint="eastAsia" w:ascii="宋体" w:hAnsi="宋体" w:cs="宋体"/>
          <w:sz w:val="28"/>
          <w:szCs w:val="28"/>
          <w:highlight w:val="none"/>
        </w:rPr>
        <w:fldChar w:fldCharType="end"/>
      </w:r>
    </w:p>
    <w:p>
      <w:pPr>
        <w:pStyle w:val="13"/>
        <w:tabs>
          <w:tab w:val="right" w:leader="dot" w:pos="8306"/>
        </w:tabs>
        <w:rPr>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_Toc14724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第六章 单一来源响应文件格式</w:t>
      </w:r>
      <w:r>
        <w:rPr>
          <w:sz w:val="28"/>
          <w:szCs w:val="28"/>
          <w:highlight w:val="none"/>
        </w:rPr>
        <w:tab/>
      </w:r>
      <w:r>
        <w:rPr>
          <w:sz w:val="28"/>
          <w:szCs w:val="28"/>
          <w:highlight w:val="none"/>
        </w:rPr>
        <w:fldChar w:fldCharType="begin"/>
      </w:r>
      <w:r>
        <w:rPr>
          <w:sz w:val="28"/>
          <w:szCs w:val="28"/>
          <w:highlight w:val="none"/>
        </w:rPr>
        <w:instrText xml:space="preserve"> PAGEREF _Toc14724 \h </w:instrText>
      </w:r>
      <w:r>
        <w:rPr>
          <w:sz w:val="28"/>
          <w:szCs w:val="28"/>
          <w:highlight w:val="none"/>
        </w:rPr>
        <w:fldChar w:fldCharType="separate"/>
      </w:r>
      <w:r>
        <w:rPr>
          <w:sz w:val="28"/>
          <w:szCs w:val="28"/>
          <w:highlight w:val="none"/>
        </w:rPr>
        <w:t>28</w:t>
      </w:r>
      <w:r>
        <w:rPr>
          <w:sz w:val="28"/>
          <w:szCs w:val="28"/>
          <w:highlight w:val="none"/>
        </w:rPr>
        <w:fldChar w:fldCharType="end"/>
      </w:r>
      <w:r>
        <w:rPr>
          <w:rFonts w:hint="eastAsia" w:ascii="宋体" w:hAnsi="宋体" w:cs="宋体"/>
          <w:sz w:val="28"/>
          <w:szCs w:val="28"/>
          <w:highlight w:val="none"/>
        </w:rPr>
        <w:fldChar w:fldCharType="end"/>
      </w:r>
    </w:p>
    <w:p>
      <w:pPr>
        <w:spacing w:line="600" w:lineRule="auto"/>
        <w:jc w:val="center"/>
        <w:outlineLvl w:val="0"/>
        <w:rPr>
          <w:rFonts w:ascii="宋体" w:hAnsi="宋体" w:cs="宋体"/>
          <w:b/>
        </w:rPr>
      </w:pPr>
      <w:r>
        <w:rPr>
          <w:rFonts w:hint="eastAsia" w:ascii="宋体" w:hAnsi="宋体" w:cs="宋体"/>
          <w:sz w:val="28"/>
          <w:szCs w:val="28"/>
        </w:rPr>
        <w:fldChar w:fldCharType="end"/>
      </w:r>
    </w:p>
    <w:p>
      <w:pPr>
        <w:spacing w:line="360" w:lineRule="auto"/>
        <w:jc w:val="center"/>
        <w:outlineLvl w:val="0"/>
        <w:rPr>
          <w:rFonts w:ascii="宋体" w:hAnsi="宋体" w:cs="宋体"/>
          <w:b/>
          <w:sz w:val="36"/>
          <w:szCs w:val="36"/>
        </w:rPr>
        <w:sectPr>
          <w:footerReference r:id="rId6" w:type="first"/>
          <w:footerReference r:id="rId5" w:type="default"/>
          <w:pgSz w:w="11906" w:h="16838"/>
          <w:pgMar w:top="1440" w:right="1800" w:bottom="1440" w:left="1800" w:header="851" w:footer="992" w:gutter="0"/>
          <w:cols w:space="720" w:num="1"/>
          <w:titlePg/>
          <w:docGrid w:type="lines" w:linePitch="312" w:charSpace="0"/>
        </w:sectPr>
      </w:pPr>
    </w:p>
    <w:p>
      <w:pPr>
        <w:spacing w:line="360" w:lineRule="auto"/>
        <w:jc w:val="center"/>
        <w:outlineLvl w:val="0"/>
        <w:rPr>
          <w:rFonts w:ascii="宋体" w:hAnsi="宋体" w:cs="宋体"/>
          <w:sz w:val="32"/>
          <w:szCs w:val="32"/>
        </w:rPr>
      </w:pPr>
      <w:bookmarkStart w:id="1" w:name="_Toc23049"/>
      <w:r>
        <w:rPr>
          <w:rFonts w:hint="eastAsia" w:ascii="宋体" w:hAnsi="宋体" w:cs="宋体"/>
          <w:b/>
          <w:sz w:val="32"/>
          <w:szCs w:val="32"/>
        </w:rPr>
        <w:t>第一章 邀请书</w:t>
      </w:r>
      <w:bookmarkEnd w:id="0"/>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bCs/>
          <w:color w:val="000000" w:themeColor="text1"/>
          <w:sz w:val="24"/>
          <w:szCs w:val="24"/>
          <w14:textFill>
            <w14:solidFill>
              <w14:schemeClr w14:val="tx1"/>
            </w14:solidFill>
          </w14:textFill>
        </w:rPr>
      </w:pPr>
      <w:bookmarkStart w:id="2" w:name="_Toc10665"/>
      <w:r>
        <w:rPr>
          <w:rFonts w:hint="eastAsia" w:ascii="宋体" w:hAnsi="宋体" w:eastAsia="宋体" w:cs="宋体"/>
          <w:b/>
          <w:bCs/>
          <w:color w:val="000000" w:themeColor="text1"/>
          <w:sz w:val="24"/>
          <w:szCs w:val="24"/>
          <w:u w:val="single"/>
          <w14:textFill>
            <w14:solidFill>
              <w14:schemeClr w14:val="tx1"/>
            </w14:solidFill>
          </w14:textFill>
        </w:rPr>
        <w:t>中国电信股份有限公司西安分公司：</w:t>
      </w:r>
      <w:bookmarkEnd w:id="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bookmarkStart w:id="3" w:name="_Toc12080"/>
      <w:r>
        <w:rPr>
          <w:rFonts w:hint="eastAsia" w:ascii="宋体" w:hAnsi="宋体" w:eastAsia="宋体" w:cs="宋体"/>
          <w:sz w:val="24"/>
          <w:szCs w:val="24"/>
        </w:rPr>
        <w:t>亿诚建设项目管理有限公司受西安市临潼区乡村振兴局的委托，按照政府采购有关规定，对西安市临潼区2023年防返贫监测预警平台运维服务进行单一来源采购，现邀请你单位参加谈判。</w:t>
      </w:r>
      <w:bookmarkEnd w:id="3"/>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rPr>
      </w:pPr>
      <w:bookmarkStart w:id="4" w:name="_Toc22852"/>
      <w:bookmarkStart w:id="5" w:name="_Toc29760"/>
      <w:bookmarkStart w:id="6" w:name="_Toc25143"/>
      <w:bookmarkStart w:id="7" w:name="_Toc16491"/>
      <w:bookmarkStart w:id="8" w:name="_Toc29072"/>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项目编号：YC23103002（CGQ）</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项目名称：西安市临潼区2023年防返贫监测预警平台运维服务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采购方式：单一来源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预算金额：660000.00元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5.最高限价：660000.00元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6.采购需求：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项目概况：西安市临潼区2023年防返贫监测预警平台运维服务；简要技术要求、用途：项目自用。</w:t>
      </w:r>
      <w:bookmarkStart w:id="182" w:name="_GoBack"/>
      <w:bookmarkEnd w:id="18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cs="宋体"/>
          <w:b/>
          <w:bCs/>
          <w:sz w:val="24"/>
          <w:szCs w:val="24"/>
          <w:lang w:val="en-US" w:eastAsia="zh-CN"/>
        </w:rPr>
        <w:t>响应供应商</w:t>
      </w:r>
      <w:r>
        <w:rPr>
          <w:rFonts w:hint="eastAsia" w:ascii="宋体" w:hAnsi="宋体" w:eastAsia="宋体" w:cs="宋体"/>
          <w:b/>
          <w:bCs/>
          <w:sz w:val="24"/>
          <w:szCs w:val="24"/>
        </w:rPr>
        <w:t>的资格要求：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（1）《关于在政府采购活动中查询及使用信用记录有关问题的通知》（财库〔2016〕125号）。</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关于扩大政府采购支持绿色建材促进建筑品质提升政策实施范围的通知》（财库〔2022〕35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（1）具有独立承担民事责任的能力。提供注册登记凭证（营业执照、其他组织经营的合法凭证，自然人的提供身份证明文件）；</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（2）法定代表人授权书（附法定代表人身份证复印件）及被授权人身份证（法定代表人直接参加谈判只须提供法定代表人身份证）； </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3）财务状况报告：须提供近3年任意一年度的财务报表或具有财务审计资质的单位出具的财务报告（至少包括资产负债表和利润表，成立时间至提交响应文件截止时间不足一年的可提供成立后任意时段的资产负债表），或银行出具的资信证明； </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（4）税收缴纳证明：提供上一年度至今已缴纳的至少一个月的纳税证明或完税证明，依法免税的单位应提供相关证明材料； </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（5）社会保障资金缴纳证明：提供上一年度至今已缴存的至少一个月的有效社会保障资金缴纳证明。依法不需要缴纳社会保障资金的单位应提供相关证明材料； </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（6）提供具有履行本项目所必需的设备和专业技术能力的说明及承诺；</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（7）供应商参加采购活动近三年内经营活动中无重大违法记录声明；</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8）供应商不得为“信用中国”网站（www.creditchina.gov.cn）中列入失信被执行人和重大税收违法失信主体名单的供应商，不得为中国政府采购网（www.ccgp.gov.cn）政府采购严重违法失信行为记录名单中被财政部门禁止参加政府采购活动的供应商（提供查询截图并加盖公章）；</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（9）本项目不接受联合体投标。</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三、单一来源采购文件</w:t>
      </w:r>
      <w:r>
        <w:rPr>
          <w:rFonts w:hint="eastAsia" w:ascii="宋体" w:hAnsi="宋体" w:cs="宋体"/>
          <w:b/>
          <w:bCs/>
          <w:sz w:val="24"/>
          <w:szCs w:val="24"/>
          <w:lang w:val="en-US" w:eastAsia="zh-CN"/>
        </w:rPr>
        <w:t>领取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1.领取时间：2023年03月31日至2023年04月04日，每天上午09:00:00至12:00:00，下午14:00:00至17:00:00（北京时间）；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2.领取地点：西安市临潼区环城东路东环路小区4号楼101室（烟草专卖局对面）；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3.获取方式：现场购买；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4.文件售价：免费赠送；</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cs="宋体"/>
          <w:b/>
          <w:bCs/>
          <w:sz w:val="24"/>
          <w:szCs w:val="24"/>
          <w:lang w:val="en-US" w:eastAsia="zh-CN"/>
        </w:rPr>
      </w:pPr>
      <w:bookmarkStart w:id="9" w:name="_Toc26944"/>
      <w:r>
        <w:rPr>
          <w:rFonts w:hint="eastAsia" w:ascii="宋体" w:hAnsi="宋体" w:cs="宋体"/>
          <w:b/>
          <w:bCs/>
          <w:sz w:val="24"/>
          <w:szCs w:val="24"/>
          <w:lang w:val="en-US" w:eastAsia="zh-CN"/>
        </w:rPr>
        <w:t>注：（1）领取文件时请携带单位介绍信及法人身份证复印件（盖公章）和办理人员身份证原件及复印件（盖公章）；（2）请投标人领取招标文件后，按照陕西省财政厅《关于政府采购投标人注册登记有关事项的通知》要求，通过陕西省政府采购网（http://www.ccgp-shaanxi.gov.cn/）注册登记加入陕西省政府采购投标人库。</w:t>
      </w:r>
      <w:bookmarkEnd w:id="9"/>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四、响应文件递交截止时间及谈判时间和地点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1.文件递交截止时间：2023年04月11日 09时30分00秒 （北京时间）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2.文件递交地点：西安市临潼区环城东路东环路小区4号楼201室（烟草专卖局对面）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3.谈判时间：2023年04月11日 09时30分00秒 （北京时间）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4.谈判地点：西安市临潼区环城东路东环路小区4号楼201室（烟草专卖局对面）</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w:t>
      </w:r>
      <w:bookmarkStart w:id="10" w:name="_Toc15912"/>
      <w:r>
        <w:rPr>
          <w:rFonts w:hint="eastAsia" w:ascii="宋体" w:hAnsi="宋体" w:cs="宋体"/>
          <w:sz w:val="24"/>
          <w:szCs w:val="24"/>
          <w:lang w:val="en-US" w:eastAsia="zh-CN"/>
        </w:rPr>
        <w:t>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采购人名称：西安市临潼区乡村振兴局</w:t>
      </w:r>
      <w:bookmarkEnd w:id="1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地址：西安市临潼区健康路临潼区房地产管理所1楼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联系人：史科长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联系方式：029-83825817</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bookmarkStart w:id="11" w:name="_Toc19120"/>
      <w:bookmarkStart w:id="12" w:name="_Toc29352"/>
      <w:bookmarkStart w:id="13" w:name="_Toc21795"/>
      <w:bookmarkStart w:id="14" w:name="_Toc24433"/>
      <w:bookmarkStart w:id="15" w:name="_Toc16661"/>
      <w:r>
        <w:rPr>
          <w:rFonts w:hint="eastAsia" w:ascii="宋体" w:hAnsi="宋体" w:cs="宋体"/>
          <w:sz w:val="24"/>
          <w:szCs w:val="24"/>
          <w:lang w:val="en-US" w:eastAsia="zh-CN"/>
        </w:rPr>
        <w:t>采购代理机构名称：</w:t>
      </w:r>
      <w:bookmarkEnd w:id="11"/>
      <w:bookmarkEnd w:id="12"/>
      <w:bookmarkEnd w:id="13"/>
      <w:bookmarkEnd w:id="14"/>
      <w:r>
        <w:rPr>
          <w:rFonts w:hint="eastAsia" w:ascii="宋体" w:hAnsi="宋体" w:cs="宋体"/>
          <w:sz w:val="24"/>
          <w:szCs w:val="24"/>
          <w:lang w:val="en-US" w:eastAsia="zh-CN"/>
        </w:rPr>
        <w:t>亿诚建设项目管理有限公司</w:t>
      </w:r>
      <w:bookmarkEnd w:id="1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地址：西安市雁塔区吉祥路135号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联系人：马瑾瑜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联系方式：029-83992983</w:t>
      </w:r>
    </w:p>
    <w:bookmarkEnd w:id="4"/>
    <w:bookmarkEnd w:id="5"/>
    <w:bookmarkEnd w:id="6"/>
    <w:bookmarkEnd w:id="7"/>
    <w:bookmarkEnd w:id="8"/>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bCs/>
          <w:sz w:val="24"/>
          <w:szCs w:val="24"/>
        </w:rPr>
      </w:pPr>
      <w:bookmarkStart w:id="16" w:name="_Toc7505"/>
      <w:bookmarkStart w:id="17" w:name="_Toc28605"/>
      <w:bookmarkStart w:id="18" w:name="_Toc4015"/>
      <w:bookmarkStart w:id="19" w:name="_Toc19109"/>
      <w:bookmarkStart w:id="20" w:name="_Toc1079"/>
      <w:r>
        <w:rPr>
          <w:rFonts w:hint="eastAsia" w:ascii="宋体" w:hAnsi="宋体" w:cs="宋体"/>
          <w:b/>
          <w:bCs/>
          <w:sz w:val="24"/>
          <w:szCs w:val="24"/>
          <w:lang w:val="en-US" w:eastAsia="zh-CN"/>
        </w:rPr>
        <w:t>六</w:t>
      </w:r>
      <w:r>
        <w:rPr>
          <w:rFonts w:hint="eastAsia" w:ascii="宋体" w:hAnsi="宋体" w:eastAsia="宋体" w:cs="宋体"/>
          <w:b/>
          <w:bCs/>
          <w:sz w:val="24"/>
          <w:szCs w:val="24"/>
        </w:rPr>
        <w:t>、其他应说明的事项</w:t>
      </w:r>
      <w:bookmarkEnd w:id="16"/>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采购代理机构开户名称：亿诚建设项目管理有限公司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开户行名称：中国民生银行西安吉祥路支行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账      号：699295538</w:t>
      </w:r>
    </w:p>
    <w:p>
      <w:pPr>
        <w:spacing w:line="360" w:lineRule="auto"/>
        <w:jc w:val="center"/>
        <w:outlineLvl w:val="0"/>
        <w:rPr>
          <w:rFonts w:ascii="宋体" w:hAnsi="宋体" w:cs="宋体"/>
          <w:b/>
          <w:sz w:val="44"/>
          <w:szCs w:val="44"/>
        </w:rPr>
      </w:pPr>
      <w:r>
        <w:rPr>
          <w:rFonts w:hint="eastAsia" w:ascii="宋体" w:hAnsi="宋体" w:cs="宋体"/>
          <w:sz w:val="24"/>
          <w:szCs w:val="24"/>
        </w:rPr>
        <w:br w:type="page"/>
      </w:r>
      <w:bookmarkStart w:id="21" w:name="_Toc1667"/>
      <w:bookmarkStart w:id="22" w:name="_Toc32715"/>
      <w:r>
        <w:rPr>
          <w:rFonts w:hint="eastAsia" w:ascii="宋体" w:hAnsi="宋体" w:cs="宋体"/>
          <w:b/>
          <w:sz w:val="36"/>
          <w:szCs w:val="36"/>
        </w:rPr>
        <w:t>第二章 供应商须知及前附表</w:t>
      </w:r>
      <w:bookmarkEnd w:id="21"/>
      <w:bookmarkEnd w:id="22"/>
    </w:p>
    <w:p>
      <w:pPr>
        <w:spacing w:line="360" w:lineRule="auto"/>
        <w:jc w:val="center"/>
        <w:outlineLvl w:val="9"/>
        <w:rPr>
          <w:rFonts w:ascii="宋体" w:hAnsi="宋体" w:cs="宋体"/>
          <w:b/>
          <w:bCs/>
          <w:sz w:val="32"/>
          <w:szCs w:val="32"/>
        </w:rPr>
      </w:pPr>
      <w:bookmarkStart w:id="23" w:name="_Toc28187"/>
      <w:bookmarkStart w:id="24" w:name="_Toc18668"/>
      <w:r>
        <w:rPr>
          <w:rFonts w:hint="eastAsia" w:ascii="宋体" w:hAnsi="宋体" w:cs="宋体"/>
          <w:b/>
          <w:bCs/>
          <w:sz w:val="32"/>
          <w:szCs w:val="32"/>
        </w:rPr>
        <w:t>供应商须知前附表</w:t>
      </w:r>
      <w:bookmarkEnd w:id="23"/>
      <w:bookmarkEnd w:id="2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（本表是对供应商须知的提示、补充和修改，如有矛盾，应以本表为准。）</w:t>
      </w:r>
    </w:p>
    <w:tbl>
      <w:tblPr>
        <w:tblStyle w:val="18"/>
        <w:tblW w:w="0" w:type="auto"/>
        <w:tblInd w:w="28"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28" w:type="dxa"/>
          <w:bottom w:w="0" w:type="dxa"/>
          <w:right w:w="28" w:type="dxa"/>
        </w:tblCellMar>
      </w:tblPr>
      <w:tblGrid>
        <w:gridCol w:w="840"/>
        <w:gridCol w:w="1714"/>
        <w:gridCol w:w="57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666" w:hRule="atLeast"/>
          <w:tblHeader/>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条款内容提示</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941"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采购人</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color w:val="000000"/>
                <w:sz w:val="24"/>
                <w:szCs w:val="24"/>
              </w:rPr>
              <w:t>西安市临潼区乡村振兴局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color w:val="000000"/>
                <w:sz w:val="24"/>
                <w:szCs w:val="24"/>
              </w:rPr>
              <w:t>西安市临潼区健康路临潼区房地产管理所1楼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联系人：史科长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color w:val="000000"/>
                <w:sz w:val="24"/>
                <w:szCs w:val="24"/>
              </w:rPr>
              <w:t>029-83825817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941"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采购监督人</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名称：西安市临潼区政府采购服务中心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联系人：刘向利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联系电话：029-83827890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1974"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采购代理机构</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名称：亿诚建设项目管理有限公司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地址：西安市雁塔区吉祥路135号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邮编：710000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联系人：马瑾瑜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联系方式：029-83992983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25" w:name="_Toc23275"/>
            <w:bookmarkStart w:id="26" w:name="_Toc30462"/>
            <w:r>
              <w:rPr>
                <w:rFonts w:hint="eastAsia" w:ascii="宋体" w:hAnsi="宋体" w:eastAsia="宋体" w:cs="宋体"/>
                <w:sz w:val="24"/>
                <w:szCs w:val="24"/>
              </w:rPr>
              <w:t>邮箱：</w:t>
            </w:r>
            <w:bookmarkEnd w:id="25"/>
            <w:bookmarkEnd w:id="26"/>
            <w:r>
              <w:rPr>
                <w:rFonts w:hint="eastAsia" w:ascii="宋体" w:hAnsi="宋体" w:eastAsia="宋体" w:cs="宋体"/>
                <w:sz w:val="24"/>
                <w:szCs w:val="24"/>
              </w:rPr>
              <w:t>1065781586</w:t>
            </w:r>
            <w:r>
              <w:rPr>
                <w:rFonts w:hint="eastAsia" w:ascii="宋体" w:hAnsi="宋体" w:eastAsia="宋体" w:cs="宋体"/>
                <w:sz w:val="24"/>
                <w:szCs w:val="24"/>
                <w:lang w:val="en-US" w:eastAsia="zh-CN"/>
              </w:rPr>
              <w:t>@qq.com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23" w:hRule="atLeast"/>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yellow"/>
              </w:rPr>
            </w:pPr>
            <w:r>
              <w:rPr>
                <w:rFonts w:hint="eastAsia" w:ascii="宋体" w:hAnsi="宋体" w:eastAsia="宋体" w:cs="宋体"/>
                <w:color w:val="000000"/>
                <w:sz w:val="24"/>
                <w:szCs w:val="24"/>
              </w:rPr>
              <w:t>1）项目名称</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t>西安市临潼区2023年防返贫监测预警平台运维服务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23"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71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2）服务期限</w:t>
            </w:r>
          </w:p>
        </w:tc>
        <w:tc>
          <w:tcPr>
            <w:tcW w:w="5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自合同签订之日起一年（具体服务起止日期可随合同签订时间相应顺延）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23"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yellow"/>
              </w:rPr>
            </w:pPr>
            <w:r>
              <w:rPr>
                <w:rFonts w:hint="eastAsia" w:ascii="宋体" w:hAnsi="宋体" w:eastAsia="宋体" w:cs="宋体"/>
                <w:color w:val="000000"/>
                <w:sz w:val="24"/>
                <w:szCs w:val="24"/>
              </w:rPr>
              <w:t>3）采购预算</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t>660000.00元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23"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4）联合体投标</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不允许联合体投标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23"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5）报价采用币种</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23"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6）谈判有效期</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从投标截止之日起90个日历</w:t>
            </w:r>
            <w:r>
              <w:rPr>
                <w:rFonts w:hint="eastAsia" w:ascii="宋体" w:hAnsi="宋体" w:cs="宋体"/>
                <w:color w:val="000000"/>
                <w:sz w:val="24"/>
                <w:szCs w:val="24"/>
                <w:lang w:val="en-US" w:eastAsia="zh-CN"/>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23"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7）付款方式</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双方在合同中自行商议。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23"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8）中华人民共和国法律、行政法规规定的其他条件；</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23"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项目特定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条件</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供应商信用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信息查询</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kern w:val="0"/>
                <w:sz w:val="24"/>
                <w:szCs w:val="24"/>
              </w:rPr>
              <w:t>“</w:t>
            </w:r>
            <w:r>
              <w:rPr>
                <w:rFonts w:hint="eastAsia" w:ascii="宋体" w:hAnsi="宋体" w:eastAsia="宋体" w:cs="宋体"/>
                <w:sz w:val="24"/>
                <w:szCs w:val="24"/>
              </w:rPr>
              <w:t>信用中国网站”（www.creditchina.gov.cn，和“中国政府采购网”（ccgp.gov.cn）为投标人信用信息查询渠道，如果投标人被查实在投标截止时间列入失信被执行人（页面跳转至“中国执行信息公开网”http：//zxgk.court.gov.cn/shixin/）、重大税收违法失信主体、政府采购严重违法失信行为记录名单，其投标为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4320"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供应商提出质疑的时间及代理机构指定的接受质疑联系部门</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已经购买采购文件的供应商对谈判文件质疑的，可以在收到谈判文件之日起七个工作日内，针对同一采购程序环节以书面形式向采购代理机构一次性提出，在此之后提出的质疑均为无效，采购代理机构不予受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2.接收质疑函的方式：书面形式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格式：质疑函格式应符合“政府采购供应商质疑函范本”要求。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3.联系部门：亿诚建设项目管理有限公司招标代理部；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4.联系电话：029-83992983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sz w:val="24"/>
                <w:szCs w:val="24"/>
              </w:rPr>
              <w:t>5.通讯地址：西安市雁塔区吉祥路135号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质疑内容要求</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供应商提出质疑应当提交质疑函和必要的证明材料原件，代理机构不接受传真、电子邮件、复印件等形式的质疑材料。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质疑函应当包括下列内容：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（一）供应商的姓名或者名称、地址、邮编、联系人及联系电话；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（二）质疑项目的名称、编号；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（四）事实依据；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（五）必要的法律依据；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（六）提出质疑的日期。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供应商为自然人的，应当由本人签字；供应商为法人或者其他组织的，应当由法定代表人、主要负责人，或者其授权代表（附法人代表授权书）签字或者盖章（鲜章），并加盖公章（鲜章）。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sz w:val="24"/>
                <w:szCs w:val="24"/>
              </w:rPr>
              <w:t>质疑函格式应符合“政府采购供应商质疑函范本”要求。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采购代理机构答疑的时间</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sz w:val="24"/>
                <w:szCs w:val="24"/>
              </w:rPr>
              <w:t>对于供应商在规定时间内依法提出的询问和质疑，采购代理机构将在三个工作日内答复询问，七个工作日内答复质疑。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757"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报价要求</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sz w:val="24"/>
                <w:szCs w:val="24"/>
              </w:rPr>
            </w:pPr>
            <w:bookmarkStart w:id="27" w:name="_Toc31585"/>
            <w:bookmarkStart w:id="28" w:name="_Toc9909"/>
            <w:r>
              <w:rPr>
                <w:rFonts w:hint="eastAsia" w:ascii="宋体" w:hAnsi="宋体" w:eastAsia="宋体" w:cs="宋体"/>
                <w:sz w:val="24"/>
                <w:szCs w:val="24"/>
              </w:rPr>
              <w:t>1）本项目报总价，报价应包含完成西安市临潼区2023年防返贫监测预警平台运维服务的费和税。</w:t>
            </w:r>
            <w:bookmarkEnd w:id="27"/>
            <w:bookmarkEnd w:id="28"/>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2）供应商必须对所投项目全部内容进行完整报价，采购人不接受（将拒绝）只对项目部分内容进行报价的谈判响应。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757"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是否允许备选</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方案</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1005"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本次谈判响应的最小单元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要求</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本次谈判响应的最小单元为“包”。任何不完全的谈判响应将按照无效谈判响应处理。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492"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供应商资格</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证明文件</w:t>
            </w:r>
          </w:p>
        </w:tc>
        <w:tc>
          <w:tcPr>
            <w:tcW w:w="5766"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kern w:val="0"/>
                <w:sz w:val="24"/>
                <w:szCs w:val="24"/>
                <w:highlight w:val="none"/>
                <w:lang w:val="en-US" w:eastAsia="zh-CN" w:bidi="ar-SA"/>
              </w:rPr>
              <w:t>具有独立承担民事责任的能力。提供注册登记凭证（营业执照、其他组织经营的合法凭证，自然人的提供身份证明文件）</w:t>
            </w:r>
            <w:r>
              <w:rPr>
                <w:rFonts w:hint="eastAsia" w:ascii="宋体" w:hAnsi="宋体" w:eastAsia="宋体" w:cs="宋体"/>
                <w:color w:val="000000"/>
                <w:sz w:val="24"/>
                <w:szCs w:val="24"/>
              </w:rPr>
              <w:t>；</w:t>
            </w:r>
          </w:p>
          <w:p>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（2）法定代表人授权书（附法定代表人身份证复印件）及被授权人身份证（法定代表人直接参加谈判只须提供法定代表人身份证）； </w:t>
            </w:r>
          </w:p>
          <w:p>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财务状况报告：须提供近3年任意一年度的财务报表或具有财务审计资质的单位出具的财务报告（至少包括资产负债表和利润表，成立时间至提交响应文件截止时间不足一年的可提供成立后任意时段的资产负债表），或银行出具的资信证明； </w:t>
            </w:r>
          </w:p>
          <w:p>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xml:space="preserve">（4）税收缴纳证明：提供上一年度至今已缴纳的至少一个月的纳税证明或完税证明，依法免税的单位应提供相关证明材料； </w:t>
            </w:r>
            <w:r>
              <w:rPr>
                <w:rFonts w:hint="eastAsia" w:ascii="宋体" w:hAnsi="宋体" w:cs="宋体"/>
                <w:color w:val="000000"/>
                <w:sz w:val="24"/>
                <w:szCs w:val="24"/>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（5）社会保障资金缴纳证明：提供上一年度至今已缴存的至少一个月的有效社会保障资金缴纳证明。依法不需要缴纳社会保障资金的单位应提供相关证明材料； </w:t>
            </w:r>
          </w:p>
          <w:p>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（6）提供具有履行本项目所必需的设备和专业技术能力的说明及承诺；</w:t>
            </w:r>
          </w:p>
          <w:p>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（7）供应商参加采购活动近三年内经营活动中无重大违法记录声明；</w:t>
            </w:r>
          </w:p>
          <w:p>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4"/>
              </w:rPr>
            </w:pPr>
            <w:r>
              <w:rPr>
                <w:rFonts w:hint="eastAsia" w:ascii="宋体" w:hAnsi="宋体" w:eastAsia="宋体" w:cs="宋体"/>
                <w:bCs/>
                <w:sz w:val="24"/>
                <w:szCs w:val="24"/>
              </w:rPr>
              <w:t>（8）供应商不得为“信用中国”网站（www.creditchina.gov.cn）中列入失信被执行人和</w:t>
            </w:r>
            <w:r>
              <w:rPr>
                <w:rFonts w:hint="eastAsia" w:ascii="宋体" w:hAnsi="宋体" w:eastAsia="宋体" w:cs="宋体"/>
                <w:i w:val="0"/>
                <w:caps w:val="0"/>
                <w:color w:val="000000" w:themeColor="text1"/>
                <w:spacing w:val="0"/>
                <w:sz w:val="24"/>
                <w:szCs w:val="24"/>
                <w:highlight w:val="none"/>
                <w:shd w:val="clear" w:color="auto" w:fill="FFFFFF"/>
                <w14:textFill>
                  <w14:solidFill>
                    <w14:schemeClr w14:val="tx1"/>
                  </w14:solidFill>
                </w14:textFill>
              </w:rPr>
              <w:t>重大税收违法</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失信主体</w:t>
            </w:r>
            <w:r>
              <w:rPr>
                <w:rFonts w:hint="eastAsia" w:ascii="宋体" w:hAnsi="宋体" w:eastAsia="宋体" w:cs="宋体"/>
                <w:bCs/>
                <w:sz w:val="24"/>
                <w:szCs w:val="24"/>
              </w:rPr>
              <w:t>名单的供应商，不得为中国政府采购网（www.ccgp.gov.cn）政府采购严重违法失信行为记录名单中被财政部门禁止参加政府采购活动的供应商（提供购买标书当日起至开标截止前任意一天内的信用查询截图并加盖公章）</w:t>
            </w:r>
          </w:p>
          <w:p>
            <w:pPr>
              <w:keepNext w:val="0"/>
              <w:keepLines w:val="0"/>
              <w:pageBreakBefore w:val="0"/>
              <w:widowControl w:val="0"/>
              <w:kinsoku/>
              <w:wordWrap/>
              <w:overflowPunct/>
              <w:topLinePunct w:val="0"/>
              <w:autoSpaceDE/>
              <w:autoSpaceDN/>
              <w:bidi w:val="0"/>
              <w:adjustRightInd/>
              <w:snapToGrid/>
              <w:spacing w:line="400" w:lineRule="exact"/>
              <w:ind w:left="315" w:hanging="360" w:hangingChars="1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（9）本项目不接受联合体投标。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注：以上资格证明文件供应商必须完全提供，一项不合格即按照无效谈判处理。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888"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其他证明文件</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要求单独提交的证明文件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rPr>
              <w:t>原件</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投标人法定代表人证明书或其委托代理人的法人授权委托书和身份证原件手持，在开标时由监标人审验。（若无手持原件或审验不合格则视为无效投标，不能进入评标阶段，且逾期不接受任何补充资料）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1074" w:hRule="atLeast"/>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1）本次采购特别要求的服务合格性证明</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627"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2）实物及展示要求</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622"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是否要求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谈判保证金</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622"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315" w:hanging="360" w:hanging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w:t>
            </w:r>
          </w:p>
          <w:p>
            <w:pPr>
              <w:keepNext w:val="0"/>
              <w:keepLines w:val="0"/>
              <w:pageBreakBefore w:val="0"/>
              <w:widowControl w:val="0"/>
              <w:kinsoku/>
              <w:wordWrap/>
              <w:overflowPunct/>
              <w:topLinePunct w:val="0"/>
              <w:autoSpaceDE/>
              <w:autoSpaceDN/>
              <w:bidi w:val="0"/>
              <w:adjustRightInd/>
              <w:snapToGrid/>
              <w:spacing w:line="400" w:lineRule="exact"/>
              <w:ind w:left="315" w:hanging="360" w:hanging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政策功能</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yellow"/>
              </w:rPr>
            </w:pPr>
            <w:r>
              <w:rPr>
                <w:rFonts w:hint="eastAsia" w:ascii="宋体" w:hAnsi="宋体" w:eastAsia="宋体" w:cs="宋体"/>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510"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谈判响应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有效期</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自谈判开始90日历天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510"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19</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单一来源响应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文件份数</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正本一份，副本二份，电子版一份（U盘存储）。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电子版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文件要求</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有，要求如下：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1.供应商须另行提供与纸质单一来源响应文件正本</w:t>
            </w:r>
            <w:r>
              <w:rPr>
                <w:rFonts w:hint="eastAsia" w:ascii="宋体" w:hAnsi="宋体" w:eastAsia="宋体" w:cs="宋体"/>
                <w:color w:val="auto"/>
                <w:sz w:val="24"/>
                <w:szCs w:val="24"/>
                <w:highlight w:val="none"/>
              </w:rPr>
              <w:t>一致的</w:t>
            </w:r>
            <w:r>
              <w:rPr>
                <w:rFonts w:hint="eastAsia" w:ascii="宋体" w:hAnsi="宋体" w:eastAsia="宋体" w:cs="宋体"/>
                <w:color w:val="auto"/>
                <w:sz w:val="24"/>
                <w:szCs w:val="24"/>
                <w:highlight w:val="none"/>
                <w:lang w:val="en-US" w:eastAsia="zh-CN"/>
              </w:rPr>
              <w:t>WORD格式和</w:t>
            </w:r>
            <w:r>
              <w:rPr>
                <w:rFonts w:hint="eastAsia" w:ascii="宋体" w:hAnsi="宋体" w:eastAsia="宋体" w:cs="宋体"/>
                <w:color w:val="auto"/>
                <w:sz w:val="24"/>
                <w:szCs w:val="24"/>
                <w:highlight w:val="none"/>
              </w:rPr>
              <w:t>PDF格</w:t>
            </w:r>
            <w:r>
              <w:rPr>
                <w:rFonts w:hint="eastAsia" w:ascii="宋体" w:hAnsi="宋体" w:eastAsia="宋体" w:cs="宋体"/>
                <w:sz w:val="24"/>
                <w:szCs w:val="24"/>
              </w:rPr>
              <w:t>式U盘；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2.供应商须保证单一来源响应文件的纸质文件与电子文档保持一致；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3.电子文档表面需标明项目编号、供应商名称等信息。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944"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法人代表授权书签字盖章要求</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所有要求法人代表签字（名）处，均须由签字（名）者本人用不褪色的蓝（黑）色墨水（汁）书写，也可以加盖法人代表名章代替签名。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544"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22</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单一来源响应文件装订及包装密封要求</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1.单一来源响应文件正、副本应分别装订成册，装订应牢固、不易拆散和换页，不得采用活页装订。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sz w:val="24"/>
                <w:szCs w:val="24"/>
              </w:rPr>
              <w:t>2.</w:t>
            </w:r>
            <w:r>
              <w:rPr>
                <w:rFonts w:hint="eastAsia" w:ascii="宋体" w:hAnsi="宋体" w:eastAsia="宋体" w:cs="宋体"/>
                <w:color w:val="auto"/>
                <w:sz w:val="24"/>
                <w:szCs w:val="24"/>
              </w:rPr>
              <w:t>密封包装方式,共</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个密封袋：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（1）单一来源响应文件正、副本分别密封。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（2）电子版</w:t>
            </w:r>
            <w:r>
              <w:rPr>
                <w:rFonts w:hint="eastAsia" w:ascii="宋体" w:hAnsi="宋体" w:eastAsia="宋体" w:cs="宋体"/>
                <w:color w:val="auto"/>
                <w:sz w:val="24"/>
                <w:szCs w:val="24"/>
                <w:lang w:val="en-US" w:eastAsia="zh-CN"/>
              </w:rPr>
              <w:t>文件随</w:t>
            </w:r>
            <w:r>
              <w:rPr>
                <w:rFonts w:hint="eastAsia" w:ascii="宋体" w:hAnsi="宋体" w:eastAsia="宋体" w:cs="宋体"/>
                <w:color w:val="auto"/>
                <w:sz w:val="24"/>
                <w:szCs w:val="24"/>
                <w:highlight w:val="none"/>
                <w:lang w:val="en-US" w:eastAsia="zh-CN"/>
              </w:rPr>
              <w:t>正本密封袋</w:t>
            </w:r>
            <w:r>
              <w:rPr>
                <w:rFonts w:hint="eastAsia" w:ascii="宋体" w:hAnsi="宋体" w:eastAsia="宋体" w:cs="宋体"/>
                <w:color w:val="auto"/>
                <w:sz w:val="24"/>
                <w:szCs w:val="24"/>
                <w:highlight w:val="none"/>
              </w:rPr>
              <w:t>密封递交</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）建议双面打印胶装单一来源响应文件。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392"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23</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单一来源响应文件的递交</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单一来源响应文件递交地址：西安市临潼区环城东路东环路小区4号楼201室（烟草专卖局对面）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谈判响应截止时间</w:t>
            </w:r>
            <w:r>
              <w:rPr>
                <w:rFonts w:hint="eastAsia" w:ascii="宋体" w:hAnsi="宋体" w:eastAsia="宋体" w:cs="宋体"/>
                <w:color w:val="auto"/>
                <w:sz w:val="24"/>
                <w:szCs w:val="24"/>
                <w:highlight w:val="none"/>
              </w:rPr>
              <w:t>：20</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单一来源响应文件接收人：亿诚建设项目管理有限公司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24</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谈判时间和地点</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谈判时间：同谈判响应文件递交截止时间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谈判地点：同谈判响应文件递交地点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660"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25</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谈判方法</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详见第四章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335"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26</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谈判特别规定</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本次单一来源采购采用</w:t>
            </w:r>
            <w:r>
              <w:rPr>
                <w:rFonts w:hint="eastAsia" w:ascii="宋体" w:hAnsi="宋体" w:cs="宋体"/>
                <w:sz w:val="24"/>
                <w:szCs w:val="24"/>
                <w:lang w:val="en-US" w:eastAsia="zh-CN"/>
              </w:rPr>
              <w:t>二</w:t>
            </w:r>
            <w:r>
              <w:rPr>
                <w:rFonts w:hint="eastAsia" w:ascii="宋体" w:hAnsi="宋体" w:eastAsia="宋体" w:cs="宋体"/>
                <w:sz w:val="24"/>
                <w:szCs w:val="24"/>
              </w:rPr>
              <w:t>轮报价。</w:t>
            </w:r>
            <w:r>
              <w:rPr>
                <w:rFonts w:hint="eastAsia" w:ascii="宋体" w:hAnsi="宋体" w:eastAsia="宋体" w:cs="宋体"/>
                <w:sz w:val="24"/>
                <w:szCs w:val="24"/>
              </w:rPr>
              <w:br w:type="textWrapping"/>
            </w:r>
            <w:r>
              <w:rPr>
                <w:rFonts w:hint="eastAsia" w:ascii="宋体" w:hAnsi="宋体" w:eastAsia="宋体" w:cs="宋体"/>
                <w:sz w:val="24"/>
                <w:szCs w:val="24"/>
              </w:rPr>
              <w:t>谈判程序为：</w:t>
            </w:r>
            <w:r>
              <w:rPr>
                <w:rFonts w:hint="eastAsia" w:ascii="宋体" w:hAnsi="宋体" w:eastAsia="宋体" w:cs="宋体"/>
                <w:sz w:val="24"/>
                <w:szCs w:val="24"/>
              </w:rPr>
              <w:br w:type="textWrapping"/>
            </w:r>
            <w:r>
              <w:rPr>
                <w:rFonts w:hint="eastAsia" w:ascii="宋体" w:hAnsi="宋体" w:eastAsia="宋体" w:cs="宋体"/>
                <w:sz w:val="24"/>
                <w:szCs w:val="24"/>
              </w:rPr>
              <w:t>1）谈判小组对提交的响应文件进行评审；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2）谈判小组与供应商进行谈判；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3）供应商按照要求在规定的时间内提交最终报价；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4）谈判小组推荐合格供应商。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在谈判过程中，谈判小组可以根据响应文件和谈判情况变动采购需求中的服务要求以及合同草案条款，谈判小组决定报价次数。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556"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招标代理服务费参照国家计委颁发的《招标代理服务收费管理暂行办法》（计价格[2002]1980号）和国家发展改革委员会办公厅颁发的《关于招标代理服务收费有关问题的通知》（发改办价格[2011]534号）的有关规定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2、招标代理服务费按约定由成交人支付，成交供应商在领取成交通知书前，须向采购代理机构支付招标代理服务费。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28" w:type="dxa"/>
            <w:bottom w:w="0" w:type="dxa"/>
            <w:right w:w="28" w:type="dxa"/>
          </w:tblCellMar>
        </w:tblPrEx>
        <w:trPr>
          <w:trHeight w:val="1493"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28</w:t>
            </w:r>
          </w:p>
        </w:tc>
        <w:tc>
          <w:tcPr>
            <w:tcW w:w="171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其他说明</w:t>
            </w:r>
          </w:p>
        </w:tc>
        <w:tc>
          <w:tcPr>
            <w:tcW w:w="57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供应商限派一名代表（法人或授权代表）参加招投标活动，供应商代表到场须自觉佩戴口罩等防护工具，做好个人防护。</w:t>
            </w:r>
          </w:p>
        </w:tc>
      </w:tr>
    </w:tbl>
    <w:p>
      <w:pPr>
        <w:snapToGrid w:val="0"/>
        <w:spacing w:line="360" w:lineRule="auto"/>
        <w:rPr>
          <w:rFonts w:ascii="宋体" w:hAnsi="宋体" w:cs="宋体"/>
          <w:b/>
          <w:sz w:val="36"/>
        </w:rPr>
      </w:pPr>
    </w:p>
    <w:p>
      <w:pPr>
        <w:spacing w:line="360" w:lineRule="auto"/>
        <w:jc w:val="center"/>
        <w:rPr>
          <w:rFonts w:ascii="宋体" w:hAnsi="宋体" w:cs="宋体"/>
          <w:sz w:val="44"/>
          <w:szCs w:val="44"/>
        </w:rPr>
      </w:pPr>
      <w:r>
        <w:rPr>
          <w:rFonts w:hint="eastAsia" w:ascii="宋体" w:hAnsi="宋体" w:cs="宋体"/>
          <w:sz w:val="36"/>
        </w:rPr>
        <w:br w:type="page"/>
      </w:r>
      <w:r>
        <w:rPr>
          <w:rFonts w:hint="eastAsia" w:ascii="宋体" w:hAnsi="宋体" w:cs="宋体"/>
          <w:b/>
          <w:bCs/>
          <w:sz w:val="32"/>
          <w:szCs w:val="32"/>
        </w:rPr>
        <w:t>供应商须知</w:t>
      </w:r>
    </w:p>
    <w:p>
      <w:pPr>
        <w:spacing w:line="360" w:lineRule="auto"/>
        <w:jc w:val="center"/>
        <w:rPr>
          <w:rFonts w:ascii="宋体" w:hAnsi="宋体" w:cs="宋体"/>
          <w:b/>
          <w:sz w:val="30"/>
          <w:szCs w:val="30"/>
        </w:rPr>
      </w:pPr>
      <w:r>
        <w:rPr>
          <w:rFonts w:hint="eastAsia" w:ascii="宋体" w:hAnsi="宋体" w:cs="宋体"/>
          <w:b/>
          <w:sz w:val="30"/>
          <w:szCs w:val="30"/>
        </w:rPr>
        <w:t>一</w:t>
      </w:r>
      <w:r>
        <w:rPr>
          <w:rFonts w:hint="eastAsia" w:ascii="宋体" w:hAnsi="宋体" w:cs="宋体"/>
          <w:b/>
          <w:sz w:val="30"/>
          <w:szCs w:val="30"/>
          <w:lang w:val="en-US" w:eastAsia="zh-CN"/>
        </w:rPr>
        <w:t>.</w:t>
      </w:r>
      <w:r>
        <w:rPr>
          <w:rFonts w:hint="eastAsia" w:ascii="宋体" w:hAnsi="宋体" w:cs="宋体"/>
          <w:b/>
          <w:sz w:val="30"/>
          <w:szCs w:val="30"/>
        </w:rPr>
        <w:t>总则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1.采购人、采购代理机构和资金来源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1.1采购人名称、地址见前附表。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1.2实施本项目的采购代理机构为亿诚建设项目管理有限公司。亿诚建设项目管理有限公司在陕西省政府采购网登记备案。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1.3 本次单一来源所签订合同将使用财政性资金支付，资金已落实到位。</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2.合格的供应商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2.1合格供应商条件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6）中华人民共和国法律、行政法规规定的其他条件（见供应商须知前附表）；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7）根据本次采购项目的特殊要求，规定的供应商特定条件（见供应商须知前附表）。</w:t>
      </w:r>
    </w:p>
    <w:p>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rPr>
          <w:rFonts w:hint="eastAsia" w:ascii="宋体" w:hAnsi="宋体" w:cs="宋体"/>
          <w:sz w:val="24"/>
          <w:szCs w:val="24"/>
        </w:rPr>
      </w:pPr>
      <w:r>
        <w:rPr>
          <w:rFonts w:hint="eastAsia" w:ascii="宋体" w:hAnsi="宋体" w:cs="宋体"/>
          <w:sz w:val="24"/>
          <w:szCs w:val="24"/>
        </w:rPr>
        <w:t>2.2供应商信用记录查询及使用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信用中国”网站（www.creditchina.gov.cn）为供应商信用信息查询渠道，如果供应商被查实在响应文件递交截止时间前已列入失信被执行人、重大税收违法案件当事人名单，其响应文件为无效。代理机构将打印查询记录作为证据留存。</w:t>
      </w:r>
      <w:r>
        <w:rPr>
          <w:rFonts w:hint="eastAsia" w:ascii="宋体" w:hAnsi="宋体" w:cs="宋体"/>
          <w:color w:val="000000"/>
          <w:sz w:val="24"/>
          <w:szCs w:val="24"/>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2.3谈判费用自理。不论谈判响应的结果如何，供应商均应自行承担所有与参加谈判响应有关的费用。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3.谈判响应拟提供货物/服务的合格性和合法性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3.1谈判响应拟提供的货物/服务应满足单一来源采购文件的要求，并应符合国家法律法规、行业管理部门所要求的其他强制性标准。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4.单一来源响应文件内容的真实性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4.1供应商应保证其单一来源响应文件中所提供的所有有关谈判响应的资料、信息是真实的，并且来源于合法的渠道。因单一来源响应文件中所提供的有关谈判响应的资料、信息不真实，或者其来源不合法而导致的所有法律责任，由供应商自行承担。</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5.过程的监督和管理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b/>
          <w:sz w:val="24"/>
          <w:szCs w:val="24"/>
        </w:rPr>
      </w:pPr>
      <w:r>
        <w:rPr>
          <w:rFonts w:hint="eastAsia" w:ascii="宋体" w:hAnsi="宋体" w:cs="宋体"/>
          <w:sz w:val="24"/>
          <w:szCs w:val="24"/>
        </w:rPr>
        <w:t xml:space="preserve">5.1同级人民政府财政部门及有关部门依法履行对采购过程的监督管理职责。   </w:t>
      </w:r>
    </w:p>
    <w:p>
      <w:pPr>
        <w:spacing w:line="420" w:lineRule="exact"/>
        <w:jc w:val="center"/>
        <w:rPr>
          <w:rFonts w:ascii="宋体" w:hAnsi="宋体" w:cs="宋体"/>
          <w:b/>
          <w:sz w:val="36"/>
          <w:szCs w:val="36"/>
        </w:rPr>
      </w:pPr>
      <w:r>
        <w:rPr>
          <w:rFonts w:hint="eastAsia" w:ascii="宋体" w:hAnsi="宋体" w:cs="宋体"/>
          <w:b/>
          <w:sz w:val="30"/>
          <w:szCs w:val="30"/>
        </w:rPr>
        <w:t>二</w:t>
      </w:r>
      <w:r>
        <w:rPr>
          <w:rFonts w:hint="eastAsia" w:ascii="宋体" w:hAnsi="宋体" w:cs="宋体"/>
          <w:b/>
          <w:sz w:val="30"/>
          <w:szCs w:val="30"/>
          <w:lang w:val="en-US" w:eastAsia="zh-CN"/>
        </w:rPr>
        <w:t>.</w:t>
      </w:r>
      <w:r>
        <w:rPr>
          <w:rFonts w:hint="eastAsia" w:ascii="宋体" w:hAnsi="宋体" w:cs="宋体"/>
          <w:b/>
          <w:sz w:val="30"/>
          <w:szCs w:val="30"/>
        </w:rPr>
        <w:t>单一来源采购文件</w:t>
      </w:r>
    </w:p>
    <w:p>
      <w:pPr>
        <w:spacing w:line="420" w:lineRule="exact"/>
        <w:rPr>
          <w:rFonts w:ascii="宋体" w:hAnsi="宋体" w:cs="宋体"/>
          <w:b/>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6.单一来源采购文件构成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6.1 单一来源采购文件规定了要求提供的货物/服务。程序和合同条件在单一来源采购文件中均有说明。单一来源采购文件共六章，内容如下：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第一章 邀请书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第二章 供应商须知及前附表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第三章 合同条款及格式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第四章 谈判方法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第五章 采购需求及商务要求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第六章 单一来源响应文件格式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6.2供应商应认真阅读单一来源采购文件中所有的事项、格式、条款和规范等要求。如果供应商没有按照单一来源采购文件要求提交全部资料，或者单一来源响应文件没有对单一来源采购文件在各方面都做出实质性响应，由此带来的不利于供应商的谈判结果，其风险由供应商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6.3本单一来源采购文件的解释权归亿诚建设项目管理有限公司。</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7.单一来源采购文件的澄清修改和质疑答复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 xml:space="preserve">7.1单一来源单位如果对已发出的单一来源采购文件进行必要的澄清或者修改，将在单一来源采购文件要求提交单一来源响应文件截止时间前发给单一来源供应商。该澄清或者修改的内容为单一来源采购文件的组成部分。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7.2已经合法获取采购文件的供应商对采购文件有疑问或者认为采购文件使自己的权益受到损害的，应当依法以书面形式向采购代理机构指定的联系部门提出询问或者质疑，在此之后提出的询问或者质疑均为无效，采购代理机构不予受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7.3 供应商提出质疑应当按照“供应商须知前附表”的要求提交质疑函和必要的证明材料。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7.4 对于在规定时间内收到的供应商依法提出的询问或者质疑，采购代理机构将按程序在规定的时间内予以答复。</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8.谈判响应截止时间的延长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8.1采购代理机构可以视采购具体情况，延长单一来源响应文件递交截止时间和谈判时间。延长单一来源响应文件递交截止时间和谈判时间将在财政部门指定的将变更时间书面通知单一来源采购供应商。</w:t>
      </w:r>
    </w:p>
    <w:p>
      <w:pPr>
        <w:spacing w:line="420" w:lineRule="exact"/>
        <w:jc w:val="center"/>
        <w:rPr>
          <w:rFonts w:ascii="宋体" w:hAnsi="宋体" w:cs="宋体"/>
          <w:b/>
          <w:sz w:val="30"/>
          <w:szCs w:val="30"/>
        </w:rPr>
      </w:pPr>
      <w:r>
        <w:rPr>
          <w:rFonts w:hint="eastAsia" w:ascii="宋体" w:hAnsi="宋体" w:cs="宋体"/>
          <w:b/>
          <w:sz w:val="30"/>
          <w:szCs w:val="30"/>
        </w:rPr>
        <w:t>三.单一来源响应文件的编制</w:t>
      </w:r>
    </w:p>
    <w:p>
      <w:pPr>
        <w:spacing w:line="420" w:lineRule="exact"/>
        <w:rPr>
          <w:rFonts w:ascii="宋体" w:hAnsi="宋体" w:cs="宋体"/>
          <w:b/>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9.谈判响应语言和谈判响应货币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b/>
          <w:sz w:val="24"/>
          <w:szCs w:val="24"/>
        </w:rPr>
      </w:pPr>
      <w:r>
        <w:rPr>
          <w:rFonts w:hint="eastAsia" w:ascii="宋体" w:hAnsi="宋体" w:cs="宋体"/>
          <w:sz w:val="24"/>
          <w:szCs w:val="24"/>
        </w:rPr>
        <w:t>9.1供应商提交的单一来源响应文件以及供应商与采购代理机构就有关谈判的所有来往函电均应使用中文。对不同文字文本单一来源响应文件的解释发生异议的，以中文文本为准。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9.2谈判应以人民币报价。</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10.单一来源响应文件的构成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10.1 供应商提交的单一来源响应文件应包括下列部分的内容：</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1）谈判响应书</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2）谈判响应报价表</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3）商务偏差表</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4）服务要求偏差表</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5）法定代表人证明书或法人代表人授权书</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6）资格证明文件</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7）服务方案及服务承诺</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8）拟投入本项目人员汇总表及简历</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9）投标人认为有必要补充说明的事宜</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10)《拒绝政府采购领域商业贿赂承诺书》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10.1.1按照供应商须知的要求和单一来源响应文件规定格式填写。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10.1.2按照单一来源采购文件的要求编制的谈判响应方案说明书，内容应包括服务内容的详细说明，服务周期，实施方案，质量保证和后续服务承诺等。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10.1.3按照单一来源采购文件的要求提交的资质证明文件和其他证明文件。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11.单一来源响应文件格式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11.1 供应商应按照单一来源采购文件中“单一来源响应文件格式”所提供的格式和要求制作单一来源响应文件，明确表达谈判响应意愿，详细说明谈判响应方案和谈判响应价格。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11.2 供应商应完整地提供单一来源采购文件要求的所有数据和资料。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12.报价和谈判响应方案要求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12.1供应商应按照“供应商须知前附表”中的规定和要求报价。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12.2供应商应按照谈判响应报价表的内容标明谈判响应的所有单项价格和总价。谈判响应报价表的价格应为履行合同的固定价格，不得以任何理由予以变更。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12.3 本次谈判响应的最小单元见“供应商须知前附表”中的规定，供应商可对任一最小单元进行谈判响应，但不能对最小单元中的内容或者分项内容进行不完全谈判响应。</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13.证明供应商合格和实力的文件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13.1供应商应按照单一来源采购文件“供应商须知前附表”的要求，在单一来源响应文件中提交证明其资格合格的文件。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13.2供应商还应按照单一来源采购文件“供应商须知前附表”的要求，提交其他的证明其实力、信誉、业绩等的证明文件。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13.3如果“供应商须知前附表”有要求，供应商还应按照要求提交资格或其他证明文件的原件。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14.证明合格并符合单一来源采购文件规定的文件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14.1供应商应在单一来源响应文件中提交其所提供的货物/服务满足单一来源采购文件要求并符合国家法律法规、行业管理部门要求的其他强制性标准的证明及文件。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14.2上述证明可以是文字资料、图纸、图片和数据，也可以是实物，它包括：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480" w:firstLineChars="200"/>
        <w:textAlignment w:val="auto"/>
        <w:rPr>
          <w:rFonts w:ascii="宋体" w:hAnsi="宋体" w:cs="宋体"/>
          <w:sz w:val="24"/>
          <w:szCs w:val="24"/>
        </w:rPr>
      </w:pPr>
      <w:r>
        <w:rPr>
          <w:rFonts w:hint="eastAsia" w:ascii="宋体" w:hAnsi="宋体" w:cs="宋体"/>
          <w:sz w:val="24"/>
          <w:szCs w:val="24"/>
        </w:rPr>
        <w:t>本次采购特别要求的货物/服务合格性证明文件（见“供应商须知前附表”）；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2）实物及展示要求见“供应商须知前附表”。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3）逐条对单一来源采购文件提出的技术要求和商务要求进行应答，说明所提供的货物/服务对项目的技术和商务要求是否做出了实质性响应并提供支持文件；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4）货物技术规格/服务内容和实施方案的详细说明。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14.3缺少上述证明及文件或证明及文件不合格的谈判响应，与单一来源采购文件要求有重大偏离的谈判响应，不符合国家法律法规、行业管理部门要求的其他强制性标准的谈判响应将按照无效处理。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15.谈判保证金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15.1如果单一来源采购文件有要求，供应商应按照“供应商须知前附表”的要求，在谈判响应时向亿诚建设项目管理有限公司提交谈判保证金,其有效期与谈判响应有效期一致，并作为其谈判响应的一部分。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15.2谈判保证金的数额、形式、交纳办法和交纳时间见“供应商须知前附表”。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15.3经审查，未按照“供应商须知前附表”的要求交纳谈判保证金的、已交纳的谈判保证金金额不足的或有效期不足的，其谈判响应按照无效谈判响应处理。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 xml:space="preserve">15.6有下列情形之一的，谈判保证金不予退还：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15.6.1供应商在提交单一来源响应文件截止时间后撤回其谈判响应的；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15.6.2供应商在单一来源响应文件中提供虚假材料的；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15.6.3除因不可抗力或单一来源采购文件认可的情形以外，供应商不与采购人签订合同的；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15.6.4供应商未能按规定交纳代理服务费的。</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16.谈判响应有效期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16.1谈判响应应在“供应商须知前附表”中规定的谈判响应有效期内保持有效。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16.2在特殊情况下，在原谈判响应有效期期满之前，采购代理机构可向供应商提出延长谈判响应有效期的要求。这种要求与答复均应以书面的形式。供应商可以拒绝采购代理机构的这种要求,其谈判保证金予以退还。同意延长的供应商既不能要求也不允许修改其单一来源响应文件，但要相应延长其谈判保证金的有效期。</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17.单一来源响应文件的式样和签署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17.1供应商应按照供应商须知的要求, 准备一份单一来源响应文件正本和“供应商须知前附表”中规定数量的副本，副本可以是正本的复印件。每套单一来源响应文件须清楚地标明“正本”或“副本”。如果发生正本与副本不一致的情况，以正本为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17.2如果单一来源采购文件有要求，还应按照“供应商须知前附表”的要求准备相应格式和载体的电子版文件。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17.3单一来源响应文件正本需打印或用不褪色的蓝(黑)色墨水(汁)书写,并由供应商法人代表或经法人代表正式授权的代表签字。授权代表须将按单一来源采购文件规定的格式出具的“法人代表授权书”附在单一来源响应文件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17.4任何行间插字、涂改和增删，必须由单一来源响应文件的签字人在旁边签字才有效。</w:t>
      </w:r>
    </w:p>
    <w:p>
      <w:pPr>
        <w:rPr>
          <w:rFonts w:hint="eastAsia" w:ascii="宋体" w:hAnsi="宋体" w:cs="宋体"/>
          <w:sz w:val="24"/>
          <w:szCs w:val="24"/>
        </w:rPr>
      </w:pPr>
    </w:p>
    <w:p>
      <w:pPr>
        <w:spacing w:line="420" w:lineRule="exact"/>
        <w:jc w:val="center"/>
        <w:rPr>
          <w:rFonts w:hint="eastAsia" w:ascii="宋体" w:hAnsi="宋体" w:eastAsia="宋体" w:cs="宋体"/>
          <w:b/>
          <w:sz w:val="30"/>
          <w:szCs w:val="30"/>
        </w:rPr>
      </w:pPr>
      <w:r>
        <w:rPr>
          <w:rFonts w:hint="eastAsia" w:ascii="宋体" w:hAnsi="宋体" w:eastAsia="宋体" w:cs="宋体"/>
          <w:b/>
          <w:sz w:val="30"/>
          <w:szCs w:val="30"/>
        </w:rPr>
        <w:t>四.单一来源响应文件的递交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18.单一来源响应文件的装订、密封和标记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18.1单一来源响应文件的正本与副本应分别装订成册，并编制目录，具体装订和包装密封要求见本须知“供应商须知前附表”规定。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18.2外层包装请按以下要求标记：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 xml:space="preserve">    1) 供应商的全称；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 xml:space="preserve">    2) 谈判响应项目名称、项目编号、包号（如有）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 xml:space="preserve">    3）正本或副本及“请勿在＿＿＿＿＿(谈判时间)之前启封”。</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19．单一来源响应文件递交方式和谈判响应截止时间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19.1供应商必须派出代表，在本须知“供应商须知前附表”规定的谈判响应截止时间前，将全部单一来源响应文件和谈判响应资料递交至谈判响应地点并签字确认。谈判响应地点见“供应商须知前附表”指明的地址或采购代理机构另行通知的地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19.2如果在“供应商须知前附表”中要求提供资格或其他证明文件的原件，则所有原件必须按照“供应商须知前附表”的要求递交。</w:t>
      </w:r>
    </w:p>
    <w:p>
      <w:pPr>
        <w:spacing w:line="420" w:lineRule="exact"/>
        <w:ind w:firstLine="480" w:firstLineChars="200"/>
        <w:rPr>
          <w:rFonts w:ascii="宋体" w:hAnsi="宋体" w:cs="宋体"/>
          <w:sz w:val="24"/>
          <w:szCs w:val="24"/>
        </w:rPr>
      </w:pPr>
    </w:p>
    <w:p>
      <w:pPr>
        <w:spacing w:line="420" w:lineRule="exact"/>
        <w:jc w:val="center"/>
        <w:rPr>
          <w:rFonts w:ascii="宋体" w:hAnsi="宋体" w:cs="宋体"/>
          <w:b/>
          <w:sz w:val="30"/>
          <w:szCs w:val="30"/>
        </w:rPr>
      </w:pPr>
      <w:r>
        <w:rPr>
          <w:rFonts w:hint="eastAsia" w:ascii="宋体" w:hAnsi="宋体" w:cs="宋体"/>
          <w:b/>
          <w:sz w:val="30"/>
          <w:szCs w:val="30"/>
        </w:rPr>
        <w:t>五.谈判</w:t>
      </w:r>
    </w:p>
    <w:p>
      <w:pPr>
        <w:spacing w:line="420" w:lineRule="exact"/>
        <w:ind w:firstLine="482" w:firstLineChars="200"/>
        <w:jc w:val="center"/>
        <w:rPr>
          <w:rFonts w:ascii="宋体" w:hAnsi="宋体" w:cs="宋体"/>
          <w:b/>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21.谈判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21.1 采购代理机构在规定的时间和地点组织谈判。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21.2采购代理机构将做谈判报价记录，存档备查。</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22．谈判组织及谈判原则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22.1按照《中华人民共和国政府采购法》、《中华人民共和国政府采购法实施条例》和《政府采购非招标方式管理办法》的规定，依法组建谈判小组。谈判小组按照单一来源采购文件规定的谈判方法进行谈判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22.2单一来源采购文件和单一来源响应文件是谈判的依据。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22.3在谈判期间，对单一来源响应文件中含义不明确、同类问题表述不一致或者有明显文字和计算错误的内容，谈判小组可以书面形式（由谈判小组专家签字）要求供应商做出必要的澄清、说明或者纠正。供应商的澄清、说明或者补正应当采用书面形式，由其授权的代表签字。</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23．谈判过程的保密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23.1谈判小组成员和与谈判活动有关的工作人员不得泄露有关单一来源响应文件的与谈判有关的其他情况。</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24．谈判方法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24.1按照《中华人民共和国政府采购法》、《中华人民共和国政府采购法实施条例》和《政府采购非招标方式管理办法》的规定，本次谈判采用的谈判方法具体见“供应商须知前附表”。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25．谈判程序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按照单一来源响应文件初审、澄清有关问题、谈判、推荐成交候选供应商的工作程序进行。</w:t>
      </w:r>
    </w:p>
    <w:p>
      <w:pPr>
        <w:pStyle w:val="2"/>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p>
    <w:p>
      <w:pPr>
        <w:spacing w:line="420" w:lineRule="exact"/>
        <w:jc w:val="center"/>
        <w:rPr>
          <w:rFonts w:ascii="宋体" w:hAnsi="宋体" w:cs="宋体"/>
          <w:b/>
          <w:sz w:val="30"/>
          <w:szCs w:val="30"/>
        </w:rPr>
      </w:pPr>
      <w:r>
        <w:rPr>
          <w:rFonts w:hint="eastAsia" w:ascii="宋体" w:hAnsi="宋体" w:cs="宋体"/>
          <w:b/>
          <w:sz w:val="30"/>
          <w:szCs w:val="30"/>
        </w:rPr>
        <w:t>六.成交通知与签约</w:t>
      </w:r>
    </w:p>
    <w:p>
      <w:pPr>
        <w:spacing w:line="420" w:lineRule="exact"/>
        <w:rPr>
          <w:rFonts w:ascii="宋体" w:hAnsi="宋体" w:cs="宋体"/>
          <w:b/>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26．程序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26.1谈判小组根据谈判方法的规定对供应商进行谈判，推荐成交候选人，作为谈判结果。谈判结果由全体谈判小组成员签字确认。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26.2采购人根据谈判报告中推荐的成交候选人，确定成交人。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26.3采购人也可以事先授权谈判小组谈判后直接确定成交供应商。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26.4成交供应商确定之后，成交结果将在财政部门指定的政府采购信息发布媒体上公告。如果成交供应商为小微企业或残疾人福利性单位的，将同时公告其《中小企业声明函》或《残疾人福利性单位声明函》。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26.5关于谈判的特别规定（见“供应商须知前附表）。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27．成交通知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b/>
          <w:bCs/>
          <w:sz w:val="24"/>
          <w:szCs w:val="24"/>
        </w:rPr>
      </w:pPr>
      <w:r>
        <w:rPr>
          <w:rFonts w:hint="eastAsia" w:ascii="宋体" w:hAnsi="宋体" w:cs="宋体"/>
          <w:sz w:val="24"/>
          <w:szCs w:val="24"/>
        </w:rPr>
        <w:t>27.1 成交供应商确定之</w:t>
      </w:r>
      <w:r>
        <w:rPr>
          <w:rFonts w:hint="eastAsia" w:ascii="宋体" w:hAnsi="宋体" w:cs="宋体"/>
          <w:b/>
          <w:bCs/>
          <w:sz w:val="24"/>
          <w:szCs w:val="24"/>
        </w:rPr>
        <w:t xml:space="preserve">后，亿诚建设项目管理有限公司将发出《成交通知书》。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27.2成交通知书对采购人和成交供应商具有同等法律效力。成交通知书发出之后，采购人改变成交结果，或者成交供应商放弃成交，应当承担相应的法律责任。</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28. 成交合同的签订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28.1采购人应当自成交通知书发出之日起三十日内，按照单一来源采购文件和成交供应商单一来源响应文件（包括谈判中形成的澄清文件）的约定，与成交供应商签订书面合同。所签订的合同不得对单一来源采购文件和成交供应商的单一来源响应文件（包括谈判中形成的澄清文件）作实质性修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28.2采购人自政府采购合同签订之日起2个工作日内，将政府采购合同在省级以上人民政府财政部门指定的媒体上公告，但政府采购合同中涉及国家秘密、商业秘密的内容除外。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29．成交合同的履约验收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29.1采购人按照政府采购合同规定的技术、服务、安全标准组织对供应商履约情况进行验收，并出具验收书。验收书应当包括每一项技术、服务、安全标准的履约情况。</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szCs w:val="24"/>
        </w:rPr>
      </w:pPr>
      <w:r>
        <w:rPr>
          <w:rFonts w:hint="eastAsia" w:ascii="宋体" w:hAnsi="宋体" w:cs="宋体"/>
          <w:b/>
          <w:sz w:val="24"/>
          <w:szCs w:val="24"/>
        </w:rPr>
        <w:t>30．代理服务费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30.1代理机构应在发出成交通知书时，成交供应商向亿诚建设项目管理有限公司一次性支付代理服务费。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30.2代理服务费的金额见前附表。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p>
    <w:p>
      <w:pPr>
        <w:snapToGrid w:val="0"/>
        <w:spacing w:line="360" w:lineRule="auto"/>
        <w:contextualSpacing/>
        <w:jc w:val="center"/>
        <w:outlineLvl w:val="0"/>
        <w:rPr>
          <w:rFonts w:ascii="宋体" w:hAnsi="宋体" w:cs="宋体"/>
          <w:b/>
          <w:sz w:val="36"/>
          <w:szCs w:val="36"/>
          <w:highlight w:val="none"/>
          <w:lang w:val="zh-CN"/>
        </w:rPr>
      </w:pPr>
      <w:r>
        <w:rPr>
          <w:rFonts w:hint="eastAsia" w:ascii="宋体" w:hAnsi="宋体" w:cs="宋体"/>
          <w:sz w:val="24"/>
          <w:szCs w:val="24"/>
        </w:rPr>
        <w:br w:type="page"/>
      </w:r>
      <w:bookmarkStart w:id="29" w:name="_Toc19770"/>
      <w:bookmarkStart w:id="30" w:name="_Toc13281"/>
      <w:bookmarkStart w:id="31" w:name="_Toc12484"/>
      <w:bookmarkStart w:id="32" w:name="_Toc7544"/>
      <w:r>
        <w:rPr>
          <w:rFonts w:hint="eastAsia" w:ascii="宋体" w:hAnsi="宋体" w:cs="宋体"/>
          <w:b/>
          <w:sz w:val="36"/>
          <w:szCs w:val="36"/>
          <w:highlight w:val="none"/>
        </w:rPr>
        <w:t>第三章  合同条款及格式</w:t>
      </w:r>
      <w:bookmarkEnd w:id="29"/>
      <w:bookmarkEnd w:id="30"/>
      <w:bookmarkEnd w:id="31"/>
    </w:p>
    <w:p>
      <w:pPr>
        <w:keepNext w:val="0"/>
        <w:keepLines w:val="0"/>
        <w:pageBreakBefore w:val="0"/>
        <w:kinsoku/>
        <w:wordWrap/>
        <w:overflowPunct/>
        <w:topLinePunct w:val="0"/>
        <w:autoSpaceDE/>
        <w:autoSpaceDN/>
        <w:bidi w:val="0"/>
        <w:snapToGrid w:val="0"/>
        <w:spacing w:line="480" w:lineRule="auto"/>
        <w:ind w:firstLine="560"/>
        <w:textAlignment w:val="auto"/>
        <w:rPr>
          <w:rFonts w:ascii="宋体" w:hAnsi="宋体" w:cs="宋体"/>
          <w:color w:val="000000"/>
          <w:sz w:val="24"/>
          <w:szCs w:val="24"/>
        </w:rPr>
      </w:pPr>
      <w:r>
        <w:rPr>
          <w:rFonts w:hint="eastAsia" w:ascii="宋体" w:hAnsi="宋体" w:cs="宋体"/>
          <w:color w:val="000000"/>
          <w:sz w:val="24"/>
          <w:szCs w:val="24"/>
        </w:rPr>
        <w:t>采购人（全称）：</w:t>
      </w:r>
      <w:r>
        <w:rPr>
          <w:rFonts w:hint="eastAsia" w:ascii="宋体" w:hAnsi="宋体" w:cs="宋体"/>
          <w:color w:val="000000"/>
          <w:sz w:val="24"/>
          <w:szCs w:val="24"/>
          <w:u w:val="single"/>
        </w:rPr>
        <w:t xml:space="preserve">                            </w:t>
      </w:r>
    </w:p>
    <w:p>
      <w:pPr>
        <w:keepNext w:val="0"/>
        <w:keepLines w:val="0"/>
        <w:pageBreakBefore w:val="0"/>
        <w:kinsoku/>
        <w:wordWrap/>
        <w:overflowPunct/>
        <w:topLinePunct w:val="0"/>
        <w:autoSpaceDE/>
        <w:autoSpaceDN/>
        <w:bidi w:val="0"/>
        <w:snapToGrid w:val="0"/>
        <w:spacing w:line="480" w:lineRule="auto"/>
        <w:ind w:firstLine="560"/>
        <w:textAlignment w:val="auto"/>
        <w:rPr>
          <w:rFonts w:ascii="宋体" w:hAnsi="宋体" w:cs="宋体"/>
          <w:color w:val="000000"/>
          <w:sz w:val="24"/>
          <w:szCs w:val="24"/>
        </w:rPr>
      </w:pPr>
      <w:r>
        <w:rPr>
          <w:rFonts w:hint="eastAsia" w:ascii="宋体" w:hAnsi="宋体" w:cs="宋体"/>
          <w:color w:val="000000"/>
          <w:sz w:val="24"/>
          <w:szCs w:val="24"/>
        </w:rPr>
        <w:t>供应商（全称）：</w:t>
      </w:r>
      <w:r>
        <w:rPr>
          <w:rFonts w:hint="eastAsia" w:ascii="宋体" w:hAnsi="宋体" w:cs="宋体"/>
          <w:color w:val="000000"/>
          <w:sz w:val="24"/>
          <w:szCs w:val="24"/>
          <w:u w:val="single"/>
        </w:rPr>
        <w:t xml:space="preserve">                            </w:t>
      </w:r>
    </w:p>
    <w:p>
      <w:pPr>
        <w:keepNext w:val="0"/>
        <w:keepLines w:val="0"/>
        <w:pageBreakBefore w:val="0"/>
        <w:kinsoku/>
        <w:wordWrap/>
        <w:overflowPunct/>
        <w:topLinePunct w:val="0"/>
        <w:autoSpaceDE/>
        <w:autoSpaceDN/>
        <w:bidi w:val="0"/>
        <w:snapToGrid w:val="0"/>
        <w:spacing w:line="400" w:lineRule="exact"/>
        <w:ind w:firstLine="560"/>
        <w:textAlignment w:val="auto"/>
        <w:rPr>
          <w:rFonts w:ascii="宋体" w:hAnsi="宋体" w:cs="宋体"/>
          <w:color w:val="000000"/>
          <w:sz w:val="24"/>
          <w:szCs w:val="24"/>
          <w:u w:val="single"/>
        </w:rPr>
      </w:pPr>
      <w:r>
        <w:rPr>
          <w:rFonts w:hint="eastAsia" w:ascii="宋体" w:hAnsi="宋体" w:cs="宋体"/>
          <w:color w:val="000000"/>
          <w:sz w:val="24"/>
          <w:szCs w:val="24"/>
        </w:rPr>
        <w:t>根据《中华人民共和国民法典》及其他有关法律、法规，遵循平等、自愿、公平和诚信的原则，双方就下述项目范围与相关服务事项协商一致，订立本合同。</w:t>
      </w:r>
    </w:p>
    <w:p>
      <w:pPr>
        <w:keepNext w:val="0"/>
        <w:keepLines w:val="0"/>
        <w:pageBreakBefore w:val="0"/>
        <w:kinsoku/>
        <w:wordWrap/>
        <w:overflowPunct/>
        <w:topLinePunct w:val="0"/>
        <w:autoSpaceDE/>
        <w:autoSpaceDN/>
        <w:bidi w:val="0"/>
        <w:spacing w:line="400" w:lineRule="exact"/>
        <w:textAlignment w:val="auto"/>
        <w:rPr>
          <w:rFonts w:ascii="宋体" w:hAnsi="宋体" w:cs="宋体"/>
          <w:b/>
          <w:color w:val="000000"/>
          <w:sz w:val="24"/>
          <w:szCs w:val="24"/>
        </w:rPr>
      </w:pPr>
      <w:r>
        <w:rPr>
          <w:rFonts w:hint="eastAsia" w:ascii="宋体" w:hAnsi="宋体" w:cs="宋体"/>
          <w:b/>
          <w:color w:val="000000"/>
          <w:sz w:val="24"/>
          <w:szCs w:val="24"/>
        </w:rPr>
        <w:t>一、项目概况</w:t>
      </w:r>
    </w:p>
    <w:p>
      <w:pPr>
        <w:keepNext w:val="0"/>
        <w:keepLines w:val="0"/>
        <w:pageBreakBefore w:val="0"/>
        <w:kinsoku/>
        <w:wordWrap/>
        <w:overflowPunct/>
        <w:topLinePunct w:val="0"/>
        <w:autoSpaceDE/>
        <w:autoSpaceDN/>
        <w:bidi w:val="0"/>
        <w:snapToGrid w:val="0"/>
        <w:spacing w:line="400" w:lineRule="exact"/>
        <w:ind w:firstLine="554"/>
        <w:textAlignment w:val="auto"/>
        <w:rPr>
          <w:rFonts w:hint="eastAsia" w:ascii="宋体" w:hAnsi="宋体" w:eastAsia="宋体" w:cs="宋体"/>
          <w:color w:val="000000"/>
          <w:sz w:val="24"/>
          <w:szCs w:val="24"/>
          <w:u w:val="single"/>
          <w:lang w:eastAsia="zh-CN"/>
        </w:rPr>
      </w:pPr>
      <w:r>
        <w:rPr>
          <w:rFonts w:hint="eastAsia" w:ascii="宋体" w:hAnsi="宋体" w:cs="宋体"/>
          <w:color w:val="000000"/>
          <w:sz w:val="24"/>
          <w:szCs w:val="24"/>
        </w:rPr>
        <w:t>1. 项目名称：</w:t>
      </w:r>
      <w:r>
        <w:rPr>
          <w:rFonts w:hint="eastAsia" w:ascii="宋体" w:hAnsi="宋体" w:cs="宋体"/>
          <w:color w:val="000000"/>
          <w:sz w:val="24"/>
          <w:szCs w:val="24"/>
          <w:u w:val="single"/>
        </w:rPr>
        <w:t xml:space="preserve">西安市临潼区2023年返贫监测预警平台运维服务 </w:t>
      </w:r>
      <w:r>
        <w:rPr>
          <w:rFonts w:hint="eastAsia" w:ascii="宋体" w:hAnsi="宋体" w:cs="宋体"/>
          <w:color w:val="000000"/>
          <w:sz w:val="24"/>
          <w:szCs w:val="24"/>
          <w:u w:val="none"/>
        </w:rPr>
        <w:t xml:space="preserve"> </w:t>
      </w:r>
      <w:r>
        <w:rPr>
          <w:rFonts w:hint="eastAsia" w:ascii="宋体" w:hAnsi="宋体" w:cs="宋体"/>
          <w:color w:val="000000"/>
          <w:sz w:val="24"/>
          <w:szCs w:val="24"/>
          <w:u w:val="none"/>
          <w:lang w:eastAsia="zh-CN"/>
        </w:rPr>
        <w:t>；</w:t>
      </w:r>
    </w:p>
    <w:p>
      <w:pPr>
        <w:keepNext w:val="0"/>
        <w:keepLines w:val="0"/>
        <w:pageBreakBefore w:val="0"/>
        <w:kinsoku/>
        <w:wordWrap/>
        <w:overflowPunct/>
        <w:topLinePunct w:val="0"/>
        <w:autoSpaceDE/>
        <w:autoSpaceDN/>
        <w:bidi w:val="0"/>
        <w:snapToGrid w:val="0"/>
        <w:spacing w:line="400" w:lineRule="exact"/>
        <w:ind w:firstLine="554"/>
        <w:textAlignment w:val="auto"/>
        <w:rPr>
          <w:rFonts w:ascii="宋体" w:hAnsi="宋体" w:cs="宋体"/>
          <w:color w:val="000000"/>
          <w:sz w:val="24"/>
          <w:szCs w:val="24"/>
        </w:rPr>
      </w:pPr>
      <w:r>
        <w:rPr>
          <w:rFonts w:hint="eastAsia" w:ascii="宋体" w:hAnsi="宋体" w:cs="宋体"/>
          <w:color w:val="000000"/>
          <w:sz w:val="24"/>
          <w:szCs w:val="24"/>
        </w:rPr>
        <w:t>2. 项目地点：</w:t>
      </w:r>
      <w:r>
        <w:rPr>
          <w:rFonts w:hint="eastAsia" w:ascii="宋体" w:hAnsi="宋体" w:cs="宋体"/>
          <w:color w:val="000000"/>
          <w:sz w:val="24"/>
          <w:szCs w:val="24"/>
          <w:u w:val="single"/>
        </w:rPr>
        <w:t xml:space="preserve">采购人指定地点 </w:t>
      </w:r>
      <w:r>
        <w:rPr>
          <w:rFonts w:hint="eastAsia" w:ascii="宋体" w:hAnsi="宋体" w:cs="宋体"/>
          <w:color w:val="000000"/>
          <w:sz w:val="24"/>
          <w:szCs w:val="24"/>
        </w:rPr>
        <w:t>；</w:t>
      </w:r>
    </w:p>
    <w:p>
      <w:pPr>
        <w:keepNext w:val="0"/>
        <w:keepLines w:val="0"/>
        <w:pageBreakBefore w:val="0"/>
        <w:kinsoku/>
        <w:wordWrap/>
        <w:overflowPunct/>
        <w:topLinePunct w:val="0"/>
        <w:autoSpaceDE/>
        <w:autoSpaceDN/>
        <w:bidi w:val="0"/>
        <w:spacing w:line="400" w:lineRule="exact"/>
        <w:textAlignment w:val="auto"/>
        <w:rPr>
          <w:rFonts w:ascii="宋体" w:hAnsi="宋体" w:cs="宋体"/>
          <w:b/>
          <w:color w:val="000000"/>
          <w:sz w:val="24"/>
          <w:szCs w:val="24"/>
        </w:rPr>
      </w:pPr>
      <w:r>
        <w:rPr>
          <w:rFonts w:hint="eastAsia" w:ascii="宋体" w:hAnsi="宋体" w:cs="宋体"/>
          <w:b/>
          <w:color w:val="000000"/>
          <w:sz w:val="24"/>
          <w:szCs w:val="24"/>
        </w:rPr>
        <w:t>二、组成本合同的文件</w:t>
      </w:r>
    </w:p>
    <w:p>
      <w:pPr>
        <w:keepNext w:val="0"/>
        <w:keepLines w:val="0"/>
        <w:pageBreakBefore w:val="0"/>
        <w:kinsoku/>
        <w:wordWrap/>
        <w:overflowPunct/>
        <w:topLinePunct w:val="0"/>
        <w:autoSpaceDE/>
        <w:autoSpaceDN/>
        <w:bidi w:val="0"/>
        <w:snapToGrid w:val="0"/>
        <w:spacing w:line="400" w:lineRule="exact"/>
        <w:ind w:firstLine="554"/>
        <w:textAlignment w:val="auto"/>
        <w:rPr>
          <w:rFonts w:ascii="宋体" w:hAnsi="宋体" w:cs="宋体"/>
          <w:color w:val="000000"/>
          <w:sz w:val="24"/>
          <w:szCs w:val="24"/>
        </w:rPr>
      </w:pPr>
      <w:r>
        <w:rPr>
          <w:rFonts w:hint="eastAsia" w:ascii="宋体" w:hAnsi="宋体" w:cs="宋体"/>
          <w:color w:val="000000"/>
          <w:sz w:val="24"/>
          <w:szCs w:val="24"/>
        </w:rPr>
        <w:t>1、协议书；</w:t>
      </w:r>
    </w:p>
    <w:p>
      <w:pPr>
        <w:keepNext w:val="0"/>
        <w:keepLines w:val="0"/>
        <w:pageBreakBefore w:val="0"/>
        <w:kinsoku/>
        <w:wordWrap/>
        <w:overflowPunct/>
        <w:topLinePunct w:val="0"/>
        <w:autoSpaceDE/>
        <w:autoSpaceDN/>
        <w:bidi w:val="0"/>
        <w:snapToGrid w:val="0"/>
        <w:spacing w:line="400" w:lineRule="exact"/>
        <w:ind w:firstLine="554"/>
        <w:textAlignment w:val="auto"/>
        <w:rPr>
          <w:rFonts w:ascii="宋体" w:hAnsi="宋体" w:cs="宋体"/>
          <w:color w:val="000000"/>
          <w:sz w:val="24"/>
          <w:szCs w:val="24"/>
        </w:rPr>
      </w:pPr>
      <w:r>
        <w:rPr>
          <w:rFonts w:hint="eastAsia" w:ascii="宋体" w:hAnsi="宋体" w:cs="宋体"/>
          <w:color w:val="000000"/>
          <w:sz w:val="24"/>
          <w:szCs w:val="24"/>
        </w:rPr>
        <w:t>2、中标通知书、单一来源响应文件、单一来源文件；</w:t>
      </w:r>
    </w:p>
    <w:p>
      <w:pPr>
        <w:keepNext w:val="0"/>
        <w:keepLines w:val="0"/>
        <w:pageBreakBefore w:val="0"/>
        <w:kinsoku/>
        <w:wordWrap/>
        <w:overflowPunct/>
        <w:topLinePunct w:val="0"/>
        <w:autoSpaceDE/>
        <w:autoSpaceDN/>
        <w:bidi w:val="0"/>
        <w:snapToGrid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3、相关服务建议书；</w:t>
      </w:r>
    </w:p>
    <w:p>
      <w:pPr>
        <w:keepNext w:val="0"/>
        <w:keepLines w:val="0"/>
        <w:pageBreakBefore w:val="0"/>
        <w:kinsoku/>
        <w:wordWrap/>
        <w:overflowPunct/>
        <w:topLinePunct w:val="0"/>
        <w:autoSpaceDE/>
        <w:autoSpaceDN/>
        <w:bidi w:val="0"/>
        <w:snapToGrid w:val="0"/>
        <w:spacing w:line="400" w:lineRule="exact"/>
        <w:textAlignment w:val="auto"/>
        <w:rPr>
          <w:rFonts w:ascii="宋体" w:hAnsi="宋体" w:cs="宋体"/>
          <w:color w:val="000000"/>
          <w:sz w:val="24"/>
          <w:szCs w:val="24"/>
        </w:rPr>
      </w:pPr>
      <w:r>
        <w:rPr>
          <w:rFonts w:hint="eastAsia" w:ascii="宋体" w:hAnsi="宋体" w:cs="宋体"/>
          <w:color w:val="000000"/>
          <w:sz w:val="24"/>
          <w:szCs w:val="24"/>
        </w:rPr>
        <w:t xml:space="preserve">     4、附录，即：附表内相关服务的范围和内容；</w:t>
      </w:r>
    </w:p>
    <w:p>
      <w:pPr>
        <w:keepNext w:val="0"/>
        <w:keepLines w:val="0"/>
        <w:pageBreakBefore w:val="0"/>
        <w:kinsoku/>
        <w:wordWrap/>
        <w:overflowPunct/>
        <w:topLinePunct w:val="0"/>
        <w:autoSpaceDE/>
        <w:autoSpaceDN/>
        <w:bidi w:val="0"/>
        <w:snapToGrid w:val="0"/>
        <w:spacing w:line="400" w:lineRule="exact"/>
        <w:ind w:firstLine="554"/>
        <w:textAlignment w:val="auto"/>
        <w:rPr>
          <w:rFonts w:ascii="宋体" w:hAnsi="宋体" w:cs="宋体"/>
          <w:color w:val="000000"/>
          <w:sz w:val="24"/>
          <w:szCs w:val="24"/>
        </w:rPr>
      </w:pPr>
      <w:r>
        <w:rPr>
          <w:rFonts w:hint="eastAsia" w:ascii="宋体" w:hAnsi="宋体" w:cs="宋体"/>
          <w:color w:val="000000"/>
          <w:sz w:val="24"/>
          <w:szCs w:val="24"/>
        </w:rPr>
        <w:t>本合同签订后，双方依法签订的补充协议也是本合同文件的组成部分。</w:t>
      </w:r>
    </w:p>
    <w:p>
      <w:pPr>
        <w:keepNext w:val="0"/>
        <w:keepLines w:val="0"/>
        <w:pageBreakBefore w:val="0"/>
        <w:kinsoku/>
        <w:wordWrap/>
        <w:overflowPunct/>
        <w:topLinePunct w:val="0"/>
        <w:autoSpaceDE/>
        <w:autoSpaceDN/>
        <w:bidi w:val="0"/>
        <w:spacing w:line="400" w:lineRule="exact"/>
        <w:textAlignment w:val="auto"/>
        <w:rPr>
          <w:rFonts w:ascii="宋体" w:hAnsi="宋体" w:cs="宋体"/>
          <w:b/>
          <w:color w:val="000000"/>
          <w:sz w:val="24"/>
          <w:szCs w:val="24"/>
        </w:rPr>
      </w:pPr>
      <w:r>
        <w:rPr>
          <w:rFonts w:hint="eastAsia" w:ascii="宋体" w:hAnsi="宋体" w:cs="宋体"/>
          <w:b/>
          <w:color w:val="000000"/>
          <w:sz w:val="24"/>
          <w:szCs w:val="24"/>
        </w:rPr>
        <w:t>三、合同履行地点、合同服务期</w:t>
      </w:r>
    </w:p>
    <w:p>
      <w:pPr>
        <w:keepNext w:val="0"/>
        <w:keepLines w:val="0"/>
        <w:pageBreakBefore w:val="0"/>
        <w:kinsoku/>
        <w:wordWrap/>
        <w:overflowPunct/>
        <w:topLinePunct w:val="0"/>
        <w:autoSpaceDE/>
        <w:autoSpaceDN/>
        <w:bidi w:val="0"/>
        <w:snapToGrid w:val="0"/>
        <w:spacing w:line="400" w:lineRule="exact"/>
        <w:ind w:firstLine="554"/>
        <w:textAlignment w:val="auto"/>
        <w:rPr>
          <w:rFonts w:ascii="宋体" w:hAnsi="宋体" w:cs="宋体"/>
          <w:color w:val="000000"/>
          <w:sz w:val="24"/>
          <w:szCs w:val="24"/>
        </w:rPr>
      </w:pPr>
      <w:r>
        <w:rPr>
          <w:rFonts w:hint="eastAsia" w:ascii="宋体" w:hAnsi="宋体" w:cs="宋体"/>
          <w:color w:val="000000"/>
          <w:sz w:val="24"/>
          <w:szCs w:val="24"/>
        </w:rPr>
        <w:t>1、服务地点依据服务内容及服务方式，如若需要到甲方现场提供技术服务，则由甲方指定地点，同时要求双方授权人员现场验证。</w:t>
      </w:r>
    </w:p>
    <w:p>
      <w:pPr>
        <w:keepNext w:val="0"/>
        <w:keepLines w:val="0"/>
        <w:pageBreakBefore w:val="0"/>
        <w:kinsoku/>
        <w:wordWrap/>
        <w:overflowPunct/>
        <w:topLinePunct w:val="0"/>
        <w:autoSpaceDE/>
        <w:autoSpaceDN/>
        <w:bidi w:val="0"/>
        <w:snapToGrid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2、合同服务期:本合同自</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日至</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日。</w:t>
      </w:r>
    </w:p>
    <w:p>
      <w:pPr>
        <w:pStyle w:val="23"/>
        <w:keepNext w:val="0"/>
        <w:keepLines w:val="0"/>
        <w:pageBreakBefore w:val="0"/>
        <w:kinsoku/>
        <w:wordWrap/>
        <w:overflowPunct/>
        <w:topLinePunct w:val="0"/>
        <w:autoSpaceDE/>
        <w:autoSpaceDN/>
        <w:bidi w:val="0"/>
        <w:spacing w:line="400" w:lineRule="exact"/>
        <w:jc w:val="both"/>
        <w:textAlignment w:val="auto"/>
        <w:rPr>
          <w:rFonts w:ascii="宋体" w:hAnsi="宋体" w:eastAsia="宋体" w:cs="宋体"/>
          <w:b/>
          <w:color w:val="000000"/>
          <w:sz w:val="24"/>
          <w:szCs w:val="24"/>
        </w:rPr>
      </w:pPr>
      <w:r>
        <w:rPr>
          <w:rFonts w:hint="eastAsia" w:ascii="宋体" w:hAnsi="宋体" w:eastAsia="宋体" w:cs="宋体"/>
          <w:b/>
          <w:color w:val="000000"/>
          <w:sz w:val="24"/>
          <w:szCs w:val="24"/>
        </w:rPr>
        <w:t>四、双方的权利和义务</w:t>
      </w:r>
    </w:p>
    <w:p>
      <w:pPr>
        <w:keepNext w:val="0"/>
        <w:keepLines w:val="0"/>
        <w:pageBreakBefore w:val="0"/>
        <w:numPr>
          <w:ilvl w:val="0"/>
          <w:numId w:val="2"/>
        </w:numPr>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甲方的义务</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1.1甲方委派部门联系电话担任本项目负责人。</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1.2按合同的约定向乙方支付此项目所需的款项。</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1.3按甲乙双方确认的项目推动计划安排乙方工作人员进入工作场地，如有需要甲方应提供乙方实施本项目所必备的工作条件和环境。</w:t>
      </w:r>
    </w:p>
    <w:p>
      <w:pPr>
        <w:keepNext w:val="0"/>
        <w:keepLines w:val="0"/>
        <w:pageBreakBefore w:val="0"/>
        <w:numPr>
          <w:ilvl w:val="0"/>
          <w:numId w:val="3"/>
        </w:numPr>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乙方的义务</w:t>
      </w:r>
    </w:p>
    <w:p>
      <w:pPr>
        <w:keepNext w:val="0"/>
        <w:keepLines w:val="0"/>
        <w:pageBreakBefore w:val="0"/>
        <w:kinsoku/>
        <w:wordWrap/>
        <w:overflowPunct/>
        <w:topLinePunct w:val="0"/>
        <w:autoSpaceDE/>
        <w:autoSpaceDN/>
        <w:bidi w:val="0"/>
        <w:spacing w:line="400" w:lineRule="exact"/>
        <w:textAlignment w:val="auto"/>
        <w:rPr>
          <w:rFonts w:ascii="宋体" w:hAnsi="宋体" w:cs="宋体"/>
          <w:color w:val="000000"/>
          <w:sz w:val="24"/>
          <w:szCs w:val="24"/>
        </w:rPr>
      </w:pPr>
      <w:r>
        <w:rPr>
          <w:rFonts w:hint="eastAsia" w:ascii="宋体" w:hAnsi="宋体" w:cs="宋体"/>
          <w:color w:val="000000"/>
          <w:sz w:val="24"/>
          <w:szCs w:val="24"/>
        </w:rPr>
        <w:t xml:space="preserve">    2.1依据履行合同的约定向甲方提供实施服务人员。</w:t>
      </w:r>
    </w:p>
    <w:p>
      <w:pPr>
        <w:keepNext w:val="0"/>
        <w:keepLines w:val="0"/>
        <w:pageBreakBefore w:val="0"/>
        <w:kinsoku/>
        <w:wordWrap/>
        <w:overflowPunct/>
        <w:topLinePunct w:val="0"/>
        <w:autoSpaceDE/>
        <w:autoSpaceDN/>
        <w:bidi w:val="0"/>
        <w:spacing w:line="400" w:lineRule="exact"/>
        <w:textAlignment w:val="auto"/>
        <w:rPr>
          <w:rFonts w:ascii="宋体" w:hAnsi="宋体" w:cs="宋体"/>
          <w:color w:val="000000"/>
          <w:sz w:val="24"/>
          <w:szCs w:val="24"/>
        </w:rPr>
      </w:pPr>
      <w:r>
        <w:rPr>
          <w:rFonts w:hint="eastAsia" w:ascii="宋体" w:hAnsi="宋体" w:cs="宋体"/>
          <w:color w:val="000000"/>
          <w:sz w:val="24"/>
          <w:szCs w:val="24"/>
        </w:rPr>
        <w:t xml:space="preserve">    2.2乙方委派项目经理联系电话担任本项目的项目负责人，乙方应保证项目实施服务的工作连续性。如有实施需要，甲方可以要求乙方协调有关人员到项目现场进行项目实施服务。</w:t>
      </w:r>
    </w:p>
    <w:p>
      <w:pPr>
        <w:keepNext w:val="0"/>
        <w:keepLines w:val="0"/>
        <w:pageBreakBefore w:val="0"/>
        <w:kinsoku/>
        <w:wordWrap/>
        <w:overflowPunct/>
        <w:topLinePunct w:val="0"/>
        <w:autoSpaceDE/>
        <w:autoSpaceDN/>
        <w:bidi w:val="0"/>
        <w:spacing w:line="400" w:lineRule="exact"/>
        <w:textAlignment w:val="auto"/>
        <w:rPr>
          <w:rFonts w:ascii="宋体" w:hAnsi="宋体" w:cs="宋体"/>
          <w:b/>
          <w:color w:val="000000"/>
          <w:sz w:val="24"/>
          <w:szCs w:val="24"/>
        </w:rPr>
      </w:pPr>
      <w:r>
        <w:rPr>
          <w:rFonts w:hint="eastAsia" w:ascii="宋体" w:hAnsi="宋体" w:cs="宋体"/>
          <w:b/>
          <w:color w:val="000000"/>
          <w:sz w:val="24"/>
          <w:szCs w:val="24"/>
        </w:rPr>
        <w:t>五、技术服务的标准和方式</w:t>
      </w:r>
    </w:p>
    <w:p>
      <w:pPr>
        <w:keepNext w:val="0"/>
        <w:keepLines w:val="0"/>
        <w:pageBreakBefore w:val="0"/>
        <w:numPr>
          <w:ilvl w:val="0"/>
          <w:numId w:val="4"/>
        </w:numPr>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技术服务标准</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在设备发生紧急故障的情况下，乙方将提出应急解决措施：7×24的响应时间， 由当地服务机构的技术人员立即赶往现场进行排除，或按甲方要求提供5×8小时现场服务；</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2、技术服务方式</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乙方为甲方提供3种技术服务方式：</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2.1远程定期系统巡检：检查系统漏洞，定期打补丁，系统更新升级、系统故障排除等。</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2.2远程技术咨询服务：电话解答客户提出的技术问题。</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2.3现场技术咨询、故障排除服务：赴客户现场提供技术咨询，故障排除服务。</w:t>
      </w:r>
    </w:p>
    <w:p>
      <w:pPr>
        <w:keepNext w:val="0"/>
        <w:keepLines w:val="0"/>
        <w:pageBreakBefore w:val="0"/>
        <w:kinsoku/>
        <w:wordWrap/>
        <w:overflowPunct/>
        <w:topLinePunct w:val="0"/>
        <w:autoSpaceDE/>
        <w:autoSpaceDN/>
        <w:bidi w:val="0"/>
        <w:spacing w:line="400" w:lineRule="exact"/>
        <w:textAlignment w:val="auto"/>
        <w:rPr>
          <w:rFonts w:ascii="宋体" w:hAnsi="宋体" w:cs="宋体"/>
          <w:b/>
          <w:color w:val="000000"/>
          <w:sz w:val="24"/>
          <w:szCs w:val="24"/>
          <w:highlight w:val="none"/>
        </w:rPr>
      </w:pPr>
      <w:r>
        <w:rPr>
          <w:rFonts w:hint="eastAsia" w:ascii="宋体" w:hAnsi="宋体" w:cs="宋体"/>
          <w:b/>
          <w:color w:val="000000"/>
          <w:sz w:val="24"/>
          <w:szCs w:val="24"/>
          <w:highlight w:val="none"/>
        </w:rPr>
        <w:t>六、有关技术服务的其他约定</w:t>
      </w:r>
    </w:p>
    <w:p>
      <w:pPr>
        <w:keepNext w:val="0"/>
        <w:keepLines w:val="0"/>
        <w:pageBreakBefore w:val="0"/>
        <w:numPr>
          <w:ilvl w:val="0"/>
          <w:numId w:val="5"/>
        </w:numPr>
        <w:kinsoku/>
        <w:wordWrap/>
        <w:overflowPunct/>
        <w:topLinePunct w:val="0"/>
        <w:autoSpaceDE/>
        <w:autoSpaceDN/>
        <w:bidi w:val="0"/>
        <w:spacing w:line="400" w:lineRule="exact"/>
        <w:ind w:firstLine="56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从本合同签订之日起，乙方将提供</w:t>
      </w:r>
      <w:r>
        <w:rPr>
          <w:rFonts w:hint="eastAsia" w:ascii="宋体" w:hAnsi="宋体" w:cs="宋体"/>
          <w:color w:val="000000"/>
          <w:sz w:val="24"/>
          <w:szCs w:val="24"/>
          <w:highlight w:val="none"/>
          <w:u w:val="single"/>
        </w:rPr>
        <w:t xml:space="preserve"> 12 </w:t>
      </w:r>
      <w:r>
        <w:rPr>
          <w:rFonts w:hint="eastAsia" w:ascii="宋体" w:hAnsi="宋体" w:cs="宋体"/>
          <w:color w:val="000000"/>
          <w:sz w:val="24"/>
          <w:szCs w:val="24"/>
          <w:highlight w:val="none"/>
        </w:rPr>
        <w:t>个月的系统技术服务，技术服务的范围及要求：合同所涉及服务内容及服务要求；若因甲方操作不当原因造成的系统故障产生额外费用的，费用由甲方承担；或者双方协商处理以确保系统正常使用。</w:t>
      </w:r>
    </w:p>
    <w:p>
      <w:pPr>
        <w:keepNext w:val="0"/>
        <w:keepLines w:val="0"/>
        <w:pageBreakBefore w:val="0"/>
        <w:kinsoku/>
        <w:wordWrap/>
        <w:overflowPunct/>
        <w:topLinePunct w:val="0"/>
        <w:autoSpaceDE/>
        <w:autoSpaceDN/>
        <w:bidi w:val="0"/>
        <w:spacing w:line="400" w:lineRule="exact"/>
        <w:ind w:firstLine="560"/>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2、甲方如对乙方提供的技术服务有任何意见和建议，可以拨打投诉电话</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售后服务卡或者发送电子邮件至</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等方式反馈给乙方。</w:t>
      </w:r>
      <w:r>
        <w:rPr>
          <w:rFonts w:hint="eastAsia" w:ascii="宋体" w:hAnsi="宋体" w:cs="宋体"/>
          <w:color w:val="000000"/>
          <w:sz w:val="24"/>
          <w:szCs w:val="24"/>
          <w:highlight w:val="none"/>
          <w:lang w:val="en-US" w:eastAsia="zh-CN"/>
        </w:rPr>
        <w:t xml:space="preserve">  </w:t>
      </w:r>
    </w:p>
    <w:p>
      <w:pPr>
        <w:keepNext w:val="0"/>
        <w:keepLines w:val="0"/>
        <w:pageBreakBefore w:val="0"/>
        <w:kinsoku/>
        <w:wordWrap/>
        <w:overflowPunct/>
        <w:topLinePunct w:val="0"/>
        <w:autoSpaceDE/>
        <w:autoSpaceDN/>
        <w:bidi w:val="0"/>
        <w:spacing w:line="400" w:lineRule="exact"/>
        <w:textAlignment w:val="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sz w:val="24"/>
          <w:szCs w:val="24"/>
          <w:highlight w:val="none"/>
        </w:rPr>
        <w:t>七</w:t>
      </w:r>
      <w:r>
        <w:rPr>
          <w:rFonts w:hint="eastAsia" w:ascii="宋体" w:hAnsi="宋体" w:cs="宋体"/>
          <w:b/>
          <w:color w:val="000000" w:themeColor="text1"/>
          <w:sz w:val="24"/>
          <w:szCs w:val="24"/>
          <w:highlight w:val="none"/>
          <w14:textFill>
            <w14:solidFill>
              <w14:schemeClr w14:val="tx1"/>
            </w14:solidFill>
          </w14:textFill>
        </w:rPr>
        <w:t>、合同金额及支付方式</w:t>
      </w:r>
    </w:p>
    <w:p>
      <w:pPr>
        <w:keepNext w:val="0"/>
        <w:keepLines w:val="0"/>
        <w:pageBreakBefore w:val="0"/>
        <w:kinsoku/>
        <w:wordWrap/>
        <w:overflowPunct/>
        <w:topLinePunct w:val="0"/>
        <w:autoSpaceDE/>
        <w:autoSpaceDN/>
        <w:bidi w:val="0"/>
        <w:snapToGrid w:val="0"/>
        <w:spacing w:line="400" w:lineRule="exact"/>
        <w:ind w:firstLine="554"/>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1、平台系统运行运维服务费（单价：_______；小计：________元；</w:t>
      </w:r>
    </w:p>
    <w:p>
      <w:pPr>
        <w:keepNext w:val="0"/>
        <w:keepLines w:val="0"/>
        <w:pageBreakBefore w:val="0"/>
        <w:kinsoku/>
        <w:wordWrap/>
        <w:overflowPunct/>
        <w:topLinePunct w:val="0"/>
        <w:autoSpaceDE/>
        <w:autoSpaceDN/>
        <w:bidi w:val="0"/>
        <w:snapToGrid w:val="0"/>
        <w:spacing w:line="400" w:lineRule="exact"/>
        <w:ind w:firstLine="554"/>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2、云电脑使用服务费：_______元/年；</w:t>
      </w:r>
    </w:p>
    <w:p>
      <w:pPr>
        <w:keepNext w:val="0"/>
        <w:keepLines w:val="0"/>
        <w:pageBreakBefore w:val="0"/>
        <w:kinsoku/>
        <w:wordWrap/>
        <w:overflowPunct/>
        <w:topLinePunct w:val="0"/>
        <w:autoSpaceDE/>
        <w:autoSpaceDN/>
        <w:bidi w:val="0"/>
        <w:snapToGrid w:val="0"/>
        <w:spacing w:line="400" w:lineRule="exact"/>
        <w:ind w:firstLine="554"/>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3、23个街办宽带使用费：_______元/年；</w:t>
      </w:r>
    </w:p>
    <w:p>
      <w:pPr>
        <w:keepNext w:val="0"/>
        <w:keepLines w:val="0"/>
        <w:pageBreakBefore w:val="0"/>
        <w:kinsoku/>
        <w:wordWrap/>
        <w:overflowPunct/>
        <w:topLinePunct w:val="0"/>
        <w:autoSpaceDE/>
        <w:autoSpaceDN/>
        <w:bidi w:val="0"/>
        <w:snapToGrid w:val="0"/>
        <w:spacing w:line="400" w:lineRule="exact"/>
        <w:ind w:left="56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w:t>
      </w:r>
      <w:r>
        <w:rPr>
          <w:color w:val="000000" w:themeColor="text1"/>
          <w:sz w:val="24"/>
          <w:szCs w:val="24"/>
          <w:highlight w:val="none"/>
          <w14:textFill>
            <w14:solidFill>
              <w14:schemeClr w14:val="tx1"/>
            </w14:solidFill>
          </w14:textFill>
        </w:rPr>
        <w:t>互联网光纤费</w:t>
      </w:r>
      <w:r>
        <w:rPr>
          <w:rFonts w:hint="eastAsia"/>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_______元/年； </w:t>
      </w:r>
    </w:p>
    <w:p>
      <w:pPr>
        <w:keepNext w:val="0"/>
        <w:keepLines w:val="0"/>
        <w:pageBreakBefore w:val="0"/>
        <w:kinsoku/>
        <w:wordWrap/>
        <w:overflowPunct/>
        <w:topLinePunct w:val="0"/>
        <w:autoSpaceDE/>
        <w:autoSpaceDN/>
        <w:bidi w:val="0"/>
        <w:snapToGrid w:val="0"/>
        <w:spacing w:line="400" w:lineRule="exact"/>
        <w:ind w:left="560"/>
        <w:jc w:val="left"/>
        <w:textAlignment w:val="auto"/>
        <w:rPr>
          <w:rFonts w:eastAsia="黑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bidi="ar"/>
          <w14:textFill>
            <w14:solidFill>
              <w14:schemeClr w14:val="tx1"/>
            </w14:solidFill>
          </w14:textFill>
        </w:rPr>
        <w:t>视频会议室的数字电路线路</w:t>
      </w:r>
      <w:r>
        <w:rPr>
          <w:rFonts w:hint="eastAsia"/>
          <w:color w:val="000000" w:themeColor="text1"/>
          <w:sz w:val="24"/>
          <w:szCs w:val="24"/>
          <w:highlight w:val="none"/>
          <w14:textFill>
            <w14:solidFill>
              <w14:schemeClr w14:val="tx1"/>
            </w14:solidFill>
          </w14:textFill>
        </w:rPr>
        <w:t>费：</w:t>
      </w:r>
      <w:r>
        <w:rPr>
          <w:rFonts w:hint="eastAsia" w:ascii="宋体" w:hAnsi="宋体" w:cs="宋体"/>
          <w:color w:val="000000" w:themeColor="text1"/>
          <w:sz w:val="24"/>
          <w:szCs w:val="24"/>
          <w:highlight w:val="none"/>
          <w14:textFill>
            <w14:solidFill>
              <w14:schemeClr w14:val="tx1"/>
            </w14:solidFill>
          </w14:textFill>
        </w:rPr>
        <w:t>_______元/年。</w:t>
      </w:r>
    </w:p>
    <w:p>
      <w:pPr>
        <w:keepNext w:val="0"/>
        <w:keepLines w:val="0"/>
        <w:pageBreakBefore w:val="0"/>
        <w:kinsoku/>
        <w:wordWrap/>
        <w:overflowPunct/>
        <w:topLinePunct w:val="0"/>
        <w:autoSpaceDE/>
        <w:autoSpaceDN/>
        <w:bidi w:val="0"/>
        <w:snapToGrid w:val="0"/>
        <w:spacing w:line="400" w:lineRule="exact"/>
        <w:ind w:firstLine="554"/>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合同总费用金额：</w:t>
      </w:r>
      <w:r>
        <w:rPr>
          <w:rFonts w:hint="eastAsia" w:ascii="宋体" w:hAnsi="宋体" w:cs="宋体"/>
          <w:i/>
          <w:i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元</w:t>
      </w:r>
      <w:r>
        <w:rPr>
          <w:rFonts w:hint="eastAsia" w:ascii="宋体" w:hAnsi="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snapToGrid w:val="0"/>
        <w:spacing w:line="400" w:lineRule="exact"/>
        <w:ind w:firstLine="554"/>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4、支付方式</w:t>
      </w:r>
    </w:p>
    <w:p>
      <w:pPr>
        <w:keepNext w:val="0"/>
        <w:keepLines w:val="0"/>
        <w:pageBreakBefore w:val="0"/>
        <w:kinsoku/>
        <w:wordWrap/>
        <w:overflowPunct/>
        <w:topLinePunct w:val="0"/>
        <w:autoSpaceDE/>
        <w:autoSpaceDN/>
        <w:bidi w:val="0"/>
        <w:snapToGrid w:val="0"/>
        <w:spacing w:line="400" w:lineRule="exact"/>
        <w:ind w:left="315" w:leftChars="150" w:firstLine="120" w:firstLineChars="5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合同签订生效后10个工作日内，甲方向乙方转账支付合同总款，(人民币)大写：_______，小写：_______ 元。</w:t>
      </w:r>
    </w:p>
    <w:p>
      <w:pPr>
        <w:keepNext w:val="0"/>
        <w:keepLines w:val="0"/>
        <w:pageBreakBefore w:val="0"/>
        <w:tabs>
          <w:tab w:val="left" w:pos="840"/>
        </w:tabs>
        <w:kinsoku/>
        <w:wordWrap/>
        <w:overflowPunct/>
        <w:topLinePunct w:val="0"/>
        <w:autoSpaceDE/>
        <w:autoSpaceDN/>
        <w:bidi w:val="0"/>
        <w:spacing w:line="400" w:lineRule="exact"/>
        <w:textAlignment w:val="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八、质量保证</w:t>
      </w:r>
    </w:p>
    <w:p>
      <w:pPr>
        <w:pStyle w:val="7"/>
        <w:keepNext w:val="0"/>
        <w:keepLines w:val="0"/>
        <w:pageBreakBefore w:val="0"/>
        <w:kinsoku/>
        <w:wordWrap/>
        <w:overflowPunct/>
        <w:topLinePunct w:val="0"/>
        <w:autoSpaceDE/>
        <w:autoSpaceDN/>
        <w:bidi w:val="0"/>
        <w:spacing w:line="400" w:lineRule="exact"/>
        <w:ind w:firstLine="56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sz w:val="24"/>
          <w:szCs w:val="24"/>
          <w:highlight w:val="none"/>
        </w:rPr>
        <w:t>供应商提供的服务，应全面满足单一来源文件的要求，单一来源文件未明确要求的内容，供应商须按采购人的补充要求为准。</w:t>
      </w:r>
    </w:p>
    <w:p>
      <w:pPr>
        <w:keepNext w:val="0"/>
        <w:keepLines w:val="0"/>
        <w:pageBreakBefore w:val="0"/>
        <w:tabs>
          <w:tab w:val="left" w:pos="840"/>
        </w:tabs>
        <w:kinsoku/>
        <w:wordWrap/>
        <w:overflowPunct/>
        <w:topLinePunct w:val="0"/>
        <w:autoSpaceDE/>
        <w:autoSpaceDN/>
        <w:bidi w:val="0"/>
        <w:spacing w:line="400" w:lineRule="exact"/>
        <w:textAlignment w:val="auto"/>
        <w:rPr>
          <w:rFonts w:ascii="宋体" w:hAnsi="宋体" w:cs="宋体"/>
          <w:b/>
          <w:color w:val="000000"/>
          <w:sz w:val="24"/>
          <w:szCs w:val="24"/>
          <w:highlight w:val="none"/>
        </w:rPr>
      </w:pPr>
      <w:r>
        <w:rPr>
          <w:rFonts w:hint="eastAsia" w:ascii="宋体" w:hAnsi="宋体" w:cs="宋体"/>
          <w:b/>
          <w:color w:val="000000"/>
          <w:sz w:val="24"/>
          <w:szCs w:val="24"/>
          <w:highlight w:val="none"/>
        </w:rPr>
        <w:t>九、合同生效</w:t>
      </w:r>
    </w:p>
    <w:p>
      <w:pPr>
        <w:pStyle w:val="7"/>
        <w:keepNext w:val="0"/>
        <w:keepLines w:val="0"/>
        <w:pageBreakBefore w:val="0"/>
        <w:kinsoku/>
        <w:wordWrap/>
        <w:overflowPunct/>
        <w:topLinePunct w:val="0"/>
        <w:autoSpaceDE/>
        <w:autoSpaceDN/>
        <w:bidi w:val="0"/>
        <w:spacing w:line="400" w:lineRule="exact"/>
        <w:ind w:firstLine="56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甲乙双方在合同上签字盖章日为合同生效日；乙方从合同生效日起开始提供技术服务；合同有效期为自合同生效日起一年（12个月）；</w:t>
      </w:r>
    </w:p>
    <w:p>
      <w:pPr>
        <w:keepNext w:val="0"/>
        <w:keepLines w:val="0"/>
        <w:pageBreakBefore w:val="0"/>
        <w:kinsoku/>
        <w:wordWrap/>
        <w:overflowPunct/>
        <w:topLinePunct w:val="0"/>
        <w:autoSpaceDE/>
        <w:autoSpaceDN/>
        <w:bidi w:val="0"/>
        <w:spacing w:line="400" w:lineRule="exact"/>
        <w:textAlignment w:val="auto"/>
        <w:rPr>
          <w:rFonts w:ascii="宋体" w:hAnsi="宋体" w:cs="宋体"/>
          <w:b/>
          <w:color w:val="000000"/>
          <w:sz w:val="24"/>
          <w:szCs w:val="24"/>
        </w:rPr>
      </w:pPr>
      <w:r>
        <w:rPr>
          <w:rFonts w:hint="eastAsia" w:ascii="宋体" w:hAnsi="宋体" w:cs="宋体"/>
          <w:b/>
          <w:color w:val="000000"/>
          <w:sz w:val="24"/>
          <w:szCs w:val="24"/>
        </w:rPr>
        <w:t>十、保密</w:t>
      </w:r>
    </w:p>
    <w:p>
      <w:pPr>
        <w:pStyle w:val="23"/>
        <w:keepNext w:val="0"/>
        <w:keepLines w:val="0"/>
        <w:pageBreakBefore w:val="0"/>
        <w:kinsoku/>
        <w:wordWrap/>
        <w:overflowPunct/>
        <w:topLinePunct w:val="0"/>
        <w:autoSpaceDE/>
        <w:autoSpaceDN/>
        <w:bidi w:val="0"/>
        <w:spacing w:line="400" w:lineRule="exact"/>
        <w:ind w:firstLine="560"/>
        <w:jc w:val="both"/>
        <w:textAlignment w:val="auto"/>
        <w:rPr>
          <w:rFonts w:ascii="宋体" w:hAnsi="宋体" w:eastAsia="宋体" w:cs="宋体"/>
          <w:color w:val="000000"/>
          <w:sz w:val="24"/>
          <w:szCs w:val="24"/>
        </w:rPr>
      </w:pPr>
      <w:r>
        <w:rPr>
          <w:rFonts w:hint="eastAsia" w:ascii="宋体" w:hAnsi="宋体" w:eastAsia="宋体" w:cs="宋体"/>
          <w:color w:val="000000"/>
          <w:sz w:val="24"/>
          <w:szCs w:val="24"/>
        </w:rPr>
        <w:t>乙方在对甲方进行系统实施服务过程中，对所取得和甲方的资料、数据、方法、技巧和思想等国家机密在未经甲方许可下，应严格保密，不得外泄；如有信息外泄给甲方带来的损失由乙方全权承担。本合同的解除或终止不免除供应商应承担的保密义务。</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合同解决争议的方式本合同未尽事宜，双方以友好协商的原则妥善解决，如双方因质量、技术问题的争议，可向临潼区仲裁委员会申请仲裁，亦可直接向临潼区人民法院诉讼。</w:t>
      </w:r>
    </w:p>
    <w:p>
      <w:pPr>
        <w:keepNext w:val="0"/>
        <w:keepLines w:val="0"/>
        <w:pageBreakBefore w:val="0"/>
        <w:kinsoku/>
        <w:wordWrap/>
        <w:overflowPunct/>
        <w:topLinePunct w:val="0"/>
        <w:autoSpaceDE/>
        <w:autoSpaceDN/>
        <w:bidi w:val="0"/>
        <w:spacing w:line="400" w:lineRule="exact"/>
        <w:jc w:val="left"/>
        <w:textAlignment w:val="auto"/>
        <w:rPr>
          <w:rFonts w:ascii="宋体" w:hAnsi="宋体" w:cs="宋体"/>
          <w:b/>
          <w:color w:val="000000"/>
          <w:sz w:val="24"/>
          <w:szCs w:val="24"/>
        </w:rPr>
      </w:pPr>
      <w:r>
        <w:rPr>
          <w:rFonts w:hint="eastAsia" w:ascii="宋体" w:hAnsi="宋体" w:cs="宋体"/>
          <w:b/>
          <w:color w:val="000000"/>
          <w:sz w:val="24"/>
          <w:szCs w:val="24"/>
        </w:rPr>
        <w:t>十一、不可抗力情况下的免责约定</w:t>
      </w:r>
    </w:p>
    <w:p>
      <w:pPr>
        <w:keepNext w:val="0"/>
        <w:keepLines w:val="0"/>
        <w:pageBreakBefore w:val="0"/>
        <w:kinsoku/>
        <w:wordWrap/>
        <w:overflowPunct/>
        <w:topLinePunct w:val="0"/>
        <w:autoSpaceDE/>
        <w:autoSpaceDN/>
        <w:bidi w:val="0"/>
        <w:spacing w:line="400" w:lineRule="exact"/>
        <w:jc w:val="left"/>
        <w:textAlignment w:val="auto"/>
        <w:rPr>
          <w:rFonts w:ascii="宋体" w:hAnsi="宋体" w:cs="宋体"/>
          <w:color w:val="000000"/>
          <w:sz w:val="24"/>
          <w:szCs w:val="24"/>
        </w:rPr>
      </w:pPr>
      <w:r>
        <w:rPr>
          <w:rFonts w:hint="eastAsia" w:ascii="宋体" w:hAnsi="宋体" w:cs="宋体"/>
          <w:color w:val="000000"/>
          <w:sz w:val="24"/>
          <w:szCs w:val="24"/>
        </w:rPr>
        <w:t xml:space="preserve">    双方约定不可抗力情况指：双方不可预见、不可避免、不可克服的客观情况，但不包括双方的违约或疏忽。这些事件包括但不限于：战争、严重火灾、洪水、台风、地震等。</w:t>
      </w:r>
    </w:p>
    <w:p>
      <w:pPr>
        <w:keepNext w:val="0"/>
        <w:keepLines w:val="0"/>
        <w:pageBreakBefore w:val="0"/>
        <w:kinsoku/>
        <w:wordWrap/>
        <w:overflowPunct/>
        <w:topLinePunct w:val="0"/>
        <w:autoSpaceDE/>
        <w:autoSpaceDN/>
        <w:bidi w:val="0"/>
        <w:spacing w:line="400" w:lineRule="exact"/>
        <w:textAlignment w:val="auto"/>
        <w:rPr>
          <w:rFonts w:ascii="宋体" w:hAnsi="宋体" w:cs="宋体"/>
          <w:b/>
          <w:color w:val="000000"/>
          <w:sz w:val="24"/>
          <w:szCs w:val="24"/>
        </w:rPr>
      </w:pPr>
      <w:r>
        <w:rPr>
          <w:rFonts w:hint="eastAsia" w:ascii="宋体" w:hAnsi="宋体" w:cs="宋体"/>
          <w:b/>
          <w:color w:val="000000"/>
          <w:sz w:val="24"/>
          <w:szCs w:val="24"/>
        </w:rPr>
        <w:t>十二、违约责任</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依据《中华人民共和国民法典》、《中华人民共和国政府采购法》、《中华人民共和国政府采购法实施条例》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1、由于甲方原因造成服务滞后拖延，乙方将以《项目备忘》的方式向甲方提出解决方案，甲方应在1个工作日内协调解决此问题，否则造成的服务滞后拖延由甲方负责。</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2、在实施过程中由于乙方原因造成服务滞后拖延，甲方可向乙方提出解决方案，乙方应在1个工作日内响应，否则造成的服务滞后延误由乙方负责。</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3、违约金计算方式为：合同总额的0.05%/每日计×期天数。</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4、由于客观不可控因素而导致的乙方服务滞后拖延的，不应视为乙方违约，但乙方应积极从技术方案上寻求解决办法，以保证甲方系统的正常平稳运行。</w:t>
      </w:r>
    </w:p>
    <w:p>
      <w:pPr>
        <w:keepNext w:val="0"/>
        <w:keepLines w:val="0"/>
        <w:pageBreakBefore w:val="0"/>
        <w:kinsoku/>
        <w:wordWrap/>
        <w:overflowPunct/>
        <w:topLinePunct w:val="0"/>
        <w:autoSpaceDE/>
        <w:autoSpaceDN/>
        <w:bidi w:val="0"/>
        <w:spacing w:line="400" w:lineRule="exact"/>
        <w:textAlignment w:val="auto"/>
        <w:rPr>
          <w:rFonts w:ascii="宋体" w:hAnsi="宋体" w:cs="宋体"/>
          <w:b/>
          <w:color w:val="000000"/>
          <w:sz w:val="24"/>
          <w:szCs w:val="24"/>
        </w:rPr>
      </w:pPr>
      <w:r>
        <w:rPr>
          <w:rFonts w:hint="eastAsia" w:ascii="宋体" w:hAnsi="宋体" w:cs="宋体"/>
          <w:b/>
          <w:color w:val="000000"/>
          <w:sz w:val="24"/>
          <w:szCs w:val="24"/>
        </w:rPr>
        <w:t>十三、附则</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1、本合同一式陆份，经供需双方签字盖章后生效，甲方肆份，乙方两份，均具有同等法律效力。</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2、合同履行过程中形成的各种书面文件，经双方签署确认后为本合同的组成部分，与本合同具有同等法律效力，解释的顺序除有特别说明外，以文件生成时间在后的为准。</w:t>
      </w:r>
    </w:p>
    <w:p>
      <w:pPr>
        <w:keepNext w:val="0"/>
        <w:keepLines w:val="0"/>
        <w:pageBreakBefore w:val="0"/>
        <w:kinsoku/>
        <w:wordWrap/>
        <w:overflowPunct/>
        <w:topLinePunct w:val="0"/>
        <w:autoSpaceDE/>
        <w:autoSpaceDN/>
        <w:bidi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3、本合同未尽事宜，双方可协商签订补充协议，补充协议与本合同具有同等法律效力。</w:t>
      </w:r>
    </w:p>
    <w:p>
      <w:pPr>
        <w:tabs>
          <w:tab w:val="left" w:pos="980"/>
        </w:tabs>
        <w:kinsoku w:val="0"/>
        <w:spacing w:line="360" w:lineRule="auto"/>
        <w:ind w:firstLine="560"/>
        <w:rPr>
          <w:rFonts w:ascii="宋体" w:hAnsi="宋体" w:cs="宋体"/>
          <w:color w:val="000000"/>
          <w:szCs w:val="21"/>
        </w:rPr>
      </w:pPr>
    </w:p>
    <w:p>
      <w:pPr>
        <w:snapToGrid w:val="0"/>
        <w:spacing w:line="360" w:lineRule="auto"/>
        <w:ind w:firstLine="554"/>
        <w:rPr>
          <w:rFonts w:ascii="宋体" w:hAnsi="宋体" w:cs="宋体"/>
          <w:color w:val="000000"/>
          <w:szCs w:val="21"/>
        </w:rPr>
      </w:pP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hint="eastAsia" w:ascii="宋体" w:hAnsi="宋体" w:cs="宋体"/>
          <w:color w:val="000000"/>
          <w:sz w:val="24"/>
          <w:szCs w:val="24"/>
          <w:lang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本页无正文</w:t>
      </w:r>
      <w:r>
        <w:rPr>
          <w:rFonts w:hint="eastAsia" w:ascii="宋体" w:hAnsi="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ascii="宋体" w:hAnsi="宋体" w:cs="宋体"/>
          <w:color w:val="000000"/>
          <w:sz w:val="24"/>
          <w:szCs w:val="24"/>
        </w:rPr>
      </w:pPr>
      <w:r>
        <w:rPr>
          <w:rFonts w:hint="eastAsia" w:ascii="宋体" w:hAnsi="宋体" w:cs="宋体"/>
          <w:color w:val="000000"/>
          <w:sz w:val="24"/>
          <w:szCs w:val="24"/>
        </w:rPr>
        <w:t>采购人：</w:t>
      </w:r>
      <w:r>
        <w:rPr>
          <w:rFonts w:hint="eastAsia" w:ascii="宋体" w:hAnsi="宋体" w:cs="宋体"/>
          <w:color w:val="000000"/>
          <w:sz w:val="24"/>
          <w:szCs w:val="24"/>
          <w:u w:val="single"/>
        </w:rPr>
        <w:t xml:space="preserve">   （盖章）     </w:t>
      </w:r>
      <w:r>
        <w:rPr>
          <w:rFonts w:hint="eastAsia" w:ascii="宋体" w:hAnsi="宋体" w:cs="宋体"/>
          <w:color w:val="000000"/>
          <w:sz w:val="24"/>
          <w:szCs w:val="24"/>
        </w:rPr>
        <w:t xml:space="preserve">           供应商：</w:t>
      </w:r>
      <w:r>
        <w:rPr>
          <w:rFonts w:hint="eastAsia" w:ascii="宋体" w:hAnsi="宋体" w:cs="宋体"/>
          <w:color w:val="000000"/>
          <w:sz w:val="24"/>
          <w:szCs w:val="24"/>
          <w:u w:val="single"/>
        </w:rPr>
        <w:t xml:space="preserve">   （盖章）    </w:t>
      </w: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ascii="宋体" w:hAnsi="宋体" w:cs="宋体"/>
          <w:color w:val="000000"/>
          <w:sz w:val="24"/>
          <w:szCs w:val="24"/>
        </w:rPr>
      </w:pPr>
      <w:r>
        <w:rPr>
          <w:rFonts w:hint="eastAsia" w:ascii="宋体" w:hAnsi="宋体" w:cs="宋体"/>
          <w:color w:val="000000"/>
          <w:sz w:val="24"/>
          <w:szCs w:val="24"/>
        </w:rPr>
        <w:t xml:space="preserve">地址： </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地址： </w:t>
      </w:r>
      <w:r>
        <w:rPr>
          <w:rFonts w:hint="eastAsia" w:ascii="宋体" w:hAnsi="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ascii="宋体" w:hAnsi="宋体" w:cs="宋体"/>
          <w:color w:val="000000"/>
          <w:sz w:val="24"/>
          <w:szCs w:val="24"/>
        </w:rPr>
      </w:pPr>
      <w:r>
        <w:rPr>
          <w:rFonts w:hint="eastAsia" w:ascii="宋体" w:hAnsi="宋体" w:cs="宋体"/>
          <w:color w:val="000000"/>
          <w:sz w:val="24"/>
          <w:szCs w:val="24"/>
        </w:rPr>
        <w:t>邮政编码：</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邮政编码：</w:t>
      </w:r>
      <w:r>
        <w:rPr>
          <w:rFonts w:hint="eastAsia" w:ascii="宋体" w:hAnsi="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ascii="宋体" w:hAnsi="宋体" w:cs="宋体"/>
          <w:color w:val="000000"/>
          <w:sz w:val="24"/>
          <w:szCs w:val="24"/>
        </w:rPr>
      </w:pPr>
      <w:r>
        <w:rPr>
          <w:rFonts w:hint="eastAsia" w:ascii="宋体" w:hAnsi="宋体" w:cs="宋体"/>
          <w:color w:val="000000"/>
          <w:sz w:val="24"/>
          <w:szCs w:val="24"/>
        </w:rPr>
        <w:t>法定代表人或其授权                 法定代表人或其授权</w:t>
      </w: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ascii="宋体" w:hAnsi="宋体" w:cs="宋体"/>
          <w:color w:val="000000"/>
          <w:sz w:val="24"/>
          <w:szCs w:val="24"/>
        </w:rPr>
      </w:pPr>
      <w:r>
        <w:rPr>
          <w:rFonts w:hint="eastAsia" w:ascii="宋体" w:hAnsi="宋体" w:cs="宋体"/>
          <w:color w:val="000000"/>
          <w:sz w:val="24"/>
          <w:szCs w:val="24"/>
        </w:rPr>
        <w:t>的代理人：</w:t>
      </w:r>
      <w:r>
        <w:rPr>
          <w:rFonts w:hint="eastAsia" w:ascii="宋体" w:hAnsi="宋体" w:cs="宋体"/>
          <w:color w:val="000000"/>
          <w:sz w:val="24"/>
          <w:szCs w:val="24"/>
          <w:u w:val="single"/>
        </w:rPr>
        <w:t xml:space="preserve">（签字）      </w:t>
      </w:r>
      <w:r>
        <w:rPr>
          <w:rFonts w:hint="eastAsia" w:ascii="宋体" w:hAnsi="宋体" w:cs="宋体"/>
          <w:color w:val="000000"/>
          <w:sz w:val="24"/>
          <w:szCs w:val="24"/>
        </w:rPr>
        <w:t xml:space="preserve">           的代理人：</w:t>
      </w:r>
      <w:r>
        <w:rPr>
          <w:rFonts w:hint="eastAsia" w:ascii="宋体" w:hAnsi="宋体" w:cs="宋体"/>
          <w:color w:val="000000"/>
          <w:sz w:val="24"/>
          <w:szCs w:val="24"/>
          <w:u w:val="single"/>
        </w:rPr>
        <w:t xml:space="preserve">（签字）          </w:t>
      </w: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开户银行：</w:t>
      </w:r>
      <w:r>
        <w:rPr>
          <w:rFonts w:hint="eastAsia" w:ascii="宋体" w:hAnsi="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ascii="宋体" w:hAnsi="宋体" w:cs="宋体"/>
          <w:color w:val="000000"/>
          <w:sz w:val="24"/>
          <w:szCs w:val="24"/>
        </w:rPr>
      </w:pPr>
      <w:r>
        <w:rPr>
          <w:rFonts w:hint="eastAsia" w:ascii="宋体" w:hAnsi="宋体" w:cs="宋体"/>
          <w:color w:val="000000"/>
          <w:sz w:val="24"/>
          <w:szCs w:val="24"/>
        </w:rPr>
        <w:t>账号：</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账号：</w:t>
      </w:r>
      <w:r>
        <w:rPr>
          <w:rFonts w:hint="eastAsia" w:ascii="宋体" w:hAnsi="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ascii="宋体" w:hAnsi="宋体" w:cs="宋体"/>
          <w:color w:val="000000"/>
          <w:sz w:val="24"/>
          <w:szCs w:val="24"/>
        </w:rPr>
      </w:pPr>
      <w:r>
        <w:rPr>
          <w:rFonts w:hint="eastAsia" w:ascii="宋体" w:hAnsi="宋体" w:cs="宋体"/>
          <w:color w:val="000000"/>
          <w:sz w:val="24"/>
          <w:szCs w:val="24"/>
        </w:rPr>
        <w:t>电话：</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电话：</w:t>
      </w:r>
      <w:r>
        <w:rPr>
          <w:rFonts w:hint="eastAsia" w:ascii="宋体" w:hAnsi="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ascii="宋体" w:hAnsi="宋体" w:cs="宋体"/>
          <w:color w:val="000000"/>
          <w:sz w:val="24"/>
          <w:szCs w:val="24"/>
        </w:rPr>
      </w:pPr>
      <w:r>
        <w:rPr>
          <w:rFonts w:hint="eastAsia" w:ascii="宋体" w:hAnsi="宋体" w:cs="宋体"/>
          <w:color w:val="000000"/>
          <w:sz w:val="24"/>
          <w:szCs w:val="24"/>
        </w:rPr>
        <w:t>传真：</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传真：</w:t>
      </w:r>
      <w:r>
        <w:rPr>
          <w:rFonts w:hint="eastAsia" w:ascii="宋体" w:hAnsi="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554"/>
        <w:textAlignment w:val="auto"/>
        <w:rPr>
          <w:rFonts w:ascii="宋体" w:hAnsi="宋体" w:cs="宋体"/>
          <w:color w:val="000000"/>
          <w:sz w:val="24"/>
          <w:szCs w:val="24"/>
          <w:u w:val="single"/>
        </w:rPr>
      </w:pPr>
      <w:r>
        <w:rPr>
          <w:rFonts w:hint="eastAsia" w:ascii="宋体" w:hAnsi="宋体" w:cs="宋体"/>
          <w:color w:val="000000"/>
          <w:sz w:val="24"/>
          <w:szCs w:val="24"/>
        </w:rPr>
        <w:t>电子邮箱：</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电子邮箱：</w:t>
      </w:r>
      <w:r>
        <w:rPr>
          <w:rFonts w:hint="eastAsia" w:ascii="宋体" w:hAnsi="宋体" w:cs="宋体"/>
          <w:color w:val="000000"/>
          <w:sz w:val="24"/>
          <w:szCs w:val="24"/>
          <w:u w:val="single"/>
        </w:rPr>
        <w:t xml:space="preserve">                  </w:t>
      </w:r>
    </w:p>
    <w:p>
      <w:pPr>
        <w:rPr>
          <w:rFonts w:ascii="宋体" w:hAnsi="宋体" w:cs="宋体"/>
          <w:szCs w:val="21"/>
        </w:rPr>
      </w:pPr>
    </w:p>
    <w:p>
      <w:pPr>
        <w:adjustRightInd w:val="0"/>
        <w:snapToGrid w:val="0"/>
        <w:spacing w:line="360" w:lineRule="auto"/>
        <w:ind w:firstLine="415" w:firstLineChars="198"/>
        <w:rPr>
          <w:rFonts w:ascii="宋体" w:hAnsi="宋体" w:cs="宋体"/>
          <w:color w:val="000000"/>
          <w:u w:val="single"/>
        </w:rPr>
      </w:pPr>
    </w:p>
    <w:p>
      <w:pPr>
        <w:pStyle w:val="9"/>
        <w:tabs>
          <w:tab w:val="left" w:pos="540"/>
        </w:tabs>
        <w:adjustRightInd w:val="0"/>
        <w:snapToGrid w:val="0"/>
        <w:spacing w:line="360" w:lineRule="auto"/>
        <w:jc w:val="center"/>
        <w:outlineLvl w:val="0"/>
        <w:rPr>
          <w:rFonts w:hAnsi="宋体" w:cs="宋体"/>
          <w:b/>
          <w:sz w:val="44"/>
          <w:szCs w:val="44"/>
        </w:rPr>
      </w:pPr>
      <w:r>
        <w:rPr>
          <w:rFonts w:hint="eastAsia" w:hAnsi="宋体" w:cs="宋体"/>
          <w:b/>
          <w:color w:val="000000"/>
          <w:sz w:val="44"/>
          <w:szCs w:val="44"/>
        </w:rPr>
        <w:br w:type="page"/>
      </w:r>
      <w:bookmarkStart w:id="33" w:name="_Toc1195"/>
      <w:r>
        <w:rPr>
          <w:rFonts w:hint="eastAsia" w:hAnsi="宋体" w:cs="宋体"/>
          <w:b/>
          <w:sz w:val="36"/>
          <w:szCs w:val="36"/>
        </w:rPr>
        <w:t>第四章 谈判方法</w:t>
      </w:r>
      <w:bookmarkEnd w:id="32"/>
      <w:bookmarkEnd w:id="33"/>
    </w:p>
    <w:p>
      <w:pPr>
        <w:spacing w:line="350" w:lineRule="exact"/>
        <w:rPr>
          <w:rFonts w:ascii="宋体" w:hAnsi="宋体" w:cs="宋体"/>
          <w:b/>
          <w:spacing w:val="4"/>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98" w:firstLineChars="200"/>
        <w:textAlignment w:val="auto"/>
        <w:outlineLvl w:val="9"/>
        <w:rPr>
          <w:rFonts w:ascii="宋体" w:hAnsi="宋体" w:cs="宋体"/>
          <w:b/>
          <w:spacing w:val="4"/>
          <w:sz w:val="24"/>
          <w:szCs w:val="24"/>
        </w:rPr>
      </w:pPr>
      <w:bookmarkStart w:id="34" w:name="_Toc928"/>
      <w:bookmarkStart w:id="35" w:name="_Toc8278"/>
      <w:bookmarkStart w:id="36" w:name="_Toc16740"/>
      <w:r>
        <w:rPr>
          <w:rFonts w:hint="eastAsia" w:ascii="宋体" w:hAnsi="宋体" w:cs="宋体"/>
          <w:b/>
          <w:spacing w:val="4"/>
          <w:sz w:val="24"/>
          <w:szCs w:val="24"/>
        </w:rPr>
        <w:t>一、谈判方法</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按照《中华人民共和国政府采购法》、中华人民共和国2015年第658号国务院令--《中华人民共和国政府采购法实施条例》和中华人民共和国财政部2014年第74号部长令--《政府采购非招标方式管理办法》的规定进行。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1.谈判原则：采购人、采购代理机构应当组织具有相关经验的专业人员与供应商商定合理的成交价格并保证采购项目质量。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2.确定成交供应商程序：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 xml:space="preserve">2.1 </w:t>
      </w:r>
      <w:bookmarkStart w:id="37" w:name="_Hlk12517008"/>
      <w:r>
        <w:rPr>
          <w:rFonts w:hint="eastAsia" w:ascii="宋体" w:hAnsi="宋体" w:cs="宋体"/>
          <w:sz w:val="24"/>
          <w:szCs w:val="24"/>
        </w:rPr>
        <w:t>谈判小组根据单一来源采购文件的要求及供应商响应情况进行谈判，若该供应商所提供货物及服务满足单一来源采购文件的要求且谈判价格合理，确定其为成交供应商。</w:t>
      </w:r>
      <w:bookmarkEnd w:id="37"/>
      <w:r>
        <w:rPr>
          <w:rFonts w:hint="eastAsia" w:ascii="宋体" w:hAnsi="宋体" w:cs="宋体"/>
          <w:sz w:val="24"/>
          <w:szCs w:val="24"/>
        </w:rPr>
        <w:t>谈判结果由全体谈判小组人员签字确认。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2.2 由亿诚建设项目管理有限公司向成交供应商发出《成交通知书》。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3.谈判过程的监督和管理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同级政府采购监管部门与其他相关监督职能部门对本次谈判全过程进行监督、管理和指导。</w:t>
      </w:r>
    </w:p>
    <w:p>
      <w:pPr>
        <w:keepNext w:val="0"/>
        <w:keepLines w:val="0"/>
        <w:pageBreakBefore w:val="0"/>
        <w:widowControl w:val="0"/>
        <w:kinsoku/>
        <w:wordWrap/>
        <w:overflowPunct/>
        <w:topLinePunct w:val="0"/>
        <w:autoSpaceDE/>
        <w:autoSpaceDN/>
        <w:bidi w:val="0"/>
        <w:adjustRightInd/>
        <w:snapToGrid/>
        <w:spacing w:line="400" w:lineRule="exact"/>
        <w:ind w:firstLine="498" w:firstLineChars="200"/>
        <w:textAlignment w:val="auto"/>
        <w:rPr>
          <w:rFonts w:ascii="宋体" w:hAnsi="宋体" w:cs="宋体"/>
          <w:b/>
          <w:spacing w:val="4"/>
          <w:sz w:val="24"/>
          <w:szCs w:val="24"/>
        </w:rPr>
      </w:pPr>
      <w:r>
        <w:rPr>
          <w:rFonts w:hint="eastAsia" w:ascii="宋体" w:hAnsi="宋体" w:cs="宋体"/>
          <w:b/>
          <w:spacing w:val="4"/>
          <w:sz w:val="24"/>
          <w:szCs w:val="24"/>
        </w:rPr>
        <w:t>二、谈判程序</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按照单一来源响应文件初审、澄清有关问题、评价、推荐成交候选供应商名单的工作程序进行谈判。</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1.单一来源响应文件初审</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 xml:space="preserve">  初审分为资格性检查和符合性检查。</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1.1资格性检查：</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1.1.1提供的资格证明文件是否符合国家法律法规和单一来源采购文件的要求，并且齐全、真实、有效。</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1.2符合性检查：</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1.2.1单一来源响应文件的完整性审查。</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1.2.1.1单一来源响应文件是否按照单一来源采购文件要求的格式编写；</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 xml:space="preserve">1.2.1.2谈判响应内容是否有重大缺漏项。 </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1.2.2单一来源响应文件的有效性审查。</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1.2.2.1单一来源响应文件的签署、加盖印章是否有效；</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1.2.3单一来源响应文件的响应性审查。</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1.2.3.1谈判响应报价是否未超过采购预算；</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1.2.3.2谈判响应有效期是否符合单一来源采购文件的要求；</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1.2.3.3单一来源响应文件响应内容是否符合国家法律法规，是否实质性响应了单一来源采购文件要求的全部条款、条件和规格要求，并且提供了支持文件，没有重大偏离；</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1.2.3.4付款方式与服务期是否满足单一来源采购文件要求。对合同中规定的双方的权利和义务是否做出了实质性响应。</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2.澄清有关问题：</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2.1对于可能出现的谈判响应报价不一致和文字文本差异按以下方法确认更正。</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2.1.1大写金额和小写金额不一致的，以大写金额为准；总价金额与按单价汇总金额不一致的，以单价金额计算结果为准；单价金额小数点有明显错位的，应以总价为准，并修改单价；对不同文字文本单一来源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2.1.2谈判小组将按照上述原则修正单一来源响应文件中的谈判响应报价，修正后的价格对供应商具有约束力。如果供应商不接受修正后的价格，其谈判响应按照无效谈判响应处理。</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2.2对于单一来源响应文件中的非重大偏离，如果出现含义不明确、同类问题表述不一致或者有明显文字和计算错误的内容，谈判小组可以书面形式（由谈判小组专家签字）要求供应商作出必要的澄清、说明或者纠正。供应商的澄清、说明或者补正应当采用书面形式，由其授权的谈判响应代表签字。</w:t>
      </w:r>
    </w:p>
    <w:p>
      <w:pPr>
        <w:spacing w:line="360" w:lineRule="auto"/>
        <w:ind w:firstLine="643" w:firstLineChars="200"/>
        <w:rPr>
          <w:rFonts w:ascii="宋体" w:hAnsi="宋体" w:cs="宋体"/>
          <w:b/>
          <w:sz w:val="32"/>
          <w:szCs w:val="32"/>
        </w:rPr>
      </w:pPr>
    </w:p>
    <w:p>
      <w:pPr>
        <w:spacing w:after="120" w:line="480" w:lineRule="auto"/>
        <w:jc w:val="center"/>
        <w:outlineLvl w:val="0"/>
        <w:rPr>
          <w:rFonts w:ascii="宋体" w:hAnsi="宋体" w:cs="宋体"/>
          <w:b/>
          <w:sz w:val="32"/>
          <w:szCs w:val="32"/>
        </w:rPr>
      </w:pPr>
      <w:r>
        <w:rPr>
          <w:rFonts w:hint="eastAsia" w:ascii="宋体" w:hAnsi="宋体" w:cs="宋体"/>
          <w:b/>
          <w:sz w:val="32"/>
          <w:szCs w:val="32"/>
        </w:rPr>
        <w:br w:type="page"/>
      </w:r>
      <w:bookmarkStart w:id="38" w:name="_Toc11558"/>
    </w:p>
    <w:p>
      <w:pPr>
        <w:spacing w:after="120" w:line="480" w:lineRule="auto"/>
        <w:jc w:val="center"/>
        <w:outlineLvl w:val="0"/>
        <w:rPr>
          <w:rFonts w:ascii="宋体" w:hAnsi="宋体" w:cs="宋体"/>
          <w:b/>
          <w:color w:val="auto"/>
          <w:sz w:val="24"/>
          <w:szCs w:val="24"/>
          <w:highlight w:val="none"/>
        </w:rPr>
      </w:pPr>
      <w:bookmarkStart w:id="39" w:name="_Toc5175"/>
      <w:r>
        <w:rPr>
          <w:rFonts w:hint="eastAsia" w:ascii="宋体" w:hAnsi="宋体" w:cs="宋体"/>
          <w:b/>
          <w:color w:val="auto"/>
          <w:sz w:val="36"/>
          <w:szCs w:val="36"/>
          <w:highlight w:val="none"/>
        </w:rPr>
        <w:t>第五章 采购需求</w:t>
      </w:r>
      <w:bookmarkEnd w:id="38"/>
      <w:r>
        <w:rPr>
          <w:rFonts w:hint="eastAsia" w:ascii="宋体" w:hAnsi="宋体" w:cs="宋体"/>
          <w:b/>
          <w:color w:val="auto"/>
          <w:sz w:val="36"/>
          <w:szCs w:val="36"/>
          <w:highlight w:val="none"/>
        </w:rPr>
        <w:t>及商务要求</w:t>
      </w:r>
      <w:bookmarkEnd w:id="39"/>
    </w:p>
    <w:p>
      <w:pPr>
        <w:keepNext w:val="0"/>
        <w:keepLines w:val="0"/>
        <w:pageBreakBefore w:val="0"/>
        <w:kinsoku/>
        <w:wordWrap/>
        <w:overflowPunct/>
        <w:topLinePunct w:val="0"/>
        <w:bidi w:val="0"/>
        <w:spacing w:line="400" w:lineRule="exact"/>
        <w:ind w:firstLine="482" w:firstLineChars="200"/>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一、项目基本情况</w:t>
      </w:r>
    </w:p>
    <w:p>
      <w:pPr>
        <w:keepNext w:val="0"/>
        <w:keepLines w:val="0"/>
        <w:pageBreakBefore w:val="0"/>
        <w:kinsoku/>
        <w:wordWrap/>
        <w:overflowPunct/>
        <w:topLinePunct w:val="0"/>
        <w:autoSpaceDE w:val="0"/>
        <w:autoSpaceDN w:val="0"/>
        <w:bidi w:val="0"/>
        <w:adjustRightInd w:val="0"/>
        <w:spacing w:line="4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1、项目名称：西安市临潼区2023年防返贫监测预警平台</w:t>
      </w:r>
      <w:r>
        <w:rPr>
          <w:rFonts w:hint="eastAsia" w:ascii="宋体" w:hAnsi="宋体" w:cs="宋体"/>
          <w:color w:val="000000"/>
          <w:sz w:val="24"/>
          <w:szCs w:val="24"/>
          <w:lang w:val="en-US" w:eastAsia="zh-CN"/>
        </w:rPr>
        <w:t>运维</w:t>
      </w:r>
      <w:r>
        <w:rPr>
          <w:rFonts w:hint="eastAsia" w:ascii="宋体" w:hAnsi="宋体" w:eastAsia="宋体" w:cs="宋体"/>
          <w:color w:val="000000"/>
          <w:sz w:val="24"/>
          <w:szCs w:val="24"/>
        </w:rPr>
        <w:t>服务</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2、项目内容：区级大数据平台建设项目，返贫监测预警平台应用信息系统及相关运维服务</w:t>
      </w:r>
    </w:p>
    <w:p>
      <w:pPr>
        <w:pStyle w:val="26"/>
        <w:keepNext w:val="0"/>
        <w:keepLines w:val="0"/>
        <w:pageBreakBefore w:val="0"/>
        <w:kinsoku/>
        <w:wordWrap/>
        <w:overflowPunct/>
        <w:topLinePunct w:val="0"/>
        <w:bidi w:val="0"/>
        <w:spacing w:line="400" w:lineRule="exact"/>
        <w:ind w:firstLine="422"/>
        <w:outlineLvl w:val="9"/>
        <w:rPr>
          <w:rStyle w:val="27"/>
          <w:rFonts w:hint="eastAsia" w:ascii="宋体" w:hAnsi="宋体" w:eastAsia="宋体" w:cs="宋体"/>
          <w:b/>
          <w:bCs/>
          <w:kern w:val="0"/>
          <w:sz w:val="24"/>
          <w:szCs w:val="24"/>
        </w:rPr>
      </w:pPr>
      <w:bookmarkStart w:id="40" w:name="_Toc77878709"/>
      <w:bookmarkStart w:id="41" w:name="_Toc30350"/>
      <w:r>
        <w:rPr>
          <w:rStyle w:val="27"/>
          <w:rFonts w:hint="eastAsia" w:ascii="宋体" w:hAnsi="宋体" w:eastAsia="宋体" w:cs="宋体"/>
          <w:b/>
          <w:bCs/>
          <w:kern w:val="0"/>
          <w:sz w:val="24"/>
          <w:szCs w:val="24"/>
        </w:rPr>
        <w:t>二、服务内容</w:t>
      </w:r>
      <w:bookmarkEnd w:id="40"/>
      <w:bookmarkEnd w:id="41"/>
    </w:p>
    <w:p>
      <w:pPr>
        <w:keepNext w:val="0"/>
        <w:keepLines w:val="0"/>
        <w:pageBreakBefore w:val="0"/>
        <w:tabs>
          <w:tab w:val="left" w:pos="720"/>
        </w:tabs>
        <w:kinsoku/>
        <w:wordWrap/>
        <w:overflowPunct/>
        <w:topLinePunct w:val="0"/>
        <w:bidi w:val="0"/>
        <w:spacing w:line="400" w:lineRule="exact"/>
        <w:ind w:firstLine="482" w:firstLineChars="200"/>
        <w:rPr>
          <w:rStyle w:val="27"/>
          <w:rFonts w:hint="eastAsia" w:ascii="宋体" w:hAnsi="宋体" w:eastAsia="宋体" w:cs="宋体"/>
          <w:b/>
          <w:bCs/>
          <w:color w:val="auto"/>
          <w:sz w:val="24"/>
          <w:szCs w:val="24"/>
        </w:rPr>
      </w:pPr>
      <w:r>
        <w:rPr>
          <w:rStyle w:val="27"/>
          <w:rFonts w:hint="eastAsia" w:ascii="宋体" w:hAnsi="宋体" w:eastAsia="宋体" w:cs="宋体"/>
          <w:b/>
          <w:bCs/>
          <w:color w:val="auto"/>
          <w:sz w:val="24"/>
          <w:szCs w:val="24"/>
        </w:rPr>
        <w:t>1.1目标任务</w:t>
      </w:r>
    </w:p>
    <w:p>
      <w:pPr>
        <w:keepNext w:val="0"/>
        <w:keepLines w:val="0"/>
        <w:pageBreakBefore w:val="0"/>
        <w:tabs>
          <w:tab w:val="left" w:pos="720"/>
        </w:tabs>
        <w:kinsoku/>
        <w:wordWrap/>
        <w:overflowPunct/>
        <w:topLinePunct w:val="0"/>
        <w:bidi w:val="0"/>
        <w:spacing w:line="400" w:lineRule="exact"/>
        <w:ind w:firstLine="480" w:firstLineChars="200"/>
        <w:rPr>
          <w:rStyle w:val="27"/>
          <w:rFonts w:hint="eastAsia" w:ascii="宋体" w:hAnsi="宋体" w:eastAsia="宋体" w:cs="宋体"/>
          <w:color w:val="auto"/>
          <w:sz w:val="24"/>
          <w:szCs w:val="24"/>
        </w:rPr>
      </w:pPr>
      <w:r>
        <w:rPr>
          <w:rStyle w:val="27"/>
          <w:rFonts w:hint="eastAsia" w:ascii="宋体" w:hAnsi="宋体" w:eastAsia="宋体" w:cs="宋体"/>
          <w:color w:val="auto"/>
          <w:sz w:val="24"/>
          <w:szCs w:val="24"/>
        </w:rPr>
        <w:t>服务目标为：防返贫监测预警平台平台纵向贯穿省、市、县、乡、村五级机关，横向覆盖扶贫开发部门、相关政府行业部门和社会公众；利用互联网实现各级扶贫开发部门和相关政府行业部门的互联互通；建立防返贫监测预警平台信息化管理系统，实现帮扶对象动态管理、防返贫措施合理配置、帮扶过程监测监督、防返贫成效跟踪分析、帮扶结果反馈的工作闭环机制；构建防返贫宏观决策数据库，并进行深度分析，为相关政府部门提供信息服务。</w:t>
      </w:r>
    </w:p>
    <w:p>
      <w:pPr>
        <w:keepNext w:val="0"/>
        <w:keepLines w:val="0"/>
        <w:pageBreakBefore w:val="0"/>
        <w:tabs>
          <w:tab w:val="left" w:pos="720"/>
        </w:tabs>
        <w:kinsoku/>
        <w:wordWrap/>
        <w:overflowPunct/>
        <w:topLinePunct w:val="0"/>
        <w:bidi w:val="0"/>
        <w:spacing w:line="400" w:lineRule="exact"/>
        <w:ind w:firstLine="482" w:firstLineChars="200"/>
        <w:rPr>
          <w:rStyle w:val="27"/>
          <w:rFonts w:hint="eastAsia" w:ascii="宋体" w:hAnsi="宋体" w:eastAsia="宋体" w:cs="宋体"/>
          <w:b/>
          <w:bCs/>
          <w:color w:val="auto"/>
          <w:sz w:val="24"/>
          <w:szCs w:val="24"/>
          <w:highlight w:val="none"/>
        </w:rPr>
      </w:pPr>
      <w:r>
        <w:rPr>
          <w:rStyle w:val="27"/>
          <w:rFonts w:hint="eastAsia" w:ascii="宋体" w:hAnsi="宋体" w:eastAsia="宋体" w:cs="宋体"/>
          <w:b/>
          <w:bCs/>
          <w:color w:val="auto"/>
          <w:sz w:val="24"/>
          <w:szCs w:val="24"/>
          <w:highlight w:val="none"/>
        </w:rPr>
        <w:t>1.2服务内容：</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数据中心</w:t>
      </w:r>
      <w:r>
        <w:rPr>
          <w:rFonts w:hint="eastAsia" w:ascii="宋体" w:hAnsi="宋体" w:eastAsia="宋体" w:cs="宋体"/>
          <w:color w:val="auto"/>
          <w:sz w:val="24"/>
          <w:szCs w:val="24"/>
        </w:rPr>
        <w:t>子系统：对农户，行政村、县进行全面精准管理，根据行政区划划分全部脱贫户、脱贫不稳定户、边缘易致贫户、突发严重困难户，对户根据户主姓名、身份证号码等方面来多元统筹，对户基本信息，风险信息、两不愁三保障信息、卫生厕所信息、生产生活条件、监测信息、收入信息进行管理。打通与防返贫监测预警工作相关行业部门之间的基础信息通道。实现监测对象信息共享，方</w:t>
      </w:r>
      <w:r>
        <w:rPr>
          <w:rFonts w:hint="eastAsia" w:ascii="宋体" w:hAnsi="宋体" w:eastAsia="宋体" w:cs="宋体"/>
          <w:color w:val="auto"/>
          <w:sz w:val="24"/>
          <w:szCs w:val="24"/>
          <w:highlight w:val="none"/>
        </w:rPr>
        <w:t>便乡村振兴局精</w:t>
      </w:r>
      <w:r>
        <w:rPr>
          <w:rFonts w:hint="eastAsia" w:ascii="宋体" w:hAnsi="宋体" w:eastAsia="宋体" w:cs="宋体"/>
          <w:color w:val="auto"/>
          <w:sz w:val="24"/>
          <w:szCs w:val="24"/>
        </w:rPr>
        <w:t>准把握监测对象，通过云计算实现一户一码，实现政策码上查、事件码上码、困难码上报。</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2、防返贫</w:t>
      </w:r>
      <w:r>
        <w:rPr>
          <w:rFonts w:hint="eastAsia" w:ascii="宋体" w:hAnsi="宋体" w:cs="宋体"/>
          <w:color w:val="auto"/>
          <w:sz w:val="24"/>
          <w:szCs w:val="24"/>
          <w:lang w:val="en-US" w:eastAsia="zh-CN"/>
        </w:rPr>
        <w:t>预警</w:t>
      </w:r>
      <w:r>
        <w:rPr>
          <w:rFonts w:hint="eastAsia" w:ascii="宋体" w:hAnsi="宋体" w:eastAsia="宋体" w:cs="宋体"/>
          <w:color w:val="auto"/>
          <w:sz w:val="24"/>
          <w:szCs w:val="24"/>
        </w:rPr>
        <w:t>子系统：依据三类人群的风险点监测三保障及饮水和收入，快速明确三类人群的增减信息、监测信息变化、方便快速提出应对措施。指定具体帮扶措施，因地制宜、有的放矢。确保不发生大规模性返贫。</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3、决策分析子系统：通过一张图的形式建立可视化的数据大屏，实现管理人员直观了解重点数据，为决策和管理提供辅助，建立GIS地图整合全省视频监控、视频调度应用</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乡村建设</w:t>
      </w:r>
      <w:r>
        <w:rPr>
          <w:rFonts w:hint="eastAsia" w:ascii="宋体" w:hAnsi="宋体" w:eastAsia="宋体" w:cs="宋体"/>
          <w:color w:val="auto"/>
          <w:sz w:val="24"/>
          <w:szCs w:val="24"/>
        </w:rPr>
        <w:t>子系统：通过产业振兴、组织振兴、生态振兴、人才振兴、文化振兴五个部分，展示农村发展成果，展示农村发展风采，通过数字化技术，为农村发展增添新的动力。</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户厕改革子系统：建立户厕、公厕信息管理体系。户厕摸排，了解农村地区户厕建设情况，包括：农户信息、厕所类型、是否已改造、使用状态等信息。为上级单位提供详细的农户厕所改革信息，推进农户户厕改革进度，提升农户生活水平。公厕摸排，了解农村地区公厕建设情况，统计公厕数据，展示农村地区发展水平。</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6、项目管理子系统：统计、管理扶贫项目信息。建立项目台账，统计项目个数、资金投入信息。为各级政府部门提供项目管理服务，让客户掌握项目个数，资金投入情况。为客户提供详实准确的项目信息数据。</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统计分析子系统：对防返贫工作汇报做到周统计、月通报、季调度。实现防返贫工作稳定高效的推进。做好防返贫工作统计分析，了解防返贫监测工作任务进展、监测数据变化等信息。全面、高效、准确的掌握防返贫监测工作的推进情况。从而实现数据的统一管理、统一维护和共享使用，满足省级、市级、县级、村级和各行业部门统计报表管理工作要求，促进管理工作实现规范化、程序化、现代化。</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cs="宋体"/>
          <w:color w:val="auto"/>
          <w:sz w:val="24"/>
          <w:szCs w:val="24"/>
          <w:lang w:val="en-US" w:eastAsia="zh-CN"/>
        </w:rPr>
        <w:t>问题整改</w:t>
      </w:r>
      <w:r>
        <w:rPr>
          <w:rFonts w:hint="eastAsia" w:ascii="宋体" w:hAnsi="宋体" w:eastAsia="宋体" w:cs="宋体"/>
          <w:color w:val="auto"/>
          <w:sz w:val="24"/>
          <w:szCs w:val="24"/>
        </w:rPr>
        <w:t>子系统：对问题事件及时立项登记，及时交办派发，及时签收承办;对交办的任务的交办时间、落实时间、整改过程、落实成效实现一体化办理;对整个事件过程可追溯、可管理。</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9、历史数据子系统：实现与原扶贫平台的整合，实现功能不变，数据不变，帐号不变，方便查阅历史。</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10、系统管理子系统：针对系统管理员，提供防返贫预警监测平台的配置维护管理功能，通过该子系统保障平台稳定运行。</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11、移动应用子系统：建设移动应用，为村级工作人员、管理人员、农户提供不同的功能应用，实现管理平台与手机端功能同步，数据共享。</w:t>
      </w:r>
    </w:p>
    <w:p>
      <w:pPr>
        <w:keepNext w:val="0"/>
        <w:keepLines w:val="0"/>
        <w:pageBreakBefore w:val="0"/>
        <w:tabs>
          <w:tab w:val="left" w:pos="720"/>
        </w:tabs>
        <w:kinsoku/>
        <w:wordWrap/>
        <w:overflowPunct/>
        <w:topLinePunct w:val="0"/>
        <w:bidi w:val="0"/>
        <w:spacing w:line="400" w:lineRule="exact"/>
        <w:ind w:firstLine="482" w:firstLineChars="200"/>
        <w:rPr>
          <w:rStyle w:val="27"/>
          <w:rFonts w:hint="eastAsia" w:ascii="宋体" w:hAnsi="宋体" w:eastAsia="宋体" w:cs="宋体"/>
          <w:b/>
          <w:bCs/>
          <w:color w:val="auto"/>
          <w:sz w:val="24"/>
          <w:szCs w:val="24"/>
          <w:highlight w:val="none"/>
        </w:rPr>
      </w:pPr>
      <w:r>
        <w:rPr>
          <w:rStyle w:val="27"/>
          <w:rFonts w:hint="eastAsia" w:ascii="宋体" w:hAnsi="宋体" w:eastAsia="宋体" w:cs="宋体"/>
          <w:b/>
          <w:bCs/>
          <w:color w:val="auto"/>
          <w:sz w:val="24"/>
          <w:szCs w:val="24"/>
          <w:highlight w:val="none"/>
        </w:rPr>
        <w:t>1.3 服务要求：</w:t>
      </w:r>
    </w:p>
    <w:p>
      <w:pPr>
        <w:keepNext w:val="0"/>
        <w:keepLines w:val="0"/>
        <w:pageBreakBefore w:val="0"/>
        <w:tabs>
          <w:tab w:val="left" w:pos="720"/>
        </w:tabs>
        <w:kinsoku/>
        <w:wordWrap/>
        <w:overflowPunct/>
        <w:topLinePunct w:val="0"/>
        <w:bidi w:val="0"/>
        <w:spacing w:line="400" w:lineRule="exact"/>
        <w:ind w:firstLine="480" w:firstLineChars="200"/>
        <w:rPr>
          <w:rStyle w:val="27"/>
          <w:rFonts w:hint="eastAsia" w:ascii="宋体" w:hAnsi="宋体" w:eastAsia="宋体" w:cs="宋体"/>
          <w:color w:val="auto"/>
          <w:sz w:val="24"/>
          <w:szCs w:val="24"/>
          <w:highlight w:val="none"/>
        </w:rPr>
      </w:pPr>
      <w:r>
        <w:rPr>
          <w:rFonts w:hint="eastAsia" w:ascii="宋体" w:hAnsi="宋体" w:eastAsia="宋体" w:cs="宋体"/>
          <w:color w:val="auto"/>
          <w:sz w:val="24"/>
          <w:szCs w:val="24"/>
        </w:rPr>
        <w:t>临潼区</w:t>
      </w:r>
      <w:r>
        <w:rPr>
          <w:rFonts w:hint="eastAsia" w:ascii="宋体" w:hAnsi="宋体" w:eastAsia="宋体" w:cs="宋体"/>
          <w:color w:val="auto"/>
          <w:sz w:val="24"/>
          <w:szCs w:val="24"/>
          <w:lang w:val="en-US" w:eastAsia="zh-CN"/>
        </w:rPr>
        <w:t>乡村振兴</w:t>
      </w:r>
      <w:r>
        <w:rPr>
          <w:rFonts w:hint="eastAsia" w:ascii="宋体" w:hAnsi="宋体" w:eastAsia="宋体" w:cs="宋体"/>
          <w:color w:val="auto"/>
          <w:sz w:val="24"/>
          <w:szCs w:val="24"/>
          <w:highlight w:val="none"/>
          <w:lang w:val="en-US" w:eastAsia="zh-CN"/>
        </w:rPr>
        <w:t>局</w:t>
      </w:r>
      <w:r>
        <w:rPr>
          <w:rStyle w:val="27"/>
          <w:rFonts w:hint="eastAsia" w:ascii="宋体" w:hAnsi="宋体" w:eastAsia="宋体" w:cs="宋体"/>
          <w:color w:val="auto"/>
          <w:sz w:val="24"/>
          <w:szCs w:val="24"/>
          <w:highlight w:val="none"/>
        </w:rPr>
        <w:t>只拥有平台使用权及系统数据的所有权，</w:t>
      </w:r>
      <w:r>
        <w:rPr>
          <w:rFonts w:hint="eastAsia" w:ascii="宋体" w:hAnsi="宋体" w:eastAsia="宋体" w:cs="宋体"/>
          <w:color w:val="auto"/>
          <w:sz w:val="24"/>
          <w:szCs w:val="24"/>
        </w:rPr>
        <w:t>临潼区</w:t>
      </w:r>
      <w:r>
        <w:rPr>
          <w:rFonts w:hint="eastAsia" w:ascii="宋体" w:hAnsi="宋体" w:eastAsia="宋体" w:cs="宋体"/>
          <w:color w:val="auto"/>
          <w:sz w:val="24"/>
          <w:szCs w:val="24"/>
          <w:lang w:val="en-US" w:eastAsia="zh-CN"/>
        </w:rPr>
        <w:t>乡村振兴局</w:t>
      </w:r>
      <w:r>
        <w:rPr>
          <w:rStyle w:val="27"/>
          <w:rFonts w:hint="eastAsia" w:ascii="宋体" w:hAnsi="宋体" w:eastAsia="宋体" w:cs="宋体"/>
          <w:color w:val="auto"/>
          <w:sz w:val="24"/>
          <w:szCs w:val="24"/>
          <w:highlight w:val="none"/>
        </w:rPr>
        <w:t>通过购买服务的方式使用平台；服务单位拥有平台的所有权，负责大数据平台运营及管理工作。</w:t>
      </w:r>
    </w:p>
    <w:p>
      <w:pPr>
        <w:keepNext w:val="0"/>
        <w:keepLines w:val="0"/>
        <w:pageBreakBefore w:val="0"/>
        <w:kinsoku/>
        <w:wordWrap/>
        <w:overflowPunct/>
        <w:topLinePunct w:val="0"/>
        <w:bidi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三、采购需求表</w:t>
      </w:r>
    </w:p>
    <w:p>
      <w:pPr>
        <w:keepNext w:val="0"/>
        <w:keepLines w:val="0"/>
        <w:pageBreakBefore w:val="0"/>
        <w:kinsoku/>
        <w:wordWrap/>
        <w:overflowPunct/>
        <w:topLinePunct w:val="0"/>
        <w:bidi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1、平台服务</w:t>
      </w:r>
    </w:p>
    <w:tbl>
      <w:tblPr>
        <w:tblStyle w:val="18"/>
        <w:tblW w:w="4855" w:type="pct"/>
        <w:tblInd w:w="0" w:type="dxa"/>
        <w:tblLayout w:type="autofit"/>
        <w:tblCellMar>
          <w:top w:w="0" w:type="dxa"/>
          <w:left w:w="108" w:type="dxa"/>
          <w:bottom w:w="0" w:type="dxa"/>
          <w:right w:w="108" w:type="dxa"/>
        </w:tblCellMar>
      </w:tblPr>
      <w:tblGrid>
        <w:gridCol w:w="951"/>
        <w:gridCol w:w="2257"/>
        <w:gridCol w:w="3226"/>
        <w:gridCol w:w="912"/>
        <w:gridCol w:w="929"/>
      </w:tblGrid>
      <w:tr>
        <w:tblPrEx>
          <w:tblCellMar>
            <w:top w:w="0" w:type="dxa"/>
            <w:left w:w="108" w:type="dxa"/>
            <w:bottom w:w="0" w:type="dxa"/>
            <w:right w:w="108" w:type="dxa"/>
          </w:tblCellMar>
        </w:tblPrEx>
        <w:trPr>
          <w:trHeight w:val="276" w:hRule="atLeast"/>
        </w:trPr>
        <w:tc>
          <w:tcPr>
            <w:tcW w:w="57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编号</w:t>
            </w:r>
          </w:p>
        </w:tc>
        <w:tc>
          <w:tcPr>
            <w:tcW w:w="1363" w:type="pct"/>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栏目</w:t>
            </w:r>
          </w:p>
        </w:tc>
        <w:tc>
          <w:tcPr>
            <w:tcW w:w="1948" w:type="pct"/>
            <w:tcBorders>
              <w:top w:val="single" w:color="auto" w:sz="4" w:space="0"/>
              <w:left w:val="single" w:color="auto" w:sz="4" w:space="0"/>
              <w:bottom w:val="nil"/>
              <w:right w:val="nil"/>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一级分类</w:t>
            </w:r>
          </w:p>
        </w:tc>
        <w:tc>
          <w:tcPr>
            <w:tcW w:w="5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单位</w:t>
            </w:r>
          </w:p>
        </w:tc>
        <w:tc>
          <w:tcPr>
            <w:tcW w:w="56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数量</w:t>
            </w:r>
          </w:p>
        </w:tc>
      </w:tr>
      <w:tr>
        <w:tblPrEx>
          <w:tblCellMar>
            <w:top w:w="0" w:type="dxa"/>
            <w:left w:w="108" w:type="dxa"/>
            <w:bottom w:w="0" w:type="dxa"/>
            <w:right w:w="108" w:type="dxa"/>
          </w:tblCellMar>
        </w:tblPrEx>
        <w:trPr>
          <w:trHeight w:val="300" w:hRule="atLeast"/>
        </w:trPr>
        <w:tc>
          <w:tcPr>
            <w:tcW w:w="574"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36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数据中心</w:t>
            </w:r>
            <w:r>
              <w:rPr>
                <w:rFonts w:hint="eastAsia" w:ascii="宋体" w:hAnsi="宋体" w:eastAsia="宋体" w:cs="宋体"/>
                <w:color w:val="auto"/>
                <w:kern w:val="0"/>
                <w:sz w:val="24"/>
                <w:szCs w:val="24"/>
                <w:lang w:bidi="ar"/>
              </w:rPr>
              <w:t>子系统</w:t>
            </w: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户情管理</w:t>
            </w:r>
          </w:p>
        </w:tc>
        <w:tc>
          <w:tcPr>
            <w:tcW w:w="55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56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户详情</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村详情</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县管理</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136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防返贫监测预警子系统</w:t>
            </w: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监测对象</w:t>
            </w:r>
          </w:p>
        </w:tc>
        <w:tc>
          <w:tcPr>
            <w:tcW w:w="55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56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监测内容</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行业数据</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风险研判</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工单管理</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网格管理</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驻村帮扶</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随机抽查</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85" w:hRule="atLeast"/>
        </w:trPr>
        <w:tc>
          <w:tcPr>
            <w:tcW w:w="574"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136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决策分析子系统</w:t>
            </w: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基础数据</w:t>
            </w:r>
          </w:p>
        </w:tc>
        <w:tc>
          <w:tcPr>
            <w:tcW w:w="55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56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风险监测</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收入监测</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帮扶措施</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85"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外出务工</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85"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网格管理</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采集进度</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136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乡村建设子系统</w:t>
            </w: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产业振兴</w:t>
            </w:r>
          </w:p>
        </w:tc>
        <w:tc>
          <w:tcPr>
            <w:tcW w:w="55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56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组织振兴</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生态振兴</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人才振兴</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文化振兴</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136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户厕改革子系统</w:t>
            </w: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户厕摸排</w:t>
            </w:r>
          </w:p>
        </w:tc>
        <w:tc>
          <w:tcPr>
            <w:tcW w:w="55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56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公厕摸排</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136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项目管理子系统</w:t>
            </w: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项目汇总</w:t>
            </w:r>
          </w:p>
        </w:tc>
        <w:tc>
          <w:tcPr>
            <w:tcW w:w="55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56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项目查询</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w:t>
            </w:r>
          </w:p>
        </w:tc>
        <w:tc>
          <w:tcPr>
            <w:tcW w:w="136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统计分析子系统</w:t>
            </w: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工作推进</w:t>
            </w:r>
          </w:p>
        </w:tc>
        <w:tc>
          <w:tcPr>
            <w:tcW w:w="551" w:type="pct"/>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561" w:type="pct"/>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周统计</w:t>
            </w:r>
          </w:p>
        </w:tc>
        <w:tc>
          <w:tcPr>
            <w:tcW w:w="551"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月通报</w:t>
            </w:r>
          </w:p>
        </w:tc>
        <w:tc>
          <w:tcPr>
            <w:tcW w:w="551"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季调度</w:t>
            </w:r>
          </w:p>
        </w:tc>
        <w:tc>
          <w:tcPr>
            <w:tcW w:w="551"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采集进度</w:t>
            </w:r>
          </w:p>
        </w:tc>
        <w:tc>
          <w:tcPr>
            <w:tcW w:w="551"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00" w:hRule="atLeast"/>
        </w:trPr>
        <w:tc>
          <w:tcPr>
            <w:tcW w:w="574"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w:t>
            </w:r>
          </w:p>
        </w:tc>
        <w:tc>
          <w:tcPr>
            <w:tcW w:w="136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问题整改</w:t>
            </w:r>
            <w:r>
              <w:rPr>
                <w:rFonts w:hint="eastAsia" w:ascii="宋体" w:hAnsi="宋体" w:eastAsia="宋体" w:cs="宋体"/>
                <w:color w:val="auto"/>
                <w:kern w:val="0"/>
                <w:sz w:val="24"/>
                <w:szCs w:val="24"/>
                <w:lang w:bidi="ar"/>
              </w:rPr>
              <w:t>子系统</w:t>
            </w: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问题登记</w:t>
            </w:r>
          </w:p>
        </w:tc>
        <w:tc>
          <w:tcPr>
            <w:tcW w:w="55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56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问题分发</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85"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问题整改落实</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85"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问题整改预警</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85"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问题统计报表</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40" w:hRule="atLeast"/>
        </w:trPr>
        <w:tc>
          <w:tcPr>
            <w:tcW w:w="57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9</w:t>
            </w:r>
          </w:p>
        </w:tc>
        <w:tc>
          <w:tcPr>
            <w:tcW w:w="136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历史数据子系统</w:t>
            </w: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t>
            </w:r>
          </w:p>
        </w:tc>
        <w:tc>
          <w:tcPr>
            <w:tcW w:w="5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56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108" w:type="dxa"/>
            <w:bottom w:w="0" w:type="dxa"/>
            <w:right w:w="108" w:type="dxa"/>
          </w:tblCellMar>
        </w:tblPrEx>
        <w:trPr>
          <w:trHeight w:val="300" w:hRule="atLeast"/>
        </w:trPr>
        <w:tc>
          <w:tcPr>
            <w:tcW w:w="574"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c>
          <w:tcPr>
            <w:tcW w:w="136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系统管理子系统</w:t>
            </w: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单位管理</w:t>
            </w:r>
          </w:p>
        </w:tc>
        <w:tc>
          <w:tcPr>
            <w:tcW w:w="55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c>
          <w:tcPr>
            <w:tcW w:w="56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r>
      <w:tr>
        <w:tblPrEx>
          <w:tblCellMar>
            <w:top w:w="0" w:type="dxa"/>
            <w:left w:w="108" w:type="dxa"/>
            <w:bottom w:w="0" w:type="dxa"/>
            <w:right w:w="108" w:type="dxa"/>
          </w:tblCellMar>
        </w:tblPrEx>
        <w:trPr>
          <w:trHeight w:val="30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用户管理</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85"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系统权限管理</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系统资源管理</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基本配置管理</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行政区划管理</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运行数据追踪</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trPr>
        <w:tc>
          <w:tcPr>
            <w:tcW w:w="574"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136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移动应用子系统</w:t>
            </w: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管理人员移动端应用</w:t>
            </w:r>
          </w:p>
        </w:tc>
        <w:tc>
          <w:tcPr>
            <w:tcW w:w="55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56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285"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村级移动应用子系统</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40" w:hRule="atLeast"/>
        </w:trPr>
        <w:tc>
          <w:tcPr>
            <w:tcW w:w="574"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136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19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公众号-移动应用子系统</w:t>
            </w:r>
          </w:p>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（农户服务）</w:t>
            </w: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color w:val="000000"/>
                <w:sz w:val="24"/>
                <w:szCs w:val="24"/>
              </w:rPr>
            </w:pPr>
          </w:p>
        </w:tc>
      </w:tr>
    </w:tbl>
    <w:p>
      <w:pPr>
        <w:keepNext w:val="0"/>
        <w:keepLines w:val="0"/>
        <w:pageBreakBefore w:val="0"/>
        <w:kinsoku/>
        <w:wordWrap/>
        <w:overflowPunct/>
        <w:topLinePunct w:val="0"/>
        <w:bidi w:val="0"/>
        <w:spacing w:line="400" w:lineRule="exact"/>
        <w:rPr>
          <w:rFonts w:hint="eastAsia" w:ascii="宋体" w:hAnsi="宋体" w:eastAsia="宋体" w:cs="宋体"/>
          <w:sz w:val="24"/>
          <w:szCs w:val="24"/>
        </w:rPr>
      </w:pPr>
    </w:p>
    <w:p>
      <w:pPr>
        <w:keepNext w:val="0"/>
        <w:keepLines w:val="0"/>
        <w:pageBreakBefore w:val="0"/>
        <w:kinsoku/>
        <w:wordWrap/>
        <w:overflowPunct/>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2、数据通讯及技术服务</w:t>
      </w:r>
    </w:p>
    <w:tbl>
      <w:tblPr>
        <w:tblStyle w:val="18"/>
        <w:tblW w:w="4998" w:type="pct"/>
        <w:tblInd w:w="0" w:type="dxa"/>
        <w:tblLayout w:type="autofit"/>
        <w:tblCellMar>
          <w:top w:w="15" w:type="dxa"/>
          <w:left w:w="15" w:type="dxa"/>
          <w:bottom w:w="15" w:type="dxa"/>
          <w:right w:w="15" w:type="dxa"/>
        </w:tblCellMar>
      </w:tblPr>
      <w:tblGrid>
        <w:gridCol w:w="492"/>
        <w:gridCol w:w="977"/>
        <w:gridCol w:w="670"/>
        <w:gridCol w:w="1230"/>
        <w:gridCol w:w="3945"/>
        <w:gridCol w:w="477"/>
        <w:gridCol w:w="542"/>
      </w:tblGrid>
      <w:tr>
        <w:tblPrEx>
          <w:tblCellMar>
            <w:top w:w="15" w:type="dxa"/>
            <w:left w:w="15" w:type="dxa"/>
            <w:bottom w:w="15" w:type="dxa"/>
            <w:right w:w="15" w:type="dxa"/>
          </w:tblCellMar>
        </w:tblPrEx>
        <w:trPr>
          <w:trHeight w:val="758" w:hRule="atLeast"/>
        </w:trPr>
        <w:tc>
          <w:tcPr>
            <w:tcW w:w="4387"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2、数据通讯及技术服务</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rPr>
                <w:rFonts w:hint="eastAsia" w:ascii="宋体" w:hAnsi="宋体" w:eastAsia="宋体" w:cs="宋体"/>
                <w:color w:val="000000"/>
                <w:sz w:val="24"/>
                <w:szCs w:val="24"/>
              </w:rPr>
            </w:pP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1251" w:hRule="atLeast"/>
        </w:trPr>
        <w:tc>
          <w:tcPr>
            <w:tcW w:w="29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5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互联网</w:t>
            </w:r>
          </w:p>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线路</w:t>
            </w:r>
          </w:p>
        </w:tc>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宽带</w:t>
            </w:r>
          </w:p>
        </w:tc>
        <w:tc>
          <w:tcPr>
            <w:tcW w:w="73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宽带服务</w:t>
            </w:r>
          </w:p>
        </w:tc>
        <w:tc>
          <w:tcPr>
            <w:tcW w:w="23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23条100M单宽带，满足23个街道办互联网接入。</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年</w:t>
            </w:r>
          </w:p>
        </w:tc>
      </w:tr>
      <w:tr>
        <w:tblPrEx>
          <w:tblCellMar>
            <w:top w:w="15" w:type="dxa"/>
            <w:left w:w="15" w:type="dxa"/>
            <w:bottom w:w="15" w:type="dxa"/>
            <w:right w:w="15" w:type="dxa"/>
          </w:tblCellMar>
        </w:tblPrEx>
        <w:trPr>
          <w:trHeight w:val="1049" w:hRule="atLeast"/>
        </w:trPr>
        <w:tc>
          <w:tcPr>
            <w:tcW w:w="29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w:t>
            </w:r>
          </w:p>
        </w:tc>
        <w:tc>
          <w:tcPr>
            <w:tcW w:w="5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云主机</w:t>
            </w:r>
          </w:p>
        </w:tc>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w:t>
            </w:r>
          </w:p>
        </w:tc>
        <w:tc>
          <w:tcPr>
            <w:tcW w:w="73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w:t>
            </w:r>
          </w:p>
        </w:tc>
        <w:tc>
          <w:tcPr>
            <w:tcW w:w="23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CPU：16核；内存：32G；系统盘：140G；</w:t>
            </w:r>
          </w:p>
          <w:p>
            <w:pPr>
              <w:keepNext w:val="0"/>
              <w:keepLines w:val="0"/>
              <w:pageBreakBefore w:val="0"/>
              <w:kinsoku/>
              <w:wordWrap/>
              <w:overflowPunct/>
              <w:topLinePunct w:val="0"/>
              <w:bidi w:val="0"/>
              <w:spacing w:line="400" w:lineRule="exact"/>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数据盘：150G；带宽20M</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w:t>
            </w: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年</w:t>
            </w:r>
          </w:p>
        </w:tc>
      </w:tr>
      <w:tr>
        <w:tblPrEx>
          <w:tblCellMar>
            <w:top w:w="15" w:type="dxa"/>
            <w:left w:w="15" w:type="dxa"/>
            <w:bottom w:w="15" w:type="dxa"/>
            <w:right w:w="15" w:type="dxa"/>
          </w:tblCellMar>
        </w:tblPrEx>
        <w:trPr>
          <w:trHeight w:val="1049" w:hRule="atLeast"/>
        </w:trPr>
        <w:tc>
          <w:tcPr>
            <w:tcW w:w="29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w:t>
            </w:r>
          </w:p>
        </w:tc>
        <w:tc>
          <w:tcPr>
            <w:tcW w:w="5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视频会议室的数字电路线路</w:t>
            </w:r>
          </w:p>
        </w:tc>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20M</w:t>
            </w:r>
          </w:p>
        </w:tc>
        <w:tc>
          <w:tcPr>
            <w:tcW w:w="73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MSTP电路</w:t>
            </w:r>
          </w:p>
        </w:tc>
        <w:tc>
          <w:tcPr>
            <w:tcW w:w="23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left"/>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一条20M 的MSTP数字电路内网，满足从市扶贫办到临潼扶贫办的视频会议系统的信号传输。</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年</w:t>
            </w:r>
          </w:p>
        </w:tc>
      </w:tr>
      <w:tr>
        <w:tblPrEx>
          <w:tblCellMar>
            <w:top w:w="15" w:type="dxa"/>
            <w:left w:w="15" w:type="dxa"/>
            <w:bottom w:w="15" w:type="dxa"/>
            <w:right w:w="15" w:type="dxa"/>
          </w:tblCellMar>
        </w:tblPrEx>
        <w:trPr>
          <w:trHeight w:val="1049" w:hRule="atLeast"/>
        </w:trPr>
        <w:tc>
          <w:tcPr>
            <w:tcW w:w="29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4</w:t>
            </w:r>
          </w:p>
        </w:tc>
        <w:tc>
          <w:tcPr>
            <w:tcW w:w="5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互联网</w:t>
            </w:r>
          </w:p>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光纤</w:t>
            </w:r>
          </w:p>
        </w:tc>
        <w:tc>
          <w:tcPr>
            <w:tcW w:w="40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50M</w:t>
            </w:r>
          </w:p>
        </w:tc>
        <w:tc>
          <w:tcPr>
            <w:tcW w:w="73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光纤专线</w:t>
            </w:r>
          </w:p>
        </w:tc>
        <w:tc>
          <w:tcPr>
            <w:tcW w:w="23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left"/>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一条50M光纤专线满足防返贫平台的运行稳定畅通</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年</w:t>
            </w:r>
          </w:p>
        </w:tc>
      </w:tr>
    </w:tbl>
    <w:p>
      <w:pPr>
        <w:keepNext w:val="0"/>
        <w:keepLines w:val="0"/>
        <w:pageBreakBefore w:val="0"/>
        <w:tabs>
          <w:tab w:val="left" w:pos="3485"/>
        </w:tabs>
        <w:kinsoku/>
        <w:wordWrap/>
        <w:overflowPunct/>
        <w:topLinePunct w:val="0"/>
        <w:bidi w:val="0"/>
        <w:spacing w:line="4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四、服务期限及要求：</w:t>
      </w:r>
      <w:bookmarkStart w:id="42" w:name="_Toc167712839"/>
      <w:bookmarkStart w:id="43" w:name="_Toc167715234"/>
      <w:bookmarkStart w:id="44" w:name="_Toc167714037"/>
    </w:p>
    <w:p>
      <w:pPr>
        <w:keepNext w:val="0"/>
        <w:keepLines w:val="0"/>
        <w:pageBreakBefore w:val="0"/>
        <w:tabs>
          <w:tab w:val="left" w:pos="3485"/>
        </w:tabs>
        <w:kinsoku/>
        <w:wordWrap/>
        <w:overflowPunct/>
        <w:topLinePunct w:val="0"/>
        <w:bidi w:val="0"/>
        <w:spacing w:line="400" w:lineRule="exact"/>
        <w:ind w:firstLine="456" w:firstLineChars="200"/>
        <w:jc w:val="left"/>
        <w:rPr>
          <w:rFonts w:hint="eastAsia" w:ascii="宋体" w:hAnsi="宋体" w:eastAsia="宋体" w:cs="宋体"/>
          <w:color w:val="000000"/>
          <w:sz w:val="24"/>
          <w:szCs w:val="24"/>
        </w:rPr>
      </w:pPr>
      <w:r>
        <w:rPr>
          <w:rFonts w:hint="eastAsia" w:ascii="宋体" w:hAnsi="宋体" w:eastAsia="宋体" w:cs="宋体"/>
          <w:color w:val="000000"/>
          <w:spacing w:val="-6"/>
          <w:sz w:val="24"/>
          <w:szCs w:val="24"/>
        </w:rPr>
        <w:t>1、项目预算金额：660000.00元。</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2、服务期限：</w:t>
      </w:r>
      <w:bookmarkEnd w:id="42"/>
      <w:bookmarkEnd w:id="43"/>
      <w:bookmarkEnd w:id="44"/>
      <w:r>
        <w:rPr>
          <w:rFonts w:hint="eastAsia" w:ascii="宋体" w:hAnsi="宋体" w:eastAsia="宋体" w:cs="宋体"/>
          <w:color w:val="000000"/>
          <w:sz w:val="24"/>
          <w:szCs w:val="24"/>
        </w:rPr>
        <w:t>自合同签订之日起一年（具体开始时间根据实际情况而定）</w:t>
      </w:r>
    </w:p>
    <w:p>
      <w:pPr>
        <w:keepNext w:val="0"/>
        <w:keepLines w:val="0"/>
        <w:pageBreakBefore w:val="0"/>
        <w:kinsoku/>
        <w:wordWrap/>
        <w:overflowPunct/>
        <w:topLinePunct w:val="0"/>
        <w:bidi w:val="0"/>
        <w:spacing w:line="4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3、服务要求：根据项目内容及采购人要求，制定总体服务方案，并组织实施。</w:t>
      </w:r>
    </w:p>
    <w:p>
      <w:pPr>
        <w:keepNext w:val="0"/>
        <w:keepLines w:val="0"/>
        <w:pageBreakBefore w:val="0"/>
        <w:kinsoku/>
        <w:wordWrap/>
        <w:overflowPunct/>
        <w:topLinePunct w:val="0"/>
        <w:bidi w:val="0"/>
        <w:snapToGrid w:val="0"/>
        <w:spacing w:line="400" w:lineRule="exact"/>
        <w:outlineLvl w:val="9"/>
        <w:rPr>
          <w:rStyle w:val="27"/>
          <w:rFonts w:hint="eastAsia" w:ascii="宋体" w:hAnsi="宋体" w:eastAsia="宋体" w:cs="宋体"/>
          <w:kern w:val="0"/>
          <w:sz w:val="24"/>
          <w:szCs w:val="24"/>
        </w:rPr>
      </w:pPr>
      <w:bookmarkStart w:id="45" w:name="_Toc77878710"/>
      <w:bookmarkStart w:id="46" w:name="_Toc14558"/>
      <w:bookmarkStart w:id="47" w:name="_Toc29628"/>
      <w:bookmarkStart w:id="48" w:name="_Toc27976"/>
      <w:r>
        <w:rPr>
          <w:rStyle w:val="27"/>
          <w:rFonts w:hint="eastAsia" w:ascii="宋体" w:hAnsi="宋体" w:eastAsia="宋体" w:cs="宋体"/>
          <w:b/>
          <w:bCs/>
          <w:kern w:val="0"/>
          <w:sz w:val="24"/>
          <w:szCs w:val="24"/>
        </w:rPr>
        <w:t>五、款项结算</w:t>
      </w:r>
      <w:bookmarkEnd w:id="45"/>
      <w:bookmarkEnd w:id="46"/>
    </w:p>
    <w:p>
      <w:pPr>
        <w:keepNext w:val="0"/>
        <w:keepLines w:val="0"/>
        <w:pageBreakBefore w:val="0"/>
        <w:kinsoku/>
        <w:wordWrap/>
        <w:overflowPunct/>
        <w:topLinePunct w:val="0"/>
        <w:bidi w:val="0"/>
        <w:spacing w:line="400" w:lineRule="exact"/>
        <w:ind w:firstLine="480" w:firstLineChars="200"/>
        <w:rPr>
          <w:rStyle w:val="27"/>
          <w:rFonts w:hint="eastAsia" w:ascii="宋体" w:hAnsi="宋体" w:eastAsia="宋体" w:cs="宋体"/>
          <w:sz w:val="24"/>
          <w:szCs w:val="24"/>
          <w:highlight w:val="none"/>
        </w:rPr>
      </w:pPr>
      <w:r>
        <w:rPr>
          <w:rStyle w:val="27"/>
          <w:rFonts w:hint="eastAsia" w:ascii="宋体" w:hAnsi="宋体" w:eastAsia="宋体" w:cs="宋体"/>
          <w:sz w:val="24"/>
          <w:szCs w:val="24"/>
          <w:highlight w:val="none"/>
        </w:rPr>
        <w:t>合同签订后，服务期开始后7个工作日内支付预付款95%，服务期满且无争议时，支付剩余5%。结算方式：银行转账。供应商应按采购人要求提供款项支付需要的所有资料。</w:t>
      </w:r>
    </w:p>
    <w:p>
      <w:pPr>
        <w:keepNext w:val="0"/>
        <w:keepLines w:val="0"/>
        <w:pageBreakBefore w:val="0"/>
        <w:kinsoku/>
        <w:wordWrap/>
        <w:overflowPunct/>
        <w:topLinePunct w:val="0"/>
        <w:bidi w:val="0"/>
        <w:spacing w:line="400" w:lineRule="exact"/>
        <w:outlineLvl w:val="9"/>
        <w:rPr>
          <w:rStyle w:val="27"/>
          <w:rFonts w:hint="eastAsia" w:ascii="宋体" w:hAnsi="宋体" w:eastAsia="宋体" w:cs="宋体"/>
          <w:b/>
          <w:bCs/>
          <w:sz w:val="24"/>
          <w:szCs w:val="24"/>
          <w:highlight w:val="none"/>
        </w:rPr>
      </w:pPr>
      <w:bookmarkStart w:id="49" w:name="_Toc1271"/>
      <w:bookmarkStart w:id="50" w:name="_Toc77878711"/>
      <w:r>
        <w:rPr>
          <w:rStyle w:val="27"/>
          <w:rFonts w:hint="eastAsia" w:ascii="宋体" w:hAnsi="宋体" w:eastAsia="宋体" w:cs="宋体"/>
          <w:b/>
          <w:bCs/>
          <w:sz w:val="24"/>
          <w:szCs w:val="24"/>
          <w:highlight w:val="none"/>
        </w:rPr>
        <w:t>六、违约责任</w:t>
      </w:r>
      <w:bookmarkEnd w:id="49"/>
      <w:bookmarkEnd w:id="50"/>
    </w:p>
    <w:p>
      <w:pPr>
        <w:keepNext w:val="0"/>
        <w:keepLines w:val="0"/>
        <w:pageBreakBefore w:val="0"/>
        <w:kinsoku/>
        <w:wordWrap/>
        <w:overflowPunct/>
        <w:topLinePunct w:val="0"/>
        <w:bidi w:val="0"/>
        <w:spacing w:line="400" w:lineRule="exact"/>
        <w:ind w:firstLine="480" w:firstLineChars="200"/>
        <w:rPr>
          <w:rStyle w:val="27"/>
          <w:rFonts w:hint="eastAsia" w:ascii="宋体" w:hAnsi="宋体" w:eastAsia="宋体" w:cs="宋体"/>
          <w:sz w:val="24"/>
          <w:szCs w:val="24"/>
          <w:highlight w:val="none"/>
        </w:rPr>
      </w:pPr>
      <w:r>
        <w:rPr>
          <w:rStyle w:val="27"/>
          <w:rFonts w:hint="eastAsia" w:ascii="宋体" w:hAnsi="宋体" w:eastAsia="宋体" w:cs="宋体"/>
          <w:sz w:val="24"/>
          <w:szCs w:val="24"/>
          <w:highlight w:val="none"/>
        </w:rPr>
        <w:t>若供应商不能按合同约定提供合格的服务，采购人有权终止合同并追究其违约责任，同时，供应商应赔偿采购人因此而受到的损失。</w:t>
      </w:r>
    </w:p>
    <w:p>
      <w:pPr>
        <w:keepNext w:val="0"/>
        <w:keepLines w:val="0"/>
        <w:pageBreakBefore w:val="0"/>
        <w:kinsoku/>
        <w:wordWrap/>
        <w:overflowPunct/>
        <w:topLinePunct w:val="0"/>
        <w:bidi w:val="0"/>
        <w:snapToGrid w:val="0"/>
        <w:spacing w:line="400" w:lineRule="exact"/>
        <w:outlineLvl w:val="9"/>
        <w:rPr>
          <w:rStyle w:val="27"/>
          <w:rFonts w:hint="eastAsia" w:ascii="宋体" w:hAnsi="宋体" w:eastAsia="宋体" w:cs="宋体"/>
          <w:b/>
          <w:bCs/>
          <w:sz w:val="24"/>
          <w:szCs w:val="24"/>
          <w:highlight w:val="none"/>
        </w:rPr>
      </w:pPr>
      <w:bookmarkStart w:id="51" w:name="_Toc77878712"/>
      <w:bookmarkStart w:id="52" w:name="_Toc14658"/>
      <w:r>
        <w:rPr>
          <w:rStyle w:val="27"/>
          <w:rFonts w:hint="eastAsia" w:ascii="宋体" w:hAnsi="宋体" w:eastAsia="宋体" w:cs="宋体"/>
          <w:b/>
          <w:bCs/>
          <w:sz w:val="24"/>
          <w:szCs w:val="24"/>
          <w:highlight w:val="none"/>
        </w:rPr>
        <w:t>七、 验收</w:t>
      </w:r>
      <w:bookmarkEnd w:id="51"/>
      <w:bookmarkEnd w:id="52"/>
      <w:r>
        <w:rPr>
          <w:rStyle w:val="27"/>
          <w:rFonts w:hint="eastAsia" w:ascii="宋体" w:hAnsi="宋体" w:eastAsia="宋体" w:cs="宋体"/>
          <w:b/>
          <w:bCs/>
          <w:sz w:val="24"/>
          <w:szCs w:val="24"/>
          <w:highlight w:val="none"/>
        </w:rPr>
        <w:t xml:space="preserve"> </w:t>
      </w:r>
    </w:p>
    <w:p>
      <w:pPr>
        <w:keepNext w:val="0"/>
        <w:keepLines w:val="0"/>
        <w:pageBreakBefore w:val="0"/>
        <w:kinsoku/>
        <w:wordWrap/>
        <w:overflowPunct/>
        <w:topLinePunct w:val="0"/>
        <w:bidi w:val="0"/>
        <w:snapToGrid w:val="0"/>
        <w:spacing w:line="400" w:lineRule="exact"/>
        <w:ind w:firstLine="480" w:firstLineChars="200"/>
        <w:rPr>
          <w:rStyle w:val="27"/>
          <w:rFonts w:hint="eastAsia" w:ascii="宋体" w:hAnsi="宋体" w:eastAsia="宋体" w:cs="宋体"/>
          <w:sz w:val="24"/>
          <w:szCs w:val="24"/>
        </w:rPr>
      </w:pPr>
      <w:r>
        <w:rPr>
          <w:rStyle w:val="27"/>
          <w:rFonts w:hint="eastAsia" w:ascii="宋体" w:hAnsi="宋体" w:eastAsia="宋体" w:cs="宋体"/>
          <w:sz w:val="24"/>
          <w:szCs w:val="24"/>
        </w:rPr>
        <w:t>1、验收方式</w:t>
      </w:r>
    </w:p>
    <w:p>
      <w:pPr>
        <w:keepNext w:val="0"/>
        <w:keepLines w:val="0"/>
        <w:pageBreakBefore w:val="0"/>
        <w:kinsoku/>
        <w:wordWrap/>
        <w:overflowPunct/>
        <w:topLinePunct w:val="0"/>
        <w:bidi w:val="0"/>
        <w:snapToGrid w:val="0"/>
        <w:spacing w:line="400" w:lineRule="exact"/>
        <w:ind w:firstLine="480" w:firstLineChars="200"/>
        <w:rPr>
          <w:rStyle w:val="27"/>
          <w:rFonts w:hint="eastAsia" w:ascii="宋体" w:hAnsi="宋体" w:eastAsia="宋体" w:cs="宋体"/>
          <w:sz w:val="24"/>
          <w:szCs w:val="24"/>
        </w:rPr>
      </w:pPr>
      <w:r>
        <w:rPr>
          <w:rStyle w:val="27"/>
          <w:rFonts w:hint="eastAsia" w:ascii="宋体" w:hAnsi="宋体" w:eastAsia="宋体" w:cs="宋体"/>
          <w:sz w:val="24"/>
          <w:szCs w:val="24"/>
        </w:rPr>
        <w:t>1.1 验收：服务期满后且平台上线运行正常，15天内进行终验，终验合格后，视为平台终验合格。</w:t>
      </w:r>
    </w:p>
    <w:p>
      <w:pPr>
        <w:keepNext w:val="0"/>
        <w:keepLines w:val="0"/>
        <w:pageBreakBefore w:val="0"/>
        <w:kinsoku/>
        <w:wordWrap/>
        <w:overflowPunct/>
        <w:topLinePunct w:val="0"/>
        <w:bidi w:val="0"/>
        <w:spacing w:line="400" w:lineRule="exact"/>
        <w:ind w:firstLine="480" w:firstLineChars="200"/>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2、验收不合格的，乙方必须在接到通知后7个日历</w:t>
      </w:r>
      <w:r>
        <w:rPr>
          <w:rStyle w:val="27"/>
          <w:rFonts w:hint="eastAsia" w:ascii="宋体" w:hAnsi="宋体" w:cs="宋体"/>
          <w:kern w:val="0"/>
          <w:sz w:val="24"/>
          <w:szCs w:val="24"/>
          <w:lang w:val="en-US" w:eastAsia="zh-CN"/>
        </w:rPr>
        <w:t>天</w:t>
      </w:r>
      <w:r>
        <w:rPr>
          <w:rStyle w:val="27"/>
          <w:rFonts w:hint="eastAsia" w:ascii="宋体" w:hAnsi="宋体" w:eastAsia="宋体" w:cs="宋体"/>
          <w:kern w:val="0"/>
          <w:sz w:val="24"/>
          <w:szCs w:val="24"/>
        </w:rPr>
        <w:t>内保证系统运行正常。</w:t>
      </w:r>
    </w:p>
    <w:p>
      <w:pPr>
        <w:keepNext w:val="0"/>
        <w:keepLines w:val="0"/>
        <w:pageBreakBefore w:val="0"/>
        <w:kinsoku/>
        <w:wordWrap/>
        <w:overflowPunct/>
        <w:topLinePunct w:val="0"/>
        <w:bidi w:val="0"/>
        <w:spacing w:line="400" w:lineRule="exact"/>
        <w:ind w:firstLine="480" w:firstLineChars="200"/>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3、验收依据</w:t>
      </w:r>
    </w:p>
    <w:p>
      <w:pPr>
        <w:keepNext w:val="0"/>
        <w:keepLines w:val="0"/>
        <w:pageBreakBefore w:val="0"/>
        <w:kinsoku/>
        <w:wordWrap/>
        <w:overflowPunct/>
        <w:topLinePunct w:val="0"/>
        <w:bidi w:val="0"/>
        <w:snapToGrid w:val="0"/>
        <w:spacing w:line="400" w:lineRule="exact"/>
        <w:ind w:firstLine="480" w:firstLineChars="200"/>
        <w:rPr>
          <w:rStyle w:val="27"/>
          <w:rFonts w:hint="eastAsia" w:ascii="宋体" w:hAnsi="宋体" w:eastAsia="宋体" w:cs="宋体"/>
          <w:sz w:val="24"/>
          <w:szCs w:val="24"/>
        </w:rPr>
      </w:pPr>
      <w:r>
        <w:rPr>
          <w:rStyle w:val="27"/>
          <w:rFonts w:hint="eastAsia" w:ascii="宋体" w:hAnsi="宋体" w:eastAsia="宋体" w:cs="宋体"/>
          <w:sz w:val="24"/>
          <w:szCs w:val="24"/>
        </w:rPr>
        <w:t>单一来源谈判文件、单一来源响应文件、合同文本、国内相应的标准、规范。</w:t>
      </w:r>
    </w:p>
    <w:p>
      <w:pPr>
        <w:keepNext w:val="0"/>
        <w:keepLines w:val="0"/>
        <w:pageBreakBefore w:val="0"/>
        <w:kinsoku/>
        <w:wordWrap/>
        <w:overflowPunct/>
        <w:topLinePunct w:val="0"/>
        <w:bidi w:val="0"/>
        <w:spacing w:line="400" w:lineRule="exact"/>
        <w:outlineLvl w:val="9"/>
        <w:rPr>
          <w:rStyle w:val="27"/>
          <w:rFonts w:hint="eastAsia" w:ascii="宋体" w:hAnsi="宋体" w:eastAsia="宋体" w:cs="宋体"/>
          <w:b/>
          <w:bCs/>
          <w:sz w:val="24"/>
          <w:szCs w:val="24"/>
        </w:rPr>
      </w:pPr>
      <w:bookmarkStart w:id="53" w:name="_Toc77878713"/>
      <w:bookmarkStart w:id="54" w:name="_Toc7566"/>
      <w:r>
        <w:rPr>
          <w:rStyle w:val="27"/>
          <w:rFonts w:hint="eastAsia" w:ascii="宋体" w:hAnsi="宋体" w:eastAsia="宋体" w:cs="宋体"/>
          <w:b/>
          <w:bCs/>
          <w:sz w:val="24"/>
          <w:szCs w:val="24"/>
        </w:rPr>
        <w:t>八、其他服务</w:t>
      </w:r>
      <w:bookmarkEnd w:id="53"/>
      <w:bookmarkEnd w:id="54"/>
    </w:p>
    <w:p>
      <w:pPr>
        <w:keepNext w:val="0"/>
        <w:keepLines w:val="0"/>
        <w:pageBreakBefore w:val="0"/>
        <w:kinsoku/>
        <w:wordWrap/>
        <w:overflowPunct/>
        <w:topLinePunct w:val="0"/>
        <w:bidi w:val="0"/>
        <w:spacing w:line="400" w:lineRule="exact"/>
        <w:ind w:firstLine="480" w:firstLineChars="200"/>
        <w:rPr>
          <w:rStyle w:val="27"/>
          <w:rFonts w:hint="eastAsia" w:ascii="宋体" w:hAnsi="宋体" w:eastAsia="宋体" w:cs="宋体"/>
          <w:sz w:val="24"/>
          <w:szCs w:val="24"/>
        </w:rPr>
      </w:pPr>
      <w:r>
        <w:rPr>
          <w:rStyle w:val="27"/>
          <w:rFonts w:hint="eastAsia" w:ascii="宋体" w:hAnsi="宋体" w:eastAsia="宋体" w:cs="宋体"/>
          <w:sz w:val="24"/>
          <w:szCs w:val="24"/>
        </w:rPr>
        <w:t>1、服务期限内，成交人负责平台软、硬件系统的运维及管理。</w:t>
      </w:r>
    </w:p>
    <w:p>
      <w:pPr>
        <w:keepNext w:val="0"/>
        <w:keepLines w:val="0"/>
        <w:pageBreakBefore w:val="0"/>
        <w:kinsoku/>
        <w:wordWrap/>
        <w:overflowPunct/>
        <w:topLinePunct w:val="0"/>
        <w:bidi w:val="0"/>
        <w:spacing w:line="400" w:lineRule="exact"/>
        <w:ind w:firstLine="480" w:firstLineChars="200"/>
        <w:rPr>
          <w:rStyle w:val="27"/>
          <w:rFonts w:hint="eastAsia" w:ascii="宋体" w:hAnsi="宋体" w:eastAsia="宋体" w:cs="宋体"/>
          <w:sz w:val="24"/>
          <w:szCs w:val="24"/>
        </w:rPr>
      </w:pPr>
      <w:r>
        <w:rPr>
          <w:rStyle w:val="27"/>
          <w:rFonts w:hint="eastAsia" w:ascii="宋体" w:hAnsi="宋体" w:eastAsia="宋体" w:cs="宋体"/>
          <w:sz w:val="24"/>
          <w:szCs w:val="24"/>
        </w:rPr>
        <w:t>2、成交人必须提供本地化技术服务支持，售后服务与技术支持至少应包含：电话支持、远程维护、现场服务三种方式；在接到采购人维护要求后应立即做出回应，并在24小时内指导维护。</w:t>
      </w:r>
    </w:p>
    <w:p>
      <w:pPr>
        <w:keepNext w:val="0"/>
        <w:keepLines w:val="0"/>
        <w:pageBreakBefore w:val="0"/>
        <w:kinsoku/>
        <w:wordWrap/>
        <w:overflowPunct/>
        <w:topLinePunct w:val="0"/>
        <w:bidi w:val="0"/>
        <w:spacing w:line="400" w:lineRule="exact"/>
        <w:outlineLvl w:val="9"/>
        <w:rPr>
          <w:rStyle w:val="27"/>
          <w:rFonts w:hint="eastAsia" w:ascii="宋体" w:hAnsi="宋体" w:eastAsia="宋体" w:cs="宋体"/>
          <w:b/>
          <w:bCs/>
          <w:sz w:val="24"/>
          <w:szCs w:val="24"/>
        </w:rPr>
      </w:pPr>
      <w:bookmarkStart w:id="55" w:name="_Toc19537"/>
      <w:bookmarkStart w:id="56" w:name="_Toc77878714"/>
      <w:r>
        <w:rPr>
          <w:rStyle w:val="27"/>
          <w:rFonts w:hint="eastAsia" w:ascii="宋体" w:hAnsi="宋体" w:eastAsia="宋体" w:cs="宋体"/>
          <w:b/>
          <w:bCs/>
          <w:sz w:val="24"/>
          <w:szCs w:val="24"/>
        </w:rPr>
        <w:t>九、知识产权</w:t>
      </w:r>
      <w:bookmarkEnd w:id="55"/>
      <w:bookmarkEnd w:id="56"/>
    </w:p>
    <w:p>
      <w:pPr>
        <w:keepNext w:val="0"/>
        <w:keepLines w:val="0"/>
        <w:pageBreakBefore w:val="0"/>
        <w:kinsoku/>
        <w:wordWrap/>
        <w:overflowPunct/>
        <w:topLinePunct w:val="0"/>
        <w:bidi w:val="0"/>
        <w:spacing w:line="400" w:lineRule="exact"/>
        <w:ind w:firstLine="480" w:firstLineChars="200"/>
        <w:rPr>
          <w:rStyle w:val="27"/>
          <w:rFonts w:hint="eastAsia" w:ascii="宋体" w:hAnsi="宋体" w:eastAsia="宋体" w:cs="宋体"/>
          <w:sz w:val="24"/>
          <w:szCs w:val="24"/>
        </w:rPr>
      </w:pPr>
      <w:r>
        <w:rPr>
          <w:rStyle w:val="27"/>
          <w:rFonts w:hint="eastAsia" w:ascii="宋体" w:hAnsi="宋体" w:eastAsia="宋体" w:cs="宋体"/>
          <w:sz w:val="24"/>
          <w:szCs w:val="24"/>
        </w:rPr>
        <w:t>供应商应保证服务不会出现因第三方提出侵犯其专利权、商标权或其它知识产权而引发法律或经济纠纷，否则由供应商承担全部责任。任何被供应商用于未经授权的商业目的行为所造成的违约或侵权责任由供应商承但。</w:t>
      </w:r>
    </w:p>
    <w:p>
      <w:pPr>
        <w:keepNext w:val="0"/>
        <w:keepLines w:val="0"/>
        <w:pageBreakBefore w:val="0"/>
        <w:kinsoku/>
        <w:wordWrap/>
        <w:overflowPunct/>
        <w:topLinePunct w:val="0"/>
        <w:bidi w:val="0"/>
        <w:spacing w:line="400" w:lineRule="exact"/>
        <w:outlineLvl w:val="9"/>
        <w:rPr>
          <w:rStyle w:val="27"/>
          <w:rFonts w:hint="eastAsia" w:ascii="宋体" w:hAnsi="宋体" w:eastAsia="宋体" w:cs="宋体"/>
          <w:b/>
          <w:bCs/>
          <w:sz w:val="24"/>
          <w:szCs w:val="24"/>
        </w:rPr>
      </w:pPr>
      <w:bookmarkStart w:id="57" w:name="_Toc77878715"/>
      <w:bookmarkStart w:id="58" w:name="_Toc20358"/>
      <w:r>
        <w:rPr>
          <w:rStyle w:val="27"/>
          <w:rFonts w:hint="eastAsia" w:ascii="宋体" w:hAnsi="宋体" w:eastAsia="宋体" w:cs="宋体"/>
          <w:b/>
          <w:bCs/>
          <w:sz w:val="24"/>
          <w:szCs w:val="24"/>
        </w:rPr>
        <w:t>十、违约责任</w:t>
      </w:r>
      <w:bookmarkEnd w:id="57"/>
      <w:bookmarkEnd w:id="58"/>
    </w:p>
    <w:p>
      <w:pPr>
        <w:keepNext w:val="0"/>
        <w:keepLines w:val="0"/>
        <w:pageBreakBefore w:val="0"/>
        <w:kinsoku/>
        <w:wordWrap/>
        <w:overflowPunct/>
        <w:topLinePunct w:val="0"/>
        <w:bidi w:val="0"/>
        <w:spacing w:line="400" w:lineRule="exact"/>
        <w:ind w:firstLine="480" w:firstLineChars="200"/>
        <w:rPr>
          <w:rStyle w:val="27"/>
          <w:rFonts w:hint="eastAsia" w:ascii="宋体" w:hAnsi="宋体" w:eastAsia="宋体" w:cs="宋体"/>
          <w:sz w:val="24"/>
          <w:szCs w:val="24"/>
        </w:rPr>
      </w:pPr>
      <w:r>
        <w:rPr>
          <w:rStyle w:val="27"/>
          <w:rFonts w:hint="eastAsia" w:ascii="宋体" w:hAnsi="宋体" w:eastAsia="宋体" w:cs="宋体"/>
          <w:sz w:val="24"/>
          <w:szCs w:val="24"/>
        </w:rPr>
        <w:t>1、按《合同法》中的相关条款执行。</w:t>
      </w:r>
    </w:p>
    <w:p>
      <w:pPr>
        <w:keepNext w:val="0"/>
        <w:keepLines w:val="0"/>
        <w:pageBreakBefore w:val="0"/>
        <w:kinsoku/>
        <w:wordWrap/>
        <w:overflowPunct/>
        <w:topLinePunct w:val="0"/>
        <w:bidi w:val="0"/>
        <w:spacing w:line="400" w:lineRule="exact"/>
        <w:ind w:firstLine="480" w:firstLineChars="200"/>
        <w:rPr>
          <w:rStyle w:val="27"/>
          <w:rFonts w:hint="eastAsia" w:ascii="宋体" w:hAnsi="宋体" w:eastAsia="宋体" w:cs="宋体"/>
          <w:b/>
          <w:bCs/>
          <w:kern w:val="0"/>
          <w:sz w:val="24"/>
          <w:szCs w:val="24"/>
        </w:rPr>
      </w:pPr>
      <w:r>
        <w:rPr>
          <w:rStyle w:val="27"/>
          <w:rFonts w:hint="eastAsia" w:ascii="宋体" w:hAnsi="宋体" w:eastAsia="宋体" w:cs="宋体"/>
          <w:sz w:val="24"/>
          <w:szCs w:val="24"/>
        </w:rPr>
        <w:t>2、成交人未按合同要求提供服务不能满足技术要求，且在规定时间内未使采购人满意的，采购人有权终止合同，同时报请临潼区财政局政府采购监管部门对其违约行为进行追究。</w:t>
      </w:r>
    </w:p>
    <w:p>
      <w:pPr>
        <w:keepNext w:val="0"/>
        <w:keepLines w:val="0"/>
        <w:pageBreakBefore w:val="0"/>
        <w:kinsoku/>
        <w:wordWrap/>
        <w:overflowPunct/>
        <w:topLinePunct w:val="0"/>
        <w:bidi w:val="0"/>
        <w:spacing w:line="400" w:lineRule="exact"/>
        <w:ind w:firstLine="482" w:firstLineChars="200"/>
        <w:rPr>
          <w:rFonts w:hint="eastAsia" w:ascii="宋体" w:hAnsi="宋体" w:eastAsia="宋体" w:cs="宋体"/>
          <w:spacing w:val="4"/>
          <w:sz w:val="24"/>
          <w:szCs w:val="24"/>
          <w:highlight w:val="yellow"/>
          <w:lang w:val="zh-CN"/>
        </w:rPr>
      </w:pPr>
      <w:r>
        <w:rPr>
          <w:rFonts w:hint="eastAsia" w:ascii="宋体" w:hAnsi="宋体" w:eastAsia="宋体" w:cs="宋体"/>
          <w:b/>
          <w:color w:val="000000"/>
          <w:sz w:val="24"/>
          <w:szCs w:val="24"/>
        </w:rPr>
        <w:br w:type="page"/>
      </w:r>
      <w:bookmarkEnd w:id="47"/>
      <w:bookmarkEnd w:id="48"/>
      <w:bookmarkStart w:id="59" w:name="_Toc659"/>
    </w:p>
    <w:p>
      <w:pPr>
        <w:spacing w:line="420" w:lineRule="exact"/>
        <w:jc w:val="center"/>
        <w:outlineLvl w:val="0"/>
        <w:rPr>
          <w:rFonts w:ascii="宋体" w:hAnsi="宋体" w:cs="宋体"/>
          <w:b/>
          <w:bCs/>
          <w:sz w:val="44"/>
          <w:szCs w:val="44"/>
        </w:rPr>
      </w:pPr>
      <w:bookmarkStart w:id="60" w:name="_Toc14724"/>
      <w:r>
        <w:rPr>
          <w:rFonts w:hint="eastAsia" w:ascii="宋体" w:hAnsi="宋体" w:cs="宋体"/>
          <w:b/>
          <w:sz w:val="36"/>
          <w:szCs w:val="36"/>
        </w:rPr>
        <w:t>第六章 单一来源响应文件格式</w:t>
      </w:r>
      <w:bookmarkEnd w:id="59"/>
      <w:bookmarkEnd w:id="60"/>
    </w:p>
    <w:p>
      <w:pPr>
        <w:spacing w:line="360" w:lineRule="auto"/>
        <w:ind w:left="360" w:hanging="360" w:hangingChars="150"/>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000000"/>
          <w:sz w:val="24"/>
          <w:szCs w:val="24"/>
        </w:rPr>
      </w:pPr>
      <w:r>
        <w:rPr>
          <w:rFonts w:hint="eastAsia" w:ascii="宋体" w:hAnsi="宋体" w:cs="宋体"/>
          <w:color w:val="000000"/>
          <w:sz w:val="24"/>
          <w:szCs w:val="24"/>
        </w:rPr>
        <w:t>单一来源响应文件编制说明</w:t>
      </w:r>
    </w:p>
    <w:p>
      <w:pPr>
        <w:keepNext w:val="0"/>
        <w:keepLines w:val="0"/>
        <w:pageBreakBefore w:val="0"/>
        <w:widowControl w:val="0"/>
        <w:kinsoku/>
        <w:wordWrap/>
        <w:overflowPunct/>
        <w:topLinePunct w:val="0"/>
        <w:autoSpaceDE/>
        <w:autoSpaceDN/>
        <w:bidi w:val="0"/>
        <w:adjustRightInd/>
        <w:snapToGrid/>
        <w:spacing w:line="400" w:lineRule="exact"/>
        <w:ind w:left="-315" w:leftChars="-150"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1.亿诚建设项目管理有限公司提供的单一来源响应文件格式，起到样式作用，编制单一来源响应文件前，请详细阅读单一来源采购文件，理解文件中的每一项要求。</w:t>
      </w:r>
    </w:p>
    <w:p>
      <w:pPr>
        <w:keepNext w:val="0"/>
        <w:keepLines w:val="0"/>
        <w:pageBreakBefore w:val="0"/>
        <w:widowControl w:val="0"/>
        <w:kinsoku/>
        <w:wordWrap/>
        <w:overflowPunct/>
        <w:topLinePunct w:val="0"/>
        <w:autoSpaceDE/>
        <w:autoSpaceDN/>
        <w:bidi w:val="0"/>
        <w:adjustRightInd/>
        <w:snapToGrid/>
        <w:spacing w:line="400" w:lineRule="exact"/>
        <w:ind w:left="-315" w:leftChars="-150"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2.单一来源响应文件的编制应按照样本格式提供的内容，做出逐一明确的答复；投标人认为有必要，还可以做其它补充说明。</w:t>
      </w:r>
    </w:p>
    <w:p>
      <w:pPr>
        <w:keepNext w:val="0"/>
        <w:keepLines w:val="0"/>
        <w:pageBreakBefore w:val="0"/>
        <w:widowControl w:val="0"/>
        <w:kinsoku/>
        <w:wordWrap/>
        <w:overflowPunct/>
        <w:topLinePunct w:val="0"/>
        <w:autoSpaceDE/>
        <w:autoSpaceDN/>
        <w:bidi w:val="0"/>
        <w:adjustRightInd/>
        <w:snapToGrid/>
        <w:spacing w:line="400" w:lineRule="exact"/>
        <w:ind w:left="-315" w:leftChars="-150"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3.全部编制完成，并加盖公章后，按规定制作成册。</w:t>
      </w:r>
      <w:r>
        <w:rPr>
          <w:rFonts w:hint="eastAsia" w:ascii="宋体" w:hAnsi="宋体" w:cs="宋体"/>
          <w:color w:val="000000"/>
          <w:sz w:val="24"/>
          <w:szCs w:val="24"/>
        </w:rPr>
        <w:br w:type="page"/>
      </w:r>
    </w:p>
    <w:p>
      <w:pPr>
        <w:spacing w:line="480" w:lineRule="auto"/>
        <w:jc w:val="right"/>
        <w:rPr>
          <w:rFonts w:ascii="宋体" w:hAnsi="宋体" w:cs="宋体"/>
          <w:b/>
          <w:bCs/>
          <w:sz w:val="30"/>
          <w:szCs w:val="30"/>
        </w:rPr>
      </w:pPr>
      <w:r>
        <w:rPr>
          <w:rFonts w:hint="eastAsia" w:ascii="宋体" w:hAnsi="宋体" w:cs="宋体"/>
          <w:color w:val="000000"/>
          <w:sz w:val="28"/>
          <w:szCs w:val="28"/>
        </w:rPr>
        <w:t xml:space="preserve"> </w:t>
      </w:r>
      <w:r>
        <w:rPr>
          <w:rFonts w:hint="eastAsia" w:ascii="宋体" w:hAnsi="宋体" w:cs="宋体"/>
          <w:b/>
          <w:bCs/>
          <w:color w:val="000000"/>
          <w:sz w:val="32"/>
          <w:szCs w:val="32"/>
        </w:rPr>
        <w:t>【</w:t>
      </w:r>
      <w:r>
        <w:rPr>
          <w:rFonts w:hint="eastAsia" w:ascii="宋体" w:hAnsi="宋体" w:cs="宋体"/>
          <w:b/>
          <w:bCs/>
          <w:color w:val="000000"/>
          <w:sz w:val="30"/>
          <w:szCs w:val="30"/>
        </w:rPr>
        <w:t>正本/副本</w:t>
      </w:r>
      <w:r>
        <w:rPr>
          <w:rFonts w:hint="eastAsia" w:ascii="宋体" w:hAnsi="宋体" w:cs="宋体"/>
          <w:b/>
          <w:bCs/>
          <w:color w:val="000000"/>
          <w:sz w:val="32"/>
          <w:szCs w:val="32"/>
        </w:rPr>
        <w:t>】</w:t>
      </w:r>
    </w:p>
    <w:p>
      <w:pPr>
        <w:spacing w:line="480" w:lineRule="auto"/>
        <w:rPr>
          <w:rFonts w:ascii="宋体" w:hAnsi="宋体" w:cs="宋体"/>
          <w:b/>
          <w:sz w:val="30"/>
          <w:szCs w:val="30"/>
          <w:highlight w:val="none"/>
        </w:rPr>
      </w:pPr>
      <w:r>
        <w:rPr>
          <w:rFonts w:hint="eastAsia" w:ascii="宋体" w:hAnsi="宋体" w:cs="宋体"/>
          <w:b/>
          <w:bCs/>
          <w:sz w:val="30"/>
          <w:szCs w:val="30"/>
          <w:highlight w:val="none"/>
        </w:rPr>
        <w:t>项目编号：</w:t>
      </w:r>
      <w:bookmarkStart w:id="61" w:name="_Toc21256"/>
      <w:bookmarkStart w:id="62" w:name="_Toc25683"/>
      <w:r>
        <w:rPr>
          <w:rFonts w:hint="eastAsia" w:ascii="宋体" w:hAnsi="宋体" w:cs="宋体"/>
          <w:b/>
          <w:bCs/>
          <w:sz w:val="30"/>
          <w:szCs w:val="30"/>
          <w:highlight w:val="none"/>
        </w:rPr>
        <w:t>YC23103002（CGQ）</w:t>
      </w:r>
      <w:r>
        <w:rPr>
          <w:rFonts w:hint="eastAsia" w:ascii="宋体" w:hAnsi="宋体" w:cs="宋体"/>
          <w:color w:val="000000"/>
          <w:sz w:val="28"/>
          <w:szCs w:val="28"/>
          <w:highlight w:val="none"/>
        </w:rPr>
        <w:t xml:space="preserve">             </w:t>
      </w:r>
      <w:r>
        <w:rPr>
          <w:rFonts w:hint="eastAsia" w:ascii="宋体" w:hAnsi="宋体" w:cs="宋体"/>
          <w:b/>
          <w:bCs/>
          <w:sz w:val="30"/>
          <w:szCs w:val="30"/>
          <w:highlight w:val="none"/>
        </w:rPr>
        <w:t>政</w:t>
      </w:r>
      <w:r>
        <w:rPr>
          <w:rFonts w:hint="eastAsia" w:ascii="宋体" w:hAnsi="宋体" w:cs="宋体"/>
          <w:b/>
          <w:sz w:val="30"/>
          <w:szCs w:val="30"/>
          <w:highlight w:val="none"/>
        </w:rPr>
        <w:t>府采购服务项目</w:t>
      </w:r>
      <w:bookmarkEnd w:id="61"/>
      <w:bookmarkEnd w:id="62"/>
    </w:p>
    <w:p>
      <w:pPr>
        <w:tabs>
          <w:tab w:val="left" w:pos="2628"/>
        </w:tabs>
        <w:spacing w:line="360" w:lineRule="auto"/>
        <w:jc w:val="left"/>
        <w:rPr>
          <w:rFonts w:ascii="宋体" w:hAnsi="宋体" w:cs="宋体"/>
          <w:b/>
          <w:bCs/>
          <w:sz w:val="30"/>
          <w:szCs w:val="30"/>
        </w:rPr>
      </w:pPr>
    </w:p>
    <w:p>
      <w:pPr>
        <w:spacing w:line="360" w:lineRule="auto"/>
        <w:ind w:left="663" w:hanging="663" w:hangingChars="150"/>
        <w:jc w:val="center"/>
        <w:rPr>
          <w:rFonts w:ascii="宋体" w:hAnsi="宋体" w:cs="宋体"/>
          <w:b/>
          <w:sz w:val="44"/>
          <w:szCs w:val="44"/>
        </w:rPr>
      </w:pPr>
    </w:p>
    <w:p>
      <w:pPr>
        <w:spacing w:line="360" w:lineRule="atLeast"/>
        <w:jc w:val="center"/>
        <w:rPr>
          <w:rFonts w:asciiTheme="minorEastAsia" w:hAnsiTheme="minorEastAsia" w:eastAsiaTheme="minorEastAsia" w:cstheme="minorEastAsia"/>
          <w:b/>
          <w:sz w:val="56"/>
          <w:szCs w:val="56"/>
        </w:rPr>
      </w:pPr>
      <w:r>
        <w:rPr>
          <w:rFonts w:hint="eastAsia" w:asciiTheme="minorEastAsia" w:hAnsiTheme="minorEastAsia" w:eastAsiaTheme="minorEastAsia" w:cstheme="minorEastAsia"/>
          <w:b/>
          <w:sz w:val="56"/>
          <w:szCs w:val="56"/>
        </w:rPr>
        <w:t>西安市临潼区2023年</w:t>
      </w:r>
    </w:p>
    <w:p>
      <w:pPr>
        <w:spacing w:line="360" w:lineRule="atLeast"/>
        <w:jc w:val="center"/>
        <w:rPr>
          <w:rFonts w:asciiTheme="minorEastAsia" w:hAnsiTheme="minorEastAsia" w:eastAsiaTheme="minorEastAsia" w:cstheme="minorEastAsia"/>
          <w:b/>
          <w:sz w:val="56"/>
          <w:szCs w:val="56"/>
        </w:rPr>
      </w:pPr>
      <w:r>
        <w:rPr>
          <w:rFonts w:hint="eastAsia" w:asciiTheme="minorEastAsia" w:hAnsiTheme="minorEastAsia" w:eastAsiaTheme="minorEastAsia" w:cstheme="minorEastAsia"/>
          <w:b/>
          <w:sz w:val="56"/>
          <w:szCs w:val="56"/>
        </w:rPr>
        <w:t>防返贫监测预警平台运维服务</w:t>
      </w:r>
    </w:p>
    <w:p>
      <w:pPr>
        <w:tabs>
          <w:tab w:val="left" w:pos="2628"/>
        </w:tabs>
        <w:spacing w:line="360" w:lineRule="auto"/>
        <w:ind w:left="843"/>
        <w:jc w:val="left"/>
        <w:rPr>
          <w:rFonts w:ascii="宋体" w:hAnsi="宋体" w:cs="宋体"/>
          <w:b/>
          <w:bCs/>
          <w:sz w:val="30"/>
          <w:szCs w:val="30"/>
        </w:rPr>
      </w:pPr>
    </w:p>
    <w:p>
      <w:pPr>
        <w:jc w:val="center"/>
        <w:rPr>
          <w:rFonts w:ascii="宋体" w:hAnsi="宋体" w:cs="宋体"/>
          <w:b/>
          <w:sz w:val="44"/>
          <w:szCs w:val="44"/>
        </w:rPr>
      </w:pPr>
    </w:p>
    <w:p>
      <w:pPr>
        <w:jc w:val="center"/>
        <w:rPr>
          <w:rFonts w:ascii="宋体" w:hAnsi="宋体" w:cs="宋体"/>
          <w:b/>
          <w:sz w:val="36"/>
          <w:szCs w:val="36"/>
        </w:rPr>
      </w:pPr>
    </w:p>
    <w:p>
      <w:pPr>
        <w:jc w:val="center"/>
        <w:outlineLvl w:val="9"/>
        <w:rPr>
          <w:rFonts w:ascii="宋体" w:hAnsi="宋体" w:cs="宋体"/>
          <w:b/>
          <w:sz w:val="72"/>
          <w:szCs w:val="72"/>
        </w:rPr>
      </w:pPr>
      <w:bookmarkStart w:id="63" w:name="_Toc5871"/>
      <w:bookmarkStart w:id="64" w:name="_Toc17837"/>
      <w:bookmarkStart w:id="65" w:name="_Toc9161"/>
      <w:bookmarkStart w:id="66" w:name="_Toc4846"/>
      <w:r>
        <w:rPr>
          <w:rFonts w:hint="eastAsia" w:ascii="宋体" w:hAnsi="宋体" w:cs="宋体"/>
          <w:b/>
          <w:sz w:val="72"/>
          <w:szCs w:val="72"/>
        </w:rPr>
        <w:t>单一来源响应文件</w:t>
      </w:r>
      <w:bookmarkEnd w:id="63"/>
      <w:bookmarkEnd w:id="64"/>
      <w:bookmarkEnd w:id="65"/>
      <w:bookmarkEnd w:id="66"/>
    </w:p>
    <w:p>
      <w:pPr>
        <w:jc w:val="center"/>
        <w:rPr>
          <w:rFonts w:ascii="宋体" w:hAnsi="宋体" w:cs="宋体"/>
          <w:b/>
          <w:sz w:val="36"/>
          <w:szCs w:val="36"/>
        </w:rPr>
      </w:pPr>
    </w:p>
    <w:p>
      <w:pPr>
        <w:jc w:val="center"/>
        <w:rPr>
          <w:rFonts w:ascii="宋体" w:hAnsi="宋体" w:cs="宋体"/>
          <w:b/>
          <w:sz w:val="36"/>
          <w:szCs w:val="36"/>
        </w:rPr>
      </w:pPr>
    </w:p>
    <w:p>
      <w:pPr>
        <w:tabs>
          <w:tab w:val="left" w:pos="2628"/>
        </w:tabs>
        <w:spacing w:line="360" w:lineRule="auto"/>
        <w:jc w:val="left"/>
        <w:rPr>
          <w:rFonts w:ascii="宋体" w:hAnsi="宋体" w:cs="宋体"/>
          <w:sz w:val="30"/>
          <w:szCs w:val="30"/>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b/>
          <w:sz w:val="30"/>
          <w:szCs w:val="30"/>
        </w:rPr>
      </w:pPr>
      <w:r>
        <w:rPr>
          <w:rFonts w:hint="eastAsia" w:ascii="宋体" w:hAnsi="宋体" w:cs="宋体"/>
          <w:b/>
          <w:sz w:val="30"/>
          <w:szCs w:val="30"/>
        </w:rPr>
        <w:t>供应商名称：</w:t>
      </w:r>
      <w:r>
        <w:rPr>
          <w:rFonts w:hint="eastAsia" w:ascii="宋体" w:hAnsi="宋体" w:cs="宋体"/>
          <w:b/>
          <w:sz w:val="30"/>
          <w:szCs w:val="30"/>
          <w:u w:val="single"/>
        </w:rPr>
        <w:t xml:space="preserve">                   </w:t>
      </w:r>
      <w:r>
        <w:rPr>
          <w:rFonts w:hint="eastAsia" w:ascii="宋体" w:hAnsi="宋体" w:cs="宋体"/>
          <w:b/>
          <w:sz w:val="30"/>
          <w:szCs w:val="30"/>
        </w:rPr>
        <w:t>（</w:t>
      </w:r>
      <w:r>
        <w:rPr>
          <w:rFonts w:hint="eastAsia" w:ascii="宋体" w:hAnsi="宋体" w:cs="宋体"/>
          <w:b/>
          <w:sz w:val="30"/>
          <w:szCs w:val="30"/>
          <w:lang w:val="en-US" w:eastAsia="zh-CN"/>
        </w:rPr>
        <w:t>盖</w:t>
      </w:r>
      <w:r>
        <w:rPr>
          <w:rFonts w:hint="eastAsia" w:ascii="宋体" w:hAnsi="宋体" w:cs="宋体"/>
          <w:b/>
          <w:sz w:val="30"/>
          <w:szCs w:val="30"/>
        </w:rPr>
        <w:t>章）</w:t>
      </w:r>
    </w:p>
    <w:p>
      <w:pPr>
        <w:spacing w:before="312" w:beforeLines="100"/>
        <w:ind w:firstLine="1205" w:firstLineChars="400"/>
        <w:rPr>
          <w:rFonts w:ascii="宋体" w:hAnsi="宋体" w:cs="宋体"/>
          <w:b/>
          <w:sz w:val="30"/>
          <w:szCs w:val="30"/>
        </w:rPr>
      </w:pPr>
      <w:r>
        <w:rPr>
          <w:rFonts w:hint="eastAsia" w:ascii="宋体" w:hAnsi="宋体" w:cs="宋体"/>
          <w:b/>
          <w:sz w:val="30"/>
          <w:szCs w:val="30"/>
        </w:rPr>
        <w:t>日      期：</w:t>
      </w:r>
      <w:r>
        <w:rPr>
          <w:rFonts w:hint="eastAsia" w:ascii="宋体" w:hAnsi="宋体" w:cs="宋体"/>
          <w:b/>
          <w:sz w:val="30"/>
          <w:szCs w:val="30"/>
          <w:u w:val="single"/>
        </w:rPr>
        <w:t xml:space="preserve">       </w:t>
      </w:r>
      <w:r>
        <w:rPr>
          <w:rFonts w:hint="eastAsia" w:ascii="宋体" w:hAnsi="宋体" w:cs="宋体"/>
          <w:b/>
          <w:sz w:val="30"/>
          <w:szCs w:val="30"/>
        </w:rPr>
        <w:t>年</w:t>
      </w:r>
      <w:r>
        <w:rPr>
          <w:rFonts w:hint="eastAsia" w:ascii="宋体" w:hAnsi="宋体" w:cs="宋体"/>
          <w:b/>
          <w:sz w:val="30"/>
          <w:szCs w:val="30"/>
          <w:u w:val="single"/>
        </w:rPr>
        <w:t xml:space="preserve">      </w:t>
      </w:r>
      <w:r>
        <w:rPr>
          <w:rFonts w:hint="eastAsia" w:ascii="宋体" w:hAnsi="宋体" w:cs="宋体"/>
          <w:b/>
          <w:sz w:val="30"/>
          <w:szCs w:val="30"/>
        </w:rPr>
        <w:t>月</w:t>
      </w:r>
      <w:r>
        <w:rPr>
          <w:rFonts w:hint="eastAsia" w:ascii="宋体" w:hAnsi="宋体" w:cs="宋体"/>
          <w:b/>
          <w:sz w:val="30"/>
          <w:szCs w:val="30"/>
          <w:u w:val="single"/>
        </w:rPr>
        <w:t xml:space="preserve">      </w:t>
      </w:r>
      <w:r>
        <w:rPr>
          <w:rFonts w:hint="eastAsia" w:ascii="宋体" w:hAnsi="宋体" w:cs="宋体"/>
          <w:b/>
          <w:sz w:val="30"/>
          <w:szCs w:val="30"/>
        </w:rPr>
        <w:t>日</w:t>
      </w:r>
    </w:p>
    <w:p>
      <w:pPr>
        <w:spacing w:line="360" w:lineRule="auto"/>
        <w:ind w:left="1524"/>
        <w:rPr>
          <w:rFonts w:ascii="宋体" w:hAnsi="宋体" w:cs="宋体"/>
          <w:sz w:val="24"/>
          <w:szCs w:val="24"/>
        </w:rPr>
      </w:pPr>
    </w:p>
    <w:p>
      <w:pPr>
        <w:spacing w:line="500" w:lineRule="exact"/>
        <w:jc w:val="center"/>
        <w:rPr>
          <w:rFonts w:ascii="宋体" w:hAnsi="宋体" w:cs="宋体"/>
          <w:b/>
          <w:bCs/>
          <w:spacing w:val="4"/>
          <w:sz w:val="30"/>
          <w:szCs w:val="30"/>
        </w:rPr>
      </w:pPr>
    </w:p>
    <w:p>
      <w:pPr>
        <w:pStyle w:val="7"/>
        <w:rPr>
          <w:rFonts w:ascii="宋体" w:hAnsi="宋体" w:cs="宋体"/>
          <w:b/>
          <w:bCs/>
          <w:color w:val="auto"/>
          <w:spacing w:val="4"/>
          <w:sz w:val="36"/>
          <w:szCs w:val="36"/>
        </w:rPr>
      </w:pPr>
    </w:p>
    <w:p/>
    <w:p>
      <w:pPr>
        <w:spacing w:line="500" w:lineRule="exact"/>
        <w:jc w:val="center"/>
        <w:outlineLvl w:val="1"/>
        <w:rPr>
          <w:rFonts w:ascii="宋体" w:hAnsi="宋体" w:cs="宋体"/>
          <w:b/>
          <w:bCs/>
          <w:spacing w:val="4"/>
          <w:sz w:val="32"/>
          <w:szCs w:val="32"/>
        </w:rPr>
      </w:pPr>
      <w:bookmarkStart w:id="67" w:name="_Toc22886"/>
      <w:bookmarkStart w:id="68" w:name="_Toc15798"/>
      <w:bookmarkStart w:id="69" w:name="_Toc29662"/>
      <w:bookmarkStart w:id="70" w:name="_Toc8715"/>
    </w:p>
    <w:p>
      <w:pPr>
        <w:spacing w:line="500" w:lineRule="exact"/>
        <w:jc w:val="center"/>
        <w:outlineLvl w:val="9"/>
        <w:rPr>
          <w:rFonts w:ascii="宋体" w:hAnsi="宋体" w:cs="宋体"/>
          <w:b/>
          <w:bCs/>
          <w:spacing w:val="4"/>
          <w:sz w:val="44"/>
          <w:szCs w:val="44"/>
        </w:rPr>
      </w:pPr>
      <w:bookmarkStart w:id="71" w:name="_Toc15665"/>
      <w:r>
        <w:rPr>
          <w:rFonts w:hint="eastAsia" w:ascii="宋体" w:hAnsi="宋体" w:cs="宋体"/>
          <w:b/>
          <w:bCs/>
          <w:spacing w:val="4"/>
          <w:sz w:val="44"/>
          <w:szCs w:val="44"/>
        </w:rPr>
        <w:t>目 录</w:t>
      </w:r>
      <w:bookmarkEnd w:id="67"/>
      <w:bookmarkEnd w:id="68"/>
      <w:bookmarkEnd w:id="69"/>
      <w:bookmarkEnd w:id="70"/>
      <w:bookmarkEnd w:id="71"/>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宋体" w:hAnsi="宋体" w:cs="宋体"/>
          <w:color w:val="000000"/>
          <w:sz w:val="24"/>
          <w:szCs w:val="24"/>
        </w:rPr>
      </w:pPr>
      <w:bookmarkStart w:id="72" w:name="_Toc22764_WPSOffice_Level1"/>
      <w:bookmarkStart w:id="73" w:name="_Toc8965"/>
      <w:bookmarkStart w:id="74" w:name="_Toc15321"/>
      <w:bookmarkStart w:id="75" w:name="_Toc17395_WPSOffice_Level1"/>
      <w:bookmarkStart w:id="76" w:name="_Toc31482"/>
      <w:bookmarkStart w:id="77" w:name="_Toc5624"/>
      <w:bookmarkStart w:id="78" w:name="_Toc21144"/>
      <w:bookmarkStart w:id="79" w:name="_Toc25737"/>
      <w:r>
        <w:rPr>
          <w:rFonts w:hint="eastAsia" w:ascii="宋体" w:hAnsi="宋体" w:cs="宋体"/>
          <w:color w:val="000000"/>
          <w:sz w:val="24"/>
          <w:szCs w:val="24"/>
        </w:rPr>
        <w:t>1.谈判</w:t>
      </w:r>
      <w:bookmarkEnd w:id="72"/>
      <w:bookmarkEnd w:id="73"/>
      <w:bookmarkEnd w:id="74"/>
      <w:bookmarkEnd w:id="75"/>
      <w:r>
        <w:rPr>
          <w:rFonts w:hint="eastAsia" w:ascii="宋体" w:hAnsi="宋体" w:cs="宋体"/>
          <w:color w:val="000000"/>
          <w:sz w:val="24"/>
          <w:szCs w:val="24"/>
        </w:rPr>
        <w:t>响应书</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宋体" w:hAnsi="宋体" w:cs="宋体"/>
          <w:color w:val="000000"/>
          <w:sz w:val="24"/>
          <w:szCs w:val="24"/>
        </w:rPr>
      </w:pPr>
      <w:bookmarkStart w:id="80" w:name="_Toc6183"/>
      <w:bookmarkStart w:id="81" w:name="_Toc6961_WPSOffice_Level1"/>
      <w:bookmarkStart w:id="82" w:name="_Toc3979_WPSOffice_Level1"/>
      <w:r>
        <w:rPr>
          <w:rFonts w:hint="eastAsia" w:ascii="宋体" w:hAnsi="宋体" w:cs="宋体"/>
          <w:color w:val="000000"/>
          <w:sz w:val="24"/>
          <w:szCs w:val="24"/>
        </w:rPr>
        <w:t>2.</w:t>
      </w:r>
      <w:bookmarkEnd w:id="80"/>
      <w:bookmarkEnd w:id="81"/>
      <w:bookmarkEnd w:id="82"/>
      <w:r>
        <w:rPr>
          <w:rFonts w:hint="eastAsia" w:ascii="宋体" w:hAnsi="宋体" w:cs="宋体"/>
          <w:color w:val="000000"/>
          <w:sz w:val="24"/>
          <w:szCs w:val="24"/>
        </w:rPr>
        <w:t>谈判响应报价表</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宋体" w:hAnsi="宋体" w:cs="宋体"/>
          <w:color w:val="000000"/>
          <w:sz w:val="24"/>
          <w:szCs w:val="24"/>
        </w:rPr>
      </w:pPr>
      <w:r>
        <w:rPr>
          <w:rFonts w:hint="eastAsia" w:ascii="宋体" w:hAnsi="宋体" w:cs="宋体"/>
          <w:color w:val="000000"/>
          <w:sz w:val="24"/>
          <w:szCs w:val="24"/>
        </w:rPr>
        <w:t>3.商务偏差表</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宋体" w:hAnsi="宋体" w:cs="宋体"/>
          <w:color w:val="000000"/>
          <w:sz w:val="24"/>
          <w:szCs w:val="24"/>
        </w:rPr>
      </w:pPr>
      <w:bookmarkStart w:id="83" w:name="_Toc23410_WPSOffice_Level1"/>
      <w:bookmarkStart w:id="84" w:name="_Toc17804"/>
      <w:bookmarkStart w:id="85" w:name="_Toc24256_WPSOffice_Level1"/>
      <w:r>
        <w:rPr>
          <w:rFonts w:hint="eastAsia" w:ascii="宋体" w:hAnsi="宋体" w:cs="宋体"/>
          <w:color w:val="000000"/>
          <w:sz w:val="24"/>
          <w:szCs w:val="24"/>
        </w:rPr>
        <w:t>4.服务要求偏差表</w:t>
      </w:r>
      <w:bookmarkEnd w:id="83"/>
      <w:bookmarkEnd w:id="84"/>
      <w:bookmarkEnd w:id="85"/>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宋体" w:hAnsi="宋体" w:cs="宋体"/>
          <w:color w:val="000000"/>
          <w:sz w:val="24"/>
          <w:szCs w:val="24"/>
        </w:rPr>
      </w:pPr>
      <w:bookmarkStart w:id="86" w:name="_Toc526_WPSOffice_Level1"/>
      <w:bookmarkStart w:id="87" w:name="_Toc11682_WPSOffice_Level1"/>
      <w:bookmarkStart w:id="88" w:name="_Toc22623"/>
      <w:r>
        <w:rPr>
          <w:rFonts w:hint="eastAsia" w:ascii="宋体" w:hAnsi="宋体" w:cs="宋体"/>
          <w:color w:val="000000"/>
          <w:sz w:val="24"/>
          <w:szCs w:val="24"/>
        </w:rPr>
        <w:t>5.法定代表人证明书或法人代表人授权书</w:t>
      </w:r>
      <w:bookmarkEnd w:id="86"/>
      <w:bookmarkEnd w:id="87"/>
      <w:bookmarkEnd w:id="88"/>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宋体" w:hAnsi="宋体" w:cs="宋体"/>
          <w:color w:val="000000"/>
          <w:sz w:val="24"/>
          <w:szCs w:val="24"/>
        </w:rPr>
      </w:pPr>
      <w:bookmarkStart w:id="89" w:name="_Toc26898"/>
      <w:bookmarkStart w:id="90" w:name="_Toc10680_WPSOffice_Level1"/>
      <w:bookmarkStart w:id="91" w:name="_Toc17156_WPSOffice_Level1"/>
      <w:r>
        <w:rPr>
          <w:rFonts w:hint="eastAsia" w:ascii="宋体" w:hAnsi="宋体" w:cs="宋体"/>
          <w:color w:val="000000"/>
          <w:sz w:val="24"/>
          <w:szCs w:val="24"/>
        </w:rPr>
        <w:t>6.资格证明文件</w:t>
      </w:r>
      <w:bookmarkEnd w:id="89"/>
      <w:bookmarkEnd w:id="90"/>
      <w:bookmarkEnd w:id="91"/>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宋体" w:hAnsi="宋体" w:cs="宋体"/>
          <w:color w:val="000000"/>
          <w:sz w:val="24"/>
          <w:szCs w:val="24"/>
        </w:rPr>
      </w:pPr>
      <w:bookmarkStart w:id="92" w:name="_Toc22013_WPSOffice_Level1"/>
      <w:bookmarkStart w:id="93" w:name="_Toc19682"/>
      <w:bookmarkStart w:id="94" w:name="_Toc14635_WPSOffice_Level1"/>
      <w:r>
        <w:rPr>
          <w:rFonts w:hint="eastAsia" w:ascii="宋体" w:hAnsi="宋体" w:cs="宋体"/>
          <w:color w:val="000000"/>
          <w:sz w:val="24"/>
          <w:szCs w:val="24"/>
        </w:rPr>
        <w:t>7.服务方案及服务承诺</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宋体" w:hAnsi="宋体" w:cs="宋体"/>
          <w:color w:val="000000"/>
          <w:sz w:val="24"/>
          <w:szCs w:val="24"/>
        </w:rPr>
      </w:pPr>
      <w:r>
        <w:rPr>
          <w:rFonts w:hint="eastAsia" w:ascii="宋体" w:hAnsi="宋体" w:cs="宋体"/>
          <w:color w:val="000000"/>
          <w:sz w:val="24"/>
          <w:szCs w:val="24"/>
        </w:rPr>
        <w:t>8.拟投入本项目人员汇总表及简历</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宋体" w:hAnsi="宋体" w:cs="宋体"/>
          <w:color w:val="000000"/>
          <w:sz w:val="24"/>
          <w:szCs w:val="24"/>
        </w:rPr>
      </w:pPr>
      <w:r>
        <w:rPr>
          <w:rFonts w:hint="eastAsia" w:ascii="宋体" w:hAnsi="宋体" w:cs="宋体"/>
          <w:color w:val="000000"/>
          <w:sz w:val="24"/>
          <w:szCs w:val="24"/>
        </w:rPr>
        <w:t>9.</w:t>
      </w:r>
      <w:bookmarkEnd w:id="92"/>
      <w:bookmarkEnd w:id="93"/>
      <w:bookmarkEnd w:id="94"/>
      <w:r>
        <w:rPr>
          <w:rFonts w:hint="eastAsia" w:ascii="宋体" w:hAnsi="宋体" w:cs="宋体"/>
          <w:color w:val="000000"/>
          <w:sz w:val="24"/>
          <w:szCs w:val="24"/>
        </w:rPr>
        <w:t>投标人认为有必要补充说明的事宜</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宋体" w:hAnsi="宋体" w:cs="宋体"/>
          <w:color w:val="000000"/>
          <w:sz w:val="24"/>
          <w:szCs w:val="24"/>
        </w:rPr>
      </w:pPr>
      <w:bookmarkStart w:id="95" w:name="_Toc19306"/>
      <w:bookmarkStart w:id="96" w:name="_Toc32489_WPSOffice_Level1"/>
      <w:bookmarkStart w:id="97" w:name="_Toc1518_WPSOffice_Level1"/>
      <w:r>
        <w:rPr>
          <w:rFonts w:hint="eastAsia" w:ascii="宋体" w:hAnsi="宋体" w:cs="宋体"/>
          <w:color w:val="000000"/>
          <w:sz w:val="24"/>
          <w:szCs w:val="24"/>
        </w:rPr>
        <w:t>10.</w:t>
      </w:r>
      <w:bookmarkEnd w:id="95"/>
      <w:bookmarkEnd w:id="96"/>
      <w:bookmarkEnd w:id="97"/>
      <w:r>
        <w:rPr>
          <w:rFonts w:hint="eastAsia" w:ascii="宋体" w:hAnsi="宋体" w:cs="宋体"/>
          <w:color w:val="000000"/>
          <w:sz w:val="24"/>
          <w:szCs w:val="24"/>
        </w:rPr>
        <w:t>《拒绝政府采购领域商业贿赂承诺书》</w:t>
      </w:r>
    </w:p>
    <w:p>
      <w:pPr>
        <w:pStyle w:val="2"/>
        <w:rPr>
          <w:rFonts w:hint="eastAsia" w:ascii="宋体" w:hAnsi="宋体" w:cs="宋体"/>
          <w:color w:val="000000"/>
          <w:sz w:val="24"/>
          <w:szCs w:val="24"/>
        </w:rPr>
      </w:pPr>
    </w:p>
    <w:p>
      <w:pPr>
        <w:rPr>
          <w:rFonts w:hint="eastAsia" w:ascii="宋体" w:hAnsi="宋体" w:cs="宋体"/>
          <w:color w:val="000000"/>
          <w:sz w:val="24"/>
          <w:szCs w:val="24"/>
        </w:rPr>
      </w:pPr>
    </w:p>
    <w:p>
      <w:pPr>
        <w:pStyle w:val="2"/>
        <w:rPr>
          <w:rFonts w:hint="eastAsia" w:ascii="宋体" w:hAnsi="宋体" w:cs="宋体"/>
          <w:color w:val="000000"/>
          <w:sz w:val="24"/>
          <w:szCs w:val="24"/>
        </w:rPr>
      </w:pPr>
    </w:p>
    <w:p>
      <w:pPr>
        <w:rPr>
          <w:rFonts w:hint="eastAsia" w:ascii="宋体" w:hAnsi="宋体" w:cs="宋体"/>
          <w:color w:val="000000"/>
          <w:sz w:val="24"/>
          <w:szCs w:val="24"/>
        </w:rPr>
      </w:pPr>
    </w:p>
    <w:p>
      <w:pPr>
        <w:pStyle w:val="2"/>
        <w:rPr>
          <w:rFonts w:hint="eastAsia" w:ascii="宋体" w:hAnsi="宋体" w:cs="宋体"/>
          <w:color w:val="000000"/>
          <w:sz w:val="24"/>
          <w:szCs w:val="24"/>
        </w:rPr>
      </w:pPr>
    </w:p>
    <w:p>
      <w:pPr>
        <w:rPr>
          <w:rFonts w:hint="eastAsia" w:ascii="宋体" w:hAnsi="宋体" w:cs="宋体"/>
          <w:color w:val="000000"/>
          <w:sz w:val="24"/>
          <w:szCs w:val="24"/>
        </w:rPr>
      </w:pPr>
    </w:p>
    <w:p>
      <w:pPr>
        <w:pStyle w:val="2"/>
        <w:rPr>
          <w:rFonts w:hint="eastAsia" w:ascii="宋体" w:hAnsi="宋体" w:cs="宋体"/>
          <w:color w:val="000000"/>
          <w:sz w:val="24"/>
          <w:szCs w:val="24"/>
        </w:rPr>
      </w:pPr>
    </w:p>
    <w:p>
      <w:pPr>
        <w:rPr>
          <w:rFonts w:hint="eastAsia" w:ascii="宋体" w:hAnsi="宋体" w:cs="宋体"/>
          <w:color w:val="000000"/>
          <w:sz w:val="24"/>
          <w:szCs w:val="24"/>
        </w:rPr>
      </w:pPr>
    </w:p>
    <w:p>
      <w:pPr>
        <w:pStyle w:val="2"/>
        <w:rPr>
          <w:rFonts w:hint="eastAsia" w:ascii="宋体" w:hAnsi="宋体" w:cs="宋体"/>
          <w:color w:val="000000"/>
          <w:sz w:val="24"/>
          <w:szCs w:val="24"/>
        </w:rPr>
      </w:pPr>
    </w:p>
    <w:p>
      <w:pPr>
        <w:rPr>
          <w:rFonts w:hint="eastAsia" w:ascii="宋体" w:hAnsi="宋体" w:cs="宋体"/>
          <w:color w:val="000000"/>
          <w:sz w:val="24"/>
          <w:szCs w:val="24"/>
        </w:rPr>
      </w:pPr>
    </w:p>
    <w:p>
      <w:pPr>
        <w:pStyle w:val="2"/>
        <w:rPr>
          <w:rFonts w:hint="eastAsia" w:ascii="宋体" w:hAnsi="宋体" w:cs="宋体"/>
          <w:color w:val="000000"/>
          <w:sz w:val="24"/>
          <w:szCs w:val="24"/>
        </w:rPr>
      </w:pPr>
    </w:p>
    <w:p>
      <w:pPr>
        <w:rPr>
          <w:rFonts w:hint="eastAsia" w:ascii="宋体" w:hAnsi="宋体" w:cs="宋体"/>
          <w:color w:val="000000"/>
          <w:sz w:val="24"/>
          <w:szCs w:val="24"/>
        </w:rPr>
      </w:pPr>
    </w:p>
    <w:p>
      <w:pPr>
        <w:pStyle w:val="2"/>
        <w:rPr>
          <w:rFonts w:hint="eastAsia" w:ascii="宋体" w:hAnsi="宋体" w:cs="宋体"/>
          <w:color w:val="000000"/>
          <w:sz w:val="24"/>
          <w:szCs w:val="24"/>
        </w:rPr>
      </w:pPr>
    </w:p>
    <w:p>
      <w:pPr>
        <w:rPr>
          <w:rFonts w:hint="eastAsia" w:ascii="宋体" w:hAnsi="宋体" w:cs="宋体"/>
          <w:color w:val="000000"/>
          <w:sz w:val="24"/>
          <w:szCs w:val="24"/>
        </w:rPr>
      </w:pPr>
    </w:p>
    <w:p>
      <w:pPr>
        <w:pStyle w:val="2"/>
        <w:rPr>
          <w:rFonts w:hint="eastAsia" w:ascii="宋体" w:hAnsi="宋体" w:cs="宋体"/>
          <w:color w:val="000000"/>
          <w:sz w:val="24"/>
          <w:szCs w:val="24"/>
        </w:rPr>
      </w:pPr>
    </w:p>
    <w:p>
      <w:pPr>
        <w:rPr>
          <w:rFonts w:hint="eastAsia" w:ascii="宋体" w:hAnsi="宋体" w:cs="宋体"/>
          <w:color w:val="000000"/>
          <w:sz w:val="24"/>
          <w:szCs w:val="24"/>
        </w:rPr>
      </w:pPr>
    </w:p>
    <w:p>
      <w:pPr>
        <w:pStyle w:val="2"/>
        <w:rPr>
          <w:rFonts w:hint="eastAsia" w:ascii="宋体" w:hAnsi="宋体" w:cs="宋体"/>
          <w:color w:val="000000"/>
          <w:sz w:val="24"/>
          <w:szCs w:val="24"/>
        </w:rPr>
      </w:pPr>
    </w:p>
    <w:p>
      <w:pPr>
        <w:rPr>
          <w:rFonts w:hint="eastAsia" w:ascii="宋体" w:hAnsi="宋体" w:cs="宋体"/>
          <w:color w:val="000000"/>
          <w:sz w:val="24"/>
          <w:szCs w:val="24"/>
        </w:rPr>
      </w:pPr>
    </w:p>
    <w:p>
      <w:pPr>
        <w:pStyle w:val="2"/>
        <w:rPr>
          <w:rFonts w:hint="eastAsia" w:ascii="宋体" w:hAnsi="宋体" w:cs="宋体"/>
          <w:color w:val="000000"/>
          <w:sz w:val="24"/>
          <w:szCs w:val="24"/>
        </w:rPr>
      </w:pPr>
    </w:p>
    <w:p>
      <w:pPr>
        <w:rPr>
          <w:rFonts w:hint="eastAsia" w:ascii="宋体" w:hAnsi="宋体" w:cs="宋体"/>
          <w:color w:val="000000"/>
          <w:sz w:val="24"/>
          <w:szCs w:val="24"/>
        </w:rPr>
      </w:pPr>
    </w:p>
    <w:p>
      <w:pPr>
        <w:pStyle w:val="2"/>
        <w:rPr>
          <w:rFonts w:hint="eastAsia" w:ascii="宋体" w:hAnsi="宋体" w:cs="宋体"/>
          <w:color w:val="000000"/>
          <w:sz w:val="24"/>
          <w:szCs w:val="24"/>
        </w:rPr>
      </w:pPr>
    </w:p>
    <w:p>
      <w:pPr>
        <w:rPr>
          <w:rFonts w:hint="eastAsia" w:ascii="宋体" w:hAnsi="宋体" w:cs="宋体"/>
          <w:color w:val="000000"/>
          <w:sz w:val="24"/>
          <w:szCs w:val="24"/>
        </w:rPr>
      </w:pPr>
    </w:p>
    <w:p>
      <w:pPr>
        <w:pStyle w:val="2"/>
        <w:rPr>
          <w:rFonts w:hint="eastAsia" w:ascii="宋体" w:hAnsi="宋体" w:cs="宋体"/>
          <w:color w:val="000000"/>
          <w:sz w:val="24"/>
          <w:szCs w:val="24"/>
        </w:rPr>
      </w:pPr>
    </w:p>
    <w:p>
      <w:pPr>
        <w:rPr>
          <w:rFonts w:hint="eastAsia" w:ascii="宋体" w:hAnsi="宋体" w:cs="宋体"/>
          <w:color w:val="000000"/>
          <w:sz w:val="24"/>
          <w:szCs w:val="24"/>
        </w:rPr>
      </w:pPr>
    </w:p>
    <w:p>
      <w:pPr>
        <w:pStyle w:val="2"/>
        <w:rPr>
          <w:rFonts w:hint="eastAsia" w:ascii="宋体" w:hAnsi="宋体" w:cs="宋体"/>
          <w:color w:val="000000"/>
          <w:sz w:val="24"/>
          <w:szCs w:val="24"/>
        </w:rPr>
      </w:pPr>
    </w:p>
    <w:p/>
    <w:bookmarkEnd w:id="76"/>
    <w:bookmarkEnd w:id="77"/>
    <w:bookmarkEnd w:id="78"/>
    <w:bookmarkEnd w:id="79"/>
    <w:p>
      <w:pPr>
        <w:spacing w:line="440" w:lineRule="exact"/>
        <w:rPr>
          <w:rFonts w:ascii="宋体" w:hAnsi="宋体" w:cs="宋体"/>
          <w:spacing w:val="4"/>
          <w:sz w:val="24"/>
        </w:rPr>
      </w:pPr>
    </w:p>
    <w:p>
      <w:pPr>
        <w:spacing w:line="440" w:lineRule="exact"/>
        <w:jc w:val="center"/>
        <w:outlineLvl w:val="9"/>
        <w:rPr>
          <w:rFonts w:ascii="宋体" w:hAnsi="宋体" w:cs="宋体"/>
          <w:spacing w:val="4"/>
          <w:sz w:val="36"/>
          <w:szCs w:val="36"/>
        </w:rPr>
      </w:pPr>
      <w:bookmarkStart w:id="98" w:name="_Toc26813"/>
      <w:bookmarkStart w:id="99" w:name="_Toc12476"/>
      <w:bookmarkStart w:id="100" w:name="_Toc14011"/>
      <w:bookmarkStart w:id="101" w:name="_Toc24599"/>
      <w:bookmarkStart w:id="102" w:name="_Toc13984"/>
      <w:bookmarkStart w:id="103" w:name="_Toc21350"/>
      <w:bookmarkStart w:id="104" w:name="_Toc6105"/>
      <w:bookmarkStart w:id="105" w:name="_Toc16481"/>
      <w:bookmarkStart w:id="106" w:name="_Toc19815"/>
      <w:bookmarkStart w:id="107" w:name="_Toc27720"/>
      <w:r>
        <w:rPr>
          <w:rFonts w:hint="eastAsia" w:ascii="宋体" w:hAnsi="宋体" w:cs="宋体"/>
          <w:b/>
          <w:spacing w:val="4"/>
          <w:sz w:val="32"/>
          <w:szCs w:val="32"/>
        </w:rPr>
        <w:t>一、谈判响应书</w:t>
      </w:r>
      <w:bookmarkEnd w:id="98"/>
      <w:bookmarkEnd w:id="99"/>
      <w:bookmarkEnd w:id="100"/>
      <w:bookmarkEnd w:id="101"/>
      <w:bookmarkEnd w:id="102"/>
    </w:p>
    <w:p>
      <w:pPr>
        <w:spacing w:line="440" w:lineRule="exact"/>
        <w:jc w:val="left"/>
        <w:rPr>
          <w:rFonts w:ascii="宋体" w:hAnsi="宋体" w:cs="宋体"/>
          <w:spacing w:val="4"/>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pacing w:val="4"/>
          <w:sz w:val="24"/>
          <w:szCs w:val="24"/>
        </w:rPr>
      </w:pPr>
      <w:r>
        <w:rPr>
          <w:rFonts w:hint="eastAsia" w:ascii="宋体" w:hAnsi="宋体" w:cs="宋体"/>
          <w:spacing w:val="4"/>
          <w:sz w:val="24"/>
          <w:szCs w:val="24"/>
        </w:rPr>
        <w:t>致：亿诚建设项目管理有限公司</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根据贵方为</w:t>
      </w:r>
      <w:r>
        <w:rPr>
          <w:rFonts w:hint="eastAsia" w:ascii="宋体" w:hAnsi="宋体" w:cs="宋体"/>
          <w:spacing w:val="4"/>
          <w:sz w:val="24"/>
          <w:szCs w:val="24"/>
          <w:u w:val="single"/>
        </w:rPr>
        <w:t>（项目名称）</w:t>
      </w:r>
      <w:r>
        <w:rPr>
          <w:rFonts w:hint="eastAsia" w:ascii="宋体" w:hAnsi="宋体" w:cs="宋体"/>
          <w:spacing w:val="4"/>
          <w:sz w:val="24"/>
          <w:szCs w:val="24"/>
        </w:rPr>
        <w:t>项目单一来源采购的谈判响应邀请</w:t>
      </w:r>
      <w:r>
        <w:rPr>
          <w:rFonts w:hint="eastAsia" w:ascii="宋体" w:hAnsi="宋体" w:cs="宋体"/>
          <w:spacing w:val="4"/>
          <w:sz w:val="24"/>
          <w:szCs w:val="24"/>
          <w:u w:val="single"/>
        </w:rPr>
        <w:t>（项目编号）</w:t>
      </w:r>
      <w:r>
        <w:rPr>
          <w:rFonts w:hint="eastAsia" w:ascii="宋体" w:hAnsi="宋体" w:cs="宋体"/>
          <w:spacing w:val="4"/>
          <w:sz w:val="24"/>
          <w:szCs w:val="24"/>
        </w:rPr>
        <w:t>，签字代表</w:t>
      </w:r>
      <w:r>
        <w:rPr>
          <w:rFonts w:hint="eastAsia" w:ascii="宋体" w:hAnsi="宋体" w:cs="宋体"/>
          <w:spacing w:val="4"/>
          <w:sz w:val="24"/>
          <w:szCs w:val="24"/>
          <w:u w:val="single"/>
        </w:rPr>
        <w:t>（姓名、职务）</w:t>
      </w:r>
      <w:r>
        <w:rPr>
          <w:rFonts w:hint="eastAsia" w:ascii="宋体" w:hAnsi="宋体" w:cs="宋体"/>
          <w:spacing w:val="4"/>
          <w:sz w:val="24"/>
          <w:szCs w:val="24"/>
        </w:rPr>
        <w:t>经正式授权并代表供应商</w:t>
      </w:r>
      <w:r>
        <w:rPr>
          <w:rFonts w:hint="eastAsia" w:ascii="宋体" w:hAnsi="宋体" w:cs="宋体"/>
          <w:spacing w:val="4"/>
          <w:sz w:val="24"/>
          <w:szCs w:val="24"/>
          <w:u w:val="single"/>
        </w:rPr>
        <w:t>（供应商名称、地址）</w:t>
      </w:r>
      <w:r>
        <w:rPr>
          <w:rFonts w:hint="eastAsia" w:ascii="宋体" w:hAnsi="宋体" w:cs="宋体"/>
          <w:spacing w:val="4"/>
          <w:sz w:val="24"/>
          <w:szCs w:val="24"/>
        </w:rPr>
        <w:t xml:space="preserve"> 提交下述文件正本一份、副本二份及电子版一份。</w:t>
      </w:r>
    </w:p>
    <w:p>
      <w:pPr>
        <w:keepNext w:val="0"/>
        <w:keepLines w:val="0"/>
        <w:pageBreakBefore w:val="0"/>
        <w:widowControl w:val="0"/>
        <w:kinsoku/>
        <w:wordWrap/>
        <w:overflowPunct/>
        <w:topLinePunct w:val="0"/>
        <w:autoSpaceDE/>
        <w:autoSpaceDN/>
        <w:bidi w:val="0"/>
        <w:adjustRightInd/>
        <w:snapToGrid/>
        <w:spacing w:line="400" w:lineRule="exact"/>
        <w:ind w:left="549" w:leftChars="251" w:hanging="22" w:hangingChars="9"/>
        <w:textAlignment w:val="auto"/>
        <w:rPr>
          <w:rFonts w:ascii="宋体" w:hAnsi="宋体" w:cs="宋体"/>
          <w:spacing w:val="4"/>
          <w:sz w:val="24"/>
          <w:szCs w:val="24"/>
        </w:rPr>
      </w:pPr>
      <w:r>
        <w:rPr>
          <w:rFonts w:hint="eastAsia" w:ascii="宋体" w:hAnsi="宋体" w:cs="宋体"/>
          <w:spacing w:val="4"/>
          <w:sz w:val="24"/>
          <w:szCs w:val="24"/>
        </w:rPr>
        <w:t>我方承诺如下：</w:t>
      </w:r>
    </w:p>
    <w:p>
      <w:pPr>
        <w:keepNext w:val="0"/>
        <w:keepLines w:val="0"/>
        <w:pageBreakBefore w:val="0"/>
        <w:widowControl w:val="0"/>
        <w:numPr>
          <w:ilvl w:val="0"/>
          <w:numId w:val="6"/>
        </w:numPr>
        <w:tabs>
          <w:tab w:val="left" w:pos="2160"/>
        </w:tabs>
        <w:kinsoku/>
        <w:wordWrap/>
        <w:overflowPunct/>
        <w:topLinePunct w:val="0"/>
        <w:autoSpaceDE/>
        <w:autoSpaceDN/>
        <w:bidi w:val="0"/>
        <w:adjustRightInd/>
        <w:snapToGrid/>
        <w:spacing w:line="400" w:lineRule="exact"/>
        <w:ind w:left="0" w:firstLine="0"/>
        <w:textAlignment w:val="auto"/>
        <w:rPr>
          <w:rFonts w:ascii="宋体" w:hAnsi="宋体" w:cs="宋体"/>
          <w:spacing w:val="4"/>
          <w:sz w:val="24"/>
          <w:szCs w:val="24"/>
        </w:rPr>
      </w:pPr>
      <w:r>
        <w:rPr>
          <w:rFonts w:hint="eastAsia" w:ascii="宋体" w:hAnsi="宋体" w:cs="宋体"/>
          <w:spacing w:val="4"/>
          <w:sz w:val="24"/>
          <w:szCs w:val="24"/>
        </w:rPr>
        <w:t>谈判响应总价（第一次）详见第一次报价表。</w:t>
      </w:r>
    </w:p>
    <w:p>
      <w:pPr>
        <w:keepNext w:val="0"/>
        <w:keepLines w:val="0"/>
        <w:pageBreakBefore w:val="0"/>
        <w:widowControl w:val="0"/>
        <w:numPr>
          <w:ilvl w:val="0"/>
          <w:numId w:val="6"/>
        </w:numPr>
        <w:tabs>
          <w:tab w:val="left" w:pos="2160"/>
        </w:tabs>
        <w:kinsoku/>
        <w:wordWrap/>
        <w:overflowPunct/>
        <w:topLinePunct w:val="0"/>
        <w:autoSpaceDE/>
        <w:autoSpaceDN/>
        <w:bidi w:val="0"/>
        <w:adjustRightInd/>
        <w:snapToGrid/>
        <w:spacing w:line="400" w:lineRule="exact"/>
        <w:ind w:left="0" w:firstLine="0"/>
        <w:textAlignment w:val="auto"/>
        <w:rPr>
          <w:rFonts w:ascii="宋体" w:hAnsi="宋体" w:cs="宋体"/>
          <w:spacing w:val="4"/>
          <w:sz w:val="24"/>
          <w:szCs w:val="24"/>
        </w:rPr>
      </w:pPr>
      <w:r>
        <w:rPr>
          <w:rFonts w:hint="eastAsia" w:ascii="宋体" w:hAnsi="宋体" w:cs="宋体"/>
          <w:spacing w:val="4"/>
          <w:sz w:val="24"/>
          <w:szCs w:val="24"/>
        </w:rPr>
        <w:t>如果成交，我们根据单一来源采购文件的规定，履行合同的责任和义务。</w:t>
      </w:r>
    </w:p>
    <w:p>
      <w:pPr>
        <w:keepNext w:val="0"/>
        <w:keepLines w:val="0"/>
        <w:pageBreakBefore w:val="0"/>
        <w:widowControl w:val="0"/>
        <w:numPr>
          <w:ilvl w:val="0"/>
          <w:numId w:val="6"/>
        </w:numPr>
        <w:tabs>
          <w:tab w:val="left" w:pos="2160"/>
        </w:tabs>
        <w:kinsoku/>
        <w:wordWrap/>
        <w:overflowPunct/>
        <w:topLinePunct w:val="0"/>
        <w:autoSpaceDE/>
        <w:autoSpaceDN/>
        <w:bidi w:val="0"/>
        <w:adjustRightInd/>
        <w:snapToGrid/>
        <w:spacing w:line="400" w:lineRule="exact"/>
        <w:ind w:left="0" w:firstLine="0"/>
        <w:textAlignment w:val="auto"/>
        <w:rPr>
          <w:rFonts w:ascii="宋体" w:hAnsi="宋体" w:cs="宋体"/>
          <w:spacing w:val="4"/>
          <w:sz w:val="24"/>
          <w:szCs w:val="24"/>
        </w:rPr>
      </w:pPr>
      <w:r>
        <w:rPr>
          <w:rFonts w:hint="eastAsia" w:ascii="宋体" w:hAnsi="宋体" w:cs="宋体"/>
          <w:spacing w:val="4"/>
          <w:sz w:val="24"/>
          <w:szCs w:val="24"/>
        </w:rPr>
        <w:t>我们已详细阅读和审核全部单一来源采购文件（含修改部分，如有的话），及有关附件，我们知道必须放弃提出含糊不清或误解的问题的权利。</w:t>
      </w:r>
    </w:p>
    <w:p>
      <w:pPr>
        <w:keepNext w:val="0"/>
        <w:keepLines w:val="0"/>
        <w:pageBreakBefore w:val="0"/>
        <w:widowControl w:val="0"/>
        <w:numPr>
          <w:ilvl w:val="0"/>
          <w:numId w:val="6"/>
        </w:numPr>
        <w:tabs>
          <w:tab w:val="left" w:pos="2160"/>
        </w:tabs>
        <w:kinsoku/>
        <w:wordWrap/>
        <w:overflowPunct/>
        <w:topLinePunct w:val="0"/>
        <w:autoSpaceDE/>
        <w:autoSpaceDN/>
        <w:bidi w:val="0"/>
        <w:adjustRightInd/>
        <w:snapToGrid/>
        <w:spacing w:line="400" w:lineRule="exact"/>
        <w:ind w:left="0" w:firstLine="0"/>
        <w:textAlignment w:val="auto"/>
        <w:rPr>
          <w:rFonts w:ascii="宋体" w:hAnsi="宋体" w:cs="宋体"/>
          <w:spacing w:val="4"/>
          <w:sz w:val="24"/>
          <w:szCs w:val="24"/>
        </w:rPr>
      </w:pPr>
      <w:r>
        <w:rPr>
          <w:rFonts w:hint="eastAsia" w:ascii="宋体" w:hAnsi="宋体" w:cs="宋体"/>
          <w:spacing w:val="4"/>
          <w:sz w:val="24"/>
          <w:szCs w:val="24"/>
        </w:rPr>
        <w:t>我们同意在谈判响应有效期内（自谈判开始之日起</w:t>
      </w:r>
      <w:r>
        <w:rPr>
          <w:rFonts w:hint="eastAsia" w:ascii="宋体" w:hAnsi="宋体" w:cs="宋体"/>
          <w:spacing w:val="4"/>
          <w:sz w:val="24"/>
          <w:szCs w:val="24"/>
          <w:u w:val="single"/>
        </w:rPr>
        <w:t>90</w:t>
      </w:r>
      <w:r>
        <w:rPr>
          <w:rFonts w:hint="eastAsia" w:ascii="宋体" w:hAnsi="宋体" w:cs="宋体"/>
          <w:spacing w:val="4"/>
          <w:sz w:val="24"/>
          <w:szCs w:val="24"/>
        </w:rPr>
        <w:t>天内），本谈判响应书对我方具有约束力。</w:t>
      </w:r>
    </w:p>
    <w:p>
      <w:pPr>
        <w:keepNext w:val="0"/>
        <w:keepLines w:val="0"/>
        <w:pageBreakBefore w:val="0"/>
        <w:widowControl w:val="0"/>
        <w:numPr>
          <w:ilvl w:val="0"/>
          <w:numId w:val="6"/>
        </w:numPr>
        <w:tabs>
          <w:tab w:val="left" w:pos="2160"/>
        </w:tabs>
        <w:kinsoku/>
        <w:wordWrap/>
        <w:overflowPunct/>
        <w:topLinePunct w:val="0"/>
        <w:autoSpaceDE/>
        <w:autoSpaceDN/>
        <w:bidi w:val="0"/>
        <w:adjustRightInd/>
        <w:snapToGrid/>
        <w:spacing w:line="400" w:lineRule="exact"/>
        <w:ind w:left="0" w:firstLine="0"/>
        <w:textAlignment w:val="auto"/>
        <w:rPr>
          <w:rFonts w:ascii="宋体" w:hAnsi="宋体" w:cs="宋体"/>
          <w:spacing w:val="4"/>
          <w:sz w:val="24"/>
          <w:szCs w:val="24"/>
        </w:rPr>
      </w:pPr>
      <w:r>
        <w:rPr>
          <w:rFonts w:hint="eastAsia" w:ascii="宋体" w:hAnsi="宋体" w:cs="宋体"/>
          <w:spacing w:val="4"/>
          <w:sz w:val="24"/>
          <w:szCs w:val="24"/>
        </w:rPr>
        <w:t>同意提供贵方可能另外要求的与本谈判响应有关的任何证据和资料。</w:t>
      </w:r>
    </w:p>
    <w:p>
      <w:pPr>
        <w:keepNext w:val="0"/>
        <w:keepLines w:val="0"/>
        <w:pageBreakBefore w:val="0"/>
        <w:widowControl w:val="0"/>
        <w:numPr>
          <w:ilvl w:val="0"/>
          <w:numId w:val="6"/>
        </w:numPr>
        <w:tabs>
          <w:tab w:val="left" w:pos="2160"/>
        </w:tabs>
        <w:kinsoku/>
        <w:wordWrap/>
        <w:overflowPunct/>
        <w:topLinePunct w:val="0"/>
        <w:autoSpaceDE/>
        <w:autoSpaceDN/>
        <w:bidi w:val="0"/>
        <w:adjustRightInd/>
        <w:snapToGrid/>
        <w:spacing w:line="400" w:lineRule="exact"/>
        <w:ind w:left="0" w:firstLine="0"/>
        <w:textAlignment w:val="auto"/>
        <w:rPr>
          <w:rFonts w:ascii="宋体" w:hAnsi="宋体" w:cs="宋体"/>
          <w:spacing w:val="4"/>
          <w:sz w:val="24"/>
          <w:szCs w:val="24"/>
        </w:rPr>
      </w:pPr>
      <w:r>
        <w:rPr>
          <w:rFonts w:hint="eastAsia" w:ascii="宋体" w:hAnsi="宋体" w:cs="宋体"/>
          <w:spacing w:val="4"/>
          <w:sz w:val="24"/>
          <w:szCs w:val="24"/>
        </w:rPr>
        <w:t xml:space="preserve">我方完全响应本次采购文件规定的所有内容及相关条款。 </w:t>
      </w:r>
    </w:p>
    <w:p>
      <w:pPr>
        <w:keepNext w:val="0"/>
        <w:keepLines w:val="0"/>
        <w:pageBreakBefore w:val="0"/>
        <w:widowControl w:val="0"/>
        <w:numPr>
          <w:ilvl w:val="0"/>
          <w:numId w:val="6"/>
        </w:numPr>
        <w:tabs>
          <w:tab w:val="left" w:pos="2160"/>
        </w:tabs>
        <w:kinsoku/>
        <w:wordWrap/>
        <w:overflowPunct/>
        <w:topLinePunct w:val="0"/>
        <w:autoSpaceDE/>
        <w:autoSpaceDN/>
        <w:bidi w:val="0"/>
        <w:adjustRightInd/>
        <w:snapToGrid/>
        <w:spacing w:line="400" w:lineRule="exact"/>
        <w:ind w:left="0" w:firstLine="0"/>
        <w:textAlignment w:val="auto"/>
        <w:rPr>
          <w:rFonts w:ascii="宋体" w:hAnsi="宋体" w:cs="宋体"/>
          <w:spacing w:val="4"/>
          <w:sz w:val="24"/>
          <w:szCs w:val="24"/>
        </w:rPr>
      </w:pPr>
      <w:r>
        <w:rPr>
          <w:rFonts w:hint="eastAsia" w:ascii="宋体" w:hAnsi="宋体" w:cs="宋体"/>
          <w:spacing w:val="4"/>
          <w:sz w:val="24"/>
          <w:szCs w:val="24"/>
        </w:rPr>
        <w:t>与本谈判响应有关的一切正式信函请寄：</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hint="eastAsia" w:ascii="宋体" w:hAnsi="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地址：                          邮政编码：</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ascii="宋体" w:hAnsi="宋体" w:cs="宋体"/>
          <w:spacing w:val="4"/>
          <w:sz w:val="24"/>
          <w:szCs w:val="24"/>
        </w:rPr>
      </w:pPr>
      <w:r>
        <w:rPr>
          <w:rFonts w:hint="eastAsia" w:ascii="宋体" w:hAnsi="宋体" w:cs="宋体"/>
          <w:spacing w:val="4"/>
          <w:sz w:val="24"/>
          <w:szCs w:val="24"/>
        </w:rPr>
        <w:t>电话/传真：                     电子邮件：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pacing w:val="4"/>
          <w:sz w:val="24"/>
          <w:szCs w:val="24"/>
        </w:rPr>
      </w:pPr>
      <w:r>
        <w:rPr>
          <w:rFonts w:hint="eastAsia" w:ascii="宋体" w:hAnsi="宋体" w:cs="宋体"/>
          <w:spacing w:val="4"/>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pacing w:val="4"/>
          <w:sz w:val="24"/>
          <w:szCs w:val="24"/>
        </w:rPr>
      </w:pPr>
      <w:r>
        <w:rPr>
          <w:rFonts w:hint="eastAsia" w:ascii="宋体" w:hAnsi="宋体" w:cs="宋体"/>
          <w:spacing w:val="4"/>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pacing w:val="4"/>
          <w:sz w:val="24"/>
          <w:szCs w:val="24"/>
        </w:rPr>
      </w:pPr>
      <w:r>
        <w:rPr>
          <w:rFonts w:hint="eastAsia" w:ascii="宋体" w:hAnsi="宋体" w:cs="宋体"/>
          <w:spacing w:val="4"/>
          <w:sz w:val="24"/>
          <w:szCs w:val="24"/>
        </w:rPr>
        <w:t>授权代表人（签字或盖章）：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pacing w:val="4"/>
          <w:sz w:val="24"/>
          <w:szCs w:val="24"/>
        </w:rPr>
      </w:pPr>
      <w:r>
        <w:rPr>
          <w:rFonts w:hint="eastAsia" w:ascii="宋体" w:hAnsi="宋体" w:cs="宋体"/>
          <w:spacing w:val="4"/>
          <w:sz w:val="24"/>
          <w:szCs w:val="24"/>
        </w:rPr>
        <w:t>供应商名称</w:t>
      </w:r>
      <w:r>
        <w:rPr>
          <w:rFonts w:hint="eastAsia" w:ascii="宋体" w:hAnsi="宋体" w:cs="宋体"/>
          <w:spacing w:val="4"/>
          <w:sz w:val="24"/>
          <w:szCs w:val="24"/>
          <w:lang w:eastAsia="zh-CN"/>
        </w:rPr>
        <w:t>（</w:t>
      </w:r>
      <w:r>
        <w:rPr>
          <w:rFonts w:hint="eastAsia" w:ascii="宋体" w:hAnsi="宋体" w:cs="宋体"/>
          <w:spacing w:val="4"/>
          <w:sz w:val="24"/>
          <w:szCs w:val="24"/>
          <w:lang w:val="en-US" w:eastAsia="zh-CN"/>
        </w:rPr>
        <w:t>盖章</w:t>
      </w:r>
      <w:r>
        <w:rPr>
          <w:rFonts w:hint="eastAsia" w:ascii="宋体" w:hAnsi="宋体" w:cs="宋体"/>
          <w:spacing w:val="4"/>
          <w:sz w:val="24"/>
          <w:szCs w:val="24"/>
          <w:lang w:eastAsia="zh-CN"/>
        </w:rPr>
        <w:t>）</w:t>
      </w:r>
      <w:r>
        <w:rPr>
          <w:rFonts w:hint="eastAsia" w:ascii="宋体" w:hAnsi="宋体" w:cs="宋体"/>
          <w:spacing w:val="4"/>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pacing w:val="4"/>
          <w:sz w:val="24"/>
          <w:szCs w:val="24"/>
        </w:rPr>
      </w:pPr>
      <w:r>
        <w:rPr>
          <w:rFonts w:hint="eastAsia" w:ascii="宋体" w:hAnsi="宋体" w:cs="宋体"/>
          <w:spacing w:val="4"/>
          <w:sz w:val="24"/>
          <w:szCs w:val="24"/>
        </w:rPr>
        <w:t>日期：</w:t>
      </w:r>
    </w:p>
    <w:p>
      <w:pPr>
        <w:keepNext w:val="0"/>
        <w:keepLines w:val="0"/>
        <w:pageBreakBefore w:val="0"/>
        <w:widowControl w:val="0"/>
        <w:kinsoku/>
        <w:wordWrap/>
        <w:overflowPunct/>
        <w:topLinePunct w:val="0"/>
        <w:autoSpaceDE/>
        <w:autoSpaceDN/>
        <w:bidi w:val="0"/>
        <w:adjustRightInd/>
        <w:snapToGrid/>
        <w:spacing w:before="240" w:line="400" w:lineRule="exact"/>
        <w:ind w:firstLine="2028" w:firstLineChars="818"/>
        <w:textAlignment w:val="auto"/>
        <w:rPr>
          <w:rFonts w:ascii="宋体" w:hAnsi="宋体" w:cs="宋体"/>
          <w:spacing w:val="4"/>
          <w:sz w:val="24"/>
          <w:szCs w:val="24"/>
        </w:rPr>
      </w:pPr>
    </w:p>
    <w:p>
      <w:pPr>
        <w:spacing w:line="480" w:lineRule="auto"/>
        <w:jc w:val="center"/>
        <w:outlineLvl w:val="9"/>
        <w:rPr>
          <w:rFonts w:ascii="宋体" w:hAnsi="宋体" w:cs="宋体"/>
          <w:b/>
          <w:sz w:val="32"/>
          <w:szCs w:val="32"/>
        </w:rPr>
      </w:pPr>
      <w:r>
        <w:rPr>
          <w:rFonts w:hint="eastAsia" w:ascii="宋体" w:hAnsi="宋体" w:cs="宋体"/>
        </w:rPr>
        <w:br w:type="page"/>
      </w:r>
      <w:bookmarkStart w:id="108" w:name="_Toc7577"/>
      <w:bookmarkStart w:id="109" w:name="_Toc31390"/>
      <w:bookmarkStart w:id="110" w:name="_Toc1609"/>
      <w:bookmarkStart w:id="111" w:name="_Toc3009"/>
      <w:bookmarkStart w:id="112" w:name="_Toc841"/>
      <w:r>
        <w:rPr>
          <w:rFonts w:hint="eastAsia" w:ascii="宋体" w:hAnsi="宋体" w:cs="宋体"/>
          <w:b/>
          <w:bCs/>
          <w:sz w:val="32"/>
          <w:szCs w:val="32"/>
        </w:rPr>
        <w:t>二、</w:t>
      </w:r>
      <w:r>
        <w:rPr>
          <w:rFonts w:hint="eastAsia" w:ascii="宋体" w:hAnsi="宋体" w:cs="宋体"/>
          <w:b/>
          <w:sz w:val="32"/>
          <w:szCs w:val="32"/>
        </w:rPr>
        <w:t>谈判响应报价表</w:t>
      </w:r>
      <w:bookmarkEnd w:id="108"/>
      <w:bookmarkEnd w:id="109"/>
      <w:bookmarkEnd w:id="110"/>
      <w:bookmarkEnd w:id="111"/>
      <w:bookmarkEnd w:id="112"/>
    </w:p>
    <w:p>
      <w:pPr>
        <w:jc w:val="center"/>
        <w:rPr>
          <w:rFonts w:ascii="宋体" w:hAnsi="宋体" w:cs="宋体"/>
          <w:b/>
          <w:sz w:val="32"/>
          <w:szCs w:val="32"/>
        </w:rPr>
      </w:pPr>
    </w:p>
    <w:p>
      <w:pPr>
        <w:jc w:val="center"/>
        <w:rPr>
          <w:rFonts w:ascii="宋体" w:hAnsi="宋体" w:cs="宋体"/>
          <w:b/>
          <w:sz w:val="30"/>
          <w:szCs w:val="30"/>
        </w:rPr>
      </w:pPr>
      <w:r>
        <w:rPr>
          <w:rFonts w:hint="eastAsia" w:ascii="宋体" w:hAnsi="宋体" w:cs="宋体"/>
          <w:b/>
          <w:sz w:val="30"/>
          <w:szCs w:val="30"/>
        </w:rPr>
        <w:t>（一）第一次报价表</w:t>
      </w:r>
    </w:p>
    <w:p>
      <w:pPr>
        <w:spacing w:line="360" w:lineRule="auto"/>
        <w:rPr>
          <w:rFonts w:ascii="宋体" w:hAnsi="宋体" w:cs="宋体"/>
          <w:szCs w:val="21"/>
          <w:u w:val="single"/>
        </w:rPr>
      </w:pPr>
    </w:p>
    <w:tbl>
      <w:tblPr>
        <w:tblStyle w:val="18"/>
        <w:tblW w:w="0" w:type="auto"/>
        <w:tblInd w:w="2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89"/>
        <w:gridCol w:w="2564"/>
        <w:gridCol w:w="2425"/>
        <w:gridCol w:w="11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2189"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bCs/>
                <w:sz w:val="24"/>
                <w:szCs w:val="24"/>
              </w:rPr>
            </w:pPr>
            <w:r>
              <w:rPr>
                <w:rFonts w:hint="eastAsia" w:ascii="宋体" w:hAnsi="宋体" w:cs="宋体"/>
                <w:b/>
                <w:bCs/>
                <w:sz w:val="24"/>
                <w:szCs w:val="24"/>
              </w:rPr>
              <w:t>项目名称</w:t>
            </w:r>
          </w:p>
        </w:tc>
        <w:tc>
          <w:tcPr>
            <w:tcW w:w="256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bCs/>
                <w:sz w:val="24"/>
                <w:szCs w:val="24"/>
              </w:rPr>
            </w:pPr>
            <w:r>
              <w:rPr>
                <w:rFonts w:hint="eastAsia" w:ascii="宋体" w:hAnsi="宋体" w:cs="宋体"/>
                <w:b/>
                <w:bCs/>
                <w:sz w:val="24"/>
                <w:szCs w:val="24"/>
              </w:rPr>
              <w:t>报价（元）</w:t>
            </w:r>
          </w:p>
        </w:tc>
        <w:tc>
          <w:tcPr>
            <w:tcW w:w="242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bCs/>
                <w:sz w:val="24"/>
                <w:szCs w:val="24"/>
              </w:rPr>
            </w:pPr>
            <w:r>
              <w:rPr>
                <w:rFonts w:hint="eastAsia" w:ascii="宋体" w:hAnsi="宋体" w:cs="宋体"/>
                <w:b/>
                <w:bCs/>
                <w:sz w:val="24"/>
                <w:szCs w:val="24"/>
              </w:rPr>
              <w:t>服务期限（年）</w:t>
            </w:r>
          </w:p>
        </w:tc>
        <w:tc>
          <w:tcPr>
            <w:tcW w:w="1129"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bCs/>
                <w:sz w:val="24"/>
                <w:szCs w:val="24"/>
              </w:rPr>
            </w:pPr>
            <w:r>
              <w:rPr>
                <w:rFonts w:hint="eastAsia" w:ascii="宋体" w:hAnsi="宋体" w:cs="宋体"/>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25" w:hRule="atLeast"/>
        </w:trPr>
        <w:tc>
          <w:tcPr>
            <w:tcW w:w="2189"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sz w:val="24"/>
                <w:szCs w:val="24"/>
              </w:rPr>
            </w:pPr>
            <w:r>
              <w:rPr>
                <w:rFonts w:hint="eastAsia" w:ascii="宋体" w:hAnsi="宋体" w:cs="宋体"/>
                <w:sz w:val="24"/>
                <w:szCs w:val="24"/>
              </w:rPr>
              <w:t>西安市临潼区2023年防返贫监测预警平台运维服务</w:t>
            </w:r>
          </w:p>
        </w:tc>
        <w:tc>
          <w:tcPr>
            <w:tcW w:w="2564" w:type="dxa"/>
            <w:vAlign w:val="center"/>
          </w:tcPr>
          <w:p>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sz w:val="24"/>
                <w:szCs w:val="24"/>
              </w:rPr>
            </w:pPr>
            <w:r>
              <w:rPr>
                <w:rFonts w:hint="eastAsia" w:ascii="宋体" w:hAnsi="宋体" w:cs="宋体"/>
                <w:sz w:val="24"/>
                <w:szCs w:val="24"/>
              </w:rPr>
              <w:t>小写金额：</w:t>
            </w:r>
          </w:p>
          <w:p>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sz w:val="24"/>
                <w:szCs w:val="24"/>
              </w:rPr>
            </w:pPr>
            <w:r>
              <w:rPr>
                <w:rFonts w:hint="eastAsia" w:ascii="宋体" w:hAnsi="宋体" w:cs="宋体"/>
                <w:sz w:val="24"/>
                <w:szCs w:val="24"/>
              </w:rPr>
              <w:t>大写金额：</w:t>
            </w:r>
          </w:p>
        </w:tc>
        <w:tc>
          <w:tcPr>
            <w:tcW w:w="242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sz w:val="24"/>
                <w:szCs w:val="24"/>
              </w:rPr>
            </w:pPr>
          </w:p>
        </w:tc>
        <w:tc>
          <w:tcPr>
            <w:tcW w:w="1129"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sz w:val="24"/>
                <w:szCs w:val="24"/>
              </w:rPr>
            </w:pPr>
          </w:p>
        </w:tc>
      </w:tr>
    </w:tbl>
    <w:p>
      <w:pPr>
        <w:keepNext w:val="0"/>
        <w:keepLines w:val="0"/>
        <w:pageBreakBefore w:val="0"/>
        <w:widowControl w:val="0"/>
        <w:kinsoku/>
        <w:wordWrap/>
        <w:overflowPunct/>
        <w:topLinePunct w:val="0"/>
        <w:autoSpaceDE/>
        <w:autoSpaceDN/>
        <w:bidi w:val="0"/>
        <w:adjustRightInd/>
        <w:spacing w:line="400" w:lineRule="exact"/>
        <w:ind w:left="316" w:hanging="361" w:hangingChars="150"/>
        <w:textAlignment w:val="auto"/>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报价应包含完成本项目的全部费用。</w:t>
      </w:r>
    </w:p>
    <w:p>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spacing w:val="4"/>
          <w:sz w:val="24"/>
          <w:szCs w:val="24"/>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sz w:val="24"/>
          <w:szCs w:val="24"/>
        </w:rPr>
      </w:pPr>
      <w:r>
        <w:rPr>
          <w:rFonts w:hint="eastAsia" w:ascii="宋体" w:hAnsi="宋体" w:cs="宋体"/>
          <w:spacing w:val="4"/>
          <w:sz w:val="24"/>
          <w:szCs w:val="24"/>
        </w:rPr>
        <w:t>供应商名称</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pacing w:val="4"/>
          <w:sz w:val="24"/>
          <w:szCs w:val="24"/>
        </w:rPr>
        <w:t>（盖章）</w:t>
      </w:r>
    </w:p>
    <w:p>
      <w:pPr>
        <w:keepNext w:val="0"/>
        <w:keepLines w:val="0"/>
        <w:pageBreakBefore w:val="0"/>
        <w:widowControl w:val="0"/>
        <w:kinsoku/>
        <w:wordWrap/>
        <w:overflowPunct/>
        <w:topLinePunct w:val="0"/>
        <w:autoSpaceDE/>
        <w:autoSpaceDN/>
        <w:bidi w:val="0"/>
        <w:adjustRightInd/>
        <w:spacing w:before="312" w:beforeLines="100" w:line="400" w:lineRule="exact"/>
        <w:textAlignment w:val="auto"/>
        <w:rPr>
          <w:rFonts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pPr>
        <w:spacing w:line="360" w:lineRule="auto"/>
        <w:rPr>
          <w:rFonts w:ascii="宋体" w:hAnsi="宋体" w:cs="宋体"/>
          <w:sz w:val="24"/>
          <w:szCs w:val="24"/>
        </w:rPr>
      </w:pPr>
    </w:p>
    <w:p>
      <w:pPr>
        <w:jc w:val="center"/>
        <w:rPr>
          <w:rFonts w:ascii="宋体" w:hAnsi="宋体" w:cs="宋体"/>
          <w:b/>
          <w:sz w:val="32"/>
          <w:szCs w:val="32"/>
        </w:rPr>
      </w:pPr>
      <w:r>
        <w:rPr>
          <w:rFonts w:hint="eastAsia" w:ascii="宋体" w:hAnsi="宋体" w:cs="宋体"/>
          <w:b/>
          <w:sz w:val="36"/>
          <w:szCs w:val="36"/>
        </w:rPr>
        <w:br w:type="page"/>
      </w:r>
      <w:r>
        <w:rPr>
          <w:rFonts w:hint="eastAsia" w:ascii="宋体" w:hAnsi="宋体" w:cs="宋体"/>
          <w:b/>
          <w:sz w:val="30"/>
          <w:szCs w:val="30"/>
        </w:rPr>
        <w:t>（二）第一次分项报价表</w:t>
      </w:r>
    </w:p>
    <w:p>
      <w:pPr>
        <w:spacing w:line="360" w:lineRule="auto"/>
        <w:rPr>
          <w:rFonts w:ascii="宋体" w:hAnsi="宋体" w:cs="宋体"/>
          <w:sz w:val="24"/>
          <w:szCs w:val="24"/>
        </w:rPr>
      </w:pPr>
    </w:p>
    <w:p>
      <w:pPr>
        <w:spacing w:line="360" w:lineRule="auto"/>
        <w:rPr>
          <w:rFonts w:ascii="宋体" w:hAnsi="宋体" w:cs="宋体"/>
          <w:sz w:val="24"/>
          <w:szCs w:val="24"/>
        </w:rPr>
      </w:pPr>
    </w:p>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sz w:val="24"/>
          <w:szCs w:val="24"/>
        </w:rPr>
      </w:pPr>
      <w:r>
        <w:rPr>
          <w:rFonts w:hint="eastAsia" w:ascii="宋体" w:hAnsi="宋体" w:cs="宋体"/>
          <w:sz w:val="24"/>
          <w:szCs w:val="24"/>
        </w:rPr>
        <w:t>（格式自拟）</w:t>
      </w: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sz w:val="24"/>
          <w:szCs w:val="24"/>
        </w:rPr>
      </w:pPr>
      <w:r>
        <w:rPr>
          <w:rFonts w:hint="eastAsia" w:ascii="宋体" w:hAnsi="宋体" w:cs="宋体"/>
          <w:b/>
          <w:bCs/>
          <w:sz w:val="24"/>
          <w:szCs w:val="24"/>
        </w:rPr>
        <w:t>注：1.各项</w:t>
      </w:r>
      <w:r>
        <w:rPr>
          <w:rFonts w:hint="eastAsia" w:ascii="宋体" w:hAnsi="宋体" w:cs="宋体"/>
          <w:b/>
          <w:sz w:val="24"/>
          <w:szCs w:val="24"/>
        </w:rPr>
        <w:t>分类报价</w:t>
      </w:r>
      <w:r>
        <w:rPr>
          <w:rFonts w:hint="eastAsia" w:ascii="宋体" w:hAnsi="宋体" w:cs="宋体"/>
          <w:b/>
          <w:bCs/>
          <w:sz w:val="24"/>
          <w:szCs w:val="24"/>
        </w:rPr>
        <w:t>合计金额应与报价表中报价一致。</w:t>
      </w: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sz w:val="24"/>
          <w:szCs w:val="24"/>
        </w:rPr>
      </w:pP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szCs w:val="24"/>
        </w:rPr>
      </w:pPr>
    </w:p>
    <w:p>
      <w:pPr>
        <w:pStyle w:val="2"/>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szCs w:val="24"/>
        </w:rPr>
      </w:pP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szCs w:val="24"/>
        </w:rPr>
      </w:pPr>
    </w:p>
    <w:p>
      <w:pPr>
        <w:pStyle w:val="2"/>
        <w:keepNext w:val="0"/>
        <w:keepLines w:val="0"/>
        <w:pageBreakBefore w:val="0"/>
        <w:kinsoku/>
        <w:wordWrap/>
        <w:overflowPunct/>
        <w:topLinePunct w:val="0"/>
        <w:autoSpaceDE/>
        <w:autoSpaceDN/>
        <w:bidi w:val="0"/>
        <w:adjustRightInd/>
        <w:spacing w:line="400" w:lineRule="exact"/>
        <w:textAlignment w:val="auto"/>
        <w:rPr>
          <w:sz w:val="24"/>
          <w:szCs w:val="24"/>
        </w:rPr>
      </w:pP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 w:val="24"/>
          <w:szCs w:val="24"/>
        </w:rPr>
      </w:pPr>
    </w:p>
    <w:p>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sz w:val="24"/>
          <w:szCs w:val="24"/>
        </w:rPr>
      </w:pPr>
      <w:r>
        <w:rPr>
          <w:rFonts w:hint="eastAsia" w:ascii="宋体" w:hAnsi="宋体" w:cs="宋体"/>
          <w:spacing w:val="4"/>
          <w:sz w:val="24"/>
          <w:szCs w:val="24"/>
        </w:rPr>
        <w:t>供应商名称</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pacing w:val="4"/>
          <w:sz w:val="24"/>
          <w:szCs w:val="24"/>
        </w:rPr>
        <w:t>（盖章）</w:t>
      </w:r>
    </w:p>
    <w:p>
      <w:pPr>
        <w:keepNext w:val="0"/>
        <w:keepLines w:val="0"/>
        <w:pageBreakBefore w:val="0"/>
        <w:kinsoku/>
        <w:wordWrap/>
        <w:overflowPunct/>
        <w:topLinePunct w:val="0"/>
        <w:autoSpaceDE/>
        <w:autoSpaceDN/>
        <w:bidi w:val="0"/>
        <w:adjustRightInd/>
        <w:spacing w:before="312" w:beforeLines="100" w:line="400" w:lineRule="exact"/>
        <w:textAlignment w:val="auto"/>
        <w:rPr>
          <w:rFonts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pPr>
        <w:outlineLvl w:val="9"/>
        <w:rPr>
          <w:rFonts w:ascii="宋体" w:hAnsi="宋体" w:cs="宋体"/>
          <w:szCs w:val="21"/>
          <w:u w:val="single"/>
        </w:rPr>
      </w:pPr>
    </w:p>
    <w:p>
      <w:pPr>
        <w:pStyle w:val="4"/>
        <w:spacing w:line="440" w:lineRule="exact"/>
        <w:jc w:val="center"/>
        <w:rPr>
          <w:rFonts w:hint="eastAsia" w:ascii="宋体" w:hAnsi="宋体" w:eastAsia="宋体" w:cs="宋体"/>
          <w:b/>
          <w:bCs/>
          <w:kern w:val="2"/>
          <w:sz w:val="32"/>
          <w:szCs w:val="32"/>
          <w:lang w:val="en-US" w:eastAsia="zh-CN" w:bidi="ar-SA"/>
        </w:rPr>
      </w:pPr>
      <w:r>
        <w:rPr>
          <w:rFonts w:hint="eastAsia" w:ascii="宋体" w:hAnsi="宋体" w:cs="宋体"/>
          <w:sz w:val="36"/>
          <w:szCs w:val="36"/>
        </w:rPr>
        <w:br w:type="page"/>
      </w:r>
      <w:bookmarkStart w:id="113" w:name="_Toc191"/>
      <w:bookmarkStart w:id="114" w:name="_Toc5264"/>
      <w:bookmarkStart w:id="115" w:name="_Toc5100"/>
      <w:bookmarkStart w:id="116" w:name="_Toc22797"/>
      <w:bookmarkStart w:id="117" w:name="_Toc13508"/>
      <w:bookmarkStart w:id="118" w:name="_Toc22292"/>
      <w:bookmarkStart w:id="119" w:name="_Toc29281"/>
      <w:r>
        <w:rPr>
          <w:rFonts w:hint="eastAsia" w:ascii="宋体" w:hAnsi="宋体" w:eastAsia="宋体" w:cs="宋体"/>
          <w:b/>
          <w:bCs/>
          <w:kern w:val="2"/>
          <w:sz w:val="32"/>
          <w:szCs w:val="32"/>
          <w:lang w:val="en-US" w:eastAsia="zh-CN" w:bidi="ar-SA"/>
        </w:rPr>
        <w:t>三、商务偏差表</w:t>
      </w:r>
      <w:bookmarkEnd w:id="113"/>
      <w:bookmarkEnd w:id="114"/>
      <w:bookmarkEnd w:id="115"/>
      <w:bookmarkEnd w:id="116"/>
      <w:bookmarkEnd w:id="117"/>
      <w:bookmarkEnd w:id="118"/>
      <w:bookmarkEnd w:id="119"/>
    </w:p>
    <w:p>
      <w:pPr>
        <w:spacing w:line="440" w:lineRule="exact"/>
        <w:rPr>
          <w:rFonts w:ascii="黑体" w:hAnsi="黑体" w:eastAsia="黑体"/>
          <w:b/>
          <w:sz w:val="32"/>
        </w:rPr>
      </w:pPr>
    </w:p>
    <w:tbl>
      <w:tblPr>
        <w:tblStyle w:val="18"/>
        <w:tblW w:w="0" w:type="auto"/>
        <w:tblInd w:w="10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629"/>
        <w:gridCol w:w="2988"/>
        <w:gridCol w:w="1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629"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采购文件章节及条款号</w:t>
            </w:r>
          </w:p>
        </w:tc>
        <w:tc>
          <w:tcPr>
            <w:tcW w:w="2988"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响应文件章节及条款号</w:t>
            </w:r>
          </w:p>
        </w:tc>
        <w:tc>
          <w:tcPr>
            <w:tcW w:w="1700"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262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298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17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262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298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17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262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298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17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4</w:t>
            </w:r>
          </w:p>
        </w:tc>
        <w:tc>
          <w:tcPr>
            <w:tcW w:w="262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298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17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5</w:t>
            </w:r>
          </w:p>
        </w:tc>
        <w:tc>
          <w:tcPr>
            <w:tcW w:w="262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298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17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w:t>
            </w:r>
            <w:r>
              <w:rPr>
                <w:rFonts w:hint="eastAsia" w:ascii="宋体" w:hAnsi="宋体" w:cs="宋体"/>
                <w:bCs/>
                <w:sz w:val="24"/>
                <w:szCs w:val="24"/>
                <w:lang w:val="en-US" w:eastAsia="zh-CN"/>
              </w:rPr>
              <w:t>.</w:t>
            </w:r>
          </w:p>
        </w:tc>
        <w:tc>
          <w:tcPr>
            <w:tcW w:w="2629" w:type="dxa"/>
            <w:tcBorders>
              <w:bottom w:val="single" w:color="auto" w:sz="12"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2988" w:type="dxa"/>
            <w:tcBorders>
              <w:bottom w:val="single" w:color="auto" w:sz="12"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1700" w:type="dxa"/>
            <w:tcBorders>
              <w:bottom w:val="single" w:color="auto" w:sz="12"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r>
    </w:tbl>
    <w:p>
      <w:pPr>
        <w:keepNext w:val="0"/>
        <w:keepLines w:val="0"/>
        <w:pageBreakBefore w:val="0"/>
        <w:widowControl w:val="0"/>
        <w:kinsoku/>
        <w:wordWrap/>
        <w:overflowPunct/>
        <w:topLinePunct w:val="0"/>
        <w:autoSpaceDE/>
        <w:autoSpaceDN/>
        <w:bidi w:val="0"/>
        <w:adjustRightInd/>
        <w:snapToGrid/>
        <w:spacing w:after="120"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供应商保证：除商务偏差表列出的偏差外，供应商响应采购文件的全部商务要求，如完全响应招标文件商务要求，则只需在表中填写无偏离或留</w:t>
      </w:r>
      <w:r>
        <w:rPr>
          <w:rFonts w:hint="eastAsia" w:ascii="宋体" w:hAnsi="宋体" w:eastAsia="宋体" w:cs="宋体"/>
          <w:b/>
          <w:bCs/>
          <w:color w:val="auto"/>
          <w:sz w:val="24"/>
          <w:szCs w:val="24"/>
          <w:highlight w:val="none"/>
          <w:lang w:val="en-US" w:eastAsia="zh-CN"/>
        </w:rPr>
        <w:t>空白表</w:t>
      </w:r>
      <w:r>
        <w:rPr>
          <w:rFonts w:hint="eastAsia" w:ascii="宋体" w:hAnsi="宋体" w:eastAsia="宋体" w:cs="宋体"/>
          <w:b/>
          <w:bCs/>
          <w:color w:val="auto"/>
          <w:sz w:val="24"/>
          <w:szCs w:val="24"/>
          <w:highlight w:val="none"/>
        </w:rPr>
        <w:t>即可。</w:t>
      </w:r>
    </w:p>
    <w:p>
      <w:pPr>
        <w:pStyle w:val="4"/>
        <w:spacing w:line="44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sz w:val="24"/>
          <w:szCs w:val="24"/>
        </w:rPr>
        <w:br w:type="page"/>
      </w:r>
      <w:bookmarkStart w:id="120" w:name="_Toc9494"/>
      <w:bookmarkStart w:id="121" w:name="_Toc9649"/>
      <w:bookmarkStart w:id="122" w:name="_Toc7516"/>
      <w:bookmarkStart w:id="123" w:name="_Toc25932"/>
      <w:bookmarkStart w:id="124" w:name="_Toc11485"/>
      <w:bookmarkStart w:id="125" w:name="_Toc12855"/>
      <w:r>
        <w:rPr>
          <w:rFonts w:hint="eastAsia" w:ascii="宋体" w:hAnsi="宋体" w:eastAsia="宋体" w:cs="宋体"/>
          <w:b/>
          <w:bCs/>
          <w:kern w:val="2"/>
          <w:sz w:val="32"/>
          <w:szCs w:val="32"/>
          <w:lang w:val="en-US" w:eastAsia="zh-CN" w:bidi="ar-SA"/>
        </w:rPr>
        <w:t>四、服务要求偏差表</w:t>
      </w:r>
      <w:bookmarkEnd w:id="120"/>
      <w:bookmarkEnd w:id="121"/>
      <w:bookmarkEnd w:id="122"/>
      <w:bookmarkEnd w:id="123"/>
      <w:bookmarkEnd w:id="124"/>
      <w:bookmarkEnd w:id="125"/>
    </w:p>
    <w:p>
      <w:pPr>
        <w:spacing w:line="440" w:lineRule="exact"/>
        <w:rPr>
          <w:rFonts w:ascii="黑体" w:hAnsi="黑体" w:eastAsia="黑体"/>
          <w:b/>
          <w:sz w:val="32"/>
        </w:rPr>
      </w:pPr>
    </w:p>
    <w:tbl>
      <w:tblPr>
        <w:tblStyle w:val="18"/>
        <w:tblW w:w="0" w:type="auto"/>
        <w:tblInd w:w="10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664"/>
        <w:gridCol w:w="2988"/>
        <w:gridCol w:w="1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73"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664"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采购文件章节及条款号</w:t>
            </w:r>
          </w:p>
        </w:tc>
        <w:tc>
          <w:tcPr>
            <w:tcW w:w="2988"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响应文件章节及条款号</w:t>
            </w:r>
          </w:p>
        </w:tc>
        <w:tc>
          <w:tcPr>
            <w:tcW w:w="1700"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266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298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17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266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298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17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266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298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17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4</w:t>
            </w:r>
          </w:p>
        </w:tc>
        <w:tc>
          <w:tcPr>
            <w:tcW w:w="266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298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17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5</w:t>
            </w:r>
          </w:p>
        </w:tc>
        <w:tc>
          <w:tcPr>
            <w:tcW w:w="266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298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17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73"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w:t>
            </w:r>
          </w:p>
        </w:tc>
        <w:tc>
          <w:tcPr>
            <w:tcW w:w="2664" w:type="dxa"/>
            <w:tcBorders>
              <w:bottom w:val="single" w:color="auto" w:sz="12"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2988" w:type="dxa"/>
            <w:tcBorders>
              <w:bottom w:val="single" w:color="auto" w:sz="12"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c>
          <w:tcPr>
            <w:tcW w:w="1700" w:type="dxa"/>
            <w:tcBorders>
              <w:bottom w:val="single" w:color="auto" w:sz="12"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p>
        </w:tc>
      </w:tr>
    </w:tbl>
    <w:p>
      <w:pPr>
        <w:keepNext w:val="0"/>
        <w:keepLines w:val="0"/>
        <w:pageBreakBefore w:val="0"/>
        <w:widowControl w:val="0"/>
        <w:kinsoku/>
        <w:wordWrap/>
        <w:overflowPunct/>
        <w:topLinePunct w:val="0"/>
        <w:autoSpaceDE/>
        <w:autoSpaceDN/>
        <w:bidi w:val="0"/>
        <w:adjustRightInd/>
        <w:snapToGrid/>
        <w:spacing w:after="120"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供应商保证：除服务要求偏差表列出的偏差外，供应商响应采购文件的全部服务要求，如完全响应招标文件服务要求，则只需在表中填写无偏离或留</w:t>
      </w:r>
      <w:r>
        <w:rPr>
          <w:rFonts w:hint="eastAsia" w:ascii="宋体" w:hAnsi="宋体" w:eastAsia="宋体" w:cs="宋体"/>
          <w:b/>
          <w:bCs/>
          <w:color w:val="auto"/>
          <w:sz w:val="24"/>
          <w:szCs w:val="24"/>
          <w:highlight w:val="none"/>
          <w:lang w:val="en-US" w:eastAsia="zh-CN"/>
        </w:rPr>
        <w:t>空白表</w:t>
      </w:r>
      <w:r>
        <w:rPr>
          <w:rFonts w:hint="eastAsia" w:ascii="宋体" w:hAnsi="宋体" w:eastAsia="宋体" w:cs="宋体"/>
          <w:b/>
          <w:bCs/>
          <w:color w:val="auto"/>
          <w:sz w:val="24"/>
          <w:szCs w:val="24"/>
          <w:highlight w:val="none"/>
        </w:rPr>
        <w:t>即可。</w:t>
      </w:r>
    </w:p>
    <w:p>
      <w:pPr>
        <w:spacing w:after="120" w:line="480" w:lineRule="auto"/>
        <w:rPr>
          <w:rFonts w:ascii="宋体" w:hAnsi="宋体"/>
          <w:b/>
          <w:bCs/>
          <w:color w:val="FF0000"/>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pStyle w:val="9"/>
        <w:tabs>
          <w:tab w:val="left" w:pos="540"/>
        </w:tabs>
        <w:adjustRightInd w:val="0"/>
        <w:snapToGrid w:val="0"/>
        <w:spacing w:line="360" w:lineRule="auto"/>
        <w:jc w:val="left"/>
        <w:rPr>
          <w:rFonts w:hAnsi="宋体" w:cs="宋体"/>
        </w:rPr>
      </w:pPr>
    </w:p>
    <w:p>
      <w:pPr>
        <w:spacing w:line="440" w:lineRule="exact"/>
        <w:jc w:val="center"/>
        <w:outlineLvl w:val="9"/>
        <w:rPr>
          <w:rFonts w:ascii="宋体" w:hAnsi="宋体" w:cs="宋体"/>
          <w:b/>
          <w:spacing w:val="4"/>
          <w:sz w:val="36"/>
          <w:szCs w:val="36"/>
        </w:rPr>
      </w:pPr>
      <w:r>
        <w:rPr>
          <w:rFonts w:hint="eastAsia" w:ascii="宋体" w:hAnsi="宋体" w:cs="宋体"/>
          <w:b/>
          <w:sz w:val="32"/>
          <w:szCs w:val="32"/>
        </w:rPr>
        <w:t>五、法定代表人证明书或</w:t>
      </w:r>
      <w:r>
        <w:rPr>
          <w:rFonts w:hint="eastAsia" w:ascii="宋体" w:hAnsi="宋体" w:cs="宋体"/>
          <w:b/>
          <w:spacing w:val="4"/>
          <w:sz w:val="32"/>
          <w:szCs w:val="32"/>
        </w:rPr>
        <w:t>法人代表授权书</w:t>
      </w:r>
      <w:bookmarkEnd w:id="103"/>
      <w:bookmarkEnd w:id="104"/>
      <w:bookmarkEnd w:id="105"/>
      <w:bookmarkEnd w:id="106"/>
      <w:bookmarkEnd w:id="107"/>
    </w:p>
    <w:p>
      <w:pPr>
        <w:spacing w:line="480" w:lineRule="exact"/>
        <w:jc w:val="center"/>
        <w:rPr>
          <w:rFonts w:ascii="宋体" w:hAnsi="宋体" w:cs="宋体"/>
          <w:b/>
          <w:bCs/>
          <w:color w:val="000000"/>
          <w:sz w:val="28"/>
          <w:szCs w:val="28"/>
        </w:rPr>
      </w:pPr>
      <w:bookmarkStart w:id="126" w:name="_Toc26463_WPSOffice_Level1"/>
      <w:bookmarkStart w:id="127" w:name="_Toc20484"/>
      <w:r>
        <w:rPr>
          <w:rFonts w:hint="eastAsia" w:ascii="宋体" w:hAnsi="宋体" w:cs="宋体"/>
          <w:b/>
          <w:bCs/>
          <w:color w:val="000000"/>
          <w:sz w:val="28"/>
          <w:szCs w:val="28"/>
        </w:rPr>
        <w:t>（1）法定代表人证明书</w:t>
      </w:r>
      <w:bookmarkEnd w:id="126"/>
      <w:bookmarkEnd w:id="127"/>
    </w:p>
    <w:tbl>
      <w:tblPr>
        <w:tblStyle w:val="18"/>
        <w:tblW w:w="90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567"/>
        <w:gridCol w:w="1240"/>
        <w:gridCol w:w="1336"/>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2" w:type="dxa"/>
            <w:gridSpan w:val="5"/>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致：</w:t>
            </w:r>
            <w:r>
              <w:rPr>
                <w:rFonts w:hint="eastAsia" w:ascii="宋体" w:hAnsi="宋体" w:eastAsia="宋体" w:cs="宋体"/>
                <w:sz w:val="24"/>
                <w:szCs w:val="24"/>
              </w:rPr>
              <w:t>亿诚建设项目管理有限公司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restart"/>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Cs/>
                <w:caps/>
                <w:color w:val="000000"/>
                <w:sz w:val="24"/>
                <w:szCs w:val="24"/>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Cs/>
                <w:caps/>
                <w:color w:val="000000"/>
                <w:sz w:val="24"/>
                <w:szCs w:val="24"/>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企</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法</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人</w:t>
            </w:r>
          </w:p>
        </w:tc>
        <w:tc>
          <w:tcPr>
            <w:tcW w:w="256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 xml:space="preserve">企 业 名 称 </w:t>
            </w:r>
          </w:p>
        </w:tc>
        <w:tc>
          <w:tcPr>
            <w:tcW w:w="5257"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c>
          <w:tcPr>
            <w:tcW w:w="256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法 定 地 址</w:t>
            </w:r>
          </w:p>
        </w:tc>
        <w:tc>
          <w:tcPr>
            <w:tcW w:w="5257"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c>
          <w:tcPr>
            <w:tcW w:w="256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邮 政 编 码</w:t>
            </w:r>
          </w:p>
        </w:tc>
        <w:tc>
          <w:tcPr>
            <w:tcW w:w="5257"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c>
          <w:tcPr>
            <w:tcW w:w="256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网       址</w:t>
            </w:r>
          </w:p>
        </w:tc>
        <w:tc>
          <w:tcPr>
            <w:tcW w:w="5257"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c>
          <w:tcPr>
            <w:tcW w:w="256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工商登记机关</w:t>
            </w:r>
          </w:p>
        </w:tc>
        <w:tc>
          <w:tcPr>
            <w:tcW w:w="5257"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ind w:firstLine="2400" w:firstLineChars="1000"/>
              <w:jc w:val="left"/>
              <w:textAlignment w:val="auto"/>
              <w:rPr>
                <w:rFonts w:hint="eastAsia" w:ascii="宋体" w:hAnsi="宋体" w:eastAsia="宋体" w:cs="宋体"/>
                <w:bCs/>
                <w:cap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18"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c>
          <w:tcPr>
            <w:tcW w:w="2567" w:type="dxa"/>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税务登记机关</w:t>
            </w:r>
          </w:p>
        </w:tc>
        <w:tc>
          <w:tcPr>
            <w:tcW w:w="5257"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c>
          <w:tcPr>
            <w:tcW w:w="256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机构代码证号（</w:t>
            </w:r>
            <w:r>
              <w:rPr>
                <w:rFonts w:hint="eastAsia" w:ascii="宋体" w:hAnsi="宋体" w:eastAsia="宋体" w:cs="宋体"/>
                <w:bCs/>
                <w:caps/>
                <w:color w:val="000000"/>
                <w:kern w:val="0"/>
                <w:sz w:val="24"/>
                <w:szCs w:val="24"/>
              </w:rPr>
              <w:t>或统一社会信用代码证</w:t>
            </w:r>
            <w:r>
              <w:rPr>
                <w:rFonts w:hint="eastAsia" w:ascii="宋体" w:hAnsi="宋体" w:eastAsia="宋体" w:cs="宋体"/>
                <w:bCs/>
                <w:caps/>
                <w:color w:val="000000"/>
                <w:sz w:val="24"/>
                <w:szCs w:val="24"/>
              </w:rPr>
              <w:t>号）</w:t>
            </w:r>
          </w:p>
        </w:tc>
        <w:tc>
          <w:tcPr>
            <w:tcW w:w="5257"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法 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代 表</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ind w:firstLine="240" w:firstLineChars="100"/>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人</w:t>
            </w:r>
          </w:p>
        </w:tc>
        <w:tc>
          <w:tcPr>
            <w:tcW w:w="256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姓    名</w:t>
            </w:r>
          </w:p>
        </w:tc>
        <w:tc>
          <w:tcPr>
            <w:tcW w:w="124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性    别</w:t>
            </w:r>
          </w:p>
        </w:tc>
        <w:tc>
          <w:tcPr>
            <w:tcW w:w="2681"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c>
          <w:tcPr>
            <w:tcW w:w="256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职    务</w:t>
            </w:r>
          </w:p>
        </w:tc>
        <w:tc>
          <w:tcPr>
            <w:tcW w:w="124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联系电话</w:t>
            </w:r>
          </w:p>
        </w:tc>
        <w:tc>
          <w:tcPr>
            <w:tcW w:w="2681"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18"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c>
          <w:tcPr>
            <w:tcW w:w="256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传    真</w:t>
            </w:r>
          </w:p>
        </w:tc>
        <w:tc>
          <w:tcPr>
            <w:tcW w:w="5257"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218" w:type="dxa"/>
            <w:vMerge w:val="restart"/>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法定代表人身份证复印件</w:t>
            </w:r>
          </w:p>
        </w:tc>
        <w:tc>
          <w:tcPr>
            <w:tcW w:w="3807" w:type="dxa"/>
            <w:gridSpan w:val="2"/>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caps/>
                <w:color w:val="000000"/>
                <w:sz w:val="24"/>
                <w:szCs w:val="24"/>
              </w:rPr>
            </w:pPr>
            <w:r>
              <w:rPr>
                <w:rFonts w:hint="eastAsia" w:ascii="宋体" w:hAnsi="宋体" w:eastAsia="宋体" w:cs="宋体"/>
                <w:color w:val="000000"/>
                <w:spacing w:val="-4"/>
                <w:sz w:val="24"/>
                <w:szCs w:val="24"/>
              </w:rPr>
              <w:t>二代身份证双面</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ind w:firstLine="960" w:firstLineChars="400"/>
              <w:jc w:val="center"/>
              <w:textAlignment w:val="auto"/>
              <w:rPr>
                <w:rFonts w:hint="eastAsia" w:ascii="宋体" w:hAnsi="宋体" w:eastAsia="宋体" w:cs="宋体"/>
                <w:bCs/>
                <w:caps/>
                <w:color w:val="000000"/>
                <w:sz w:val="24"/>
                <w:szCs w:val="24"/>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caps/>
                <w:color w:val="000000"/>
                <w:sz w:val="24"/>
                <w:szCs w:val="24"/>
              </w:rPr>
            </w:pPr>
          </w:p>
        </w:tc>
        <w:tc>
          <w:tcPr>
            <w:tcW w:w="4017"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法定代表人/负责人：</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1218"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c>
          <w:tcPr>
            <w:tcW w:w="3807" w:type="dxa"/>
            <w:gridSpan w:val="2"/>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tc>
        <w:tc>
          <w:tcPr>
            <w:tcW w:w="4017"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ind w:firstLine="120" w:firstLineChars="50"/>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400" w:lineRule="exact"/>
              <w:ind w:firstLine="1440" w:firstLineChars="600"/>
              <w:jc w:val="left"/>
              <w:textAlignment w:val="auto"/>
              <w:rPr>
                <w:rFonts w:hint="eastAsia" w:ascii="宋体" w:hAnsi="宋体" w:eastAsia="宋体" w:cs="宋体"/>
                <w:bCs/>
                <w:caps/>
                <w:color w:val="000000"/>
                <w:sz w:val="24"/>
                <w:szCs w:val="24"/>
              </w:rPr>
            </w:pPr>
            <w:r>
              <w:rPr>
                <w:rFonts w:hint="eastAsia" w:ascii="宋体" w:hAnsi="宋体" w:eastAsia="宋体" w:cs="宋体"/>
                <w:bCs/>
                <w:caps/>
                <w:color w:val="000000"/>
                <w:sz w:val="24"/>
                <w:szCs w:val="24"/>
              </w:rPr>
              <w:t>年  月  日</w:t>
            </w:r>
          </w:p>
        </w:tc>
      </w:tr>
    </w:tbl>
    <w:p>
      <w:pPr>
        <w:spacing w:line="480" w:lineRule="exact"/>
        <w:jc w:val="both"/>
        <w:rPr>
          <w:rFonts w:hint="eastAsia" w:ascii="宋体" w:hAnsi="宋体" w:cs="宋体"/>
          <w:b/>
          <w:bCs/>
          <w:color w:val="000000"/>
          <w:sz w:val="28"/>
          <w:szCs w:val="28"/>
        </w:rPr>
      </w:pPr>
    </w:p>
    <w:p>
      <w:pPr>
        <w:spacing w:line="480" w:lineRule="exact"/>
        <w:jc w:val="both"/>
        <w:rPr>
          <w:rFonts w:hint="eastAsia" w:ascii="宋体" w:hAnsi="宋体" w:cs="宋体"/>
          <w:b/>
          <w:bCs/>
          <w:color w:val="000000"/>
          <w:sz w:val="28"/>
          <w:szCs w:val="28"/>
        </w:rPr>
      </w:pPr>
    </w:p>
    <w:p>
      <w:pPr>
        <w:spacing w:line="480" w:lineRule="exact"/>
        <w:jc w:val="both"/>
        <w:rPr>
          <w:rFonts w:hint="eastAsia" w:ascii="宋体" w:hAnsi="宋体" w:cs="宋体"/>
          <w:b/>
          <w:bCs/>
          <w:color w:val="000000"/>
          <w:sz w:val="28"/>
          <w:szCs w:val="28"/>
        </w:rPr>
      </w:pPr>
    </w:p>
    <w:p>
      <w:pPr>
        <w:spacing w:line="480" w:lineRule="exact"/>
        <w:jc w:val="both"/>
        <w:rPr>
          <w:rFonts w:hint="eastAsia" w:ascii="宋体" w:hAnsi="宋体" w:cs="宋体"/>
          <w:b/>
          <w:bCs/>
          <w:color w:val="000000"/>
          <w:sz w:val="28"/>
          <w:szCs w:val="28"/>
        </w:rPr>
      </w:pPr>
    </w:p>
    <w:p>
      <w:pPr>
        <w:spacing w:line="480" w:lineRule="exact"/>
        <w:jc w:val="both"/>
        <w:rPr>
          <w:rFonts w:hint="eastAsia" w:ascii="宋体" w:hAnsi="宋体" w:cs="宋体"/>
          <w:b/>
          <w:bCs/>
          <w:color w:val="000000"/>
          <w:sz w:val="28"/>
          <w:szCs w:val="28"/>
        </w:rPr>
      </w:pPr>
    </w:p>
    <w:p>
      <w:pPr>
        <w:spacing w:line="480" w:lineRule="exact"/>
        <w:jc w:val="both"/>
        <w:rPr>
          <w:rFonts w:hint="eastAsia" w:ascii="宋体" w:hAnsi="宋体" w:cs="宋体"/>
          <w:b/>
          <w:bCs/>
          <w:color w:val="000000"/>
          <w:sz w:val="28"/>
          <w:szCs w:val="28"/>
        </w:rPr>
      </w:pPr>
    </w:p>
    <w:p>
      <w:pPr>
        <w:spacing w:line="480" w:lineRule="exact"/>
        <w:jc w:val="center"/>
        <w:rPr>
          <w:rFonts w:hint="eastAsia" w:ascii="宋体" w:hAnsi="宋体" w:cs="宋体"/>
          <w:b/>
          <w:bCs/>
          <w:color w:val="000000"/>
          <w:sz w:val="28"/>
          <w:szCs w:val="28"/>
        </w:rPr>
      </w:pPr>
    </w:p>
    <w:p>
      <w:pPr>
        <w:spacing w:line="480" w:lineRule="exact"/>
        <w:jc w:val="center"/>
        <w:rPr>
          <w:rFonts w:ascii="宋体" w:hAnsi="宋体" w:cs="宋体"/>
          <w:b/>
          <w:bCs/>
          <w:color w:val="000000"/>
          <w:sz w:val="28"/>
          <w:szCs w:val="28"/>
        </w:rPr>
      </w:pPr>
      <w:r>
        <w:rPr>
          <w:rFonts w:hint="eastAsia" w:ascii="宋体" w:hAnsi="宋体" w:cs="宋体"/>
          <w:b/>
          <w:bCs/>
          <w:color w:val="000000"/>
          <w:sz w:val="28"/>
          <w:szCs w:val="28"/>
        </w:rPr>
        <w:t>（2）法定代表人授权书</w:t>
      </w:r>
    </w:p>
    <w:p>
      <w:pPr>
        <w:spacing w:line="480" w:lineRule="exact"/>
        <w:rPr>
          <w:rFonts w:ascii="宋体" w:hAnsi="宋体" w:cs="宋体"/>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rPr>
      </w:pPr>
      <w:r>
        <w:rPr>
          <w:rFonts w:hint="eastAsia" w:ascii="宋体" w:hAnsi="宋体" w:cs="宋体"/>
          <w:spacing w:val="4"/>
          <w:sz w:val="24"/>
          <w:szCs w:val="24"/>
        </w:rPr>
        <w:t>致：亿诚建设项目管理有限公司</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jc w:val="left"/>
        <w:textAlignment w:val="auto"/>
        <w:rPr>
          <w:rFonts w:ascii="宋体" w:hAnsi="宋体" w:cs="宋体"/>
          <w:spacing w:val="4"/>
          <w:sz w:val="24"/>
          <w:szCs w:val="24"/>
        </w:rPr>
      </w:pPr>
      <w:r>
        <w:rPr>
          <w:rFonts w:hint="eastAsia" w:ascii="宋体" w:hAnsi="宋体" w:cs="宋体"/>
          <w:spacing w:val="4"/>
          <w:sz w:val="24"/>
          <w:szCs w:val="24"/>
          <w:u w:val="single"/>
        </w:rPr>
        <w:t xml:space="preserve">（供应商名称） </w:t>
      </w:r>
      <w:r>
        <w:rPr>
          <w:rFonts w:hint="eastAsia" w:ascii="宋体" w:hAnsi="宋体" w:cs="宋体"/>
          <w:spacing w:val="4"/>
          <w:sz w:val="24"/>
          <w:szCs w:val="24"/>
        </w:rPr>
        <w:t>按中华人民共和国法律于</w:t>
      </w:r>
      <w:r>
        <w:rPr>
          <w:rFonts w:hint="eastAsia" w:ascii="宋体" w:hAnsi="宋体" w:cs="宋体"/>
          <w:spacing w:val="4"/>
          <w:sz w:val="24"/>
          <w:szCs w:val="24"/>
          <w:u w:val="single"/>
        </w:rPr>
        <w:t>（     年    月    日）</w:t>
      </w:r>
      <w:r>
        <w:rPr>
          <w:rFonts w:hint="eastAsia" w:ascii="宋体" w:hAnsi="宋体" w:cs="宋体"/>
          <w:spacing w:val="4"/>
          <w:sz w:val="24"/>
          <w:szCs w:val="24"/>
        </w:rPr>
        <w:t>成立。</w:t>
      </w:r>
      <w:r>
        <w:rPr>
          <w:rFonts w:hint="eastAsia" w:ascii="宋体" w:hAnsi="宋体" w:cs="宋体"/>
          <w:spacing w:val="4"/>
          <w:sz w:val="24"/>
          <w:szCs w:val="24"/>
          <w:u w:val="single"/>
        </w:rPr>
        <w:t>（法定代表人姓名）</w:t>
      </w:r>
      <w:r>
        <w:rPr>
          <w:rFonts w:hint="eastAsia" w:ascii="宋体" w:hAnsi="宋体" w:cs="宋体"/>
          <w:spacing w:val="4"/>
          <w:sz w:val="24"/>
          <w:szCs w:val="24"/>
        </w:rPr>
        <w:t>特授权</w:t>
      </w:r>
      <w:r>
        <w:rPr>
          <w:rFonts w:hint="eastAsia" w:ascii="宋体" w:hAnsi="宋体" w:cs="宋体"/>
          <w:spacing w:val="4"/>
          <w:sz w:val="24"/>
          <w:szCs w:val="24"/>
          <w:u w:val="single"/>
        </w:rPr>
        <w:t>（被授权人姓名）</w:t>
      </w:r>
      <w:r>
        <w:rPr>
          <w:rFonts w:hint="eastAsia" w:ascii="宋体" w:hAnsi="宋体" w:cs="宋体"/>
          <w:spacing w:val="4"/>
          <w:sz w:val="24"/>
          <w:szCs w:val="24"/>
        </w:rPr>
        <w:t xml:space="preserve">代表我公司全权办理针对本次政府采购 </w:t>
      </w:r>
      <w:r>
        <w:rPr>
          <w:rFonts w:hint="eastAsia" w:ascii="宋体" w:hAnsi="宋体" w:cs="宋体"/>
          <w:spacing w:val="4"/>
          <w:sz w:val="24"/>
          <w:szCs w:val="24"/>
          <w:u w:val="single"/>
        </w:rPr>
        <w:t>（项目名称和项目编号）</w:t>
      </w:r>
      <w:r>
        <w:rPr>
          <w:rFonts w:hint="eastAsia" w:ascii="宋体" w:hAnsi="宋体" w:cs="宋体"/>
          <w:spacing w:val="4"/>
          <w:sz w:val="24"/>
          <w:szCs w:val="24"/>
        </w:rPr>
        <w:t>项目的谈判响应、谈判、签约等具体工作，并签署全部有关的文件、协议及合同。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jc w:val="left"/>
        <w:textAlignment w:val="auto"/>
        <w:rPr>
          <w:rFonts w:ascii="宋体" w:hAnsi="宋体" w:cs="宋体"/>
          <w:spacing w:val="4"/>
          <w:sz w:val="24"/>
          <w:szCs w:val="24"/>
        </w:rPr>
      </w:pPr>
      <w:r>
        <w:rPr>
          <w:rFonts w:hint="eastAsia" w:ascii="宋体" w:hAnsi="宋体" w:cs="宋体"/>
          <w:spacing w:val="4"/>
          <w:sz w:val="24"/>
          <w:szCs w:val="24"/>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jc w:val="left"/>
        <w:textAlignment w:val="auto"/>
        <w:rPr>
          <w:rFonts w:ascii="宋体" w:hAnsi="宋体" w:cs="宋体"/>
          <w:spacing w:val="4"/>
          <w:sz w:val="24"/>
          <w:szCs w:val="24"/>
        </w:rPr>
      </w:pPr>
      <w:r>
        <w:rPr>
          <w:rFonts w:hint="eastAsia" w:ascii="宋体" w:hAnsi="宋体" w:cs="宋体"/>
          <w:spacing w:val="4"/>
          <w:sz w:val="24"/>
          <w:szCs w:val="24"/>
        </w:rPr>
        <w:t>本授权书于</w:t>
      </w:r>
      <w:r>
        <w:rPr>
          <w:rFonts w:hint="eastAsia" w:ascii="宋体" w:hAnsi="宋体" w:cs="宋体"/>
          <w:spacing w:val="4"/>
          <w:sz w:val="24"/>
          <w:szCs w:val="24"/>
          <w:u w:val="single"/>
        </w:rPr>
        <w:t xml:space="preserve">      年     月     </w:t>
      </w:r>
      <w:r>
        <w:rPr>
          <w:rFonts w:hint="eastAsia" w:ascii="宋体" w:hAnsi="宋体" w:cs="宋体"/>
          <w:spacing w:val="4"/>
          <w:sz w:val="24"/>
          <w:szCs w:val="24"/>
        </w:rPr>
        <w:t>日签字生效，特此证明。</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jc w:val="left"/>
        <w:textAlignment w:val="auto"/>
        <w:rPr>
          <w:rFonts w:ascii="宋体" w:hAnsi="宋体" w:cs="宋体"/>
          <w:spacing w:val="4"/>
          <w:sz w:val="24"/>
          <w:szCs w:val="24"/>
        </w:rPr>
      </w:pPr>
    </w:p>
    <w:tbl>
      <w:tblPr>
        <w:tblStyle w:val="18"/>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rPr>
            </w:pPr>
            <w:r>
              <w:rPr>
                <w:rFonts w:hint="eastAsia" w:ascii="宋体" w:hAnsi="宋体" w:cs="宋体"/>
                <w:spacing w:val="4"/>
                <w:sz w:val="24"/>
                <w:szCs w:val="24"/>
              </w:rPr>
              <w:t>被授权人（签字或盖章）：</w:t>
            </w:r>
          </w:p>
        </w:tc>
        <w:tc>
          <w:tcPr>
            <w:tcW w:w="384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rPr>
            </w:pPr>
            <w:r>
              <w:rPr>
                <w:rFonts w:hint="eastAsia" w:ascii="宋体" w:hAnsi="宋体" w:cs="宋体"/>
                <w:spacing w:val="4"/>
                <w:sz w:val="24"/>
                <w:szCs w:val="24"/>
              </w:rPr>
              <w:t>法定代表人（签字或盖章）：</w:t>
            </w:r>
          </w:p>
        </w:tc>
      </w:tr>
      <w:tr>
        <w:tblPrEx>
          <w:tblCellMar>
            <w:top w:w="0" w:type="dxa"/>
            <w:left w:w="108" w:type="dxa"/>
            <w:bottom w:w="0" w:type="dxa"/>
            <w:right w:w="108" w:type="dxa"/>
          </w:tblCellMar>
        </w:tblPrEx>
        <w:trPr>
          <w:trHeight w:val="600" w:hRule="atLeast"/>
        </w:trPr>
        <w:tc>
          <w:tcPr>
            <w:tcW w:w="404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rPr>
            </w:pPr>
            <w:r>
              <w:rPr>
                <w:rFonts w:hint="eastAsia" w:ascii="宋体" w:hAnsi="宋体" w:cs="宋体"/>
                <w:spacing w:val="4"/>
                <w:sz w:val="24"/>
                <w:szCs w:val="24"/>
              </w:rPr>
              <w:t>职务：</w:t>
            </w:r>
          </w:p>
        </w:tc>
        <w:tc>
          <w:tcPr>
            <w:tcW w:w="384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rPr>
            </w:pPr>
            <w:r>
              <w:rPr>
                <w:rFonts w:hint="eastAsia" w:ascii="宋体" w:hAnsi="宋体" w:cs="宋体"/>
                <w:spacing w:val="4"/>
                <w:sz w:val="24"/>
                <w:szCs w:val="24"/>
              </w:rPr>
              <w:t>职务：</w:t>
            </w:r>
          </w:p>
        </w:tc>
      </w:tr>
      <w:tr>
        <w:tblPrEx>
          <w:tblCellMar>
            <w:top w:w="0" w:type="dxa"/>
            <w:left w:w="108" w:type="dxa"/>
            <w:bottom w:w="0" w:type="dxa"/>
            <w:right w:w="108" w:type="dxa"/>
          </w:tblCellMar>
        </w:tblPrEx>
        <w:trPr>
          <w:trHeight w:val="600" w:hRule="atLeast"/>
        </w:trPr>
        <w:tc>
          <w:tcPr>
            <w:tcW w:w="404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rPr>
            </w:pPr>
            <w:r>
              <w:rPr>
                <w:rFonts w:hint="eastAsia" w:ascii="宋体" w:hAnsi="宋体" w:cs="宋体"/>
                <w:spacing w:val="4"/>
                <w:sz w:val="24"/>
                <w:szCs w:val="24"/>
              </w:rPr>
              <w:t>所在部门：</w:t>
            </w:r>
          </w:p>
        </w:tc>
        <w:tc>
          <w:tcPr>
            <w:tcW w:w="384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96" w:firstLineChars="200"/>
        <w:jc w:val="left"/>
        <w:textAlignment w:val="auto"/>
        <w:rPr>
          <w:rFonts w:ascii="宋体" w:hAnsi="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10"/>
        <w:textAlignment w:val="auto"/>
        <w:rPr>
          <w:rFonts w:ascii="宋体" w:hAnsi="宋体" w:cs="宋体"/>
          <w:spacing w:val="4"/>
          <w:sz w:val="24"/>
          <w:szCs w:val="24"/>
        </w:rPr>
      </w:pPr>
      <w:r>
        <w:rPr>
          <w:rFonts w:hint="eastAsia" w:ascii="宋体" w:hAnsi="宋体" w:cs="宋体"/>
          <w:spacing w:val="4"/>
          <w:sz w:val="24"/>
          <w:szCs w:val="24"/>
        </w:rPr>
        <w:t>附：法定代表人、被授权人身份证复印件</w:t>
      </w:r>
    </w:p>
    <w:p>
      <w:pPr>
        <w:keepNext w:val="0"/>
        <w:keepLines w:val="0"/>
        <w:pageBreakBefore w:val="0"/>
        <w:widowControl w:val="0"/>
        <w:kinsoku/>
        <w:wordWrap/>
        <w:overflowPunct/>
        <w:topLinePunct w:val="0"/>
        <w:autoSpaceDE/>
        <w:autoSpaceDN/>
        <w:bidi w:val="0"/>
        <w:adjustRightInd/>
        <w:snapToGrid/>
        <w:spacing w:line="400" w:lineRule="exact"/>
        <w:ind w:firstLine="510"/>
        <w:textAlignment w:val="auto"/>
        <w:rPr>
          <w:rFonts w:ascii="宋体" w:hAnsi="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10"/>
        <w:textAlignment w:val="auto"/>
        <w:rPr>
          <w:rFonts w:ascii="宋体" w:hAnsi="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10"/>
        <w:textAlignment w:val="auto"/>
        <w:rPr>
          <w:rFonts w:ascii="宋体" w:hAnsi="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10"/>
        <w:textAlignment w:val="auto"/>
        <w:rPr>
          <w:rFonts w:ascii="宋体" w:hAnsi="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10"/>
        <w:textAlignment w:val="auto"/>
        <w:rPr>
          <w:rFonts w:ascii="宋体" w:hAnsi="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10"/>
        <w:textAlignment w:val="auto"/>
        <w:rPr>
          <w:rFonts w:ascii="宋体" w:hAnsi="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372" w:firstLineChars="150"/>
        <w:textAlignment w:val="auto"/>
        <w:rPr>
          <w:rFonts w:ascii="宋体" w:hAnsi="宋体" w:cs="宋体"/>
          <w:spacing w:val="4"/>
          <w:sz w:val="24"/>
          <w:szCs w:val="24"/>
        </w:rPr>
      </w:pPr>
      <w:r>
        <w:rPr>
          <w:rFonts w:hint="eastAsia" w:ascii="宋体" w:hAnsi="宋体" w:cs="宋体"/>
          <w:spacing w:val="4"/>
          <w:sz w:val="24"/>
          <w:szCs w:val="24"/>
        </w:rPr>
        <w:t>供应商名称</w:t>
      </w:r>
      <w:r>
        <w:rPr>
          <w:rFonts w:hint="eastAsia" w:ascii="宋体" w:hAnsi="宋体" w:cs="宋体"/>
          <w:spacing w:val="4"/>
          <w:sz w:val="24"/>
          <w:szCs w:val="24"/>
          <w:lang w:eastAsia="zh-CN"/>
        </w:rPr>
        <w:t>（</w:t>
      </w:r>
      <w:r>
        <w:rPr>
          <w:rFonts w:hint="eastAsia" w:ascii="宋体" w:hAnsi="宋体" w:cs="宋体"/>
          <w:spacing w:val="4"/>
          <w:sz w:val="24"/>
          <w:szCs w:val="24"/>
          <w:lang w:val="en-US" w:eastAsia="zh-CN"/>
        </w:rPr>
        <w:t>盖章</w:t>
      </w:r>
      <w:r>
        <w:rPr>
          <w:rFonts w:hint="eastAsia" w:ascii="宋体" w:hAnsi="宋体" w:cs="宋体"/>
          <w:spacing w:val="4"/>
          <w:sz w:val="24"/>
          <w:szCs w:val="24"/>
          <w:lang w:eastAsia="zh-CN"/>
        </w:rPr>
        <w:t>）</w:t>
      </w:r>
      <w:r>
        <w:rPr>
          <w:rFonts w:hint="eastAsia" w:ascii="宋体" w:hAnsi="宋体" w:cs="宋体"/>
          <w:spacing w:val="4"/>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372" w:firstLineChars="150"/>
        <w:textAlignment w:val="auto"/>
        <w:rPr>
          <w:rFonts w:ascii="宋体" w:hAnsi="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250"/>
        <w:textAlignment w:val="auto"/>
        <w:rPr>
          <w:rFonts w:ascii="宋体" w:hAnsi="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pacing w:val="4"/>
          <w:sz w:val="24"/>
          <w:szCs w:val="24"/>
          <w:u w:val="single"/>
        </w:rPr>
      </w:pPr>
    </w:p>
    <w:p>
      <w:pPr>
        <w:spacing w:line="360" w:lineRule="auto"/>
        <w:ind w:left="1"/>
        <w:jc w:val="center"/>
        <w:outlineLvl w:val="9"/>
        <w:rPr>
          <w:rFonts w:ascii="宋体" w:hAnsi="宋体" w:cs="宋体"/>
          <w:b/>
          <w:sz w:val="36"/>
          <w:szCs w:val="36"/>
        </w:rPr>
      </w:pPr>
      <w:r>
        <w:rPr>
          <w:rFonts w:hint="eastAsia" w:ascii="宋体" w:hAnsi="宋体" w:cs="宋体"/>
          <w:b/>
          <w:sz w:val="36"/>
          <w:szCs w:val="36"/>
        </w:rPr>
        <w:br w:type="page"/>
      </w:r>
      <w:bookmarkStart w:id="128" w:name="_Toc27234"/>
      <w:bookmarkStart w:id="129" w:name="_Toc4021"/>
      <w:bookmarkStart w:id="130" w:name="_Toc26378"/>
      <w:bookmarkStart w:id="131" w:name="_Toc7229"/>
      <w:bookmarkStart w:id="132" w:name="_Toc21602"/>
      <w:bookmarkStart w:id="133" w:name="_Toc22817"/>
      <w:bookmarkStart w:id="134" w:name="_Toc17364"/>
      <w:bookmarkStart w:id="135" w:name="_Toc23111"/>
      <w:bookmarkStart w:id="136" w:name="_Toc2178"/>
      <w:bookmarkStart w:id="137" w:name="_Toc10808"/>
      <w:r>
        <w:rPr>
          <w:rFonts w:hint="eastAsia" w:ascii="宋体" w:hAnsi="宋体" w:cs="宋体"/>
          <w:b/>
          <w:sz w:val="32"/>
          <w:szCs w:val="32"/>
        </w:rPr>
        <w:t>六、资格证明文件</w:t>
      </w:r>
      <w:bookmarkEnd w:id="128"/>
      <w:bookmarkEnd w:id="129"/>
      <w:bookmarkEnd w:id="130"/>
      <w:bookmarkEnd w:id="131"/>
      <w:bookmarkEnd w:id="132"/>
    </w:p>
    <w:p>
      <w:pPr>
        <w:pStyle w:val="1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eastAsia="宋体" w:cs="宋体"/>
          <w:color w:val="000000"/>
          <w:kern w:val="0"/>
          <w:sz w:val="24"/>
          <w:szCs w:val="24"/>
          <w:highlight w:val="none"/>
          <w:lang w:val="en-US" w:eastAsia="zh-CN" w:bidi="ar-SA"/>
        </w:rPr>
        <w:t>具有独立承担民事责任的能力。提供注册登记凭证（营业执照、其他组织经营的合法凭证，自然人的提供身份证明文件）</w:t>
      </w:r>
      <w:r>
        <w:rPr>
          <w:rFonts w:hint="eastAsia" w:ascii="宋体" w:hAnsi="宋体" w:cs="宋体"/>
          <w:color w:val="000000"/>
          <w:sz w:val="24"/>
          <w:szCs w:val="24"/>
        </w:rPr>
        <w:t>；</w:t>
      </w:r>
    </w:p>
    <w:p>
      <w:pPr>
        <w:pStyle w:val="1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color w:val="000000"/>
          <w:sz w:val="24"/>
          <w:szCs w:val="24"/>
        </w:rPr>
      </w:pPr>
      <w:r>
        <w:rPr>
          <w:rFonts w:hint="eastAsia" w:ascii="宋体" w:hAnsi="宋体" w:cs="宋体"/>
          <w:color w:val="000000"/>
          <w:sz w:val="24"/>
          <w:szCs w:val="24"/>
        </w:rPr>
        <w:t xml:space="preserve">（2）法定代表人授权书（附法定代表人身份证复印件）及被授权人身份证（法定代表人直接参加谈判只须提供法定代表人身份证）； </w:t>
      </w:r>
    </w:p>
    <w:p>
      <w:pPr>
        <w:pStyle w:val="1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color w:val="000000"/>
          <w:sz w:val="24"/>
          <w:szCs w:val="24"/>
        </w:rPr>
      </w:pPr>
      <w:r>
        <w:rPr>
          <w:rFonts w:hint="eastAsia" w:ascii="宋体" w:hAnsi="宋体" w:cs="宋体"/>
          <w:color w:val="000000"/>
          <w:sz w:val="24"/>
          <w:szCs w:val="24"/>
        </w:rPr>
        <w:t xml:space="preserve">（3）财务状况报告：须提供近3年任意一年度的财务报表或具有财务审计资质的单位出具的财务报告（至少包括资产负债表和利润表，成立时间至提交响应文件截止时间不足一年的可提供成立后任意时段的资产负债表），或银行出具的资信证明； </w:t>
      </w:r>
    </w:p>
    <w:p>
      <w:pPr>
        <w:pStyle w:val="1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color w:val="000000"/>
          <w:sz w:val="24"/>
          <w:szCs w:val="24"/>
        </w:rPr>
      </w:pPr>
      <w:r>
        <w:rPr>
          <w:rFonts w:hint="eastAsia" w:ascii="宋体" w:hAnsi="宋体" w:cs="宋体"/>
          <w:color w:val="000000"/>
          <w:sz w:val="24"/>
          <w:szCs w:val="24"/>
        </w:rPr>
        <w:t xml:space="preserve">（4）税收缴纳证明：提供上一年度至今已缴纳的至少一个月的纳税证明或完税证明，依法免税的单位应提供相关证明材料； </w:t>
      </w:r>
    </w:p>
    <w:p>
      <w:pPr>
        <w:pStyle w:val="1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color w:val="000000"/>
          <w:sz w:val="24"/>
          <w:szCs w:val="24"/>
        </w:rPr>
      </w:pPr>
      <w:r>
        <w:rPr>
          <w:rFonts w:hint="eastAsia" w:ascii="宋体" w:hAnsi="宋体" w:cs="宋体"/>
          <w:color w:val="000000"/>
          <w:sz w:val="24"/>
          <w:szCs w:val="24"/>
        </w:rPr>
        <w:t xml:space="preserve">（5）社会保障资金缴纳证明：提供上一年度至今已缴存的至少一个月的有效社会保障资金缴纳证明。依法不需要缴纳社会保障资金的单位应提供相关证明材料； </w:t>
      </w:r>
    </w:p>
    <w:p>
      <w:pPr>
        <w:pStyle w:val="1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color w:val="000000"/>
          <w:sz w:val="24"/>
          <w:szCs w:val="24"/>
        </w:rPr>
      </w:pPr>
      <w:r>
        <w:rPr>
          <w:rFonts w:hint="eastAsia" w:ascii="宋体" w:hAnsi="宋体" w:cs="宋体"/>
          <w:color w:val="000000"/>
          <w:sz w:val="24"/>
          <w:szCs w:val="24"/>
        </w:rPr>
        <w:t>（6）提供具有履行本项目所必需的设备和专业技术能力的说明及承诺；</w:t>
      </w:r>
    </w:p>
    <w:p>
      <w:pPr>
        <w:pStyle w:val="1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color w:val="000000"/>
          <w:sz w:val="24"/>
          <w:szCs w:val="24"/>
        </w:rPr>
      </w:pPr>
      <w:r>
        <w:rPr>
          <w:rFonts w:hint="eastAsia" w:ascii="宋体" w:hAnsi="宋体" w:cs="宋体"/>
          <w:color w:val="000000"/>
          <w:sz w:val="24"/>
          <w:szCs w:val="24"/>
        </w:rPr>
        <w:t>（7）供应商参加采购活动近三年内经营活动中无重大违法记录声明；</w:t>
      </w:r>
    </w:p>
    <w:p>
      <w:pPr>
        <w:pStyle w:val="1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bCs/>
          <w:sz w:val="24"/>
          <w:szCs w:val="24"/>
        </w:rPr>
      </w:pPr>
      <w:r>
        <w:rPr>
          <w:rFonts w:hint="eastAsia" w:ascii="宋体" w:hAnsi="宋体" w:cs="宋体"/>
          <w:bCs/>
          <w:sz w:val="24"/>
          <w:szCs w:val="24"/>
        </w:rPr>
        <w:t>（8）供应商不得为“信用中国”网站（www.creditchina.gov.cn）中列入失信被执行人和</w:t>
      </w:r>
      <w:r>
        <w:rPr>
          <w:rFonts w:hint="eastAsia" w:ascii="宋体" w:hAnsi="宋体" w:eastAsia="宋体" w:cs="宋体"/>
          <w:i w:val="0"/>
          <w:caps w:val="0"/>
          <w:color w:val="000000" w:themeColor="text1"/>
          <w:spacing w:val="0"/>
          <w:sz w:val="24"/>
          <w:szCs w:val="24"/>
          <w:highlight w:val="none"/>
          <w:shd w:val="clear" w:color="auto" w:fill="FFFFFF"/>
          <w14:textFill>
            <w14:solidFill>
              <w14:schemeClr w14:val="tx1"/>
            </w14:solidFill>
          </w14:textFill>
        </w:rPr>
        <w:t>重大税收违法</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失信主体</w:t>
      </w:r>
      <w:r>
        <w:rPr>
          <w:rFonts w:hint="eastAsia" w:ascii="宋体" w:hAnsi="宋体" w:cs="宋体"/>
          <w:bCs/>
          <w:sz w:val="24"/>
          <w:szCs w:val="24"/>
        </w:rPr>
        <w:t>名单的供应商，不得为中国政府采购网（www.ccgp.gov.cn）政府采购严重违法失信行为记录名单中被财政部门禁止参加政府采购活动的供应商（提供购买标书当日起至开标截止前任意一天内的信用查询截图并加盖公章）</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宋体" w:hAnsi="宋体" w:cs="宋体"/>
          <w:sz w:val="24"/>
          <w:szCs w:val="24"/>
        </w:rPr>
      </w:pPr>
      <w:r>
        <w:rPr>
          <w:rFonts w:hint="eastAsia" w:ascii="宋体" w:hAnsi="宋体" w:cs="宋体"/>
          <w:color w:val="000000"/>
          <w:sz w:val="24"/>
          <w:szCs w:val="24"/>
        </w:rPr>
        <w:t>（9）本项目不接受联合体投标</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left="1"/>
        <w:textAlignment w:val="auto"/>
        <w:outlineLvl w:val="9"/>
        <w:rPr>
          <w:rFonts w:ascii="宋体" w:hAnsi="宋体" w:cs="宋体"/>
          <w:b/>
          <w:sz w:val="24"/>
          <w:szCs w:val="24"/>
        </w:rPr>
      </w:pPr>
      <w:bookmarkStart w:id="138" w:name="_Toc7515"/>
      <w:bookmarkStart w:id="139" w:name="_Toc13994"/>
      <w:bookmarkStart w:id="140" w:name="_Toc2210"/>
      <w:bookmarkStart w:id="141" w:name="_Toc15802"/>
    </w:p>
    <w:p>
      <w:pPr>
        <w:pStyle w:val="2"/>
        <w:rPr>
          <w:rFonts w:ascii="宋体" w:hAnsi="宋体" w:cs="宋体"/>
          <w:b/>
          <w:szCs w:val="24"/>
        </w:rPr>
      </w:pPr>
    </w:p>
    <w:p>
      <w:pPr>
        <w:rPr>
          <w:rFonts w:ascii="宋体" w:hAnsi="宋体" w:cs="宋体"/>
          <w:b/>
          <w:sz w:val="24"/>
          <w:szCs w:val="24"/>
        </w:rPr>
      </w:pPr>
    </w:p>
    <w:p>
      <w:pPr>
        <w:pStyle w:val="2"/>
        <w:rPr>
          <w:rFonts w:ascii="宋体" w:hAnsi="宋体" w:cs="宋体"/>
          <w:b/>
          <w:szCs w:val="24"/>
        </w:rPr>
      </w:pPr>
    </w:p>
    <w:p>
      <w:pPr>
        <w:rPr>
          <w:rFonts w:ascii="宋体" w:hAnsi="宋体" w:cs="宋体"/>
          <w:b/>
          <w:sz w:val="24"/>
          <w:szCs w:val="24"/>
        </w:rPr>
      </w:pPr>
    </w:p>
    <w:p>
      <w:pPr>
        <w:pStyle w:val="5"/>
      </w:pPr>
    </w:p>
    <w:p/>
    <w:p/>
    <w:p>
      <w:pPr>
        <w:pStyle w:val="2"/>
        <w:rPr>
          <w:rFonts w:ascii="宋体" w:hAnsi="宋体" w:cs="宋体"/>
          <w:b/>
          <w:szCs w:val="24"/>
        </w:rPr>
      </w:pPr>
    </w:p>
    <w:p/>
    <w:p>
      <w:pPr>
        <w:spacing w:line="360" w:lineRule="auto"/>
        <w:ind w:left="1"/>
        <w:outlineLvl w:val="9"/>
        <w:rPr>
          <w:rFonts w:ascii="宋体" w:hAnsi="宋体" w:cs="宋体"/>
          <w:b/>
          <w:sz w:val="24"/>
          <w:szCs w:val="24"/>
        </w:rPr>
      </w:pPr>
    </w:p>
    <w:bookmarkEnd w:id="138"/>
    <w:bookmarkEnd w:id="139"/>
    <w:bookmarkEnd w:id="140"/>
    <w:bookmarkEnd w:id="141"/>
    <w:p>
      <w:pPr>
        <w:spacing w:line="360" w:lineRule="auto"/>
        <w:ind w:left="1"/>
        <w:rPr>
          <w:rFonts w:ascii="宋体" w:hAnsi="宋体" w:cs="宋体"/>
          <w:b/>
          <w:sz w:val="28"/>
          <w:szCs w:val="28"/>
        </w:rPr>
      </w:pPr>
      <w:bookmarkStart w:id="142" w:name="_Toc6747"/>
      <w:bookmarkStart w:id="143" w:name="_Toc20203"/>
      <w:bookmarkStart w:id="144" w:name="_Toc2572"/>
      <w:bookmarkStart w:id="145" w:name="_Toc22679"/>
      <w:bookmarkStart w:id="146" w:name="_Toc18256"/>
      <w:r>
        <w:rPr>
          <w:rFonts w:hint="eastAsia" w:ascii="宋体" w:hAnsi="宋体" w:cs="宋体"/>
          <w:b/>
          <w:sz w:val="28"/>
          <w:szCs w:val="28"/>
        </w:rPr>
        <w:t>附件：诚信声明</w:t>
      </w:r>
    </w:p>
    <w:p>
      <w:pPr>
        <w:spacing w:line="360" w:lineRule="auto"/>
        <w:rPr>
          <w:rFonts w:ascii="宋体" w:hAnsi="宋体" w:cs="宋体"/>
          <w:spacing w:val="4"/>
          <w:sz w:val="24"/>
          <w:szCs w:val="24"/>
          <w:u w:val="singl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u w:val="single"/>
        </w:rPr>
      </w:pPr>
      <w:r>
        <w:rPr>
          <w:rFonts w:hint="eastAsia" w:ascii="宋体" w:hAnsi="宋体" w:cs="宋体"/>
          <w:spacing w:val="4"/>
          <w:sz w:val="24"/>
          <w:szCs w:val="24"/>
        </w:rPr>
        <w:t>致：</w:t>
      </w:r>
      <w:r>
        <w:rPr>
          <w:rFonts w:hint="eastAsia" w:ascii="宋体" w:hAnsi="宋体" w:cs="宋体"/>
          <w:spacing w:val="4"/>
          <w:sz w:val="24"/>
          <w:szCs w:val="24"/>
          <w:u w:val="single"/>
        </w:rPr>
        <w:t>（采购机构名称）、（采购代理机构名称）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rPr>
      </w:pPr>
      <w:r>
        <w:rPr>
          <w:rFonts w:hint="eastAsia" w:ascii="宋体" w:hAnsi="宋体" w:cs="宋体"/>
          <w:spacing w:val="4"/>
          <w:sz w:val="24"/>
          <w:szCs w:val="24"/>
        </w:rPr>
        <w:t>项目名称：</w:t>
      </w:r>
      <w:r>
        <w:rPr>
          <w:rFonts w:hint="eastAsia" w:ascii="宋体" w:hAnsi="宋体" w:cs="宋体"/>
          <w:spacing w:val="4"/>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u w:val="single"/>
        </w:rPr>
      </w:pPr>
      <w:r>
        <w:rPr>
          <w:rFonts w:hint="eastAsia" w:ascii="宋体" w:hAnsi="宋体" w:cs="宋体"/>
          <w:spacing w:val="4"/>
          <w:sz w:val="24"/>
          <w:szCs w:val="24"/>
        </w:rPr>
        <w:t>项目编号：</w:t>
      </w:r>
      <w:r>
        <w:rPr>
          <w:rFonts w:hint="eastAsia" w:ascii="宋体" w:hAnsi="宋体" w:cs="宋体"/>
          <w:spacing w:val="4"/>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u w:val="single"/>
        </w:rPr>
      </w:pP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jc w:val="left"/>
        <w:textAlignment w:val="auto"/>
        <w:rPr>
          <w:rFonts w:ascii="宋体" w:hAnsi="宋体" w:cs="宋体"/>
          <w:spacing w:val="4"/>
          <w:sz w:val="24"/>
          <w:szCs w:val="24"/>
          <w:u w:val="single"/>
        </w:rPr>
      </w:pPr>
      <w:r>
        <w:rPr>
          <w:rFonts w:hint="eastAsia" w:ascii="宋体" w:hAnsi="宋体" w:cs="宋体"/>
          <w:spacing w:val="4"/>
          <w:sz w:val="24"/>
          <w:szCs w:val="24"/>
          <w:u w:val="single"/>
        </w:rPr>
        <w:t>（供应商名称）郑重声明，我公司具有良好的商业信誉和健全的财务会计制度，具有履行合同所必需的设备和专业技术能力，有依法缴纳税收和社会保障资金的良好记录，在合同签订前后随时愿意提供相关证明材料，符合《政府采购法》规定的供应商资格条件。我方对以上声明负全部法律责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u w:val="single"/>
        </w:rPr>
      </w:pPr>
      <w:r>
        <w:rPr>
          <w:rFonts w:hint="eastAsia" w:ascii="宋体" w:hAnsi="宋体" w:cs="宋体"/>
          <w:spacing w:val="4"/>
          <w:sz w:val="24"/>
          <w:szCs w:val="24"/>
          <w:u w:val="single"/>
        </w:rPr>
        <w:t>特此声明。</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u w:val="singl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u w:val="singl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u w:val="single"/>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3224" w:firstLineChars="1300"/>
        <w:jc w:val="left"/>
        <w:textAlignment w:val="auto"/>
        <w:rPr>
          <w:rFonts w:ascii="宋体" w:hAnsi="宋体" w:cs="宋体"/>
          <w:spacing w:val="14"/>
          <w:kern w:val="0"/>
          <w:sz w:val="24"/>
          <w:szCs w:val="24"/>
        </w:rPr>
      </w:pPr>
      <w:r>
        <w:rPr>
          <w:rFonts w:hint="eastAsia" w:ascii="宋体" w:hAnsi="宋体" w:cs="宋体"/>
          <w:spacing w:val="4"/>
          <w:sz w:val="24"/>
          <w:szCs w:val="24"/>
        </w:rPr>
        <w:t>供应商名称（盖章）：</w:t>
      </w:r>
      <w:r>
        <w:rPr>
          <w:rFonts w:hint="eastAsia" w:ascii="宋体" w:hAnsi="宋体" w:cs="宋体"/>
          <w:spacing w:val="4"/>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3224" w:firstLineChars="1300"/>
        <w:jc w:val="left"/>
        <w:textAlignment w:val="auto"/>
        <w:rPr>
          <w:rFonts w:ascii="宋体" w:hAnsi="宋体" w:cs="宋体"/>
          <w:spacing w:val="4"/>
          <w:sz w:val="24"/>
          <w:szCs w:val="24"/>
          <w:u w:val="single"/>
        </w:rPr>
      </w:pPr>
      <w:r>
        <w:rPr>
          <w:rFonts w:hint="eastAsia" w:ascii="宋体" w:hAnsi="宋体" w:cs="宋体"/>
          <w:spacing w:val="4"/>
          <w:sz w:val="24"/>
          <w:szCs w:val="24"/>
        </w:rPr>
        <w:t>法定代表人（签字或盖章）：</w:t>
      </w:r>
      <w:r>
        <w:rPr>
          <w:rFonts w:hint="eastAsia" w:ascii="宋体" w:hAnsi="宋体" w:cs="宋体"/>
          <w:spacing w:val="4"/>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3224" w:firstLineChars="1300"/>
        <w:jc w:val="left"/>
        <w:textAlignment w:val="auto"/>
        <w:rPr>
          <w:rFonts w:ascii="宋体" w:hAnsi="宋体" w:cs="宋体"/>
          <w:spacing w:val="4"/>
          <w:sz w:val="24"/>
          <w:szCs w:val="24"/>
        </w:rPr>
      </w:pPr>
      <w:r>
        <w:rPr>
          <w:rFonts w:hint="eastAsia" w:ascii="宋体" w:hAnsi="宋体" w:cs="宋体"/>
          <w:spacing w:val="4"/>
          <w:sz w:val="24"/>
          <w:szCs w:val="24"/>
        </w:rPr>
        <w:t>日     期：</w:t>
      </w:r>
      <w:r>
        <w:rPr>
          <w:rFonts w:hint="eastAsia" w:ascii="宋体" w:hAnsi="宋体" w:cs="宋体"/>
          <w:spacing w:val="4"/>
          <w:sz w:val="24"/>
          <w:szCs w:val="24"/>
          <w:u w:val="single"/>
        </w:rPr>
        <w:t xml:space="preserve">       </w:t>
      </w:r>
      <w:r>
        <w:rPr>
          <w:rFonts w:hint="eastAsia" w:ascii="宋体" w:hAnsi="宋体" w:cs="宋体"/>
          <w:spacing w:val="4"/>
          <w:sz w:val="24"/>
          <w:szCs w:val="24"/>
        </w:rPr>
        <w:t>年</w:t>
      </w:r>
      <w:r>
        <w:rPr>
          <w:rFonts w:hint="eastAsia" w:ascii="宋体" w:hAnsi="宋体" w:cs="宋体"/>
          <w:spacing w:val="4"/>
          <w:sz w:val="24"/>
          <w:szCs w:val="24"/>
          <w:u w:val="single"/>
        </w:rPr>
        <w:t xml:space="preserve">      </w:t>
      </w:r>
      <w:r>
        <w:rPr>
          <w:rFonts w:hint="eastAsia" w:ascii="宋体" w:hAnsi="宋体" w:cs="宋体"/>
          <w:spacing w:val="4"/>
          <w:sz w:val="24"/>
          <w:szCs w:val="24"/>
        </w:rPr>
        <w:t>月</w:t>
      </w:r>
      <w:r>
        <w:rPr>
          <w:rFonts w:hint="eastAsia" w:ascii="宋体" w:hAnsi="宋体" w:cs="宋体"/>
          <w:spacing w:val="4"/>
          <w:sz w:val="24"/>
          <w:szCs w:val="24"/>
          <w:u w:val="single"/>
        </w:rPr>
        <w:t xml:space="preserve">     </w:t>
      </w:r>
      <w:r>
        <w:rPr>
          <w:rFonts w:hint="eastAsia" w:ascii="宋体" w:hAnsi="宋体" w:cs="宋体"/>
          <w:spacing w:val="4"/>
          <w:sz w:val="24"/>
          <w:szCs w:val="24"/>
        </w:rPr>
        <w:t>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rPr>
      </w:pPr>
    </w:p>
    <w:p>
      <w:pPr>
        <w:spacing w:line="360" w:lineRule="auto"/>
        <w:ind w:left="1"/>
        <w:rPr>
          <w:rFonts w:ascii="宋体" w:hAnsi="宋体" w:cs="宋体"/>
          <w:b/>
          <w:sz w:val="28"/>
          <w:szCs w:val="28"/>
        </w:rPr>
      </w:pPr>
      <w:r>
        <w:rPr>
          <w:rFonts w:hint="eastAsia" w:ascii="宋体" w:hAnsi="宋体" w:cs="宋体"/>
          <w:b/>
          <w:sz w:val="30"/>
          <w:szCs w:val="30"/>
        </w:rPr>
        <w:br w:type="page"/>
      </w:r>
      <w:r>
        <w:rPr>
          <w:rFonts w:hint="eastAsia" w:ascii="宋体" w:hAnsi="宋体" w:cs="宋体"/>
          <w:b/>
          <w:sz w:val="28"/>
          <w:szCs w:val="28"/>
        </w:rPr>
        <w:t>附件：供应商无重大违法记录的书面声明格式</w:t>
      </w:r>
    </w:p>
    <w:p>
      <w:pPr>
        <w:spacing w:line="360" w:lineRule="auto"/>
        <w:rPr>
          <w:rFonts w:ascii="宋体" w:hAnsi="宋体" w:cs="宋体"/>
          <w:b/>
          <w:spacing w:val="4"/>
          <w:sz w:val="30"/>
          <w:szCs w:val="30"/>
          <w:u w:val="singl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4"/>
          <w:sz w:val="24"/>
          <w:szCs w:val="24"/>
          <w:u w:val="single"/>
        </w:rPr>
      </w:pPr>
      <w:r>
        <w:rPr>
          <w:rFonts w:hint="eastAsia" w:ascii="宋体" w:hAnsi="宋体" w:cs="宋体"/>
          <w:spacing w:val="4"/>
          <w:sz w:val="24"/>
          <w:szCs w:val="24"/>
          <w:u w:val="single"/>
        </w:rPr>
        <w:t>致：（采购机构名称）、（采购代理机构名称）</w:t>
      </w:r>
    </w:p>
    <w:p>
      <w:pPr>
        <w:keepNext w:val="0"/>
        <w:keepLines w:val="0"/>
        <w:pageBreakBefore w:val="0"/>
        <w:widowControl w:val="0"/>
        <w:kinsoku/>
        <w:wordWrap/>
        <w:overflowPunct/>
        <w:topLinePunct w:val="0"/>
        <w:autoSpaceDE/>
        <w:autoSpaceDN/>
        <w:bidi w:val="0"/>
        <w:adjustRightInd/>
        <w:snapToGrid/>
        <w:spacing w:line="400" w:lineRule="exact"/>
        <w:ind w:firstLine="496" w:firstLineChars="200"/>
        <w:jc w:val="left"/>
        <w:textAlignment w:val="auto"/>
        <w:rPr>
          <w:rFonts w:ascii="宋体" w:hAnsi="宋体" w:cs="宋体"/>
          <w:spacing w:val="4"/>
          <w:sz w:val="24"/>
          <w:szCs w:val="24"/>
          <w:u w:val="single"/>
        </w:rPr>
      </w:pPr>
      <w:r>
        <w:rPr>
          <w:rFonts w:hint="eastAsia" w:ascii="宋体" w:hAnsi="宋体" w:cs="宋体"/>
          <w:spacing w:val="4"/>
          <w:sz w:val="24"/>
          <w:szCs w:val="24"/>
          <w:u w:val="single"/>
        </w:rPr>
        <w:t>（供应商名称）</w:t>
      </w:r>
      <w:r>
        <w:rPr>
          <w:rFonts w:hint="eastAsia" w:ascii="宋体" w:hAnsi="宋体" w:cs="宋体"/>
          <w:spacing w:val="4"/>
          <w:sz w:val="24"/>
          <w:szCs w:val="24"/>
        </w:rPr>
        <w:t>为在中华人民共和国境内合法注册并经营的机构。在此郑重声明，我公司在参与本次政府采购活动前3年内在经营活动中没有重大违法记录。</w:t>
      </w:r>
    </w:p>
    <w:p>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firstLine="170"/>
        <w:jc w:val="left"/>
        <w:textAlignment w:val="auto"/>
        <w:rPr>
          <w:rFonts w:ascii="宋体" w:hAnsi="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firstLine="170"/>
        <w:textAlignment w:val="auto"/>
        <w:rPr>
          <w:rFonts w:ascii="宋体" w:hAnsi="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firstLine="170"/>
        <w:textAlignment w:val="auto"/>
        <w:rPr>
          <w:rFonts w:ascii="宋体" w:hAnsi="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firstLine="3472" w:firstLineChars="1400"/>
        <w:jc w:val="left"/>
        <w:textAlignment w:val="auto"/>
        <w:rPr>
          <w:rFonts w:ascii="宋体" w:hAnsi="宋体" w:cs="宋体"/>
          <w:spacing w:val="14"/>
          <w:kern w:val="0"/>
          <w:sz w:val="24"/>
          <w:szCs w:val="24"/>
        </w:rPr>
      </w:pPr>
      <w:r>
        <w:rPr>
          <w:rFonts w:hint="eastAsia" w:ascii="宋体" w:hAnsi="宋体" w:cs="宋体"/>
          <w:spacing w:val="4"/>
          <w:sz w:val="24"/>
          <w:szCs w:val="24"/>
        </w:rPr>
        <w:t>供应商名称（盖章）：</w:t>
      </w:r>
      <w:r>
        <w:rPr>
          <w:rFonts w:hint="eastAsia" w:ascii="宋体" w:hAnsi="宋体" w:cs="宋体"/>
          <w:spacing w:val="4"/>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firstLine="3472" w:firstLineChars="1400"/>
        <w:jc w:val="left"/>
        <w:textAlignment w:val="auto"/>
        <w:rPr>
          <w:rFonts w:ascii="宋体" w:hAnsi="宋体" w:cs="宋体"/>
          <w:spacing w:val="4"/>
          <w:sz w:val="24"/>
          <w:szCs w:val="24"/>
          <w:u w:val="single"/>
        </w:rPr>
      </w:pPr>
      <w:r>
        <w:rPr>
          <w:rFonts w:hint="eastAsia" w:ascii="宋体" w:hAnsi="宋体" w:cs="宋体"/>
          <w:spacing w:val="4"/>
          <w:sz w:val="24"/>
          <w:szCs w:val="24"/>
        </w:rPr>
        <w:t>法定代表人（签字或盖章）：</w:t>
      </w:r>
      <w:r>
        <w:rPr>
          <w:rFonts w:hint="eastAsia" w:ascii="宋体" w:hAnsi="宋体" w:cs="宋体"/>
          <w:spacing w:val="4"/>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firstLine="3472" w:firstLineChars="1400"/>
        <w:jc w:val="left"/>
        <w:textAlignment w:val="auto"/>
        <w:rPr>
          <w:rFonts w:ascii="宋体" w:hAnsi="宋体" w:cs="宋体"/>
          <w:spacing w:val="4"/>
          <w:sz w:val="24"/>
          <w:szCs w:val="24"/>
        </w:rPr>
      </w:pPr>
      <w:r>
        <w:rPr>
          <w:rFonts w:hint="eastAsia" w:ascii="宋体" w:hAnsi="宋体" w:cs="宋体"/>
          <w:spacing w:val="4"/>
          <w:sz w:val="24"/>
          <w:szCs w:val="24"/>
        </w:rPr>
        <w:t>日     期：       年     月     日</w:t>
      </w:r>
    </w:p>
    <w:p>
      <w:pPr>
        <w:keepNext w:val="0"/>
        <w:keepLines w:val="0"/>
        <w:pageBreakBefore w:val="0"/>
        <w:widowControl w:val="0"/>
        <w:kinsoku/>
        <w:wordWrap/>
        <w:overflowPunct/>
        <w:topLinePunct w:val="0"/>
        <w:autoSpaceDE/>
        <w:autoSpaceDN/>
        <w:bidi w:val="0"/>
        <w:adjustRightInd/>
        <w:snapToGrid/>
        <w:spacing w:line="400" w:lineRule="exact"/>
        <w:ind w:right="-672" w:rightChars="-320"/>
        <w:textAlignment w:val="auto"/>
        <w:outlineLvl w:val="9"/>
        <w:rPr>
          <w:rFonts w:ascii="宋体" w:hAnsi="宋体" w:cs="宋体"/>
          <w:b/>
          <w:bCs/>
          <w:color w:val="00000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672" w:rightChars="-320"/>
        <w:textAlignment w:val="auto"/>
        <w:outlineLvl w:val="9"/>
        <w:rPr>
          <w:rFonts w:ascii="宋体" w:hAnsi="宋体" w:cs="宋体"/>
          <w:b/>
          <w:bCs/>
          <w:color w:val="000000"/>
          <w:sz w:val="24"/>
          <w:szCs w:val="24"/>
        </w:rPr>
      </w:pPr>
    </w:p>
    <w:p>
      <w:pPr>
        <w:pStyle w:val="2"/>
        <w:rPr>
          <w:rFonts w:ascii="宋体" w:hAnsi="宋体" w:eastAsia="宋体" w:cs="宋体"/>
          <w:b/>
          <w:bCs/>
          <w:color w:val="000000"/>
          <w:sz w:val="28"/>
          <w:szCs w:val="28"/>
        </w:rPr>
      </w:pPr>
    </w:p>
    <w:p>
      <w:pPr>
        <w:rPr>
          <w:rFonts w:ascii="宋体" w:hAnsi="宋体" w:cs="宋体"/>
          <w:b/>
          <w:bCs/>
          <w:color w:val="000000"/>
          <w:sz w:val="28"/>
          <w:szCs w:val="28"/>
        </w:rPr>
      </w:pPr>
    </w:p>
    <w:p>
      <w:pPr>
        <w:pStyle w:val="2"/>
        <w:rPr>
          <w:rFonts w:ascii="宋体" w:hAnsi="宋体" w:eastAsia="宋体" w:cs="宋体"/>
          <w:b/>
          <w:bCs/>
          <w:color w:val="000000"/>
          <w:sz w:val="28"/>
          <w:szCs w:val="28"/>
        </w:rPr>
      </w:pPr>
    </w:p>
    <w:p>
      <w:pPr>
        <w:rPr>
          <w:rFonts w:ascii="宋体" w:hAnsi="宋体" w:cs="宋体"/>
          <w:b/>
          <w:bCs/>
          <w:color w:val="000000"/>
          <w:sz w:val="28"/>
          <w:szCs w:val="28"/>
        </w:rPr>
      </w:pPr>
    </w:p>
    <w:p>
      <w:pPr>
        <w:pStyle w:val="2"/>
        <w:rPr>
          <w:rFonts w:ascii="宋体" w:hAnsi="宋体" w:eastAsia="宋体" w:cs="宋体"/>
          <w:b/>
          <w:bCs/>
          <w:color w:val="000000"/>
          <w:sz w:val="28"/>
          <w:szCs w:val="28"/>
        </w:rPr>
      </w:pPr>
    </w:p>
    <w:p>
      <w:pPr>
        <w:rPr>
          <w:rFonts w:ascii="宋体" w:hAnsi="宋体" w:cs="宋体"/>
          <w:b/>
          <w:bCs/>
          <w:color w:val="000000"/>
          <w:sz w:val="28"/>
          <w:szCs w:val="28"/>
        </w:rPr>
      </w:pPr>
    </w:p>
    <w:p>
      <w:pPr>
        <w:pStyle w:val="2"/>
      </w:pPr>
    </w:p>
    <w:p/>
    <w:p>
      <w:pPr>
        <w:pStyle w:val="5"/>
      </w:pPr>
    </w:p>
    <w:p/>
    <w:bookmarkEnd w:id="142"/>
    <w:bookmarkEnd w:id="143"/>
    <w:bookmarkEnd w:id="144"/>
    <w:bookmarkEnd w:id="145"/>
    <w:p>
      <w:pPr>
        <w:spacing w:line="360" w:lineRule="auto"/>
        <w:ind w:left="1"/>
        <w:rPr>
          <w:rFonts w:ascii="宋体" w:hAnsi="宋体" w:cs="宋体"/>
          <w:b/>
          <w:sz w:val="28"/>
          <w:szCs w:val="28"/>
        </w:rPr>
      </w:pPr>
      <w:r>
        <w:rPr>
          <w:rFonts w:hint="eastAsia" w:ascii="宋体" w:hAnsi="宋体" w:cs="宋体"/>
          <w:b/>
          <w:sz w:val="28"/>
          <w:szCs w:val="28"/>
        </w:rPr>
        <w:t>附件：具有履行合同所必需的设备和专业技术能力的说明及承诺</w:t>
      </w:r>
      <w:bookmarkEnd w:id="146"/>
    </w:p>
    <w:p>
      <w:pPr>
        <w:pStyle w:val="9"/>
        <w:adjustRightInd w:val="0"/>
        <w:snapToGrid w:val="0"/>
        <w:ind w:firstLine="883"/>
        <w:jc w:val="center"/>
        <w:rPr>
          <w:rFonts w:hAnsi="宋体" w:cs="宋体"/>
          <w:b/>
          <w:bCs/>
          <w:color w:val="000000"/>
          <w:sz w:val="28"/>
          <w:szCs w:val="28"/>
        </w:rPr>
      </w:pPr>
    </w:p>
    <w:p>
      <w:pPr>
        <w:pStyle w:val="9"/>
        <w:adjustRightInd w:val="0"/>
        <w:snapToGrid w:val="0"/>
        <w:jc w:val="center"/>
        <w:rPr>
          <w:rFonts w:hAnsi="宋体" w:cs="宋体"/>
          <w:b/>
          <w:bCs/>
          <w:color w:val="000000"/>
          <w:sz w:val="28"/>
          <w:szCs w:val="28"/>
        </w:rPr>
      </w:pP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000000"/>
          <w:spacing w:val="4"/>
          <w:sz w:val="24"/>
          <w:szCs w:val="24"/>
          <w:u w:val="single"/>
        </w:rPr>
      </w:pPr>
      <w:r>
        <w:rPr>
          <w:rFonts w:hint="eastAsia" w:ascii="宋体" w:hAnsi="宋体" w:cs="宋体"/>
          <w:color w:val="000000"/>
          <w:spacing w:val="4"/>
          <w:sz w:val="24"/>
          <w:szCs w:val="24"/>
          <w:u w:val="single"/>
        </w:rPr>
        <w:t xml:space="preserve">  </w:t>
      </w:r>
      <w:r>
        <w:rPr>
          <w:rFonts w:hint="eastAsia" w:ascii="宋体" w:hAnsi="宋体" w:cs="宋体"/>
          <w:sz w:val="24"/>
          <w:szCs w:val="24"/>
          <w:u w:val="single"/>
        </w:rPr>
        <w:t>亿诚建设项目管理有限公司</w:t>
      </w:r>
      <w:r>
        <w:rPr>
          <w:rFonts w:hint="eastAsia" w:ascii="宋体" w:hAnsi="宋体" w:cs="宋体"/>
          <w:color w:val="000000"/>
          <w:spacing w:val="4"/>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val="0"/>
        <w:snapToGrid w:val="0"/>
        <w:spacing w:line="400" w:lineRule="exact"/>
        <w:ind w:firstLine="496"/>
        <w:textAlignment w:val="auto"/>
        <w:rPr>
          <w:rFonts w:hAnsi="宋体" w:cs="宋体"/>
          <w:color w:val="000000"/>
          <w:spacing w:val="4"/>
          <w:sz w:val="24"/>
          <w:szCs w:val="24"/>
        </w:rPr>
      </w:pPr>
      <w:r>
        <w:rPr>
          <w:rFonts w:hint="eastAsia" w:hAnsi="宋体" w:cs="宋体"/>
          <w:color w:val="000000"/>
          <w:spacing w:val="4"/>
          <w:sz w:val="24"/>
          <w:szCs w:val="24"/>
        </w:rPr>
        <w:t xml:space="preserve">   </w:t>
      </w:r>
      <w:r>
        <w:rPr>
          <w:rFonts w:hint="eastAsia" w:hAnsi="宋体" w:cs="宋体"/>
          <w:color w:val="000000"/>
          <w:spacing w:val="4"/>
          <w:sz w:val="24"/>
          <w:szCs w:val="24"/>
          <w:u w:val="single"/>
        </w:rPr>
        <w:t xml:space="preserve">      （投标人名称）   </w:t>
      </w:r>
      <w:r>
        <w:rPr>
          <w:rFonts w:hint="eastAsia" w:hAnsi="宋体" w:cs="宋体"/>
          <w:color w:val="000000"/>
          <w:spacing w:val="4"/>
          <w:sz w:val="24"/>
          <w:szCs w:val="24"/>
        </w:rPr>
        <w:t xml:space="preserve"> 于</w:t>
      </w:r>
      <w:r>
        <w:rPr>
          <w:rFonts w:hint="eastAsia" w:hAnsi="宋体" w:cs="宋体"/>
          <w:color w:val="000000"/>
          <w:spacing w:val="4"/>
          <w:sz w:val="24"/>
          <w:szCs w:val="24"/>
          <w:u w:val="single"/>
        </w:rPr>
        <w:t xml:space="preserve">    </w:t>
      </w:r>
      <w:r>
        <w:rPr>
          <w:rFonts w:hint="eastAsia" w:hAnsi="宋体" w:cs="宋体"/>
          <w:color w:val="000000"/>
          <w:spacing w:val="4"/>
          <w:sz w:val="24"/>
          <w:szCs w:val="24"/>
        </w:rPr>
        <w:t>年</w:t>
      </w:r>
      <w:r>
        <w:rPr>
          <w:rFonts w:hint="eastAsia" w:hAnsi="宋体" w:cs="宋体"/>
          <w:color w:val="000000"/>
          <w:spacing w:val="4"/>
          <w:sz w:val="24"/>
          <w:szCs w:val="24"/>
          <w:u w:val="single"/>
        </w:rPr>
        <w:t xml:space="preserve">   </w:t>
      </w:r>
      <w:r>
        <w:rPr>
          <w:rFonts w:hint="eastAsia" w:hAnsi="宋体" w:cs="宋体"/>
          <w:color w:val="000000"/>
          <w:spacing w:val="4"/>
          <w:sz w:val="24"/>
          <w:szCs w:val="24"/>
        </w:rPr>
        <w:t>月</w:t>
      </w:r>
      <w:r>
        <w:rPr>
          <w:rFonts w:hint="eastAsia" w:hAnsi="宋体" w:cs="宋体"/>
          <w:color w:val="000000"/>
          <w:spacing w:val="4"/>
          <w:sz w:val="24"/>
          <w:szCs w:val="24"/>
          <w:u w:val="single"/>
        </w:rPr>
        <w:t xml:space="preserve">   </w:t>
      </w:r>
      <w:r>
        <w:rPr>
          <w:rFonts w:hint="eastAsia" w:hAnsi="宋体" w:cs="宋体"/>
          <w:color w:val="000000"/>
          <w:spacing w:val="4"/>
          <w:sz w:val="24"/>
          <w:szCs w:val="24"/>
        </w:rPr>
        <w:t>日在中华人民共和国境内</w:t>
      </w:r>
      <w:r>
        <w:rPr>
          <w:rFonts w:hint="eastAsia" w:hAnsi="宋体" w:cs="宋体"/>
          <w:color w:val="000000"/>
          <w:spacing w:val="4"/>
          <w:sz w:val="24"/>
          <w:szCs w:val="24"/>
          <w:u w:val="single"/>
        </w:rPr>
        <w:t xml:space="preserve">   （详细注册地址） </w:t>
      </w:r>
      <w:r>
        <w:rPr>
          <w:rFonts w:hint="eastAsia" w:hAnsi="宋体" w:cs="宋体"/>
          <w:color w:val="000000"/>
          <w:spacing w:val="4"/>
          <w:sz w:val="24"/>
          <w:szCs w:val="24"/>
        </w:rPr>
        <w:t>合法注册并经营，公司主营业务为</w:t>
      </w:r>
      <w:r>
        <w:rPr>
          <w:rFonts w:hint="eastAsia" w:hAnsi="宋体" w:cs="宋体"/>
          <w:color w:val="000000"/>
          <w:spacing w:val="4"/>
          <w:sz w:val="24"/>
          <w:szCs w:val="24"/>
          <w:u w:val="single"/>
        </w:rPr>
        <w:t xml:space="preserve">        </w:t>
      </w:r>
      <w:r>
        <w:rPr>
          <w:rFonts w:hint="eastAsia" w:hAnsi="宋体" w:cs="宋体"/>
          <w:color w:val="000000"/>
          <w:spacing w:val="4"/>
          <w:sz w:val="24"/>
          <w:szCs w:val="24"/>
        </w:rPr>
        <w:t>，营业（生产经营）面积为</w:t>
      </w:r>
      <w:r>
        <w:rPr>
          <w:rFonts w:hint="eastAsia" w:hAnsi="宋体" w:cs="宋体"/>
          <w:color w:val="000000"/>
          <w:spacing w:val="4"/>
          <w:sz w:val="24"/>
          <w:szCs w:val="24"/>
          <w:u w:val="single"/>
        </w:rPr>
        <w:t xml:space="preserve">       </w:t>
      </w:r>
      <w:r>
        <w:rPr>
          <w:rFonts w:hint="eastAsia" w:hAnsi="宋体" w:cs="宋体"/>
          <w:color w:val="000000"/>
          <w:spacing w:val="4"/>
          <w:sz w:val="24"/>
          <w:szCs w:val="24"/>
        </w:rPr>
        <w:t xml:space="preserve"> ，现有员工数量为</w:t>
      </w:r>
      <w:r>
        <w:rPr>
          <w:rFonts w:hint="eastAsia" w:hAnsi="宋体" w:cs="宋体"/>
          <w:color w:val="000000"/>
          <w:spacing w:val="4"/>
          <w:sz w:val="24"/>
          <w:szCs w:val="24"/>
          <w:u w:val="single"/>
        </w:rPr>
        <w:t xml:space="preserve">         </w:t>
      </w:r>
      <w:r>
        <w:rPr>
          <w:rFonts w:hint="eastAsia" w:hAnsi="宋体" w:cs="宋体"/>
          <w:color w:val="000000"/>
          <w:spacing w:val="4"/>
          <w:sz w:val="24"/>
          <w:szCs w:val="24"/>
        </w:rPr>
        <w:t>，本公司郑重承诺，具有履行本合同所必需的设备和专业技术能力。</w:t>
      </w:r>
    </w:p>
    <w:p>
      <w:pPr>
        <w:pStyle w:val="9"/>
        <w:keepNext w:val="0"/>
        <w:keepLines w:val="0"/>
        <w:pageBreakBefore w:val="0"/>
        <w:widowControl w:val="0"/>
        <w:kinsoku/>
        <w:wordWrap/>
        <w:overflowPunct/>
        <w:topLinePunct w:val="0"/>
        <w:autoSpaceDE/>
        <w:autoSpaceDN/>
        <w:bidi w:val="0"/>
        <w:adjustRightInd w:val="0"/>
        <w:snapToGrid w:val="0"/>
        <w:spacing w:line="400" w:lineRule="exact"/>
        <w:ind w:firstLine="496"/>
        <w:textAlignment w:val="auto"/>
        <w:rPr>
          <w:rFonts w:hAnsi="宋体" w:cs="宋体"/>
          <w:color w:val="000000"/>
          <w:spacing w:val="4"/>
          <w:sz w:val="24"/>
          <w:szCs w:val="24"/>
        </w:rPr>
      </w:pPr>
    </w:p>
    <w:p>
      <w:pPr>
        <w:pStyle w:val="9"/>
        <w:keepNext w:val="0"/>
        <w:keepLines w:val="0"/>
        <w:pageBreakBefore w:val="0"/>
        <w:widowControl w:val="0"/>
        <w:kinsoku/>
        <w:wordWrap/>
        <w:overflowPunct/>
        <w:topLinePunct w:val="0"/>
        <w:autoSpaceDE/>
        <w:autoSpaceDN/>
        <w:bidi w:val="0"/>
        <w:adjustRightInd w:val="0"/>
        <w:snapToGrid w:val="0"/>
        <w:spacing w:line="400" w:lineRule="exact"/>
        <w:ind w:firstLine="496"/>
        <w:textAlignment w:val="auto"/>
        <w:rPr>
          <w:rFonts w:hAnsi="宋体" w:cs="宋体"/>
          <w:color w:val="000000"/>
          <w:spacing w:val="4"/>
          <w:sz w:val="24"/>
          <w:szCs w:val="24"/>
        </w:rPr>
      </w:pPr>
    </w:p>
    <w:p>
      <w:pPr>
        <w:pStyle w:val="9"/>
        <w:keepNext w:val="0"/>
        <w:keepLines w:val="0"/>
        <w:pageBreakBefore w:val="0"/>
        <w:widowControl w:val="0"/>
        <w:kinsoku/>
        <w:wordWrap/>
        <w:overflowPunct/>
        <w:topLinePunct w:val="0"/>
        <w:autoSpaceDE/>
        <w:autoSpaceDN/>
        <w:bidi w:val="0"/>
        <w:adjustRightInd w:val="0"/>
        <w:snapToGrid w:val="0"/>
        <w:spacing w:line="400" w:lineRule="exact"/>
        <w:ind w:firstLine="496"/>
        <w:textAlignment w:val="auto"/>
        <w:rPr>
          <w:rFonts w:hAnsi="宋体" w:cs="宋体"/>
          <w:color w:val="000000"/>
          <w:spacing w:val="4"/>
          <w:sz w:val="24"/>
          <w:szCs w:val="24"/>
        </w:rPr>
      </w:pP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 xml:space="preserve">供应商名称：（公章）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000000"/>
          <w:sz w:val="24"/>
          <w:szCs w:val="24"/>
        </w:rPr>
      </w:pP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000000"/>
          <w:sz w:val="24"/>
          <w:szCs w:val="24"/>
        </w:rPr>
      </w:pPr>
      <w:r>
        <w:rPr>
          <w:rFonts w:hint="eastAsia" w:ascii="宋体" w:hAnsi="宋体" w:cs="宋体"/>
          <w:bCs/>
          <w:caps/>
          <w:color w:val="000000"/>
          <w:sz w:val="24"/>
          <w:szCs w:val="24"/>
        </w:rPr>
        <w:t>法定代表人/负责人</w:t>
      </w:r>
      <w:r>
        <w:rPr>
          <w:rFonts w:hint="eastAsia" w:ascii="宋体" w:hAnsi="宋体" w:cs="宋体"/>
          <w:color w:val="000000"/>
          <w:sz w:val="24"/>
          <w:szCs w:val="24"/>
        </w:rPr>
        <w:t>/被授权代表：(签字或盖章)</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000000"/>
          <w:sz w:val="24"/>
          <w:szCs w:val="24"/>
        </w:rPr>
      </w:pPr>
      <w:r>
        <w:rPr>
          <w:rFonts w:hint="eastAsia" w:ascii="宋体" w:hAnsi="宋体" w:cs="宋体"/>
          <w:color w:val="000000"/>
          <w:sz w:val="24"/>
          <w:szCs w:val="24"/>
        </w:rPr>
        <w:t xml:space="preserve">    </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b/>
          <w:color w:val="000000"/>
          <w:sz w:val="24"/>
          <w:szCs w:val="24"/>
        </w:rPr>
      </w:pPr>
      <w:r>
        <w:rPr>
          <w:rFonts w:hint="eastAsia" w:ascii="宋体" w:hAnsi="宋体" w:cs="宋体"/>
          <w:color w:val="000000"/>
          <w:sz w:val="24"/>
          <w:szCs w:val="24"/>
        </w:rPr>
        <w:t>年  月  日</w:t>
      </w:r>
    </w:p>
    <w:p>
      <w:pPr>
        <w:spacing w:line="480" w:lineRule="exact"/>
        <w:rPr>
          <w:rFonts w:ascii="宋体" w:hAnsi="宋体" w:cs="宋体"/>
          <w:b/>
          <w:color w:val="000000"/>
          <w:szCs w:val="21"/>
        </w:rPr>
      </w:pPr>
      <w:r>
        <w:rPr>
          <w:rFonts w:hint="eastAsia" w:ascii="宋体" w:hAnsi="宋体" w:cs="宋体"/>
          <w:b/>
          <w:color w:val="000000"/>
          <w:szCs w:val="21"/>
        </w:rPr>
        <w:t xml:space="preserve"> </w:t>
      </w:r>
    </w:p>
    <w:p>
      <w:pPr>
        <w:spacing w:line="360" w:lineRule="auto"/>
        <w:jc w:val="left"/>
        <w:outlineLvl w:val="0"/>
        <w:rPr>
          <w:rFonts w:ascii="宋体" w:hAnsi="宋体" w:cs="宋体"/>
          <w:b/>
          <w:szCs w:val="21"/>
        </w:rPr>
      </w:pPr>
    </w:p>
    <w:p>
      <w:pPr>
        <w:spacing w:line="360" w:lineRule="auto"/>
        <w:ind w:left="1"/>
        <w:jc w:val="center"/>
        <w:rPr>
          <w:rFonts w:ascii="宋体" w:hAnsi="宋体" w:cs="宋体"/>
          <w:b/>
          <w:sz w:val="36"/>
          <w:szCs w:val="36"/>
        </w:rPr>
      </w:pPr>
    </w:p>
    <w:p>
      <w:pPr>
        <w:pStyle w:val="2"/>
        <w:rPr>
          <w:rFonts w:ascii="宋体" w:hAnsi="宋体" w:cs="宋体"/>
          <w:b/>
          <w:sz w:val="36"/>
          <w:szCs w:val="36"/>
        </w:rPr>
      </w:pPr>
    </w:p>
    <w:p>
      <w:pPr>
        <w:rPr>
          <w:rFonts w:ascii="宋体" w:hAnsi="宋体" w:cs="宋体"/>
          <w:b/>
          <w:sz w:val="36"/>
          <w:szCs w:val="36"/>
        </w:rPr>
      </w:pPr>
    </w:p>
    <w:p>
      <w:pPr>
        <w:pStyle w:val="2"/>
        <w:rPr>
          <w:rFonts w:ascii="宋体" w:hAnsi="宋体" w:cs="宋体"/>
          <w:b/>
          <w:sz w:val="36"/>
          <w:szCs w:val="36"/>
        </w:rPr>
      </w:pPr>
    </w:p>
    <w:p>
      <w:pPr>
        <w:rPr>
          <w:rFonts w:ascii="宋体" w:hAnsi="宋体" w:cs="宋体"/>
          <w:b/>
          <w:sz w:val="36"/>
          <w:szCs w:val="36"/>
        </w:rPr>
      </w:pPr>
    </w:p>
    <w:p>
      <w:pPr>
        <w:pStyle w:val="2"/>
        <w:rPr>
          <w:rFonts w:ascii="宋体" w:hAnsi="宋体" w:cs="宋体"/>
          <w:b/>
          <w:sz w:val="36"/>
          <w:szCs w:val="36"/>
        </w:rPr>
      </w:pPr>
    </w:p>
    <w:p>
      <w:pPr>
        <w:rPr>
          <w:rFonts w:ascii="宋体" w:hAnsi="宋体" w:cs="宋体"/>
          <w:b/>
          <w:sz w:val="36"/>
          <w:szCs w:val="36"/>
        </w:rPr>
      </w:pPr>
    </w:p>
    <w:p>
      <w:pPr>
        <w:pStyle w:val="5"/>
      </w:pPr>
    </w:p>
    <w:p>
      <w:pPr>
        <w:pStyle w:val="2"/>
        <w:rPr>
          <w:rFonts w:ascii="宋体" w:hAnsi="宋体" w:cs="宋体"/>
          <w:b/>
          <w:sz w:val="36"/>
          <w:szCs w:val="36"/>
        </w:rPr>
      </w:pPr>
    </w:p>
    <w:p/>
    <w:bookmarkEnd w:id="133"/>
    <w:bookmarkEnd w:id="134"/>
    <w:bookmarkEnd w:id="135"/>
    <w:bookmarkEnd w:id="136"/>
    <w:bookmarkEnd w:id="137"/>
    <w:p>
      <w:pPr>
        <w:spacing w:line="360" w:lineRule="auto"/>
        <w:ind w:left="1"/>
        <w:jc w:val="center"/>
        <w:outlineLvl w:val="0"/>
        <w:rPr>
          <w:rFonts w:ascii="宋体" w:hAnsi="宋体" w:cs="宋体"/>
          <w:b/>
          <w:sz w:val="32"/>
          <w:szCs w:val="32"/>
        </w:rPr>
      </w:pPr>
      <w:bookmarkStart w:id="147" w:name="_Toc19167"/>
      <w:bookmarkStart w:id="148" w:name="_Toc6921"/>
      <w:bookmarkStart w:id="149" w:name="_Toc6839"/>
      <w:bookmarkStart w:id="150" w:name="_Toc27229"/>
      <w:bookmarkStart w:id="151" w:name="_Toc28034"/>
      <w:bookmarkStart w:id="152" w:name="_Toc15032"/>
      <w:r>
        <w:rPr>
          <w:rFonts w:hint="eastAsia" w:ascii="宋体" w:hAnsi="宋体" w:cs="宋体"/>
          <w:b/>
          <w:sz w:val="32"/>
          <w:szCs w:val="32"/>
        </w:rPr>
        <w:t>七、</w:t>
      </w:r>
      <w:bookmarkStart w:id="153" w:name="_Toc27753"/>
      <w:r>
        <w:rPr>
          <w:rFonts w:hint="eastAsia" w:ascii="宋体" w:hAnsi="宋体" w:cs="宋体"/>
          <w:b/>
          <w:sz w:val="32"/>
          <w:szCs w:val="32"/>
        </w:rPr>
        <w:t>服务方案及服务承诺</w:t>
      </w:r>
      <w:bookmarkEnd w:id="147"/>
      <w:bookmarkEnd w:id="148"/>
      <w:bookmarkEnd w:id="149"/>
      <w:bookmarkEnd w:id="150"/>
      <w:bookmarkEnd w:id="151"/>
      <w:bookmarkEnd w:id="152"/>
      <w:bookmarkEnd w:id="153"/>
    </w:p>
    <w:p>
      <w:pPr>
        <w:spacing w:line="500" w:lineRule="exact"/>
        <w:ind w:firstLine="480" w:firstLineChars="200"/>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按照单一来源采购文件的要求编制谈判响应方案说明书，</w:t>
      </w:r>
      <w:r>
        <w:rPr>
          <w:rFonts w:hint="eastAsia" w:ascii="宋体" w:hAnsi="宋体" w:cs="宋体"/>
          <w:b/>
          <w:bCs/>
          <w:sz w:val="24"/>
          <w:szCs w:val="24"/>
        </w:rPr>
        <w:t>应</w:t>
      </w:r>
      <w:r>
        <w:rPr>
          <w:rFonts w:hint="eastAsia" w:ascii="宋体" w:hAnsi="宋体" w:cs="宋体"/>
          <w:b/>
          <w:sz w:val="24"/>
          <w:szCs w:val="24"/>
        </w:rPr>
        <w:t>包括但不限于如下内容</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1.供应商简介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cs="宋体"/>
          <w:sz w:val="24"/>
          <w:szCs w:val="24"/>
          <w:highlight w:val="none"/>
        </w:rPr>
      </w:pPr>
      <w:bookmarkStart w:id="154" w:name="_Toc14161"/>
      <w:bookmarkStart w:id="155" w:name="_Toc26721"/>
      <w:bookmarkStart w:id="156" w:name="_Toc14845"/>
      <w:bookmarkStart w:id="157" w:name="_Toc22746"/>
      <w:bookmarkStart w:id="158" w:name="_Toc28097"/>
      <w:r>
        <w:rPr>
          <w:rFonts w:hint="eastAsia" w:ascii="宋体" w:hAnsi="宋体" w:cs="宋体"/>
          <w:sz w:val="24"/>
          <w:szCs w:val="24"/>
          <w:highlight w:val="none"/>
        </w:rPr>
        <w:t>2.针对本项目的服务方案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cs="宋体"/>
          <w:sz w:val="24"/>
          <w:szCs w:val="24"/>
          <w:highlight w:val="none"/>
        </w:rPr>
      </w:pPr>
      <w:r>
        <w:rPr>
          <w:rFonts w:hint="eastAsia" w:ascii="宋体" w:hAnsi="宋体" w:cs="宋体"/>
          <w:sz w:val="24"/>
          <w:szCs w:val="24"/>
          <w:highlight w:val="none"/>
        </w:rPr>
        <w:t>3.服务承诺</w:t>
      </w:r>
      <w:bookmarkEnd w:id="154"/>
      <w:bookmarkEnd w:id="155"/>
      <w:bookmarkEnd w:id="156"/>
      <w:bookmarkEnd w:id="157"/>
      <w:bookmarkEnd w:id="158"/>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cs="宋体"/>
          <w:sz w:val="24"/>
          <w:szCs w:val="24"/>
          <w:highlight w:val="none"/>
        </w:rPr>
      </w:pPr>
      <w:bookmarkStart w:id="159" w:name="_Toc943"/>
      <w:bookmarkStart w:id="160" w:name="_Toc20"/>
      <w:bookmarkStart w:id="161" w:name="_Toc6946"/>
      <w:bookmarkStart w:id="162" w:name="_Toc4607"/>
      <w:bookmarkStart w:id="163" w:name="_Toc10822"/>
      <w:r>
        <w:rPr>
          <w:rFonts w:hint="eastAsia" w:ascii="宋体" w:hAnsi="宋体" w:cs="宋体"/>
          <w:sz w:val="24"/>
          <w:szCs w:val="24"/>
          <w:highlight w:val="none"/>
        </w:rPr>
        <w:t>4.付款条件和付款方式承诺</w:t>
      </w:r>
      <w:bookmarkEnd w:id="159"/>
      <w:bookmarkEnd w:id="160"/>
      <w:bookmarkEnd w:id="161"/>
      <w:bookmarkEnd w:id="162"/>
      <w:bookmarkEnd w:id="163"/>
    </w:p>
    <w:p>
      <w:pPr>
        <w:keepNext w:val="0"/>
        <w:keepLines w:val="0"/>
        <w:pageBreakBefore w:val="0"/>
        <w:widowControl w:val="0"/>
        <w:kinsoku/>
        <w:wordWrap/>
        <w:overflowPunct/>
        <w:topLinePunct w:val="0"/>
        <w:autoSpaceDE/>
        <w:autoSpaceDN/>
        <w:bidi w:val="0"/>
        <w:adjustRightInd/>
        <w:snapToGrid/>
        <w:spacing w:after="120" w:line="400" w:lineRule="exact"/>
        <w:textAlignment w:val="auto"/>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pStyle w:val="2"/>
        <w:rPr>
          <w:rFonts w:ascii="宋体" w:hAnsi="宋体" w:cs="宋体"/>
          <w:szCs w:val="24"/>
        </w:rPr>
      </w:pPr>
    </w:p>
    <w:p>
      <w:pPr>
        <w:rPr>
          <w:rFonts w:ascii="宋体" w:hAnsi="宋体" w:cs="宋体"/>
          <w:sz w:val="24"/>
          <w:szCs w:val="24"/>
        </w:rPr>
      </w:pPr>
    </w:p>
    <w:p>
      <w:pPr>
        <w:spacing w:line="360" w:lineRule="auto"/>
        <w:ind w:left="1"/>
        <w:jc w:val="center"/>
        <w:outlineLvl w:val="0"/>
        <w:rPr>
          <w:rFonts w:ascii="宋体" w:hAnsi="宋体" w:cs="宋体"/>
          <w:b/>
          <w:sz w:val="32"/>
          <w:szCs w:val="32"/>
        </w:rPr>
      </w:pPr>
      <w:bookmarkStart w:id="164" w:name="_Toc19988_WPSOffice_Level1"/>
      <w:bookmarkStart w:id="165" w:name="_Toc25307"/>
      <w:bookmarkStart w:id="166" w:name="_Toc28141"/>
      <w:bookmarkStart w:id="167" w:name="_Toc15683"/>
      <w:r>
        <w:rPr>
          <w:rFonts w:hint="eastAsia" w:ascii="宋体" w:hAnsi="宋体" w:cs="宋体"/>
          <w:b/>
          <w:sz w:val="32"/>
          <w:szCs w:val="32"/>
        </w:rPr>
        <w:t>八.拟投入本项目人员汇总表</w:t>
      </w:r>
      <w:bookmarkEnd w:id="164"/>
      <w:r>
        <w:rPr>
          <w:rFonts w:hint="eastAsia" w:ascii="宋体" w:hAnsi="宋体" w:cs="宋体"/>
          <w:b/>
          <w:sz w:val="32"/>
          <w:szCs w:val="32"/>
        </w:rPr>
        <w:t>及简历</w:t>
      </w:r>
      <w:bookmarkEnd w:id="165"/>
      <w:bookmarkEnd w:id="166"/>
      <w:bookmarkEnd w:id="167"/>
    </w:p>
    <w:p>
      <w:pPr>
        <w:pStyle w:val="29"/>
        <w:spacing w:before="468" w:beforeLines="150" w:after="156" w:afterLines="50"/>
        <w:ind w:left="105" w:leftChars="50" w:right="210" w:rightChars="100" w:firstLine="0" w:firstLineChars="0"/>
        <w:jc w:val="center"/>
        <w:outlineLvl w:val="9"/>
        <w:rPr>
          <w:rFonts w:ascii="宋体" w:hAnsi="宋体"/>
        </w:rPr>
      </w:pPr>
      <w:bookmarkStart w:id="168" w:name="_Toc493513086"/>
      <w:bookmarkStart w:id="169" w:name="_Toc12374"/>
      <w:bookmarkStart w:id="170" w:name="_Toc6667"/>
      <w:bookmarkStart w:id="171" w:name="_Toc403077652"/>
      <w:bookmarkStart w:id="172" w:name="_Toc396304714"/>
      <w:bookmarkStart w:id="173" w:name="_Toc29357_WPSOffice_Level1"/>
      <w:bookmarkStart w:id="174" w:name="_Toc6859_WPSOffice_Level1"/>
      <w:r>
        <w:rPr>
          <w:rFonts w:hint="eastAsia" w:ascii="宋体" w:hAnsi="宋体"/>
          <w:sz w:val="28"/>
          <w:szCs w:val="28"/>
        </w:rPr>
        <w:t>（一）本项目拟投入人员汇总表</w:t>
      </w:r>
      <w:bookmarkEnd w:id="168"/>
      <w:bookmarkEnd w:id="169"/>
      <w:bookmarkEnd w:id="170"/>
      <w:bookmarkEnd w:id="171"/>
      <w:bookmarkEnd w:id="172"/>
      <w:bookmarkEnd w:id="173"/>
      <w:bookmarkEnd w:id="174"/>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5"/>
        <w:gridCol w:w="1257"/>
        <w:gridCol w:w="578"/>
        <w:gridCol w:w="578"/>
        <w:gridCol w:w="578"/>
        <w:gridCol w:w="846"/>
        <w:gridCol w:w="1173"/>
        <w:gridCol w:w="758"/>
        <w:gridCol w:w="1903"/>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tblHeader/>
        </w:trPr>
        <w:tc>
          <w:tcPr>
            <w:tcW w:w="565"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57"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姓  名</w:t>
            </w:r>
          </w:p>
        </w:tc>
        <w:tc>
          <w:tcPr>
            <w:tcW w:w="578"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性别</w:t>
            </w:r>
          </w:p>
        </w:tc>
        <w:tc>
          <w:tcPr>
            <w:tcW w:w="578"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年龄</w:t>
            </w:r>
          </w:p>
        </w:tc>
        <w:tc>
          <w:tcPr>
            <w:tcW w:w="578"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学历</w:t>
            </w:r>
          </w:p>
        </w:tc>
        <w:tc>
          <w:tcPr>
            <w:tcW w:w="846"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职称</w:t>
            </w:r>
          </w:p>
        </w:tc>
        <w:tc>
          <w:tcPr>
            <w:tcW w:w="1173"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资格证</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书种类</w:t>
            </w:r>
          </w:p>
        </w:tc>
        <w:tc>
          <w:tcPr>
            <w:tcW w:w="758"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工作</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年限</w:t>
            </w:r>
          </w:p>
        </w:tc>
        <w:tc>
          <w:tcPr>
            <w:tcW w:w="1903"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拟担任的职务</w:t>
            </w:r>
          </w:p>
        </w:tc>
        <w:tc>
          <w:tcPr>
            <w:tcW w:w="1169"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岗位</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8" w:hRule="atLeast"/>
        </w:trPr>
        <w:tc>
          <w:tcPr>
            <w:tcW w:w="565"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257"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846"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73" w:type="dxa"/>
            <w:tcMar>
              <w:top w:w="15" w:type="dxa"/>
              <w:left w:w="15" w:type="dxa"/>
              <w:bottom w:w="0" w:type="dxa"/>
              <w:right w:w="15" w:type="dxa"/>
            </w:tcMar>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75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903"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69"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8" w:hRule="atLeast"/>
        </w:trPr>
        <w:tc>
          <w:tcPr>
            <w:tcW w:w="565"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257"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846"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73" w:type="dxa"/>
            <w:tcMar>
              <w:top w:w="15" w:type="dxa"/>
              <w:left w:w="15" w:type="dxa"/>
              <w:bottom w:w="0" w:type="dxa"/>
              <w:right w:w="15" w:type="dxa"/>
            </w:tcMar>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75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903"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69"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1" w:hRule="atLeast"/>
        </w:trPr>
        <w:tc>
          <w:tcPr>
            <w:tcW w:w="565"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257"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846"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73" w:type="dxa"/>
            <w:tcMar>
              <w:top w:w="15" w:type="dxa"/>
              <w:left w:w="15" w:type="dxa"/>
              <w:bottom w:w="0" w:type="dxa"/>
              <w:right w:w="15" w:type="dxa"/>
            </w:tcMar>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75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903"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69"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8" w:hRule="atLeast"/>
        </w:trPr>
        <w:tc>
          <w:tcPr>
            <w:tcW w:w="565"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257"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846"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73" w:type="dxa"/>
            <w:tcMar>
              <w:top w:w="15" w:type="dxa"/>
              <w:left w:w="15" w:type="dxa"/>
              <w:bottom w:w="0" w:type="dxa"/>
              <w:right w:w="15" w:type="dxa"/>
            </w:tcMar>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75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903"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69"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8" w:hRule="atLeast"/>
        </w:trPr>
        <w:tc>
          <w:tcPr>
            <w:tcW w:w="565"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257"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846"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73" w:type="dxa"/>
            <w:tcMar>
              <w:top w:w="15" w:type="dxa"/>
              <w:left w:w="15" w:type="dxa"/>
              <w:bottom w:w="0" w:type="dxa"/>
              <w:right w:w="15" w:type="dxa"/>
            </w:tcMar>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75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903"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69"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1" w:hRule="atLeast"/>
        </w:trPr>
        <w:tc>
          <w:tcPr>
            <w:tcW w:w="565"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257"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846"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73" w:type="dxa"/>
            <w:tcMar>
              <w:top w:w="15" w:type="dxa"/>
              <w:left w:w="15" w:type="dxa"/>
              <w:bottom w:w="0" w:type="dxa"/>
              <w:right w:w="15" w:type="dxa"/>
            </w:tcMar>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75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903"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69"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8" w:hRule="atLeast"/>
        </w:trPr>
        <w:tc>
          <w:tcPr>
            <w:tcW w:w="565"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257"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846"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73" w:type="dxa"/>
            <w:tcMar>
              <w:top w:w="15" w:type="dxa"/>
              <w:left w:w="15" w:type="dxa"/>
              <w:bottom w:w="0" w:type="dxa"/>
              <w:right w:w="15" w:type="dxa"/>
            </w:tcMar>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75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903"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69"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8" w:hRule="atLeast"/>
        </w:trPr>
        <w:tc>
          <w:tcPr>
            <w:tcW w:w="565"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257"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846"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73" w:type="dxa"/>
            <w:tcMar>
              <w:top w:w="15" w:type="dxa"/>
              <w:left w:w="15" w:type="dxa"/>
              <w:bottom w:w="0" w:type="dxa"/>
              <w:right w:w="15" w:type="dxa"/>
            </w:tcMar>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75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903"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69"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1" w:hRule="atLeast"/>
        </w:trPr>
        <w:tc>
          <w:tcPr>
            <w:tcW w:w="565"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257"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846"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73" w:type="dxa"/>
            <w:tcMar>
              <w:top w:w="15" w:type="dxa"/>
              <w:left w:w="15" w:type="dxa"/>
              <w:bottom w:w="0" w:type="dxa"/>
              <w:right w:w="15" w:type="dxa"/>
            </w:tcMar>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75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903"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69"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8" w:hRule="atLeast"/>
        </w:trPr>
        <w:tc>
          <w:tcPr>
            <w:tcW w:w="565"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257"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846"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73" w:type="dxa"/>
            <w:tcMar>
              <w:top w:w="15" w:type="dxa"/>
              <w:left w:w="15" w:type="dxa"/>
              <w:bottom w:w="0" w:type="dxa"/>
              <w:right w:w="15" w:type="dxa"/>
            </w:tcMar>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75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903"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69"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8" w:hRule="atLeast"/>
        </w:trPr>
        <w:tc>
          <w:tcPr>
            <w:tcW w:w="565"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257"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846"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73" w:type="dxa"/>
            <w:tcMar>
              <w:top w:w="15" w:type="dxa"/>
              <w:left w:w="15" w:type="dxa"/>
              <w:bottom w:w="0" w:type="dxa"/>
              <w:right w:w="15" w:type="dxa"/>
            </w:tcMar>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75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903"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69"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1" w:hRule="atLeast"/>
        </w:trPr>
        <w:tc>
          <w:tcPr>
            <w:tcW w:w="565"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257"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57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846"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73" w:type="dxa"/>
            <w:tcMar>
              <w:top w:w="15" w:type="dxa"/>
              <w:left w:w="15" w:type="dxa"/>
              <w:bottom w:w="0" w:type="dxa"/>
              <w:right w:w="15" w:type="dxa"/>
            </w:tcMar>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758"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903"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c>
          <w:tcPr>
            <w:tcW w:w="1169" w:type="dxa"/>
            <w:tcMar>
              <w:top w:w="15" w:type="dxa"/>
              <w:left w:w="15" w:type="dxa"/>
              <w:bottom w:w="0" w:type="dxa"/>
              <w:right w:w="15" w:type="dxa"/>
            </w:tcMar>
            <w:vAlign w:val="bottom"/>
          </w:tcPr>
          <w:p>
            <w:pPr>
              <w:pStyle w:val="30"/>
              <w:keepNext w:val="0"/>
              <w:keepLines w:val="0"/>
              <w:pageBreakBefore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color w:val="000000"/>
                <w:sz w:val="24"/>
                <w:szCs w:val="24"/>
              </w:rPr>
            </w:pPr>
          </w:p>
        </w:tc>
      </w:tr>
    </w:tbl>
    <w:p>
      <w:pPr>
        <w:pStyle w:val="31"/>
        <w:keepNext w:val="0"/>
        <w:keepLines w:val="0"/>
        <w:pageBreakBefore w:val="0"/>
        <w:widowControl w:val="0"/>
        <w:tabs>
          <w:tab w:val="left" w:pos="2040"/>
        </w:tabs>
        <w:kinsoku/>
        <w:wordWrap/>
        <w:overflowPunct/>
        <w:topLinePunct w:val="0"/>
        <w:autoSpaceDE/>
        <w:autoSpaceDN/>
        <w:bidi w:val="0"/>
        <w:spacing w:beforeLines="0" w:line="400" w:lineRule="exact"/>
        <w:ind w:left="735" w:hanging="735"/>
        <w:textAlignment w:val="auto"/>
        <w:rPr>
          <w:rFonts w:hint="eastAsia" w:ascii="宋体" w:hAnsi="宋体" w:eastAsia="宋体" w:cs="宋体"/>
          <w:sz w:val="24"/>
          <w:szCs w:val="24"/>
        </w:rPr>
      </w:pPr>
      <w:r>
        <w:rPr>
          <w:rFonts w:hint="eastAsia" w:ascii="宋体" w:hAnsi="宋体" w:eastAsia="宋体" w:cs="宋体"/>
          <w:sz w:val="24"/>
          <w:szCs w:val="24"/>
        </w:rPr>
        <w:t>注：1.“岗位情况”须注明该人在本单位是在岗、返聘还是外聘。</w:t>
      </w:r>
    </w:p>
    <w:p>
      <w:pPr>
        <w:pStyle w:val="31"/>
        <w:keepNext w:val="0"/>
        <w:keepLines w:val="0"/>
        <w:pageBreakBefore w:val="0"/>
        <w:widowControl w:val="0"/>
        <w:tabs>
          <w:tab w:val="left" w:pos="2040"/>
        </w:tabs>
        <w:kinsoku/>
        <w:wordWrap/>
        <w:overflowPunct/>
        <w:topLinePunct w:val="0"/>
        <w:autoSpaceDE/>
        <w:autoSpaceDN/>
        <w:bidi w:val="0"/>
        <w:spacing w:beforeLines="0" w:line="400" w:lineRule="exact"/>
        <w:ind w:left="735" w:hanging="735"/>
        <w:textAlignment w:val="auto"/>
        <w:rPr>
          <w:rFonts w:hint="eastAsia" w:ascii="宋体" w:hAnsi="宋体" w:eastAsia="宋体" w:cs="宋体"/>
          <w:sz w:val="24"/>
          <w:szCs w:val="24"/>
        </w:rPr>
      </w:pPr>
      <w:r>
        <w:rPr>
          <w:rFonts w:hint="eastAsia" w:ascii="宋体" w:hAnsi="宋体" w:eastAsia="宋体" w:cs="宋体"/>
          <w:sz w:val="24"/>
          <w:szCs w:val="24"/>
        </w:rPr>
        <w:t>2.供应商可适当调整该表格式，但不得减少信息内容。</w:t>
      </w:r>
    </w:p>
    <w:p>
      <w:pPr>
        <w:pStyle w:val="31"/>
        <w:keepNext w:val="0"/>
        <w:keepLines w:val="0"/>
        <w:pageBreakBefore w:val="0"/>
        <w:widowControl w:val="0"/>
        <w:tabs>
          <w:tab w:val="left" w:pos="2040"/>
        </w:tabs>
        <w:kinsoku/>
        <w:wordWrap/>
        <w:overflowPunct/>
        <w:topLinePunct w:val="0"/>
        <w:autoSpaceDE/>
        <w:autoSpaceDN/>
        <w:bidi w:val="0"/>
        <w:spacing w:beforeLines="0" w:line="400" w:lineRule="exact"/>
        <w:ind w:left="735" w:hanging="735"/>
        <w:textAlignment w:val="auto"/>
        <w:rPr>
          <w:rFonts w:hint="eastAsia" w:ascii="宋体" w:hAnsi="宋体" w:eastAsia="宋体" w:cs="宋体"/>
          <w:sz w:val="24"/>
          <w:szCs w:val="24"/>
        </w:rPr>
      </w:pPr>
      <w:r>
        <w:rPr>
          <w:rFonts w:hint="eastAsia" w:ascii="宋体" w:hAnsi="宋体" w:eastAsia="宋体" w:cs="宋体"/>
          <w:sz w:val="24"/>
          <w:szCs w:val="24"/>
        </w:rPr>
        <w:t>3.供应商应书面承诺单一来源响应文件中人员的真实性。</w:t>
      </w:r>
    </w:p>
    <w:p>
      <w:pPr>
        <w:pStyle w:val="31"/>
        <w:tabs>
          <w:tab w:val="left" w:pos="2040"/>
        </w:tabs>
        <w:spacing w:beforeLines="0" w:line="400" w:lineRule="exact"/>
        <w:ind w:left="980" w:hanging="980"/>
        <w:rPr>
          <w:rFonts w:ascii="宋体" w:hAnsi="宋体" w:eastAsia="宋体" w:cs="宋体"/>
          <w:sz w:val="28"/>
          <w:szCs w:val="28"/>
        </w:rPr>
      </w:pPr>
    </w:p>
    <w:p>
      <w:pPr>
        <w:pStyle w:val="31"/>
        <w:tabs>
          <w:tab w:val="left" w:pos="2040"/>
        </w:tabs>
        <w:spacing w:beforeLines="0" w:line="400" w:lineRule="exact"/>
        <w:ind w:left="980" w:hanging="980"/>
        <w:rPr>
          <w:rFonts w:ascii="宋体" w:hAnsi="宋体" w:eastAsia="宋体" w:cs="宋体"/>
          <w:sz w:val="28"/>
          <w:szCs w:val="28"/>
        </w:rPr>
      </w:pPr>
    </w:p>
    <w:p>
      <w:pPr>
        <w:pStyle w:val="31"/>
        <w:tabs>
          <w:tab w:val="left" w:pos="2040"/>
        </w:tabs>
        <w:spacing w:beforeLines="0" w:line="400" w:lineRule="exact"/>
        <w:ind w:left="980" w:hanging="980"/>
        <w:rPr>
          <w:rFonts w:ascii="宋体" w:hAnsi="宋体" w:eastAsia="宋体" w:cs="宋体"/>
          <w:sz w:val="28"/>
          <w:szCs w:val="28"/>
        </w:rPr>
      </w:pPr>
    </w:p>
    <w:p>
      <w:pPr>
        <w:pStyle w:val="31"/>
        <w:tabs>
          <w:tab w:val="left" w:pos="2040"/>
        </w:tabs>
        <w:spacing w:beforeLines="0" w:line="400" w:lineRule="exact"/>
        <w:ind w:left="980" w:hanging="980"/>
        <w:rPr>
          <w:rFonts w:ascii="宋体" w:hAnsi="宋体" w:eastAsia="宋体" w:cs="宋体"/>
          <w:sz w:val="28"/>
          <w:szCs w:val="28"/>
        </w:rPr>
      </w:pPr>
    </w:p>
    <w:p>
      <w:pPr>
        <w:pStyle w:val="31"/>
        <w:tabs>
          <w:tab w:val="left" w:pos="2040"/>
        </w:tabs>
        <w:spacing w:beforeLines="0" w:line="400" w:lineRule="exact"/>
        <w:ind w:left="980" w:hanging="980"/>
        <w:rPr>
          <w:rFonts w:ascii="宋体" w:hAnsi="宋体" w:eastAsia="宋体" w:cs="宋体"/>
          <w:sz w:val="28"/>
          <w:szCs w:val="28"/>
        </w:rPr>
      </w:pPr>
    </w:p>
    <w:p>
      <w:pPr>
        <w:spacing w:line="360" w:lineRule="auto"/>
        <w:ind w:left="1"/>
        <w:jc w:val="center"/>
        <w:outlineLvl w:val="0"/>
        <w:rPr>
          <w:rFonts w:ascii="宋体" w:hAnsi="宋体" w:cs="宋体"/>
          <w:b/>
          <w:sz w:val="32"/>
          <w:szCs w:val="32"/>
        </w:rPr>
      </w:pPr>
      <w:bookmarkStart w:id="175" w:name="_Toc14053"/>
      <w:bookmarkStart w:id="176" w:name="_Toc1597"/>
      <w:bookmarkStart w:id="177" w:name="_Toc25011"/>
      <w:r>
        <w:rPr>
          <w:rFonts w:hint="eastAsia" w:ascii="宋体" w:hAnsi="宋体" w:cs="宋体"/>
          <w:b/>
          <w:sz w:val="32"/>
          <w:szCs w:val="32"/>
        </w:rPr>
        <w:t>九.投标人认为有必要补充说明的事宜（投标人根据单一来源采购文件规定和要求提供的相关资料。）</w:t>
      </w:r>
      <w:bookmarkEnd w:id="175"/>
      <w:bookmarkEnd w:id="176"/>
      <w:bookmarkEnd w:id="177"/>
    </w:p>
    <w:p>
      <w:pPr>
        <w:pStyle w:val="9"/>
        <w:tabs>
          <w:tab w:val="left" w:pos="540"/>
        </w:tabs>
        <w:adjustRightInd w:val="0"/>
        <w:snapToGrid w:val="0"/>
        <w:spacing w:line="360" w:lineRule="auto"/>
        <w:jc w:val="left"/>
        <w:rPr>
          <w:rFonts w:hAnsi="宋体" w:cs="宋体"/>
        </w:rPr>
      </w:pPr>
      <w:r>
        <w:rPr>
          <w:rFonts w:hint="eastAsia" w:hAnsi="宋体" w:cs="宋体"/>
          <w:sz w:val="24"/>
          <w:szCs w:val="24"/>
        </w:rPr>
        <w:br w:type="page"/>
      </w:r>
    </w:p>
    <w:p>
      <w:pPr>
        <w:spacing w:line="360" w:lineRule="auto"/>
        <w:ind w:left="1"/>
        <w:jc w:val="center"/>
        <w:outlineLvl w:val="0"/>
        <w:rPr>
          <w:rFonts w:ascii="宋体" w:hAnsi="宋体" w:cs="宋体"/>
          <w:b/>
          <w:sz w:val="32"/>
          <w:szCs w:val="32"/>
        </w:rPr>
      </w:pPr>
      <w:bookmarkStart w:id="178" w:name="_Toc10556"/>
      <w:bookmarkStart w:id="179" w:name="_Toc30082"/>
      <w:r>
        <w:rPr>
          <w:rFonts w:hint="eastAsia" w:ascii="宋体" w:hAnsi="宋体" w:cs="宋体"/>
          <w:b/>
          <w:sz w:val="32"/>
          <w:szCs w:val="32"/>
        </w:rPr>
        <w:t>十.《拒绝政府采购领域商业贿赂承诺书》</w:t>
      </w:r>
      <w:bookmarkEnd w:id="178"/>
      <w:bookmarkEnd w:id="179"/>
    </w:p>
    <w:p>
      <w:pPr>
        <w:widowControl/>
        <w:spacing w:line="480" w:lineRule="exact"/>
        <w:jc w:val="center"/>
        <w:rPr>
          <w:rFonts w:ascii="宋体" w:hAnsi="宋体" w:cs="宋体"/>
          <w:b/>
          <w:bCs/>
          <w:color w:val="000000"/>
          <w:kern w:val="0"/>
          <w:sz w:val="32"/>
          <w:szCs w:val="32"/>
        </w:rPr>
      </w:pPr>
    </w:p>
    <w:p>
      <w:pPr>
        <w:widowControl/>
        <w:spacing w:line="480" w:lineRule="exact"/>
        <w:jc w:val="center"/>
        <w:rPr>
          <w:rFonts w:ascii="宋体" w:hAnsi="宋体" w:cs="宋体"/>
          <w:b/>
          <w:bCs/>
          <w:color w:val="000000"/>
          <w:kern w:val="0"/>
          <w:sz w:val="28"/>
          <w:szCs w:val="28"/>
        </w:rPr>
      </w:pPr>
      <w:bookmarkStart w:id="180" w:name="_Toc18638"/>
      <w:r>
        <w:rPr>
          <w:rFonts w:hint="eastAsia" w:ascii="宋体" w:hAnsi="宋体" w:cs="宋体"/>
          <w:b/>
          <w:bCs/>
          <w:color w:val="000000"/>
          <w:kern w:val="0"/>
          <w:sz w:val="28"/>
          <w:szCs w:val="28"/>
        </w:rPr>
        <w:t>陕西省政府采购投标人</w:t>
      </w:r>
      <w:bookmarkEnd w:id="180"/>
    </w:p>
    <w:p>
      <w:pPr>
        <w:widowControl/>
        <w:spacing w:line="480" w:lineRule="exact"/>
        <w:jc w:val="center"/>
        <w:rPr>
          <w:rFonts w:ascii="宋体" w:hAnsi="宋体" w:cs="宋体"/>
          <w:b/>
          <w:bCs/>
          <w:color w:val="000000"/>
          <w:kern w:val="0"/>
          <w:sz w:val="28"/>
          <w:szCs w:val="28"/>
        </w:rPr>
      </w:pPr>
      <w:bookmarkStart w:id="181" w:name="_Toc1001"/>
      <w:r>
        <w:rPr>
          <w:rFonts w:hint="eastAsia" w:ascii="宋体" w:hAnsi="宋体" w:cs="宋体"/>
          <w:b/>
          <w:bCs/>
          <w:color w:val="000000"/>
          <w:kern w:val="0"/>
          <w:sz w:val="28"/>
          <w:szCs w:val="28"/>
        </w:rPr>
        <w:t>拒绝政府采购领域商业贿赂承诺书</w:t>
      </w:r>
      <w:bookmarkEnd w:id="181"/>
    </w:p>
    <w:p>
      <w:pPr>
        <w:widowControl/>
        <w:spacing w:line="240" w:lineRule="exact"/>
        <w:ind w:firstLine="420" w:firstLineChars="200"/>
        <w:jc w:val="left"/>
        <w:rPr>
          <w:rFonts w:ascii="宋体" w:hAnsi="宋体" w:cs="宋体"/>
          <w:color w:val="000000"/>
          <w:kern w:val="0"/>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为响应党中央、国务院关于治理政府采购领域商业贿赂行为的号召，我单位在此庄严承诺：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 xml:space="preserve">1、在参与政府采购活动中遵纪守法、诚信经营、公平竞标。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 xml:space="preserve">2、不向采购人、招标代理机构和政府采购评审专家进行任何形式的商业贿赂以谋取交易机会。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 xml:space="preserve">3、不向政府采购招标代理机构和采购人提供虚假资质文件或采用虚假应标方式参与政府采购市场竞争并谋取中标。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 xml:space="preserve">4、不采取“围标、陪标”等商业欺诈手段获得政府采购定单。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 xml:space="preserve">5、不采取不正当手段诋毁、排挤其他投标人。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6、不在提供商品和服务时“偷梁换柱、以次充好”损害采购人的合法权益。</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 xml:space="preserve">7、不与采购人、招标代理机构政府采购评审专家或其它投标人恶意串通，进行质疑和投诉，维护政府采购市场秩序。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 xml:space="preserve">8、尊重和接受政府采购监督管理部门的监督和政府招标代理机构采购要求，承担因违约行为给采购人造成的损失。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kern w:val="0"/>
          <w:sz w:val="24"/>
          <w:szCs w:val="24"/>
        </w:rPr>
      </w:pPr>
      <w:r>
        <w:rPr>
          <w:rFonts w:hint="eastAsia" w:ascii="宋体" w:hAnsi="宋体" w:cs="宋体"/>
          <w:color w:val="000000"/>
          <w:sz w:val="24"/>
          <w:szCs w:val="24"/>
        </w:rPr>
        <w:t xml:space="preserve">9、不发生其他有悖于政府采购公开、公平、公正和诚信原则的行为。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960" w:firstLineChars="400"/>
        <w:textAlignment w:val="auto"/>
        <w:rPr>
          <w:rFonts w:ascii="宋体" w:hAnsi="宋体" w:cs="宋体"/>
          <w:color w:val="000000"/>
          <w:kern w:val="0"/>
          <w:sz w:val="24"/>
          <w:szCs w:val="24"/>
        </w:rPr>
      </w:pPr>
      <w:r>
        <w:rPr>
          <w:rFonts w:hint="eastAsia" w:ascii="宋体" w:hAnsi="宋体" w:cs="宋体"/>
          <w:color w:val="000000"/>
          <w:kern w:val="0"/>
          <w:sz w:val="24"/>
          <w:szCs w:val="24"/>
        </w:rPr>
        <w:t>承诺单位：</w:t>
      </w:r>
      <w:r>
        <w:rPr>
          <w:rFonts w:hint="eastAsia" w:ascii="宋体" w:hAnsi="宋体" w:cs="宋体"/>
          <w:color w:val="000000"/>
          <w:kern w:val="0"/>
          <w:sz w:val="24"/>
          <w:szCs w:val="24"/>
          <w:u w:val="single"/>
        </w:rPr>
        <w:t>　　                 　</w:t>
      </w:r>
      <w:r>
        <w:rPr>
          <w:rFonts w:hint="eastAsia" w:ascii="宋体" w:hAnsi="宋体" w:cs="宋体"/>
          <w:color w:val="000000"/>
          <w:kern w:val="0"/>
          <w:sz w:val="24"/>
          <w:szCs w:val="24"/>
        </w:rPr>
        <w:t>（盖章）</w:t>
      </w:r>
    </w:p>
    <w:p>
      <w:pPr>
        <w:keepNext w:val="0"/>
        <w:keepLines w:val="0"/>
        <w:pageBreakBefore w:val="0"/>
        <w:widowControl/>
        <w:kinsoku/>
        <w:wordWrap/>
        <w:overflowPunct/>
        <w:topLinePunct w:val="0"/>
        <w:autoSpaceDE/>
        <w:autoSpaceDN/>
        <w:bidi w:val="0"/>
        <w:adjustRightInd/>
        <w:snapToGrid/>
        <w:spacing w:line="400" w:lineRule="exact"/>
        <w:ind w:firstLine="960" w:firstLineChars="400"/>
        <w:textAlignment w:val="auto"/>
        <w:rPr>
          <w:rFonts w:ascii="宋体" w:hAnsi="宋体" w:cs="宋体"/>
          <w:color w:val="000000"/>
          <w:kern w:val="0"/>
          <w:sz w:val="24"/>
          <w:szCs w:val="24"/>
        </w:rPr>
      </w:pPr>
      <w:r>
        <w:rPr>
          <w:rFonts w:hint="eastAsia" w:ascii="宋体" w:hAnsi="宋体" w:cs="宋体"/>
          <w:bCs/>
          <w:caps/>
          <w:color w:val="000000"/>
          <w:sz w:val="24"/>
          <w:szCs w:val="24"/>
        </w:rPr>
        <w:t>法定代表人/负责人</w:t>
      </w:r>
      <w:r>
        <w:rPr>
          <w:rFonts w:hint="eastAsia" w:ascii="宋体" w:hAnsi="宋体" w:cs="宋体"/>
          <w:color w:val="000000"/>
          <w:kern w:val="0"/>
          <w:sz w:val="24"/>
          <w:szCs w:val="24"/>
        </w:rPr>
        <w:t>：</w:t>
      </w:r>
      <w:r>
        <w:rPr>
          <w:rFonts w:hint="eastAsia" w:ascii="宋体" w:hAnsi="宋体" w:cs="宋体"/>
          <w:color w:val="000000"/>
          <w:kern w:val="0"/>
          <w:sz w:val="24"/>
          <w:szCs w:val="24"/>
          <w:u w:val="single"/>
        </w:rPr>
        <w:t>　　　　　　　</w:t>
      </w:r>
      <w:r>
        <w:rPr>
          <w:rFonts w:hint="eastAsia" w:ascii="宋体" w:hAnsi="宋体" w:cs="宋体"/>
          <w:color w:val="000000"/>
          <w:kern w:val="0"/>
          <w:sz w:val="24"/>
          <w:szCs w:val="24"/>
        </w:rPr>
        <w:t xml:space="preserve">（签字） </w:t>
      </w:r>
    </w:p>
    <w:p>
      <w:pPr>
        <w:keepNext w:val="0"/>
        <w:keepLines w:val="0"/>
        <w:pageBreakBefore w:val="0"/>
        <w:widowControl/>
        <w:kinsoku/>
        <w:wordWrap/>
        <w:overflowPunct/>
        <w:topLinePunct w:val="0"/>
        <w:autoSpaceDE/>
        <w:autoSpaceDN/>
        <w:bidi w:val="0"/>
        <w:adjustRightInd/>
        <w:snapToGrid/>
        <w:spacing w:line="400" w:lineRule="exact"/>
        <w:ind w:firstLine="960" w:firstLineChars="400"/>
        <w:textAlignment w:val="auto"/>
        <w:rPr>
          <w:rFonts w:ascii="宋体" w:hAnsi="宋体" w:cs="宋体"/>
          <w:color w:val="000000"/>
          <w:kern w:val="0"/>
          <w:sz w:val="24"/>
          <w:szCs w:val="24"/>
          <w:u w:val="single"/>
        </w:rPr>
      </w:pPr>
      <w:r>
        <w:rPr>
          <w:rFonts w:hint="eastAsia" w:ascii="宋体" w:hAnsi="宋体" w:cs="宋体"/>
          <w:color w:val="000000"/>
          <w:kern w:val="0"/>
          <w:sz w:val="24"/>
          <w:szCs w:val="24"/>
        </w:rPr>
        <w:t>地　　址：</w:t>
      </w:r>
      <w:r>
        <w:rPr>
          <w:rFonts w:hint="eastAsia" w:ascii="宋体" w:hAnsi="宋体" w:cs="宋体"/>
          <w:color w:val="000000"/>
          <w:kern w:val="0"/>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960" w:firstLineChars="400"/>
        <w:textAlignment w:val="auto"/>
        <w:rPr>
          <w:rFonts w:ascii="宋体" w:hAnsi="宋体" w:cs="宋体"/>
          <w:color w:val="000000"/>
          <w:kern w:val="0"/>
          <w:sz w:val="24"/>
          <w:szCs w:val="24"/>
          <w:u w:val="single"/>
        </w:rPr>
      </w:pPr>
      <w:r>
        <w:rPr>
          <w:rFonts w:hint="eastAsia" w:ascii="宋体" w:hAnsi="宋体" w:cs="宋体"/>
          <w:color w:val="000000"/>
          <w:kern w:val="0"/>
          <w:sz w:val="24"/>
          <w:szCs w:val="24"/>
        </w:rPr>
        <w:t>邮    编：</w:t>
      </w:r>
      <w:r>
        <w:rPr>
          <w:rFonts w:hint="eastAsia" w:ascii="宋体" w:hAnsi="宋体" w:cs="宋体"/>
          <w:color w:val="000000"/>
          <w:kern w:val="0"/>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960" w:firstLineChars="400"/>
        <w:textAlignment w:val="auto"/>
        <w:rPr>
          <w:rFonts w:ascii="宋体" w:hAnsi="宋体" w:cs="宋体"/>
          <w:b/>
          <w:color w:val="000000"/>
          <w:sz w:val="24"/>
          <w:szCs w:val="24"/>
        </w:rPr>
      </w:pPr>
      <w:r>
        <w:rPr>
          <w:rFonts w:hint="eastAsia" w:ascii="宋体" w:hAnsi="宋体" w:cs="宋体"/>
          <w:color w:val="000000"/>
          <w:kern w:val="0"/>
          <w:sz w:val="24"/>
          <w:szCs w:val="24"/>
        </w:rPr>
        <w:t>电　　话：</w:t>
      </w:r>
      <w:r>
        <w:rPr>
          <w:rFonts w:hint="eastAsia" w:ascii="宋体" w:hAnsi="宋体" w:cs="宋体"/>
          <w:color w:val="000000"/>
          <w:kern w:val="0"/>
          <w:sz w:val="24"/>
          <w:szCs w:val="24"/>
          <w:u w:val="single"/>
        </w:rPr>
        <w:t>　　　                　　　　</w:t>
      </w:r>
      <w:r>
        <w:rPr>
          <w:rFonts w:hint="eastAsia" w:ascii="宋体" w:hAnsi="宋体" w:cs="宋体"/>
          <w:color w:val="000000"/>
          <w:kern w:val="0"/>
          <w:sz w:val="24"/>
          <w:szCs w:val="24"/>
        </w:rPr>
        <w:t xml:space="preserve">　　 </w:t>
      </w:r>
      <w:r>
        <w:rPr>
          <w:rFonts w:hint="eastAsia" w:ascii="宋体" w:hAnsi="宋体" w:cs="宋体"/>
          <w:b/>
          <w:color w:val="000000"/>
          <w:sz w:val="24"/>
          <w:szCs w:val="24"/>
        </w:rPr>
        <w:t xml:space="preserve">          </w:t>
      </w:r>
    </w:p>
    <w:p>
      <w:pPr>
        <w:spacing w:line="360" w:lineRule="auto"/>
        <w:ind w:left="1"/>
        <w:jc w:val="center"/>
        <w:rPr>
          <w:rFonts w:ascii="宋体" w:hAnsi="宋体" w:cs="宋体"/>
          <w:b/>
          <w:sz w:val="28"/>
          <w:szCs w:val="28"/>
        </w:rPr>
      </w:pPr>
    </w:p>
    <w:p>
      <w:pPr>
        <w:pStyle w:val="5"/>
      </w:pPr>
    </w:p>
    <w:p>
      <w:pPr>
        <w:pStyle w:val="5"/>
        <w:rPr>
          <w:rFonts w:ascii="宋体" w:hAnsi="宋体" w:cs="宋体"/>
          <w:b/>
          <w:sz w:val="28"/>
          <w:szCs w:val="28"/>
        </w:rPr>
      </w:pPr>
    </w:p>
    <w:p>
      <w:pPr>
        <w:pStyle w:val="2"/>
        <w:ind w:left="0" w:leftChars="0" w:firstLine="0" w:firstLineChars="0"/>
        <w:rPr>
          <w:sz w:val="21"/>
          <w:szCs w:val="21"/>
        </w:rPr>
      </w:pPr>
    </w:p>
    <w:sectPr>
      <w:footerReference r:id="rId8" w:type="first"/>
      <w:footerReference r:id="rId7"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0"/>
    <w:multiLevelType w:val="multilevel"/>
    <w:tmpl w:val="2F000000"/>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abstractNum w:abstractNumId="1">
    <w:nsid w:val="2F000001"/>
    <w:multiLevelType w:val="multilevel"/>
    <w:tmpl w:val="2F000001"/>
    <w:lvl w:ilvl="0" w:tentative="0">
      <w:start w:val="2"/>
      <w:numFmt w:val="decimal"/>
      <w:suff w:val="nothing"/>
      <w:lvlText w:val="%1、"/>
      <w:lvlJc w:val="left"/>
    </w:lvl>
    <w:lvl w:ilvl="1" w:tentative="0">
      <w:start w:val="2"/>
      <w:numFmt w:val="decimal"/>
      <w:suff w:val="nothing"/>
      <w:lvlText w:val="%1、"/>
      <w:lvlJc w:val="left"/>
    </w:lvl>
    <w:lvl w:ilvl="2" w:tentative="0">
      <w:start w:val="2"/>
      <w:numFmt w:val="decimal"/>
      <w:suff w:val="nothing"/>
      <w:lvlText w:val="%1、"/>
      <w:lvlJc w:val="left"/>
    </w:lvl>
    <w:lvl w:ilvl="3" w:tentative="0">
      <w:start w:val="2"/>
      <w:numFmt w:val="decimal"/>
      <w:suff w:val="nothing"/>
      <w:lvlText w:val="%1、"/>
      <w:lvlJc w:val="left"/>
    </w:lvl>
    <w:lvl w:ilvl="4" w:tentative="0">
      <w:start w:val="2"/>
      <w:numFmt w:val="decimal"/>
      <w:suff w:val="nothing"/>
      <w:lvlText w:val="%1、"/>
      <w:lvlJc w:val="left"/>
    </w:lvl>
    <w:lvl w:ilvl="5" w:tentative="0">
      <w:start w:val="2"/>
      <w:numFmt w:val="decimal"/>
      <w:suff w:val="nothing"/>
      <w:lvlText w:val="%1、"/>
      <w:lvlJc w:val="left"/>
    </w:lvl>
    <w:lvl w:ilvl="6" w:tentative="0">
      <w:start w:val="2"/>
      <w:numFmt w:val="decimal"/>
      <w:suff w:val="nothing"/>
      <w:lvlText w:val="%1、"/>
      <w:lvlJc w:val="left"/>
    </w:lvl>
    <w:lvl w:ilvl="7" w:tentative="0">
      <w:start w:val="2"/>
      <w:numFmt w:val="decimal"/>
      <w:suff w:val="nothing"/>
      <w:lvlText w:val="%1、"/>
      <w:lvlJc w:val="left"/>
    </w:lvl>
    <w:lvl w:ilvl="8" w:tentative="0">
      <w:start w:val="2"/>
      <w:numFmt w:val="decimal"/>
      <w:suff w:val="nothing"/>
      <w:lvlText w:val="%1、"/>
      <w:lvlJc w:val="left"/>
    </w:lvl>
  </w:abstractNum>
  <w:abstractNum w:abstractNumId="2">
    <w:nsid w:val="2F000002"/>
    <w:multiLevelType w:val="multilevel"/>
    <w:tmpl w:val="2F000002"/>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abstractNum w:abstractNumId="3">
    <w:nsid w:val="2F000003"/>
    <w:multiLevelType w:val="multilevel"/>
    <w:tmpl w:val="2F000003"/>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abstractNum w:abstractNumId="4">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5">
    <w:nsid w:val="65397E5C"/>
    <w:multiLevelType w:val="singleLevel"/>
    <w:tmpl w:val="65397E5C"/>
    <w:lvl w:ilvl="0" w:tentative="0">
      <w:start w:val="1"/>
      <w:numFmt w:val="decimal"/>
      <w:suff w:val="space"/>
      <w:lvlText w:val="%1)"/>
      <w:lvlJc w:val="left"/>
      <w:pPr>
        <w:ind w:left="959" w:firstLine="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OGExNTUyMTk1MjA0ODQ2ZWNiMjVjOTRmZTQxMjYifQ=="/>
  </w:docVars>
  <w:rsids>
    <w:rsidRoot w:val="16B214E4"/>
    <w:rsid w:val="000471F8"/>
    <w:rsid w:val="000A59D7"/>
    <w:rsid w:val="0010424D"/>
    <w:rsid w:val="001F1A78"/>
    <w:rsid w:val="002630BB"/>
    <w:rsid w:val="00340EF7"/>
    <w:rsid w:val="00356CAE"/>
    <w:rsid w:val="00377C14"/>
    <w:rsid w:val="005A1C40"/>
    <w:rsid w:val="005A2D64"/>
    <w:rsid w:val="005E3C8A"/>
    <w:rsid w:val="00665BAD"/>
    <w:rsid w:val="0068015D"/>
    <w:rsid w:val="006E01A1"/>
    <w:rsid w:val="007E5E8C"/>
    <w:rsid w:val="00895EF0"/>
    <w:rsid w:val="008B0104"/>
    <w:rsid w:val="008F455E"/>
    <w:rsid w:val="009840CE"/>
    <w:rsid w:val="009E1231"/>
    <w:rsid w:val="00A86013"/>
    <w:rsid w:val="00B43297"/>
    <w:rsid w:val="00B47422"/>
    <w:rsid w:val="00DF013C"/>
    <w:rsid w:val="00EB0784"/>
    <w:rsid w:val="00F534B2"/>
    <w:rsid w:val="00FC323E"/>
    <w:rsid w:val="011C626C"/>
    <w:rsid w:val="016E2F6B"/>
    <w:rsid w:val="01BB7833"/>
    <w:rsid w:val="01CE3A0A"/>
    <w:rsid w:val="026E54F6"/>
    <w:rsid w:val="029D6B2B"/>
    <w:rsid w:val="02BA69C5"/>
    <w:rsid w:val="02F83562"/>
    <w:rsid w:val="03200295"/>
    <w:rsid w:val="03B409DD"/>
    <w:rsid w:val="03C76781"/>
    <w:rsid w:val="03D472D2"/>
    <w:rsid w:val="04903F14"/>
    <w:rsid w:val="04936845"/>
    <w:rsid w:val="055B5998"/>
    <w:rsid w:val="05A57242"/>
    <w:rsid w:val="061340E1"/>
    <w:rsid w:val="062753B4"/>
    <w:rsid w:val="065B3C1F"/>
    <w:rsid w:val="076F17EB"/>
    <w:rsid w:val="078B1398"/>
    <w:rsid w:val="07B76CEE"/>
    <w:rsid w:val="080D2DB2"/>
    <w:rsid w:val="085608FD"/>
    <w:rsid w:val="08CF1E16"/>
    <w:rsid w:val="08E43B13"/>
    <w:rsid w:val="09164F24"/>
    <w:rsid w:val="0946657C"/>
    <w:rsid w:val="099512B1"/>
    <w:rsid w:val="09D26061"/>
    <w:rsid w:val="09F63AFE"/>
    <w:rsid w:val="0A454A85"/>
    <w:rsid w:val="0A9B46A5"/>
    <w:rsid w:val="0AAC0660"/>
    <w:rsid w:val="0AD57BB7"/>
    <w:rsid w:val="0B186C7A"/>
    <w:rsid w:val="0B4E5BBB"/>
    <w:rsid w:val="0BCB720C"/>
    <w:rsid w:val="0BDF721B"/>
    <w:rsid w:val="0BFC1B68"/>
    <w:rsid w:val="0CC429F9"/>
    <w:rsid w:val="0D110C4F"/>
    <w:rsid w:val="0D46029E"/>
    <w:rsid w:val="0D5F19BA"/>
    <w:rsid w:val="0DFF4F4B"/>
    <w:rsid w:val="0E4B1F3E"/>
    <w:rsid w:val="0EC95C85"/>
    <w:rsid w:val="0EE24651"/>
    <w:rsid w:val="0EFB3964"/>
    <w:rsid w:val="0F0A004B"/>
    <w:rsid w:val="0F7F00F1"/>
    <w:rsid w:val="0FB73D2F"/>
    <w:rsid w:val="0FFB08C6"/>
    <w:rsid w:val="10120F66"/>
    <w:rsid w:val="1175312F"/>
    <w:rsid w:val="11A7392F"/>
    <w:rsid w:val="123F1DBA"/>
    <w:rsid w:val="12B74046"/>
    <w:rsid w:val="12C10443"/>
    <w:rsid w:val="130628D8"/>
    <w:rsid w:val="14085FEC"/>
    <w:rsid w:val="1457163D"/>
    <w:rsid w:val="14771CDF"/>
    <w:rsid w:val="1560771A"/>
    <w:rsid w:val="15802E15"/>
    <w:rsid w:val="16B20DAC"/>
    <w:rsid w:val="16B214E4"/>
    <w:rsid w:val="17150F4F"/>
    <w:rsid w:val="17215F32"/>
    <w:rsid w:val="17A0779F"/>
    <w:rsid w:val="18534811"/>
    <w:rsid w:val="18A42595"/>
    <w:rsid w:val="18B54B84"/>
    <w:rsid w:val="190F698A"/>
    <w:rsid w:val="19AE079A"/>
    <w:rsid w:val="19F70288"/>
    <w:rsid w:val="1A1678A4"/>
    <w:rsid w:val="1AA03612"/>
    <w:rsid w:val="1AD05CA5"/>
    <w:rsid w:val="1AEC04B2"/>
    <w:rsid w:val="1B043BA1"/>
    <w:rsid w:val="1B105598"/>
    <w:rsid w:val="1B527002"/>
    <w:rsid w:val="1B70572B"/>
    <w:rsid w:val="1B851185"/>
    <w:rsid w:val="1B8A054A"/>
    <w:rsid w:val="1C931680"/>
    <w:rsid w:val="1CAC629E"/>
    <w:rsid w:val="1D7B5F61"/>
    <w:rsid w:val="1D9751A0"/>
    <w:rsid w:val="1D9B4C90"/>
    <w:rsid w:val="1DB418AE"/>
    <w:rsid w:val="1E200CF1"/>
    <w:rsid w:val="1E3173A3"/>
    <w:rsid w:val="1ED57074"/>
    <w:rsid w:val="1EDD6BE3"/>
    <w:rsid w:val="20020FF7"/>
    <w:rsid w:val="20322F5E"/>
    <w:rsid w:val="20E740D6"/>
    <w:rsid w:val="22097CEF"/>
    <w:rsid w:val="22D4654E"/>
    <w:rsid w:val="22DD04CF"/>
    <w:rsid w:val="2446522A"/>
    <w:rsid w:val="24572B1C"/>
    <w:rsid w:val="2492221D"/>
    <w:rsid w:val="25710085"/>
    <w:rsid w:val="257A35C3"/>
    <w:rsid w:val="258424AE"/>
    <w:rsid w:val="25BA5ED0"/>
    <w:rsid w:val="25FA451E"/>
    <w:rsid w:val="26192BF6"/>
    <w:rsid w:val="26A56238"/>
    <w:rsid w:val="26AF70B6"/>
    <w:rsid w:val="26D849C2"/>
    <w:rsid w:val="28B135BA"/>
    <w:rsid w:val="28C62960"/>
    <w:rsid w:val="28CD1A76"/>
    <w:rsid w:val="29226266"/>
    <w:rsid w:val="29E96D83"/>
    <w:rsid w:val="29F61731"/>
    <w:rsid w:val="2A8675BA"/>
    <w:rsid w:val="2ACD0453"/>
    <w:rsid w:val="2B033E75"/>
    <w:rsid w:val="2B4C75CA"/>
    <w:rsid w:val="2B942D1F"/>
    <w:rsid w:val="2B9B40AD"/>
    <w:rsid w:val="2BA33B3F"/>
    <w:rsid w:val="2BDA2E28"/>
    <w:rsid w:val="2BEC01C3"/>
    <w:rsid w:val="2BF03F9A"/>
    <w:rsid w:val="2C4D184B"/>
    <w:rsid w:val="2C984B22"/>
    <w:rsid w:val="2D2D2481"/>
    <w:rsid w:val="2D614E83"/>
    <w:rsid w:val="2DDD6BFF"/>
    <w:rsid w:val="2E126BC6"/>
    <w:rsid w:val="2FEC4ED7"/>
    <w:rsid w:val="2FEE6EA1"/>
    <w:rsid w:val="2FF40230"/>
    <w:rsid w:val="304F36B8"/>
    <w:rsid w:val="3058256D"/>
    <w:rsid w:val="31061FC9"/>
    <w:rsid w:val="318555E4"/>
    <w:rsid w:val="31A00DEF"/>
    <w:rsid w:val="320C7AB3"/>
    <w:rsid w:val="329B3797"/>
    <w:rsid w:val="32DA54BB"/>
    <w:rsid w:val="32F553CD"/>
    <w:rsid w:val="330D738F"/>
    <w:rsid w:val="335C4122"/>
    <w:rsid w:val="336456CD"/>
    <w:rsid w:val="33B2468A"/>
    <w:rsid w:val="33FC6FA9"/>
    <w:rsid w:val="342B1D46"/>
    <w:rsid w:val="34A00986"/>
    <w:rsid w:val="34D643A8"/>
    <w:rsid w:val="34FA3BF3"/>
    <w:rsid w:val="350C1B78"/>
    <w:rsid w:val="351729F7"/>
    <w:rsid w:val="3555351F"/>
    <w:rsid w:val="35647C06"/>
    <w:rsid w:val="359758E5"/>
    <w:rsid w:val="364D1A9A"/>
    <w:rsid w:val="36B129D7"/>
    <w:rsid w:val="37046FAB"/>
    <w:rsid w:val="37223794"/>
    <w:rsid w:val="37357164"/>
    <w:rsid w:val="375B253A"/>
    <w:rsid w:val="37A367C3"/>
    <w:rsid w:val="381946E1"/>
    <w:rsid w:val="392239AD"/>
    <w:rsid w:val="394A0EC1"/>
    <w:rsid w:val="3A527660"/>
    <w:rsid w:val="3A940645"/>
    <w:rsid w:val="3AC9222F"/>
    <w:rsid w:val="3B9F3746"/>
    <w:rsid w:val="3BBB2749"/>
    <w:rsid w:val="3C3261E8"/>
    <w:rsid w:val="3C5C4B23"/>
    <w:rsid w:val="3CE04016"/>
    <w:rsid w:val="3CF655E7"/>
    <w:rsid w:val="3E126451"/>
    <w:rsid w:val="3E500D27"/>
    <w:rsid w:val="3E815385"/>
    <w:rsid w:val="3F8F587F"/>
    <w:rsid w:val="3F93711E"/>
    <w:rsid w:val="4013025E"/>
    <w:rsid w:val="407231D7"/>
    <w:rsid w:val="40E165AE"/>
    <w:rsid w:val="4110479E"/>
    <w:rsid w:val="412D70FE"/>
    <w:rsid w:val="415B29D6"/>
    <w:rsid w:val="41AC0338"/>
    <w:rsid w:val="421F738E"/>
    <w:rsid w:val="42D812EB"/>
    <w:rsid w:val="42FA5706"/>
    <w:rsid w:val="43840804"/>
    <w:rsid w:val="43A51B15"/>
    <w:rsid w:val="43A7763B"/>
    <w:rsid w:val="43F32881"/>
    <w:rsid w:val="441A73C3"/>
    <w:rsid w:val="44A15C7B"/>
    <w:rsid w:val="44CB735A"/>
    <w:rsid w:val="456D6663"/>
    <w:rsid w:val="46893028"/>
    <w:rsid w:val="46ED0B23"/>
    <w:rsid w:val="47290367"/>
    <w:rsid w:val="47451645"/>
    <w:rsid w:val="47835CCA"/>
    <w:rsid w:val="4823219D"/>
    <w:rsid w:val="483D231C"/>
    <w:rsid w:val="486C0E54"/>
    <w:rsid w:val="488241D3"/>
    <w:rsid w:val="48E1714C"/>
    <w:rsid w:val="48EB1D78"/>
    <w:rsid w:val="49097BFA"/>
    <w:rsid w:val="49DE368B"/>
    <w:rsid w:val="4A527BD5"/>
    <w:rsid w:val="4ABA1BC3"/>
    <w:rsid w:val="4BB12F45"/>
    <w:rsid w:val="4C1E4213"/>
    <w:rsid w:val="4C434755"/>
    <w:rsid w:val="4C714C8A"/>
    <w:rsid w:val="4D31533A"/>
    <w:rsid w:val="4DCB3509"/>
    <w:rsid w:val="4E704ACE"/>
    <w:rsid w:val="4ECD3CCE"/>
    <w:rsid w:val="4EF84093"/>
    <w:rsid w:val="4F45577F"/>
    <w:rsid w:val="503B1837"/>
    <w:rsid w:val="507C1E50"/>
    <w:rsid w:val="507C59AC"/>
    <w:rsid w:val="508D1967"/>
    <w:rsid w:val="51080310"/>
    <w:rsid w:val="51255F55"/>
    <w:rsid w:val="513A1AEF"/>
    <w:rsid w:val="515D57DD"/>
    <w:rsid w:val="51BF3DA2"/>
    <w:rsid w:val="52A336C4"/>
    <w:rsid w:val="53A9575C"/>
    <w:rsid w:val="53C116A6"/>
    <w:rsid w:val="53C2401E"/>
    <w:rsid w:val="53DF24DA"/>
    <w:rsid w:val="54CF254E"/>
    <w:rsid w:val="54E51D72"/>
    <w:rsid w:val="55284354"/>
    <w:rsid w:val="55992B5C"/>
    <w:rsid w:val="559D3BF3"/>
    <w:rsid w:val="56503B63"/>
    <w:rsid w:val="56633896"/>
    <w:rsid w:val="56837A94"/>
    <w:rsid w:val="56927CD7"/>
    <w:rsid w:val="56F315D7"/>
    <w:rsid w:val="573B036F"/>
    <w:rsid w:val="574D23FA"/>
    <w:rsid w:val="57E722A5"/>
    <w:rsid w:val="582E57DE"/>
    <w:rsid w:val="58CB4813"/>
    <w:rsid w:val="59246BE1"/>
    <w:rsid w:val="598E39CC"/>
    <w:rsid w:val="59B77A55"/>
    <w:rsid w:val="5A511C57"/>
    <w:rsid w:val="5B3C70FF"/>
    <w:rsid w:val="5BA164A2"/>
    <w:rsid w:val="5BCF552A"/>
    <w:rsid w:val="5BE34B31"/>
    <w:rsid w:val="5CD054D1"/>
    <w:rsid w:val="5CD1707F"/>
    <w:rsid w:val="5D403C8D"/>
    <w:rsid w:val="5D6F1A49"/>
    <w:rsid w:val="5DB43D9F"/>
    <w:rsid w:val="5DD11BB3"/>
    <w:rsid w:val="5E174F66"/>
    <w:rsid w:val="5E934DA7"/>
    <w:rsid w:val="5F180F96"/>
    <w:rsid w:val="5F7E34EF"/>
    <w:rsid w:val="5FAB7933"/>
    <w:rsid w:val="60243AEA"/>
    <w:rsid w:val="604925E3"/>
    <w:rsid w:val="60716BAF"/>
    <w:rsid w:val="60B915E0"/>
    <w:rsid w:val="60E07891"/>
    <w:rsid w:val="61447ABA"/>
    <w:rsid w:val="61AB60F1"/>
    <w:rsid w:val="61CD45CF"/>
    <w:rsid w:val="62141EE8"/>
    <w:rsid w:val="623D1502"/>
    <w:rsid w:val="63474532"/>
    <w:rsid w:val="63C45248"/>
    <w:rsid w:val="63DA0F0F"/>
    <w:rsid w:val="642108EC"/>
    <w:rsid w:val="645804F4"/>
    <w:rsid w:val="64A71EFA"/>
    <w:rsid w:val="64CC0858"/>
    <w:rsid w:val="65554CF2"/>
    <w:rsid w:val="659B1CD6"/>
    <w:rsid w:val="661E3335"/>
    <w:rsid w:val="670E36CC"/>
    <w:rsid w:val="67340937"/>
    <w:rsid w:val="6738267F"/>
    <w:rsid w:val="67C04A49"/>
    <w:rsid w:val="68354966"/>
    <w:rsid w:val="68C006D4"/>
    <w:rsid w:val="68F4037D"/>
    <w:rsid w:val="69186B69"/>
    <w:rsid w:val="69434E61"/>
    <w:rsid w:val="694A73C1"/>
    <w:rsid w:val="695D4175"/>
    <w:rsid w:val="698E432E"/>
    <w:rsid w:val="69A07559"/>
    <w:rsid w:val="6A5A0B36"/>
    <w:rsid w:val="6A9811DC"/>
    <w:rsid w:val="6B234F4A"/>
    <w:rsid w:val="6BC404DB"/>
    <w:rsid w:val="6BCE0CC9"/>
    <w:rsid w:val="6CE60925"/>
    <w:rsid w:val="6D6B4986"/>
    <w:rsid w:val="6D761CA9"/>
    <w:rsid w:val="6E020E0C"/>
    <w:rsid w:val="6EB26D11"/>
    <w:rsid w:val="6EBB7AAC"/>
    <w:rsid w:val="6F011A46"/>
    <w:rsid w:val="6F6000BC"/>
    <w:rsid w:val="6FC07F82"/>
    <w:rsid w:val="6FF9096F"/>
    <w:rsid w:val="702A28D7"/>
    <w:rsid w:val="70D64110"/>
    <w:rsid w:val="70F47E6E"/>
    <w:rsid w:val="716B764B"/>
    <w:rsid w:val="71B20DD6"/>
    <w:rsid w:val="72A76461"/>
    <w:rsid w:val="72B172DF"/>
    <w:rsid w:val="73552361"/>
    <w:rsid w:val="739A5FC5"/>
    <w:rsid w:val="73AA445A"/>
    <w:rsid w:val="73CA68AB"/>
    <w:rsid w:val="74181AD9"/>
    <w:rsid w:val="7428537F"/>
    <w:rsid w:val="744523D5"/>
    <w:rsid w:val="74600FBD"/>
    <w:rsid w:val="75387844"/>
    <w:rsid w:val="76157B85"/>
    <w:rsid w:val="761E4C8C"/>
    <w:rsid w:val="76391AC6"/>
    <w:rsid w:val="76654669"/>
    <w:rsid w:val="76D54F21"/>
    <w:rsid w:val="76E539FB"/>
    <w:rsid w:val="770519A8"/>
    <w:rsid w:val="771538BF"/>
    <w:rsid w:val="77516029"/>
    <w:rsid w:val="776D33A3"/>
    <w:rsid w:val="7789082B"/>
    <w:rsid w:val="783469E8"/>
    <w:rsid w:val="785045E1"/>
    <w:rsid w:val="78B813C8"/>
    <w:rsid w:val="78D635FC"/>
    <w:rsid w:val="792151BF"/>
    <w:rsid w:val="79FD6043"/>
    <w:rsid w:val="7A2F7467"/>
    <w:rsid w:val="7A3C0DB2"/>
    <w:rsid w:val="7A9E283F"/>
    <w:rsid w:val="7AD26045"/>
    <w:rsid w:val="7BB75966"/>
    <w:rsid w:val="7C376AA7"/>
    <w:rsid w:val="7CB41EA6"/>
    <w:rsid w:val="7CE87DA1"/>
    <w:rsid w:val="7DAB14FB"/>
    <w:rsid w:val="7E156A5F"/>
    <w:rsid w:val="7E6F0DE8"/>
    <w:rsid w:val="7EE76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kern w:val="0"/>
      <w:sz w:val="28"/>
    </w:rPr>
  </w:style>
  <w:style w:type="paragraph" w:styleId="4">
    <w:name w:val="heading 2"/>
    <w:basedOn w:val="1"/>
    <w:next w:val="1"/>
    <w:link w:val="22"/>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ind w:left="425" w:firstLine="420"/>
    </w:pPr>
    <w:rPr>
      <w:rFonts w:eastAsia="楷体_GB2312"/>
      <w:sz w:val="24"/>
    </w:rPr>
  </w:style>
  <w:style w:type="paragraph" w:styleId="7">
    <w:name w:val="Body Text"/>
    <w:basedOn w:val="1"/>
    <w:next w:val="1"/>
    <w:qFormat/>
    <w:uiPriority w:val="0"/>
    <w:rPr>
      <w:color w:val="993300"/>
      <w:sz w:val="24"/>
    </w:rPr>
  </w:style>
  <w:style w:type="paragraph" w:styleId="8">
    <w:name w:val="Body Text Indent"/>
    <w:basedOn w:val="1"/>
    <w:next w:val="1"/>
    <w:unhideWhenUsed/>
    <w:qFormat/>
    <w:uiPriority w:val="99"/>
    <w:pPr>
      <w:spacing w:after="120"/>
      <w:ind w:left="420" w:leftChars="200"/>
    </w:pPr>
  </w:style>
  <w:style w:type="paragraph" w:styleId="9">
    <w:name w:val="Plain Text"/>
    <w:basedOn w:val="1"/>
    <w:qFormat/>
    <w:uiPriority w:val="0"/>
    <w:rPr>
      <w:rFonts w:ascii="宋体" w:hAnsi="Courier New"/>
    </w:rPr>
  </w:style>
  <w:style w:type="paragraph" w:styleId="10">
    <w:name w:val="footer"/>
    <w:basedOn w:val="1"/>
    <w:next w:val="1"/>
    <w:qFormat/>
    <w:uiPriority w:val="99"/>
    <w:pPr>
      <w:tabs>
        <w:tab w:val="center" w:pos="4153"/>
        <w:tab w:val="right" w:pos="8306"/>
      </w:tabs>
      <w:adjustRightInd w:val="0"/>
      <w:spacing w:line="240" w:lineRule="atLeast"/>
      <w:jc w:val="left"/>
      <w:textAlignment w:val="baseline"/>
    </w:pPr>
    <w:rPr>
      <w:kern w:val="0"/>
      <w:sz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sz w:val="20"/>
    </w:rPr>
  </w:style>
  <w:style w:type="paragraph" w:styleId="14">
    <w:name w:val="toc 2"/>
    <w:basedOn w:val="1"/>
    <w:next w:val="1"/>
    <w:qFormat/>
    <w:uiPriority w:val="0"/>
    <w:pPr>
      <w:ind w:left="420" w:leftChars="200"/>
    </w:pPr>
  </w:style>
  <w:style w:type="paragraph" w:styleId="15">
    <w:name w:val="Normal (Web)"/>
    <w:basedOn w:val="1"/>
    <w:next w:val="11"/>
    <w:qFormat/>
    <w:uiPriority w:val="0"/>
    <w:pPr>
      <w:ind w:left="120" w:right="120"/>
      <w:jc w:val="left"/>
    </w:pPr>
    <w:rPr>
      <w:kern w:val="0"/>
      <w:sz w:val="18"/>
      <w:szCs w:val="18"/>
    </w:rPr>
  </w:style>
  <w:style w:type="paragraph" w:styleId="16">
    <w:name w:val="Body Text First Indent"/>
    <w:basedOn w:val="7"/>
    <w:next w:val="1"/>
    <w:qFormat/>
    <w:uiPriority w:val="0"/>
    <w:pPr>
      <w:ind w:firstLine="420" w:firstLineChars="100"/>
    </w:pPr>
  </w:style>
  <w:style w:type="paragraph" w:styleId="17">
    <w:name w:val="Body Text First Indent 2"/>
    <w:basedOn w:val="8"/>
    <w:next w:val="1"/>
    <w:unhideWhenUsed/>
    <w:qFormat/>
    <w:uiPriority w:val="0"/>
    <w:pPr>
      <w:ind w:firstLine="420" w:firstLineChars="200"/>
    </w:pPr>
    <w:rPr>
      <w:sz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customStyle="1" w:styleId="22">
    <w:name w:val="标题 2 Char"/>
    <w:link w:val="4"/>
    <w:qFormat/>
    <w:uiPriority w:val="0"/>
    <w:rPr>
      <w:rFonts w:ascii="Arial" w:hAnsi="Arial" w:eastAsia="黑体"/>
      <w:b/>
      <w:bCs/>
      <w:kern w:val="0"/>
      <w:sz w:val="32"/>
      <w:szCs w:val="32"/>
    </w:rPr>
  </w:style>
  <w:style w:type="paragraph" w:styleId="23">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24">
    <w:name w:val="正文（缩进 2 字符）"/>
    <w:basedOn w:val="1"/>
    <w:qFormat/>
    <w:uiPriority w:val="99"/>
    <w:pPr>
      <w:ind w:firstLine="200" w:firstLineChars="200"/>
    </w:pPr>
  </w:style>
  <w:style w:type="paragraph" w:customStyle="1" w:styleId="25">
    <w:name w:val="无间隔1"/>
    <w:qFormat/>
    <w:uiPriority w:val="0"/>
    <w:pPr>
      <w:widowControl w:val="0"/>
      <w:jc w:val="center"/>
    </w:pPr>
    <w:rPr>
      <w:rFonts w:ascii="Times New Roman" w:hAnsi="Times New Roman" w:eastAsia="宋体" w:cs="Times New Roman"/>
      <w:kern w:val="2"/>
      <w:sz w:val="21"/>
      <w:szCs w:val="24"/>
      <w:lang w:val="en-US" w:eastAsia="zh-CN" w:bidi="ar-SA"/>
    </w:rPr>
  </w:style>
  <w:style w:type="paragraph" w:customStyle="1" w:styleId="26">
    <w:name w:val="UserStyle_96"/>
    <w:basedOn w:val="1"/>
    <w:qFormat/>
    <w:uiPriority w:val="99"/>
    <w:pPr>
      <w:ind w:firstLine="420" w:firstLineChars="200"/>
    </w:pPr>
  </w:style>
  <w:style w:type="character" w:customStyle="1" w:styleId="27">
    <w:name w:val="NormalCharacter"/>
    <w:semiHidden/>
    <w:qFormat/>
    <w:uiPriority w:val="99"/>
  </w:style>
  <w:style w:type="paragraph" w:styleId="28">
    <w:name w:val="List Paragraph"/>
    <w:basedOn w:val="1"/>
    <w:qFormat/>
    <w:uiPriority w:val="99"/>
    <w:pPr>
      <w:ind w:firstLine="420" w:firstLineChars="200"/>
    </w:pPr>
  </w:style>
  <w:style w:type="paragraph" w:customStyle="1" w:styleId="29">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30">
    <w:name w:val="表格文字中"/>
    <w:basedOn w:val="1"/>
    <w:qFormat/>
    <w:uiPriority w:val="0"/>
    <w:pPr>
      <w:adjustRightInd w:val="0"/>
      <w:snapToGrid w:val="0"/>
      <w:ind w:left="22" w:leftChars="8"/>
      <w:jc w:val="center"/>
    </w:pPr>
    <w:rPr>
      <w:kern w:val="0"/>
    </w:rPr>
  </w:style>
  <w:style w:type="paragraph" w:customStyle="1" w:styleId="31">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32">
    <w:name w:val="列出段落1"/>
    <w:basedOn w:val="1"/>
    <w:qFormat/>
    <w:uiPriority w:val="99"/>
    <w:pPr>
      <w:ind w:firstLine="420" w:firstLineChars="200"/>
    </w:pPr>
  </w:style>
  <w:style w:type="paragraph" w:customStyle="1" w:styleId="33">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19296</Words>
  <Characters>20401</Characters>
  <Lines>216</Lines>
  <Paragraphs>61</Paragraphs>
  <TotalTime>1</TotalTime>
  <ScaleCrop>false</ScaleCrop>
  <LinksUpToDate>false</LinksUpToDate>
  <CharactersWithSpaces>21802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2022-09-26T01:44:00Z</dcterms:created>
  <dc:creator>默默</dc:creator>
  <cp:lastModifiedBy>叶永健</cp:lastModifiedBy>
  <cp:lastPrinted>2023-04-10T02:42:00Z</cp:lastPrinted>
  <dcterms:modified xsi:type="dcterms:W3CDTF">2023-04-11T04:06:35Z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CF9C7E879D3B49B49A2F6C7FA30EEEC8</vt:lpwstr>
  </property>
</Properties>
</file>