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hint="default" w:ascii="华文中宋" w:hAnsi="华文中宋" w:eastAsia="华文中宋"/>
          <w:b/>
          <w:sz w:val="28"/>
          <w:szCs w:val="28"/>
          <w:highlight w:val="none"/>
          <w:lang w:val="en-US" w:eastAsia="zh-CN"/>
        </w:rPr>
      </w:pPr>
    </w:p>
    <w:p>
      <w:pPr>
        <w:spacing w:line="360" w:lineRule="auto"/>
        <w:jc w:val="right"/>
        <w:rPr>
          <w:rFonts w:hint="eastAsia" w:ascii="华文中宋" w:hAnsi="华文中宋" w:eastAsia="华文中宋"/>
          <w:b/>
          <w:sz w:val="28"/>
          <w:szCs w:val="28"/>
          <w:highlight w:val="none"/>
          <w:lang w:eastAsia="zh-CN"/>
        </w:rPr>
      </w:pPr>
    </w:p>
    <w:p>
      <w:pPr>
        <w:spacing w:line="360" w:lineRule="auto"/>
        <w:jc w:val="right"/>
        <w:rPr>
          <w:rFonts w:hint="eastAsia" w:ascii="华文中宋" w:hAnsi="华文中宋" w:eastAsia="华文中宋"/>
          <w:b/>
          <w:sz w:val="28"/>
          <w:szCs w:val="28"/>
          <w:highlight w:val="none"/>
          <w:lang w:eastAsia="zh-CN"/>
        </w:rPr>
      </w:pPr>
      <w:r>
        <w:rPr>
          <w:color w:val="auto"/>
          <w:sz w:val="36"/>
          <w:highlight w:val="none"/>
        </w:rPr>
        <mc:AlternateContent>
          <mc:Choice Requires="wps">
            <w:drawing>
              <wp:anchor distT="0" distB="0" distL="0" distR="0" simplePos="0" relativeHeight="251661312" behindDoc="0" locked="0" layoutInCell="1" allowOverlap="1">
                <wp:simplePos x="0" y="0"/>
                <wp:positionH relativeFrom="column">
                  <wp:posOffset>4232910</wp:posOffset>
                </wp:positionH>
                <wp:positionV relativeFrom="paragraph">
                  <wp:posOffset>153670</wp:posOffset>
                </wp:positionV>
                <wp:extent cx="1821180" cy="499110"/>
                <wp:effectExtent l="7620" t="7620" r="19050" b="26669"/>
                <wp:wrapNone/>
                <wp:docPr id="1026" name="自选图形 7"/>
                <wp:cNvGraphicFramePr/>
                <a:graphic xmlns:a="http://schemas.openxmlformats.org/drawingml/2006/main">
                  <a:graphicData uri="http://schemas.microsoft.com/office/word/2010/wordprocessingShape">
                    <wps:wsp>
                      <wps:cNvSpPr/>
                      <wps:spPr>
                        <a:xfrm>
                          <a:off x="0" y="0"/>
                          <a:ext cx="1821179" cy="499110"/>
                        </a:xfrm>
                        <a:prstGeom prst="roundRect">
                          <a:avLst>
                            <a:gd name="adj" fmla="val 16667"/>
                          </a:avLst>
                        </a:prstGeom>
                        <a:solidFill>
                          <a:srgbClr val="EEECE1"/>
                        </a:solidFill>
                        <a:ln w="15875"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华文中宋" w:hAnsi="华文中宋" w:eastAsia="华文中宋" w:cs="华文中宋"/>
                                <w:b/>
                                <w:bCs/>
                                <w:sz w:val="36"/>
                                <w:szCs w:val="36"/>
                                <w:lang w:eastAsia="zh-CN"/>
                              </w:rPr>
                            </w:pPr>
                            <w:r>
                              <w:rPr>
                                <w:rFonts w:hint="eastAsia" w:ascii="华文中宋" w:hAnsi="华文中宋" w:eastAsia="华文中宋" w:cs="华文中宋"/>
                                <w:b/>
                                <w:bCs/>
                                <w:sz w:val="36"/>
                                <w:szCs w:val="36"/>
                                <w:lang w:eastAsia="zh-CN"/>
                              </w:rPr>
                              <w:t>政府采购项目</w:t>
                            </w:r>
                          </w:p>
                        </w:txbxContent>
                      </wps:txbx>
                      <wps:bodyPr vert="horz" wrap="square" anchor="t" upright="1"/>
                    </wps:wsp>
                  </a:graphicData>
                </a:graphic>
              </wp:anchor>
            </w:drawing>
          </mc:Choice>
          <mc:Fallback>
            <w:pict>
              <v:roundrect id="自选图形 7" o:spid="_x0000_s1026" o:spt="2" style="position:absolute;left:0pt;margin-left:333.3pt;margin-top:12.1pt;height:39.3pt;width:143.4pt;z-index:251661312;mso-width-relative:page;mso-height-relative:page;" fillcolor="#EEECE1" filled="t" stroked="t" coordsize="21600,21600" arcsize="0.166666666666667" o:gfxdata="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x1OzfXAAAACgEAAA8AAAAAAAAAAQAgAAAA&#10;IgAAAGRycy9kb3ducmV2LnhtbFBLAQIUABQAAAAIAIdO4kBsEmOqRQIAAIkEAAAOAAAAAAAAAAEA&#10;IAAAACYBAABkcnMvZTJvRG9jLnhtbFBLBQYAAAAABgAGAFkBAADdBQAAAAA=&#10;">
                <v:fill on="t" focussize="0,0"/>
                <v:stroke weight="1.2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华文中宋" w:hAnsi="华文中宋" w:eastAsia="华文中宋" w:cs="华文中宋"/>
                          <w:b/>
                          <w:bCs/>
                          <w:sz w:val="36"/>
                          <w:szCs w:val="36"/>
                          <w:lang w:eastAsia="zh-CN"/>
                        </w:rPr>
                      </w:pPr>
                      <w:r>
                        <w:rPr>
                          <w:rFonts w:hint="eastAsia" w:ascii="华文中宋" w:hAnsi="华文中宋" w:eastAsia="华文中宋" w:cs="华文中宋"/>
                          <w:b/>
                          <w:bCs/>
                          <w:sz w:val="36"/>
                          <w:szCs w:val="36"/>
                          <w:lang w:eastAsia="zh-CN"/>
                        </w:rPr>
                        <w:t>政府采购项目</w:t>
                      </w:r>
                    </w:p>
                  </w:txbxContent>
                </v:textbox>
              </v:roundrect>
            </w:pict>
          </mc:Fallback>
        </mc:AlternateContent>
      </w:r>
      <w:r>
        <w:rPr>
          <w:rFonts w:hint="eastAsia" w:ascii="华文隶书" w:hAnsi="华文隶书" w:eastAsia="华文隶书" w:cs="华文隶书"/>
          <w:b/>
          <w:bCs/>
          <w:color w:val="1F497D"/>
          <w:sz w:val="28"/>
          <w:szCs w:val="28"/>
          <w:highlight w:val="none"/>
        </w:rPr>
        <w:drawing>
          <wp:anchor distT="0" distB="0" distL="0" distR="0" simplePos="0" relativeHeight="251661312" behindDoc="0" locked="0" layoutInCell="1" allowOverlap="1">
            <wp:simplePos x="0" y="0"/>
            <wp:positionH relativeFrom="column">
              <wp:posOffset>90805</wp:posOffset>
            </wp:positionH>
            <wp:positionV relativeFrom="paragraph">
              <wp:posOffset>177800</wp:posOffset>
            </wp:positionV>
            <wp:extent cx="929005" cy="927735"/>
            <wp:effectExtent l="0" t="0" r="4445" b="5715"/>
            <wp:wrapNone/>
            <wp:docPr id="1027" name="图片 7" descr="透明logol1"/>
            <wp:cNvGraphicFramePr/>
            <a:graphic xmlns:a="http://schemas.openxmlformats.org/drawingml/2006/main">
              <a:graphicData uri="http://schemas.openxmlformats.org/drawingml/2006/picture">
                <pic:pic xmlns:pic="http://schemas.openxmlformats.org/drawingml/2006/picture">
                  <pic:nvPicPr>
                    <pic:cNvPr id="1027" name="图片 7" descr="透明logol1"/>
                    <pic:cNvPicPr/>
                  </pic:nvPicPr>
                  <pic:blipFill>
                    <a:blip r:embed="rId12" cstate="print"/>
                    <a:srcRect/>
                    <a:stretch>
                      <a:fillRect/>
                    </a:stretch>
                  </pic:blipFill>
                  <pic:spPr>
                    <a:xfrm>
                      <a:off x="0" y="0"/>
                      <a:ext cx="929005" cy="927735"/>
                    </a:xfrm>
                    <a:prstGeom prst="rect">
                      <a:avLst/>
                    </a:prstGeom>
                    <a:ln>
                      <a:noFill/>
                    </a:ln>
                  </pic:spPr>
                </pic:pic>
              </a:graphicData>
            </a:graphic>
          </wp:anchor>
        </w:drawing>
      </w:r>
    </w:p>
    <w:p>
      <w:pPr>
        <w:spacing w:line="360" w:lineRule="auto"/>
        <w:jc w:val="center"/>
        <w:rPr>
          <w:rFonts w:hint="default" w:ascii="华文中宋" w:hAnsi="华文中宋" w:eastAsia="华文中宋"/>
          <w:b/>
          <w:sz w:val="44"/>
          <w:szCs w:val="44"/>
          <w:highlight w:val="none"/>
          <w:lang w:val="en-US" w:eastAsia="zh-CN"/>
        </w:rPr>
      </w:pPr>
      <w:r>
        <w:rPr>
          <w:rFonts w:hint="eastAsia" w:ascii="华文中宋" w:hAnsi="华文中宋" w:eastAsia="华文中宋"/>
          <w:b/>
          <w:sz w:val="44"/>
          <w:szCs w:val="44"/>
          <w:highlight w:val="none"/>
          <w:lang w:val="en-US" w:eastAsia="zh-CN"/>
        </w:rPr>
        <w:t xml:space="preserve">     </w:t>
      </w:r>
    </w:p>
    <w:p>
      <w:pPr>
        <w:spacing w:line="360" w:lineRule="auto"/>
        <w:jc w:val="center"/>
        <w:rPr>
          <w:rFonts w:hint="eastAsia" w:ascii="华文中宋" w:hAnsi="华文中宋" w:eastAsia="华文中宋"/>
          <w:b/>
          <w:sz w:val="44"/>
          <w:szCs w:val="44"/>
          <w:highlight w:val="none"/>
        </w:rPr>
      </w:pPr>
    </w:p>
    <w:p>
      <w:pPr>
        <w:pStyle w:val="24"/>
        <w:rPr>
          <w:rFonts w:hint="eastAsia" w:ascii="华文中宋" w:hAnsi="华文中宋" w:eastAsia="华文中宋"/>
          <w:b/>
          <w:sz w:val="32"/>
          <w:szCs w:val="32"/>
          <w:highlight w:val="none"/>
        </w:rPr>
      </w:pPr>
    </w:p>
    <w:p>
      <w:pPr>
        <w:spacing w:line="800" w:lineRule="exact"/>
        <w:jc w:val="center"/>
        <w:rPr>
          <w:rFonts w:hint="default" w:ascii="新宋体" w:hAnsi="新宋体" w:eastAsia="新宋体" w:cs="新宋体"/>
          <w:b/>
          <w:sz w:val="48"/>
          <w:szCs w:val="48"/>
          <w:lang w:val="en-US" w:eastAsia="zh-CN"/>
        </w:rPr>
      </w:pPr>
      <w:r>
        <w:rPr>
          <w:rFonts w:hint="eastAsia" w:ascii="新宋体" w:hAnsi="新宋体" w:eastAsia="新宋体" w:cs="新宋体"/>
          <w:b/>
          <w:sz w:val="48"/>
          <w:szCs w:val="48"/>
          <w:lang w:eastAsia="zh-CN"/>
        </w:rPr>
        <w:t>2023年长安区太乙街道中心学校、黄良街道湖村小学等5所学校设备采购项目（二次）</w:t>
      </w: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pStyle w:val="2"/>
        <w:rPr>
          <w:rFonts w:hint="eastAsia"/>
          <w:highlight w:val="none"/>
          <w:lang w:eastAsia="zh-CN"/>
        </w:rPr>
      </w:pPr>
    </w:p>
    <w:p>
      <w:pPr>
        <w:bidi w:val="0"/>
        <w:rPr>
          <w:rFonts w:hint="eastAsia"/>
          <w:highlight w:val="none"/>
        </w:rPr>
      </w:pPr>
    </w:p>
    <w:p>
      <w:pPr>
        <w:widowControl/>
        <w:tabs>
          <w:tab w:val="left" w:pos="3828"/>
        </w:tabs>
        <w:autoSpaceDE w:val="0"/>
        <w:autoSpaceDN w:val="0"/>
        <w:jc w:val="center"/>
        <w:textAlignment w:val="bottom"/>
        <w:rPr>
          <w:rFonts w:hint="eastAsia" w:ascii="华文中宋" w:hAnsi="华文中宋" w:eastAsia="华文中宋"/>
          <w:b/>
          <w:color w:val="000000"/>
          <w:spacing w:val="66"/>
          <w:kern w:val="0"/>
          <w:sz w:val="72"/>
          <w:szCs w:val="112"/>
          <w:highlight w:val="none"/>
          <w14:shadow w14:blurRad="50800" w14:dist="38100" w14:dir="2700000" w14:sx="100000" w14:sy="100000" w14:kx="0" w14:ky="0" w14:algn="tl">
            <w14:srgbClr w14:val="000000">
              <w14:alpha w14:val="60001"/>
            </w14:srgbClr>
          </w14:shadow>
        </w:rPr>
      </w:pPr>
      <w:r>
        <w:rPr>
          <w:rFonts w:hint="eastAsia" w:ascii="华文中宋" w:hAnsi="华文中宋" w:eastAsia="华文中宋"/>
          <w:b/>
          <w:color w:val="000000"/>
          <w:spacing w:val="66"/>
          <w:kern w:val="0"/>
          <w:sz w:val="72"/>
          <w:szCs w:val="112"/>
          <w:highlight w:val="none"/>
          <w:lang w:eastAsia="zh-CN"/>
          <w14:shadow w14:blurRad="0" w14:dist="0" w14:dir="0" w14:sx="100000" w14:sy="100000" w14:kx="0" w14:ky="0" w14:algn="none">
            <w14:srgbClr w14:val="808080"/>
          </w14:shadow>
        </w:rPr>
        <w:t>公开</w:t>
      </w:r>
      <w:r>
        <w:rPr>
          <w:rFonts w:hint="eastAsia" w:ascii="华文中宋" w:hAnsi="华文中宋" w:eastAsia="华文中宋"/>
          <w:b/>
          <w:color w:val="000000"/>
          <w:spacing w:val="66"/>
          <w:kern w:val="0"/>
          <w:sz w:val="72"/>
          <w:szCs w:val="112"/>
          <w:highlight w:val="none"/>
          <w14:shadow w14:blurRad="0" w14:dist="0" w14:dir="0" w14:sx="100000" w14:sy="100000" w14:kx="0" w14:ky="0" w14:algn="none">
            <w14:srgbClr w14:val="808080"/>
          </w14:shadow>
        </w:rPr>
        <w:t>招标文件</w:t>
      </w:r>
    </w:p>
    <w:p>
      <w:pPr>
        <w:autoSpaceDE w:val="0"/>
        <w:autoSpaceDN w:val="0"/>
        <w:adjustRightInd w:val="0"/>
        <w:jc w:val="center"/>
        <w:outlineLvl w:val="0"/>
        <w:rPr>
          <w:rFonts w:hint="eastAsia" w:ascii="华文中宋" w:hAnsi="华文中宋" w:eastAsia="华文中宋" w:cs="宋体"/>
          <w:color w:val="auto"/>
          <w:sz w:val="40"/>
          <w:szCs w:val="40"/>
          <w:highlight w:val="none"/>
          <w:lang w:eastAsia="zh-CN"/>
        </w:rPr>
      </w:pPr>
      <w:bookmarkStart w:id="0" w:name="_Toc17745"/>
      <w:bookmarkStart w:id="1" w:name="_Toc23193"/>
      <w:bookmarkStart w:id="2" w:name="_Toc1653"/>
      <w:r>
        <w:rPr>
          <w:rFonts w:hint="eastAsia" w:ascii="华文中宋" w:hAnsi="华文中宋" w:eastAsia="华文中宋" w:cs="宋体"/>
          <w:color w:val="auto"/>
          <w:sz w:val="40"/>
          <w:szCs w:val="40"/>
          <w:highlight w:val="none"/>
          <w:lang w:eastAsia="zh-CN"/>
        </w:rPr>
        <w:t>（</w:t>
      </w:r>
      <w:r>
        <w:rPr>
          <w:rFonts w:hint="eastAsia" w:ascii="华文中宋" w:hAnsi="华文中宋" w:eastAsia="华文中宋" w:cs="宋体"/>
          <w:b/>
          <w:bCs/>
          <w:color w:val="auto"/>
          <w:sz w:val="40"/>
          <w:szCs w:val="40"/>
          <w:highlight w:val="none"/>
          <w:lang w:eastAsia="zh-CN"/>
        </w:rPr>
        <w:t>项目编号：</w:t>
      </w:r>
      <w:r>
        <w:rPr>
          <w:rFonts w:hint="eastAsia" w:eastAsia="华文中宋" w:cs="Times New Roman"/>
          <w:b/>
          <w:bCs/>
          <w:color w:val="auto"/>
          <w:sz w:val="40"/>
          <w:szCs w:val="40"/>
          <w:highlight w:val="none"/>
          <w:lang w:eastAsia="zh-CN"/>
        </w:rPr>
        <w:t>GXZB2023-067Z.1B1</w:t>
      </w:r>
      <w:r>
        <w:rPr>
          <w:rFonts w:hint="eastAsia" w:ascii="华文中宋" w:hAnsi="华文中宋" w:eastAsia="华文中宋" w:cs="宋体"/>
          <w:color w:val="auto"/>
          <w:sz w:val="40"/>
          <w:szCs w:val="40"/>
          <w:highlight w:val="none"/>
          <w:lang w:eastAsia="zh-CN"/>
        </w:rPr>
        <w:t>）</w:t>
      </w:r>
      <w:bookmarkEnd w:id="0"/>
      <w:bookmarkEnd w:id="1"/>
      <w:bookmarkEnd w:id="2"/>
    </w:p>
    <w:p>
      <w:pPr>
        <w:bidi w:val="0"/>
        <w:rPr>
          <w:rFonts w:hint="eastAsia"/>
          <w:highlight w:val="none"/>
          <w:lang w:val="es-ES" w:eastAsia="zh-CN"/>
        </w:rPr>
      </w:pPr>
    </w:p>
    <w:p>
      <w:pPr>
        <w:bidi w:val="0"/>
        <w:rPr>
          <w:rFonts w:hint="eastAsia" w:eastAsia="宋体"/>
          <w:highlight w:val="none"/>
          <w:lang w:val="es-ES" w:eastAsia="zh-CN"/>
        </w:rPr>
      </w:pPr>
    </w:p>
    <w:p>
      <w:pPr>
        <w:pStyle w:val="2"/>
        <w:rPr>
          <w:rFonts w:hint="eastAsia"/>
          <w:highlight w:val="none"/>
          <w:lang w:val="es-ES" w:eastAsia="zh-CN"/>
        </w:rPr>
      </w:pPr>
    </w:p>
    <w:p>
      <w:pPr>
        <w:pStyle w:val="2"/>
        <w:rPr>
          <w:rFonts w:hint="eastAsia"/>
          <w:highlight w:val="none"/>
          <w:lang w:val="es-ES" w:eastAsia="zh-CN"/>
        </w:rPr>
      </w:pPr>
    </w:p>
    <w:p>
      <w:pPr>
        <w:pStyle w:val="2"/>
        <w:jc w:val="both"/>
        <w:rPr>
          <w:rFonts w:hint="eastAsia"/>
          <w:lang w:val="es-E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600" w:lineRule="exact"/>
        <w:ind w:left="0" w:leftChars="0" w:right="0" w:rightChars="0" w:firstLine="0" w:firstLineChars="0"/>
        <w:jc w:val="center"/>
        <w:textAlignment w:val="auto"/>
        <w:outlineLvl w:val="9"/>
        <w:rPr>
          <w:rFonts w:hint="eastAsia" w:eastAsia="华文中宋"/>
          <w:b/>
          <w:bCs/>
          <w:color w:val="000000"/>
          <w:sz w:val="32"/>
          <w:szCs w:val="32"/>
          <w:highlight w:val="none"/>
          <w:lang w:val="es-ES"/>
        </w:rPr>
      </w:pPr>
      <w:r>
        <w:rPr>
          <w:rFonts w:hint="eastAsia" w:eastAsia="华文中宋"/>
          <w:b/>
          <w:bCs/>
          <w:color w:val="000000"/>
          <w:sz w:val="32"/>
          <w:szCs w:val="32"/>
          <w:highlight w:val="none"/>
          <w:lang w:val="es-ES" w:eastAsia="zh-CN"/>
        </w:rPr>
        <w:t>采购</w:t>
      </w:r>
      <w:r>
        <w:rPr>
          <w:rFonts w:hint="eastAsia" w:eastAsia="华文中宋"/>
          <w:b/>
          <w:bCs/>
          <w:color w:val="000000"/>
          <w:sz w:val="32"/>
          <w:szCs w:val="32"/>
          <w:highlight w:val="none"/>
          <w:lang w:val="es-ES"/>
        </w:rPr>
        <w:t>代理</w:t>
      </w:r>
      <w:r>
        <w:rPr>
          <w:rFonts w:hint="eastAsia" w:eastAsia="华文中宋"/>
          <w:b/>
          <w:bCs/>
          <w:color w:val="000000"/>
          <w:sz w:val="32"/>
          <w:szCs w:val="32"/>
          <w:highlight w:val="none"/>
          <w:lang w:val="es-ES" w:eastAsia="zh-CN"/>
        </w:rPr>
        <w:t>机构</w:t>
      </w:r>
      <w:r>
        <w:rPr>
          <w:rFonts w:hint="eastAsia" w:eastAsia="华文中宋"/>
          <w:b/>
          <w:bCs/>
          <w:color w:val="000000"/>
          <w:sz w:val="32"/>
          <w:szCs w:val="32"/>
          <w:highlight w:val="none"/>
          <w:lang w:val="es-ES"/>
        </w:rPr>
        <w:t>：陕西国信招标有限公司</w:t>
      </w:r>
    </w:p>
    <w:p>
      <w:pPr>
        <w:keepNext w:val="0"/>
        <w:keepLines w:val="0"/>
        <w:pageBreakBefore w:val="0"/>
        <w:widowControl w:val="0"/>
        <w:kinsoku/>
        <w:wordWrap/>
        <w:overflowPunct/>
        <w:topLinePunct w:val="0"/>
        <w:autoSpaceDE/>
        <w:autoSpaceDN/>
        <w:bidi w:val="0"/>
        <w:adjustRightInd/>
        <w:snapToGrid/>
        <w:spacing w:before="157" w:beforeLines="50" w:after="157" w:afterLines="50" w:line="600" w:lineRule="exact"/>
        <w:ind w:left="0" w:leftChars="0" w:right="0" w:rightChars="0" w:firstLine="0" w:firstLineChars="0"/>
        <w:jc w:val="center"/>
        <w:textAlignment w:val="auto"/>
        <w:outlineLvl w:val="9"/>
        <w:rPr>
          <w:rFonts w:hint="eastAsia"/>
          <w:sz w:val="30"/>
          <w:szCs w:val="30"/>
          <w:highlight w:val="none"/>
        </w:rPr>
        <w:sectPr>
          <w:headerReference r:id="rId4" w:type="first"/>
          <w:headerReference r:id="rId3" w:type="default"/>
          <w:footerReference r:id="rId5" w:type="default"/>
          <w:type w:val="nextColumn"/>
          <w:pgSz w:w="11905" w:h="16838"/>
          <w:pgMar w:top="1440" w:right="1080" w:bottom="1440" w:left="1080" w:header="1020" w:footer="680" w:gutter="0"/>
          <w:pgBorders w:zOrder="back">
            <w:top w:val="thinThickSmallGap" w:color="auto" w:sz="24" w:space="1"/>
            <w:left w:val="none" w:sz="0" w:space="0"/>
            <w:bottom w:val="thinThickSmallGap" w:color="auto" w:sz="24" w:space="1"/>
            <w:right w:val="none" w:sz="0" w:space="0"/>
          </w:pgBorders>
          <w:cols w:space="0" w:num="1"/>
          <w:titlePg/>
          <w:rtlGutter w:val="0"/>
          <w:docGrid w:type="lines" w:linePitch="319" w:charSpace="0"/>
        </w:sectPr>
      </w:pPr>
      <w:r>
        <w:rPr>
          <w:rFonts w:hint="eastAsia" w:eastAsia="华文中宋"/>
          <w:b/>
          <w:bCs/>
          <w:color w:val="000000"/>
          <w:sz w:val="32"/>
          <w:szCs w:val="32"/>
          <w:highlight w:val="none"/>
          <w:lang w:val="es-ES"/>
        </w:rPr>
        <w:t>发</w:t>
      </w:r>
      <w:r>
        <w:rPr>
          <w:rFonts w:hint="eastAsia" w:eastAsia="华文中宋"/>
          <w:b/>
          <w:bCs/>
          <w:color w:val="auto"/>
          <w:sz w:val="32"/>
          <w:szCs w:val="32"/>
          <w:highlight w:val="none"/>
          <w:lang w:val="es-ES"/>
        </w:rPr>
        <w:t>布日期：二〇二</w:t>
      </w:r>
      <w:r>
        <w:rPr>
          <w:rFonts w:hint="eastAsia" w:eastAsia="华文中宋"/>
          <w:b/>
          <w:bCs/>
          <w:color w:val="auto"/>
          <w:sz w:val="32"/>
          <w:szCs w:val="32"/>
          <w:highlight w:val="none"/>
          <w:lang w:val="es-ES" w:eastAsia="zh-CN"/>
        </w:rPr>
        <w:t>三</w:t>
      </w:r>
      <w:r>
        <w:rPr>
          <w:rFonts w:hint="eastAsia" w:eastAsia="华文中宋"/>
          <w:b/>
          <w:bCs/>
          <w:color w:val="auto"/>
          <w:sz w:val="32"/>
          <w:szCs w:val="32"/>
          <w:highlight w:val="none"/>
          <w:lang w:val="es-ES"/>
        </w:rPr>
        <w:t>年</w:t>
      </w:r>
      <w:r>
        <w:rPr>
          <w:rFonts w:hint="eastAsia" w:eastAsia="华文中宋"/>
          <w:b/>
          <w:bCs/>
          <w:color w:val="auto"/>
          <w:sz w:val="32"/>
          <w:szCs w:val="32"/>
          <w:highlight w:val="none"/>
          <w:lang w:val="en-US" w:eastAsia="zh-CN"/>
        </w:rPr>
        <w:t>十二</w:t>
      </w:r>
      <w:r>
        <w:rPr>
          <w:rFonts w:hint="eastAsia" w:eastAsia="华文中宋"/>
          <w:b/>
          <w:bCs/>
          <w:color w:val="auto"/>
          <w:sz w:val="32"/>
          <w:szCs w:val="32"/>
          <w:highlight w:val="none"/>
          <w:lang w:val="es-ES"/>
        </w:rPr>
        <w:t>月</w:t>
      </w:r>
    </w:p>
    <w:p>
      <w:pPr>
        <w:jc w:val="center"/>
        <w:rPr>
          <w:rFonts w:hint="eastAsia" w:ascii="宋体" w:hAnsi="宋体" w:eastAsia="宋体" w:cs="宋体"/>
          <w:b/>
          <w:bCs/>
          <w:sz w:val="36"/>
          <w:szCs w:val="36"/>
          <w:highlight w:val="none"/>
          <w:lang w:val="zh-CN"/>
        </w:rPr>
      </w:pPr>
      <w:bookmarkStart w:id="3" w:name="_Toc18166"/>
      <w:bookmarkStart w:id="4" w:name="_Toc196474972"/>
    </w:p>
    <w:p>
      <w:pPr>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lang w:val="zh-CN"/>
        </w:rPr>
        <w:t>目   录</w:t>
      </w:r>
      <w:bookmarkEnd w:id="3"/>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6"/>
        <w:tabs>
          <w:tab w:val="right" w:leader="dot" w:pos="9433"/>
          <w:tab w:val="clear" w:pos="8280"/>
          <w:tab w:val="clear" w:pos="9360"/>
        </w:tabs>
        <w:spacing w:line="480" w:lineRule="auto"/>
      </w:pP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TOC \o "1-1" \h \u </w:instrText>
      </w:r>
      <w:r>
        <w:rPr>
          <w:rFonts w:hint="eastAsia" w:ascii="宋体" w:hAnsi="宋体" w:eastAsia="宋体" w:cs="宋体"/>
          <w:b w:val="0"/>
          <w:bCs/>
          <w:sz w:val="24"/>
          <w:szCs w:val="24"/>
          <w:highlight w:val="none"/>
        </w:rPr>
        <w:fldChar w:fldCharType="separate"/>
      </w:r>
      <w:r>
        <w:rPr>
          <w:rFonts w:hint="eastAsia" w:ascii="宋体" w:hAnsi="宋体" w:eastAsia="宋体" w:cs="宋体"/>
          <w:bCs/>
          <w:szCs w:val="24"/>
          <w:highlight w:val="none"/>
        </w:rPr>
        <w:fldChar w:fldCharType="begin"/>
      </w:r>
      <w:r>
        <w:rPr>
          <w:rFonts w:hint="eastAsia" w:ascii="宋体" w:hAnsi="宋体" w:eastAsia="宋体" w:cs="宋体"/>
          <w:bCs/>
          <w:szCs w:val="24"/>
          <w:highlight w:val="none"/>
        </w:rPr>
        <w:instrText xml:space="preserve"> HYPERLINK \l _Toc21769 </w:instrText>
      </w:r>
      <w:r>
        <w:rPr>
          <w:rFonts w:hint="eastAsia" w:ascii="宋体" w:hAnsi="宋体" w:eastAsia="宋体" w:cs="宋体"/>
          <w:bCs/>
          <w:szCs w:val="24"/>
          <w:highlight w:val="none"/>
        </w:rPr>
        <w:fldChar w:fldCharType="separate"/>
      </w:r>
      <w:r>
        <w:rPr>
          <w:rFonts w:hint="eastAsia" w:ascii="宋体" w:hAnsi="宋体" w:eastAsia="宋体" w:cs="宋体"/>
          <w:bCs/>
          <w:szCs w:val="36"/>
          <w:highlight w:val="none"/>
          <w:lang w:eastAsia="zh-CN"/>
        </w:rPr>
        <w:t>第一章</w:t>
      </w:r>
      <w:r>
        <w:rPr>
          <w:rFonts w:hint="eastAsia" w:ascii="宋体" w:hAnsi="宋体" w:eastAsia="宋体" w:cs="宋体"/>
          <w:bCs/>
          <w:szCs w:val="36"/>
          <w:highlight w:val="none"/>
          <w:lang w:val="en-US" w:eastAsia="zh-CN"/>
        </w:rPr>
        <w:t xml:space="preserve">  </w:t>
      </w:r>
      <w:r>
        <w:rPr>
          <w:rFonts w:hint="eastAsia" w:ascii="宋体" w:hAnsi="宋体" w:eastAsia="宋体" w:cs="宋体"/>
          <w:bCs/>
          <w:szCs w:val="36"/>
          <w:highlight w:val="none"/>
        </w:rPr>
        <w:t>招标公告</w:t>
      </w:r>
      <w:r>
        <w:tab/>
      </w:r>
      <w:r>
        <w:fldChar w:fldCharType="begin"/>
      </w:r>
      <w:r>
        <w:instrText xml:space="preserve"> PAGEREF _Toc21769 \h </w:instrText>
      </w:r>
      <w:r>
        <w:fldChar w:fldCharType="separate"/>
      </w:r>
      <w:r>
        <w:t>2</w:t>
      </w:r>
      <w:r>
        <w:fldChar w:fldCharType="end"/>
      </w:r>
      <w:r>
        <w:rPr>
          <w:rFonts w:hint="eastAsia" w:ascii="宋体" w:hAnsi="宋体" w:eastAsia="宋体" w:cs="宋体"/>
          <w:bCs/>
          <w:szCs w:val="24"/>
          <w:highlight w:val="none"/>
        </w:rPr>
        <w:fldChar w:fldCharType="end"/>
      </w:r>
    </w:p>
    <w:p>
      <w:pPr>
        <w:pStyle w:val="26"/>
        <w:tabs>
          <w:tab w:val="right" w:leader="dot" w:pos="9433"/>
          <w:tab w:val="clear" w:pos="8280"/>
          <w:tab w:val="clear" w:pos="9360"/>
        </w:tabs>
        <w:spacing w:line="480" w:lineRule="auto"/>
      </w:pPr>
      <w:r>
        <w:rPr>
          <w:rFonts w:hint="eastAsia" w:ascii="宋体" w:hAnsi="宋体" w:eastAsia="宋体" w:cs="宋体"/>
          <w:bCs/>
          <w:szCs w:val="24"/>
          <w:highlight w:val="none"/>
        </w:rPr>
        <w:fldChar w:fldCharType="begin"/>
      </w:r>
      <w:r>
        <w:rPr>
          <w:rFonts w:hint="eastAsia" w:ascii="宋体" w:hAnsi="宋体" w:eastAsia="宋体" w:cs="宋体"/>
          <w:bCs/>
          <w:szCs w:val="24"/>
          <w:highlight w:val="none"/>
        </w:rPr>
        <w:instrText xml:space="preserve"> HYPERLINK \l _Toc13715 </w:instrText>
      </w:r>
      <w:r>
        <w:rPr>
          <w:rFonts w:hint="eastAsia" w:ascii="宋体" w:hAnsi="宋体" w:eastAsia="宋体" w:cs="宋体"/>
          <w:bCs/>
          <w:szCs w:val="24"/>
          <w:highlight w:val="none"/>
        </w:rPr>
        <w:fldChar w:fldCharType="separate"/>
      </w:r>
      <w:r>
        <w:rPr>
          <w:rFonts w:hint="eastAsia" w:ascii="宋体" w:hAnsi="宋体" w:eastAsia="宋体" w:cs="宋体"/>
          <w:bCs/>
          <w:szCs w:val="36"/>
          <w:highlight w:val="none"/>
          <w:lang w:eastAsia="zh-CN"/>
        </w:rPr>
        <w:t>第二章</w:t>
      </w:r>
      <w:r>
        <w:rPr>
          <w:rFonts w:hint="eastAsia" w:ascii="宋体" w:hAnsi="宋体" w:eastAsia="宋体" w:cs="宋体"/>
          <w:bCs/>
          <w:szCs w:val="36"/>
          <w:highlight w:val="none"/>
          <w:lang w:val="en-US" w:eastAsia="zh-CN"/>
        </w:rPr>
        <w:t xml:space="preserve">  </w:t>
      </w:r>
      <w:r>
        <w:rPr>
          <w:rFonts w:hint="eastAsia" w:ascii="宋体" w:hAnsi="宋体" w:eastAsia="宋体" w:cs="宋体"/>
          <w:bCs/>
          <w:szCs w:val="36"/>
          <w:highlight w:val="none"/>
        </w:rPr>
        <w:t>投标人须知</w:t>
      </w:r>
      <w:r>
        <w:tab/>
      </w:r>
      <w:r>
        <w:fldChar w:fldCharType="begin"/>
      </w:r>
      <w:r>
        <w:instrText xml:space="preserve"> PAGEREF _Toc13715 \h </w:instrText>
      </w:r>
      <w:r>
        <w:fldChar w:fldCharType="separate"/>
      </w:r>
      <w:r>
        <w:t>6</w:t>
      </w:r>
      <w:r>
        <w:fldChar w:fldCharType="end"/>
      </w:r>
      <w:r>
        <w:rPr>
          <w:rFonts w:hint="eastAsia" w:ascii="宋体" w:hAnsi="宋体" w:eastAsia="宋体" w:cs="宋体"/>
          <w:bCs/>
          <w:szCs w:val="24"/>
          <w:highlight w:val="none"/>
        </w:rPr>
        <w:fldChar w:fldCharType="end"/>
      </w:r>
    </w:p>
    <w:p>
      <w:pPr>
        <w:pStyle w:val="26"/>
        <w:tabs>
          <w:tab w:val="right" w:leader="dot" w:pos="9433"/>
          <w:tab w:val="clear" w:pos="8280"/>
          <w:tab w:val="clear" w:pos="9360"/>
        </w:tabs>
        <w:spacing w:line="480" w:lineRule="auto"/>
      </w:pPr>
      <w:r>
        <w:rPr>
          <w:rFonts w:hint="eastAsia" w:ascii="宋体" w:hAnsi="宋体" w:eastAsia="宋体" w:cs="宋体"/>
          <w:bCs/>
          <w:szCs w:val="24"/>
          <w:highlight w:val="none"/>
        </w:rPr>
        <w:fldChar w:fldCharType="begin"/>
      </w:r>
      <w:r>
        <w:rPr>
          <w:rFonts w:hint="eastAsia" w:ascii="宋体" w:hAnsi="宋体" w:eastAsia="宋体" w:cs="宋体"/>
          <w:bCs/>
          <w:szCs w:val="24"/>
          <w:highlight w:val="none"/>
        </w:rPr>
        <w:instrText xml:space="preserve"> HYPERLINK \l _Toc15503 </w:instrText>
      </w:r>
      <w:r>
        <w:rPr>
          <w:rFonts w:hint="eastAsia" w:ascii="宋体" w:hAnsi="宋体" w:eastAsia="宋体" w:cs="宋体"/>
          <w:bCs/>
          <w:szCs w:val="24"/>
          <w:highlight w:val="none"/>
        </w:rPr>
        <w:fldChar w:fldCharType="separate"/>
      </w:r>
      <w:r>
        <w:rPr>
          <w:rFonts w:hint="eastAsia" w:ascii="宋体" w:hAnsi="宋体" w:eastAsia="宋体" w:cs="宋体"/>
          <w:bCs/>
          <w:szCs w:val="36"/>
          <w:highlight w:val="none"/>
          <w:lang w:eastAsia="zh-CN"/>
        </w:rPr>
        <w:t>第三章</w:t>
      </w:r>
      <w:r>
        <w:rPr>
          <w:rFonts w:hint="eastAsia" w:ascii="宋体" w:hAnsi="宋体" w:eastAsia="宋体" w:cs="宋体"/>
          <w:bCs/>
          <w:szCs w:val="36"/>
          <w:highlight w:val="none"/>
          <w:lang w:val="en-US" w:eastAsia="zh-CN"/>
        </w:rPr>
        <w:t xml:space="preserve">  </w:t>
      </w:r>
      <w:r>
        <w:rPr>
          <w:rFonts w:hint="eastAsia" w:ascii="宋体" w:hAnsi="宋体" w:eastAsia="宋体" w:cs="宋体"/>
          <w:bCs/>
          <w:szCs w:val="36"/>
          <w:highlight w:val="none"/>
        </w:rPr>
        <w:t>评标办法</w:t>
      </w:r>
      <w:r>
        <w:tab/>
      </w:r>
      <w:r>
        <w:fldChar w:fldCharType="begin"/>
      </w:r>
      <w:r>
        <w:instrText xml:space="preserve"> PAGEREF _Toc15503 \h </w:instrText>
      </w:r>
      <w:r>
        <w:fldChar w:fldCharType="separate"/>
      </w:r>
      <w:r>
        <w:t>33</w:t>
      </w:r>
      <w:r>
        <w:fldChar w:fldCharType="end"/>
      </w:r>
      <w:r>
        <w:rPr>
          <w:rFonts w:hint="eastAsia" w:ascii="宋体" w:hAnsi="宋体" w:eastAsia="宋体" w:cs="宋体"/>
          <w:bCs/>
          <w:szCs w:val="24"/>
          <w:highlight w:val="none"/>
        </w:rPr>
        <w:fldChar w:fldCharType="end"/>
      </w:r>
    </w:p>
    <w:p>
      <w:pPr>
        <w:pStyle w:val="26"/>
        <w:tabs>
          <w:tab w:val="right" w:leader="dot" w:pos="9433"/>
          <w:tab w:val="clear" w:pos="8280"/>
          <w:tab w:val="clear" w:pos="9360"/>
        </w:tabs>
        <w:spacing w:line="480" w:lineRule="auto"/>
      </w:pPr>
      <w:r>
        <w:rPr>
          <w:rFonts w:hint="eastAsia" w:ascii="宋体" w:hAnsi="宋体" w:eastAsia="宋体" w:cs="宋体"/>
          <w:bCs/>
          <w:szCs w:val="24"/>
          <w:highlight w:val="none"/>
        </w:rPr>
        <w:fldChar w:fldCharType="begin"/>
      </w:r>
      <w:r>
        <w:rPr>
          <w:rFonts w:hint="eastAsia" w:ascii="宋体" w:hAnsi="宋体" w:eastAsia="宋体" w:cs="宋体"/>
          <w:bCs/>
          <w:szCs w:val="24"/>
          <w:highlight w:val="none"/>
        </w:rPr>
        <w:instrText xml:space="preserve"> HYPERLINK \l _Toc26304 </w:instrText>
      </w:r>
      <w:r>
        <w:rPr>
          <w:rFonts w:hint="eastAsia" w:ascii="宋体" w:hAnsi="宋体" w:eastAsia="宋体" w:cs="宋体"/>
          <w:bCs/>
          <w:szCs w:val="24"/>
          <w:highlight w:val="none"/>
        </w:rPr>
        <w:fldChar w:fldCharType="separate"/>
      </w:r>
      <w:r>
        <w:rPr>
          <w:rFonts w:hint="eastAsia" w:ascii="宋体" w:hAnsi="宋体" w:eastAsia="宋体" w:cs="宋体"/>
          <w:bCs/>
          <w:szCs w:val="36"/>
          <w:highlight w:val="none"/>
          <w:lang w:val="en-US" w:eastAsia="zh-CN"/>
        </w:rPr>
        <w:t xml:space="preserve">第四章 </w:t>
      </w:r>
      <w:r>
        <w:rPr>
          <w:rFonts w:hint="eastAsia" w:cs="宋体"/>
          <w:bCs/>
          <w:szCs w:val="36"/>
          <w:highlight w:val="none"/>
          <w:lang w:val="en-US" w:eastAsia="zh-CN"/>
        </w:rPr>
        <w:t>采购</w:t>
      </w:r>
      <w:r>
        <w:rPr>
          <w:rFonts w:hint="eastAsia" w:ascii="宋体" w:hAnsi="宋体" w:eastAsia="宋体" w:cs="宋体"/>
          <w:bCs/>
          <w:szCs w:val="36"/>
          <w:highlight w:val="none"/>
          <w:lang w:val="en-US" w:eastAsia="zh-CN"/>
        </w:rPr>
        <w:t>内容及</w:t>
      </w:r>
      <w:r>
        <w:rPr>
          <w:rFonts w:hint="eastAsia" w:ascii="宋体" w:hAnsi="宋体" w:cs="宋体"/>
          <w:bCs/>
          <w:szCs w:val="36"/>
          <w:highlight w:val="none"/>
          <w:lang w:val="en-US" w:eastAsia="zh-CN"/>
        </w:rPr>
        <w:t>要求</w:t>
      </w:r>
      <w:r>
        <w:tab/>
      </w:r>
      <w:r>
        <w:fldChar w:fldCharType="begin"/>
      </w:r>
      <w:r>
        <w:instrText xml:space="preserve"> PAGEREF _Toc26304 \h </w:instrText>
      </w:r>
      <w:r>
        <w:fldChar w:fldCharType="separate"/>
      </w:r>
      <w:r>
        <w:t>45</w:t>
      </w:r>
      <w:r>
        <w:fldChar w:fldCharType="end"/>
      </w:r>
      <w:r>
        <w:rPr>
          <w:rFonts w:hint="eastAsia" w:ascii="宋体" w:hAnsi="宋体" w:eastAsia="宋体" w:cs="宋体"/>
          <w:bCs/>
          <w:szCs w:val="24"/>
          <w:highlight w:val="none"/>
        </w:rPr>
        <w:fldChar w:fldCharType="end"/>
      </w:r>
    </w:p>
    <w:p>
      <w:pPr>
        <w:pStyle w:val="26"/>
        <w:tabs>
          <w:tab w:val="right" w:leader="dot" w:pos="9433"/>
          <w:tab w:val="clear" w:pos="8280"/>
          <w:tab w:val="clear" w:pos="9360"/>
        </w:tabs>
        <w:spacing w:line="480" w:lineRule="auto"/>
      </w:pPr>
      <w:r>
        <w:rPr>
          <w:rFonts w:hint="eastAsia" w:ascii="宋体" w:hAnsi="宋体" w:eastAsia="宋体" w:cs="宋体"/>
          <w:bCs/>
          <w:szCs w:val="24"/>
          <w:highlight w:val="none"/>
        </w:rPr>
        <w:fldChar w:fldCharType="begin"/>
      </w:r>
      <w:r>
        <w:rPr>
          <w:rFonts w:hint="eastAsia" w:ascii="宋体" w:hAnsi="宋体" w:eastAsia="宋体" w:cs="宋体"/>
          <w:bCs/>
          <w:szCs w:val="24"/>
          <w:highlight w:val="none"/>
        </w:rPr>
        <w:instrText xml:space="preserve"> HYPERLINK \l _Toc16370 </w:instrText>
      </w:r>
      <w:r>
        <w:rPr>
          <w:rFonts w:hint="eastAsia" w:ascii="宋体" w:hAnsi="宋体" w:eastAsia="宋体" w:cs="宋体"/>
          <w:bCs/>
          <w:szCs w:val="24"/>
          <w:highlight w:val="none"/>
        </w:rPr>
        <w:fldChar w:fldCharType="separate"/>
      </w:r>
      <w:r>
        <w:rPr>
          <w:rFonts w:hint="eastAsia" w:ascii="宋体" w:hAnsi="宋体" w:eastAsia="宋体" w:cs="宋体"/>
          <w:bCs/>
          <w:szCs w:val="36"/>
          <w:highlight w:val="none"/>
          <w:lang w:eastAsia="zh-CN"/>
        </w:rPr>
        <w:t>第五章</w:t>
      </w:r>
      <w:r>
        <w:rPr>
          <w:rFonts w:hint="eastAsia" w:ascii="宋体" w:hAnsi="宋体" w:eastAsia="宋体" w:cs="宋体"/>
          <w:bCs/>
          <w:szCs w:val="36"/>
          <w:highlight w:val="none"/>
          <w:lang w:val="en-US" w:eastAsia="zh-CN"/>
        </w:rPr>
        <w:t xml:space="preserve">  </w:t>
      </w:r>
      <w:r>
        <w:rPr>
          <w:rFonts w:hint="eastAsia" w:ascii="宋体" w:hAnsi="宋体" w:eastAsia="宋体" w:cs="宋体"/>
          <w:bCs/>
          <w:szCs w:val="36"/>
          <w:highlight w:val="none"/>
          <w:lang w:eastAsia="zh-CN"/>
        </w:rPr>
        <w:t>合同条款</w:t>
      </w:r>
      <w:r>
        <w:tab/>
      </w:r>
      <w:r>
        <w:fldChar w:fldCharType="begin"/>
      </w:r>
      <w:r>
        <w:instrText xml:space="preserve"> PAGEREF _Toc16370 \h </w:instrText>
      </w:r>
      <w:r>
        <w:fldChar w:fldCharType="separate"/>
      </w:r>
      <w:r>
        <w:t>80</w:t>
      </w:r>
      <w:r>
        <w:fldChar w:fldCharType="end"/>
      </w:r>
      <w:r>
        <w:rPr>
          <w:rFonts w:hint="eastAsia" w:ascii="宋体" w:hAnsi="宋体" w:eastAsia="宋体" w:cs="宋体"/>
          <w:bCs/>
          <w:szCs w:val="24"/>
          <w:highlight w:val="none"/>
        </w:rPr>
        <w:fldChar w:fldCharType="end"/>
      </w:r>
    </w:p>
    <w:p>
      <w:pPr>
        <w:pStyle w:val="26"/>
        <w:tabs>
          <w:tab w:val="right" w:leader="dot" w:pos="9433"/>
          <w:tab w:val="clear" w:pos="8280"/>
          <w:tab w:val="clear" w:pos="9360"/>
        </w:tabs>
        <w:spacing w:line="480" w:lineRule="auto"/>
      </w:pPr>
      <w:r>
        <w:rPr>
          <w:rFonts w:hint="eastAsia" w:ascii="宋体" w:hAnsi="宋体" w:eastAsia="宋体" w:cs="宋体"/>
          <w:bCs/>
          <w:szCs w:val="24"/>
          <w:highlight w:val="none"/>
        </w:rPr>
        <w:fldChar w:fldCharType="begin"/>
      </w:r>
      <w:r>
        <w:rPr>
          <w:rFonts w:hint="eastAsia" w:ascii="宋体" w:hAnsi="宋体" w:eastAsia="宋体" w:cs="宋体"/>
          <w:bCs/>
          <w:szCs w:val="24"/>
          <w:highlight w:val="none"/>
        </w:rPr>
        <w:instrText xml:space="preserve"> HYPERLINK \l _Toc11644 </w:instrText>
      </w:r>
      <w:r>
        <w:rPr>
          <w:rFonts w:hint="eastAsia" w:ascii="宋体" w:hAnsi="宋体" w:eastAsia="宋体" w:cs="宋体"/>
          <w:bCs/>
          <w:szCs w:val="24"/>
          <w:highlight w:val="none"/>
        </w:rPr>
        <w:fldChar w:fldCharType="separate"/>
      </w:r>
      <w:r>
        <w:rPr>
          <w:rFonts w:hint="eastAsia" w:ascii="宋体" w:hAnsi="宋体" w:eastAsia="宋体" w:cs="宋体"/>
          <w:bCs/>
          <w:szCs w:val="36"/>
          <w:highlight w:val="none"/>
        </w:rPr>
        <w:t>第</w:t>
      </w:r>
      <w:r>
        <w:rPr>
          <w:rFonts w:hint="eastAsia" w:ascii="宋体" w:hAnsi="宋体" w:eastAsia="宋体" w:cs="宋体"/>
          <w:bCs/>
          <w:szCs w:val="36"/>
          <w:highlight w:val="none"/>
          <w:lang w:eastAsia="zh-CN"/>
        </w:rPr>
        <w:t>六</w:t>
      </w:r>
      <w:r>
        <w:rPr>
          <w:rFonts w:hint="eastAsia" w:ascii="宋体" w:hAnsi="宋体" w:eastAsia="宋体" w:cs="宋体"/>
          <w:bCs/>
          <w:szCs w:val="36"/>
          <w:highlight w:val="none"/>
        </w:rPr>
        <w:t>章  投标文件格式</w:t>
      </w:r>
      <w:r>
        <w:tab/>
      </w:r>
      <w:r>
        <w:fldChar w:fldCharType="begin"/>
      </w:r>
      <w:r>
        <w:instrText xml:space="preserve"> PAGEREF _Toc11644 \h </w:instrText>
      </w:r>
      <w:r>
        <w:fldChar w:fldCharType="separate"/>
      </w:r>
      <w:r>
        <w:t>86</w:t>
      </w:r>
      <w:r>
        <w:fldChar w:fldCharType="end"/>
      </w:r>
      <w:r>
        <w:rPr>
          <w:rFonts w:hint="eastAsia" w:ascii="宋体" w:hAnsi="宋体" w:eastAsia="宋体" w:cs="宋体"/>
          <w:bCs/>
          <w:szCs w:val="24"/>
          <w:highlight w:val="none"/>
        </w:rPr>
        <w:fldChar w:fldCharType="end"/>
      </w:r>
    </w:p>
    <w:p>
      <w:pPr>
        <w:pStyle w:val="29"/>
        <w:keepNext w:val="0"/>
        <w:keepLines w:val="0"/>
        <w:pageBreakBefore w:val="0"/>
        <w:widowControl w:val="0"/>
        <w:tabs>
          <w:tab w:val="right" w:leader="dot" w:pos="9458"/>
        </w:tabs>
        <w:kinsoku/>
        <w:wordWrap/>
        <w:overflowPunct/>
        <w:topLinePunct w:val="0"/>
        <w:autoSpaceDE/>
        <w:autoSpaceDN/>
        <w:bidi w:val="0"/>
        <w:spacing w:line="600" w:lineRule="exact"/>
        <w:ind w:left="0" w:leftChars="0" w:right="0" w:rightChars="0"/>
        <w:jc w:val="both"/>
        <w:textAlignment w:val="auto"/>
        <w:outlineLvl w:val="9"/>
        <w:rPr>
          <w:rFonts w:hint="eastAsia" w:ascii="新宋体" w:hAnsi="新宋体" w:eastAsia="新宋体" w:cs="新宋体"/>
          <w:szCs w:val="21"/>
          <w:highlight w:val="none"/>
        </w:rPr>
      </w:pPr>
      <w:r>
        <w:rPr>
          <w:rFonts w:hint="eastAsia" w:ascii="宋体" w:hAnsi="宋体" w:eastAsia="宋体" w:cs="宋体"/>
          <w:bCs/>
          <w:szCs w:val="24"/>
          <w:highlight w:val="none"/>
        </w:rPr>
        <w:fldChar w:fldCharType="end"/>
      </w:r>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9"/>
        <w:tabs>
          <w:tab w:val="right" w:leader="dot" w:pos="9458"/>
        </w:tabs>
        <w:spacing w:line="600" w:lineRule="exact"/>
        <w:ind w:left="0" w:leftChars="0"/>
        <w:rPr>
          <w:rFonts w:hint="eastAsia" w:ascii="新宋体" w:hAnsi="新宋体" w:eastAsia="新宋体" w:cs="新宋体"/>
          <w:szCs w:val="21"/>
          <w:highlight w:val="none"/>
        </w:rPr>
      </w:pPr>
    </w:p>
    <w:p>
      <w:pPr>
        <w:pStyle w:val="29"/>
        <w:tabs>
          <w:tab w:val="right" w:leader="dot" w:pos="9458"/>
        </w:tabs>
        <w:spacing w:line="600" w:lineRule="exact"/>
        <w:ind w:left="0" w:leftChars="0"/>
        <w:rPr>
          <w:rFonts w:hint="eastAsia"/>
          <w:sz w:val="36"/>
          <w:szCs w:val="36"/>
          <w:highlight w:val="none"/>
        </w:rPr>
      </w:pPr>
      <w:bookmarkStart w:id="5" w:name="_Toc204055778"/>
      <w:bookmarkStart w:id="6" w:name="_Toc222740105"/>
    </w:p>
    <w:p>
      <w:pPr>
        <w:rPr>
          <w:rFonts w:hint="eastAsia"/>
          <w:sz w:val="36"/>
          <w:szCs w:val="36"/>
          <w:highlight w:val="none"/>
        </w:rPr>
      </w:pPr>
    </w:p>
    <w:p>
      <w:pPr>
        <w:rPr>
          <w:rFonts w:hint="eastAsia"/>
          <w:sz w:val="36"/>
          <w:szCs w:val="36"/>
          <w:highlight w:val="none"/>
        </w:rPr>
      </w:pPr>
    </w:p>
    <w:p>
      <w:pPr>
        <w:rPr>
          <w:rFonts w:hint="eastAsia"/>
          <w:sz w:val="36"/>
          <w:szCs w:val="36"/>
          <w:highlight w:val="none"/>
        </w:rPr>
      </w:pPr>
    </w:p>
    <w:p>
      <w:pPr>
        <w:rPr>
          <w:rFonts w:hint="eastAsia"/>
          <w:sz w:val="36"/>
          <w:szCs w:val="36"/>
          <w:highlight w:val="none"/>
        </w:rPr>
      </w:pPr>
    </w:p>
    <w:p>
      <w:pPr>
        <w:bidi w:val="0"/>
        <w:rPr>
          <w:rFonts w:hint="eastAsia"/>
          <w:highlight w:val="none"/>
        </w:rPr>
      </w:pPr>
    </w:p>
    <w:p>
      <w:pPr>
        <w:pStyle w:val="12"/>
        <w:rPr>
          <w:rFonts w:hint="eastAsia"/>
          <w:highlight w:val="none"/>
        </w:rPr>
      </w:pPr>
    </w:p>
    <w:p>
      <w:pPr>
        <w:pStyle w:val="12"/>
        <w:rPr>
          <w:rFonts w:hint="eastAsia"/>
          <w:highlight w:val="none"/>
        </w:rPr>
      </w:pPr>
    </w:p>
    <w:p>
      <w:pPr>
        <w:pStyle w:val="12"/>
        <w:rPr>
          <w:rFonts w:hint="eastAsia"/>
          <w:highlight w:val="none"/>
        </w:rPr>
      </w:pPr>
    </w:p>
    <w:p>
      <w:pPr>
        <w:bidi w:val="0"/>
        <w:rPr>
          <w:rFonts w:hint="eastAsia"/>
          <w:highlight w:val="none"/>
        </w:rPr>
      </w:pPr>
    </w:p>
    <w:p>
      <w:pPr>
        <w:pStyle w:val="2"/>
        <w:rPr>
          <w:rFonts w:hint="eastAsia"/>
          <w:highlight w:val="none"/>
        </w:rPr>
      </w:pPr>
    </w:p>
    <w:p>
      <w:pPr>
        <w:rPr>
          <w:rFonts w:hint="eastAsia"/>
          <w:highlight w:val="none"/>
        </w:rPr>
      </w:pPr>
    </w:p>
    <w:p>
      <w:pPr>
        <w:bidi w:val="0"/>
        <w:rPr>
          <w:rFonts w:hint="eastAsia"/>
          <w:highlight w:val="none"/>
        </w:rPr>
      </w:pPr>
    </w:p>
    <w:bookmarkEnd w:id="4"/>
    <w:bookmarkEnd w:id="5"/>
    <w:bookmarkEnd w:id="6"/>
    <w:p>
      <w:pPr>
        <w:bidi w:val="0"/>
        <w:rPr>
          <w:rFonts w:hint="eastAsia"/>
          <w:highlight w:val="none"/>
        </w:rPr>
      </w:pPr>
    </w:p>
    <w:p>
      <w:pPr>
        <w:bidi w:val="0"/>
        <w:rPr>
          <w:rFonts w:hint="eastAsia"/>
          <w:highlight w:val="none"/>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bookmarkStart w:id="7" w:name="_Toc21769"/>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lang w:eastAsia="zh-CN"/>
        </w:rPr>
        <w:t>第一章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招标公告</w:t>
      </w:r>
      <w:bookmarkEnd w:id="7"/>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rPr>
          <w:rFonts w:hint="eastAsia"/>
          <w:highlight w:val="none"/>
        </w:rPr>
      </w:pPr>
      <w:r>
        <w:rPr>
          <w:rFonts w:hint="eastAsia"/>
          <w:highlight w:val="none"/>
        </w:rPr>
        <w:br w:type="page"/>
      </w:r>
    </w:p>
    <w:p>
      <w:pPr>
        <w:keepNext w:val="0"/>
        <w:keepLines w:val="0"/>
        <w:pageBreakBefore w:val="0"/>
        <w:widowControl/>
        <w:kinsoku/>
        <w:overflowPunct/>
        <w:topLinePunct w:val="0"/>
        <w:bidi w:val="0"/>
        <w:snapToGrid w:val="0"/>
        <w:spacing w:line="360" w:lineRule="auto"/>
        <w:jc w:val="center"/>
        <w:rPr>
          <w:rFonts w:hint="eastAsia" w:ascii="宋体" w:hAnsi="宋体" w:eastAsia="宋体" w:cs="宋体"/>
          <w:b/>
          <w:bCs/>
          <w:color w:val="auto"/>
          <w:kern w:val="2"/>
          <w:sz w:val="21"/>
          <w:szCs w:val="21"/>
          <w:highlight w:val="none"/>
          <w:shd w:val="clear" w:color="auto" w:fill="FFFFFF"/>
          <w:lang w:val="en-US" w:eastAsia="zh-CN" w:bidi="ar-SA"/>
        </w:rPr>
      </w:pPr>
      <w:bookmarkStart w:id="8" w:name="_Toc196474973"/>
      <w:bookmarkStart w:id="9" w:name="_Toc204055781"/>
      <w:bookmarkStart w:id="10" w:name="_Toc222740108"/>
      <w:bookmarkStart w:id="11" w:name="_Toc404444231"/>
      <w:r>
        <w:rPr>
          <w:rFonts w:hint="eastAsia" w:ascii="宋体" w:hAnsi="宋体" w:cs="宋体"/>
          <w:b/>
          <w:color w:val="auto"/>
          <w:sz w:val="28"/>
          <w:szCs w:val="28"/>
          <w:highlight w:val="none"/>
          <w:lang w:eastAsia="zh-CN"/>
        </w:rPr>
        <w:t>2023年长安区太乙街道中心学校、黄良街道湖村小学等5所学校设备采购项目（二次）</w:t>
      </w:r>
      <w:r>
        <w:rPr>
          <w:rFonts w:hint="eastAsia" w:ascii="宋体" w:hAnsi="宋体" w:eastAsia="宋体" w:cs="宋体"/>
          <w:b/>
          <w:color w:val="auto"/>
          <w:sz w:val="28"/>
          <w:szCs w:val="28"/>
          <w:highlight w:val="none"/>
        </w:rPr>
        <w:t>公开招标公告</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9961" w:type="dxa"/>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overflowPunct/>
              <w:topLinePunct w:val="0"/>
              <w:bidi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overflowPunct/>
              <w:topLinePunct w:val="0"/>
              <w:bidi w:val="0"/>
              <w:snapToGrid w:val="0"/>
              <w:spacing w:line="360" w:lineRule="auto"/>
              <w:ind w:firstLine="420" w:firstLineChars="200"/>
              <w:rPr>
                <w:rFonts w:hint="eastAsia" w:ascii="宋体" w:hAnsi="宋体" w:eastAsia="宋体" w:cs="宋体"/>
                <w:b/>
                <w:bCs/>
                <w:color w:val="auto"/>
                <w:kern w:val="2"/>
                <w:sz w:val="21"/>
                <w:szCs w:val="21"/>
                <w:highlight w:val="none"/>
                <w:shd w:val="clear" w:color="auto" w:fill="FFFFFF"/>
                <w:vertAlign w:val="baseline"/>
                <w:lang w:val="en-US" w:eastAsia="zh-CN" w:bidi="ar-SA"/>
              </w:rPr>
            </w:pPr>
            <w:r>
              <w:rPr>
                <w:rFonts w:hint="eastAsia" w:ascii="宋体" w:hAnsi="宋体" w:cs="宋体"/>
                <w:color w:val="auto"/>
                <w:sz w:val="21"/>
                <w:szCs w:val="21"/>
                <w:highlight w:val="none"/>
                <w:lang w:eastAsia="zh-CN"/>
              </w:rPr>
              <w:t>2023年长安区太乙街道中心学校、黄良街道湖村小学等5所学校设备采购项目（二次）</w:t>
            </w:r>
            <w:r>
              <w:rPr>
                <w:rFonts w:hint="eastAsia" w:ascii="宋体" w:hAnsi="宋体" w:eastAsia="宋体" w:cs="宋体"/>
                <w:color w:val="auto"/>
                <w:sz w:val="21"/>
                <w:szCs w:val="21"/>
                <w:highlight w:val="none"/>
                <w:lang w:eastAsia="zh-CN"/>
              </w:rPr>
              <w:t>的潜在投标人应在全国公共资源交易平台（陕西省·</w:t>
            </w:r>
            <w:r>
              <w:rPr>
                <w:rFonts w:hint="eastAsia" w:ascii="宋体" w:hAnsi="宋体" w:eastAsia="宋体" w:cs="宋体"/>
                <w:color w:val="auto"/>
                <w:sz w:val="21"/>
                <w:szCs w:val="21"/>
                <w:highlight w:val="none"/>
                <w:lang w:val="en-US" w:eastAsia="zh-CN"/>
              </w:rPr>
              <w:t>西安市</w:t>
            </w:r>
            <w:r>
              <w:rPr>
                <w:rFonts w:hint="eastAsia" w:ascii="宋体" w:hAnsi="宋体" w:eastAsia="宋体" w:cs="宋体"/>
                <w:color w:val="auto"/>
                <w:sz w:val="21"/>
                <w:szCs w:val="21"/>
                <w:highlight w:val="none"/>
                <w:lang w:eastAsia="zh-CN"/>
              </w:rPr>
              <w:t>）获取招标文件，并于</w:t>
            </w:r>
            <w:r>
              <w:rPr>
                <w:rFonts w:hint="eastAsia" w:ascii="宋体" w:hAnsi="宋体" w:eastAsia="宋体" w:cs="宋体"/>
                <w:color w:val="auto"/>
                <w:sz w:val="21"/>
                <w:szCs w:val="21"/>
                <w:highlight w:val="none"/>
                <w:shd w:val="clear"/>
                <w:lang w:eastAsia="zh-CN"/>
              </w:rPr>
              <w:t>202</w:t>
            </w:r>
            <w:r>
              <w:rPr>
                <w:rFonts w:hint="eastAsia" w:ascii="宋体" w:hAnsi="宋体" w:eastAsia="宋体" w:cs="宋体"/>
                <w:color w:val="auto"/>
                <w:sz w:val="21"/>
                <w:szCs w:val="21"/>
                <w:highlight w:val="none"/>
                <w:shd w:val="clear"/>
                <w:lang w:val="en-US" w:eastAsia="zh-CN"/>
              </w:rPr>
              <w:t>3</w:t>
            </w:r>
            <w:r>
              <w:rPr>
                <w:rFonts w:hint="eastAsia" w:ascii="宋体" w:hAnsi="宋体" w:eastAsia="宋体" w:cs="宋体"/>
                <w:color w:val="auto"/>
                <w:sz w:val="21"/>
                <w:szCs w:val="21"/>
                <w:highlight w:val="none"/>
                <w:shd w:val="clear"/>
                <w:lang w:eastAsia="zh-CN"/>
              </w:rPr>
              <w:t>年</w:t>
            </w:r>
            <w:r>
              <w:rPr>
                <w:rFonts w:hint="eastAsia" w:ascii="宋体" w:hAnsi="宋体" w:cs="宋体"/>
                <w:color w:val="auto"/>
                <w:sz w:val="21"/>
                <w:szCs w:val="21"/>
                <w:highlight w:val="none"/>
                <w:shd w:val="clear"/>
                <w:lang w:val="en-US" w:eastAsia="zh-CN"/>
              </w:rPr>
              <w:t>12</w:t>
            </w:r>
            <w:r>
              <w:rPr>
                <w:rFonts w:hint="eastAsia" w:ascii="宋体" w:hAnsi="宋体" w:eastAsia="宋体" w:cs="宋体"/>
                <w:color w:val="auto"/>
                <w:sz w:val="21"/>
                <w:szCs w:val="21"/>
                <w:highlight w:val="none"/>
                <w:shd w:val="clear"/>
                <w:lang w:eastAsia="zh-CN"/>
              </w:rPr>
              <w:t>月</w:t>
            </w:r>
            <w:r>
              <w:rPr>
                <w:rFonts w:hint="eastAsia" w:ascii="宋体" w:hAnsi="宋体" w:cs="宋体"/>
                <w:color w:val="auto"/>
                <w:sz w:val="21"/>
                <w:szCs w:val="21"/>
                <w:highlight w:val="none"/>
                <w:shd w:val="clear"/>
                <w:lang w:val="en-US" w:eastAsia="zh-CN"/>
              </w:rPr>
              <w:t>28</w:t>
            </w:r>
            <w:r>
              <w:rPr>
                <w:rFonts w:hint="eastAsia" w:ascii="宋体" w:hAnsi="宋体" w:eastAsia="宋体" w:cs="宋体"/>
                <w:color w:val="auto"/>
                <w:sz w:val="21"/>
                <w:szCs w:val="21"/>
                <w:highlight w:val="none"/>
                <w:shd w:val="clear"/>
                <w:lang w:eastAsia="zh-CN"/>
              </w:rPr>
              <w:t>日</w:t>
            </w:r>
            <w:r>
              <w:rPr>
                <w:rFonts w:hint="eastAsia" w:ascii="宋体" w:hAnsi="宋体" w:cs="宋体"/>
                <w:color w:val="auto"/>
                <w:sz w:val="21"/>
                <w:szCs w:val="21"/>
                <w:highlight w:val="none"/>
                <w:shd w:val="clear"/>
                <w:lang w:val="en-US" w:eastAsia="zh-CN"/>
              </w:rPr>
              <w:t>09</w:t>
            </w:r>
            <w:r>
              <w:rPr>
                <w:rFonts w:hint="eastAsia" w:ascii="宋体" w:hAnsi="宋体" w:eastAsia="宋体" w:cs="宋体"/>
                <w:color w:val="auto"/>
                <w:sz w:val="21"/>
                <w:szCs w:val="21"/>
                <w:highlight w:val="none"/>
                <w:shd w:val="clear"/>
                <w:lang w:eastAsia="zh-CN"/>
              </w:rPr>
              <w:t>时</w:t>
            </w:r>
            <w:r>
              <w:rPr>
                <w:rFonts w:hint="eastAsia" w:ascii="宋体" w:hAnsi="宋体" w:cs="宋体"/>
                <w:color w:val="auto"/>
                <w:sz w:val="21"/>
                <w:szCs w:val="21"/>
                <w:highlight w:val="none"/>
                <w:shd w:val="clear"/>
                <w:lang w:val="en-US" w:eastAsia="zh-CN"/>
              </w:rPr>
              <w:t>30</w:t>
            </w:r>
            <w:r>
              <w:rPr>
                <w:rFonts w:hint="eastAsia" w:ascii="宋体" w:hAnsi="宋体" w:eastAsia="宋体" w:cs="宋体"/>
                <w:color w:val="auto"/>
                <w:sz w:val="21"/>
                <w:szCs w:val="21"/>
                <w:highlight w:val="none"/>
                <w:shd w:val="clear"/>
                <w:lang w:eastAsia="zh-CN"/>
              </w:rPr>
              <w:t>分</w:t>
            </w:r>
            <w:r>
              <w:rPr>
                <w:rFonts w:hint="eastAsia" w:ascii="宋体" w:hAnsi="宋体" w:eastAsia="宋体" w:cs="宋体"/>
                <w:color w:val="auto"/>
                <w:sz w:val="21"/>
                <w:szCs w:val="21"/>
                <w:highlight w:val="none"/>
                <w:lang w:eastAsia="zh-CN"/>
              </w:rPr>
              <w:t>（北京时间）前递交投标文件。</w:t>
            </w:r>
          </w:p>
        </w:tc>
      </w:tr>
    </w:tbl>
    <w:p>
      <w:pPr>
        <w:keepNext w:val="0"/>
        <w:keepLines w:val="0"/>
        <w:pageBreakBefore w:val="0"/>
        <w:widowControl/>
        <w:numPr>
          <w:ilvl w:val="0"/>
          <w:numId w:val="0"/>
        </w:numPr>
        <w:tabs>
          <w:tab w:val="left" w:pos="720"/>
        </w:tabs>
        <w:kinsoku/>
        <w:overflowPunct/>
        <w:topLinePunct w:val="0"/>
        <w:autoSpaceDE w:val="0"/>
        <w:autoSpaceDN w:val="0"/>
        <w:bidi w:val="0"/>
        <w:adjustRightInd w:val="0"/>
        <w:snapToGrid w:val="0"/>
        <w:spacing w:line="360" w:lineRule="auto"/>
        <w:jc w:val="left"/>
        <w:textAlignment w:val="baseline"/>
        <w:outlineLvl w:val="3"/>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shd w:val="clear" w:color="auto" w:fill="FFFFFF"/>
          <w:lang w:val="en-US" w:eastAsia="zh-CN" w:bidi="ar-SA"/>
        </w:rPr>
        <w:t>一、项目基本情况</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val="en-US" w:eastAsia="zh-CN"/>
        </w:rPr>
        <w:t>GXZB2023-067Z.1B1</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2023年长安区太乙街道中心学校、黄良街道湖村小学等5所学校设备采购项目（二次）</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采购方式：</w:t>
      </w:r>
      <w:r>
        <w:rPr>
          <w:rFonts w:hint="eastAsia" w:ascii="宋体" w:hAnsi="宋体" w:eastAsia="宋体" w:cs="宋体"/>
          <w:color w:val="auto"/>
          <w:sz w:val="21"/>
          <w:szCs w:val="21"/>
          <w:highlight w:val="none"/>
          <w:lang w:eastAsia="zh-CN"/>
        </w:rPr>
        <w:t>公开招标</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预算金额：</w:t>
      </w:r>
      <w:r>
        <w:rPr>
          <w:rFonts w:hint="eastAsia" w:ascii="宋体" w:hAnsi="宋体" w:eastAsia="宋体" w:cs="宋体"/>
          <w:color w:val="auto"/>
          <w:sz w:val="21"/>
          <w:szCs w:val="21"/>
          <w:highlight w:val="none"/>
          <w:lang w:val="en-US" w:eastAsia="zh-CN"/>
        </w:rPr>
        <w:t>4025000</w:t>
      </w:r>
      <w:r>
        <w:rPr>
          <w:rFonts w:hint="eastAsia" w:ascii="宋体" w:hAnsi="宋体" w:eastAsia="宋体" w:cs="宋体"/>
          <w:color w:val="auto"/>
          <w:sz w:val="21"/>
          <w:szCs w:val="21"/>
          <w:highlight w:val="none"/>
        </w:rPr>
        <w:t>元</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合同包1(</w:t>
      </w:r>
      <w:r>
        <w:rPr>
          <w:rFonts w:hint="eastAsia" w:ascii="宋体" w:hAnsi="宋体" w:cs="宋体"/>
          <w:color w:val="auto"/>
          <w:sz w:val="21"/>
          <w:szCs w:val="21"/>
          <w:highlight w:val="none"/>
          <w:lang w:eastAsia="zh-CN"/>
        </w:rPr>
        <w:t>2023年长安区太乙街道中心学校、黄良街道湖村小学等5所学校设备采购项目</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合同包预算金额：</w:t>
      </w:r>
      <w:r>
        <w:rPr>
          <w:rFonts w:hint="eastAsia" w:ascii="宋体" w:hAnsi="宋体" w:eastAsia="宋体" w:cs="宋体"/>
          <w:color w:val="auto"/>
          <w:sz w:val="21"/>
          <w:szCs w:val="21"/>
          <w:highlight w:val="none"/>
          <w:lang w:val="en-US" w:eastAsia="zh-CN"/>
        </w:rPr>
        <w:t>4025000</w:t>
      </w:r>
      <w:r>
        <w:rPr>
          <w:rFonts w:hint="eastAsia" w:ascii="宋体" w:hAnsi="宋体" w:eastAsia="宋体" w:cs="宋体"/>
          <w:color w:val="auto"/>
          <w:sz w:val="21"/>
          <w:szCs w:val="21"/>
          <w:highlight w:val="none"/>
        </w:rPr>
        <w:t>元</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合同包最高限价：</w:t>
      </w:r>
      <w:r>
        <w:rPr>
          <w:rFonts w:hint="eastAsia" w:ascii="宋体" w:hAnsi="宋体" w:eastAsia="宋体" w:cs="宋体"/>
          <w:color w:val="auto"/>
          <w:sz w:val="21"/>
          <w:szCs w:val="21"/>
          <w:highlight w:val="none"/>
          <w:lang w:val="en-US" w:eastAsia="zh-CN"/>
        </w:rPr>
        <w:t>4025000</w:t>
      </w:r>
      <w:r>
        <w:rPr>
          <w:rFonts w:hint="eastAsia" w:ascii="宋体" w:hAnsi="宋体" w:eastAsia="宋体" w:cs="宋体"/>
          <w:color w:val="auto"/>
          <w:sz w:val="21"/>
          <w:szCs w:val="21"/>
          <w:highlight w:val="none"/>
        </w:rPr>
        <w:t>元</w:t>
      </w:r>
    </w:p>
    <w:tbl>
      <w:tblPr>
        <w:tblStyle w:val="37"/>
        <w:tblW w:w="96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23"/>
        <w:gridCol w:w="1344"/>
        <w:gridCol w:w="1552"/>
        <w:gridCol w:w="1124"/>
        <w:gridCol w:w="1550"/>
        <w:gridCol w:w="1367"/>
        <w:gridCol w:w="1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14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品目号</w:t>
            </w:r>
          </w:p>
        </w:tc>
        <w:tc>
          <w:tcPr>
            <w:tcW w:w="13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品目名称</w:t>
            </w:r>
          </w:p>
        </w:tc>
        <w:tc>
          <w:tcPr>
            <w:tcW w:w="15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采购标的</w:t>
            </w:r>
          </w:p>
        </w:tc>
        <w:tc>
          <w:tcPr>
            <w:tcW w:w="11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数量</w:t>
            </w:r>
          </w:p>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（单位）</w:t>
            </w:r>
          </w:p>
        </w:tc>
        <w:tc>
          <w:tcPr>
            <w:tcW w:w="15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技术规格、参数及要求</w:t>
            </w:r>
          </w:p>
        </w:tc>
        <w:tc>
          <w:tcPr>
            <w:tcW w:w="13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品目预算(元)</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4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default" w:ascii="宋体" w:hAnsi="宋体" w:eastAsia="宋体" w:cs="宋体"/>
                <w:color w:val="auto"/>
                <w:sz w:val="21"/>
                <w:szCs w:val="21"/>
                <w:highlight w:val="none"/>
                <w:lang w:val="en-US"/>
              </w:rPr>
            </w:pPr>
            <w:r>
              <w:rPr>
                <w:rFonts w:hint="eastAsia" w:ascii="宋体" w:hAnsi="宋体" w:cs="宋体"/>
                <w:color w:val="auto"/>
                <w:kern w:val="0"/>
                <w:sz w:val="21"/>
                <w:szCs w:val="21"/>
                <w:highlight w:val="none"/>
                <w:lang w:val="en-US" w:eastAsia="zh-CN"/>
              </w:rPr>
              <w:t>1-1</w:t>
            </w:r>
          </w:p>
        </w:tc>
        <w:tc>
          <w:tcPr>
            <w:tcW w:w="13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jc w:val="left"/>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教学仪器</w:t>
            </w:r>
          </w:p>
        </w:tc>
        <w:tc>
          <w:tcPr>
            <w:tcW w:w="15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both"/>
              <w:textAlignment w:val="center"/>
              <w:rPr>
                <w:rFonts w:hint="default" w:ascii="宋体" w:hAnsi="宋体" w:eastAsia="宋体" w:cs="宋体"/>
                <w:color w:val="auto"/>
                <w:sz w:val="21"/>
                <w:szCs w:val="21"/>
                <w:highlight w:val="yellow"/>
                <w:lang w:val="en-US" w:eastAsia="zh-CN"/>
              </w:rPr>
            </w:pPr>
            <w:r>
              <w:rPr>
                <w:rFonts w:hint="default" w:ascii="宋体" w:hAnsi="宋体" w:eastAsia="宋体" w:cs="宋体"/>
                <w:color w:val="auto"/>
                <w:sz w:val="21"/>
                <w:szCs w:val="21"/>
                <w:highlight w:val="none"/>
                <w:lang w:val="en-US" w:eastAsia="zh-CN"/>
              </w:rPr>
              <w:t>4025000</w:t>
            </w:r>
          </w:p>
        </w:tc>
        <w:tc>
          <w:tcPr>
            <w:tcW w:w="11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批</w:t>
            </w:r>
            <w:r>
              <w:rPr>
                <w:rFonts w:hint="eastAsia" w:ascii="宋体" w:hAnsi="宋体" w:eastAsia="宋体" w:cs="宋体"/>
                <w:color w:val="auto"/>
                <w:kern w:val="0"/>
                <w:sz w:val="21"/>
                <w:szCs w:val="21"/>
                <w:highlight w:val="none"/>
                <w:lang w:val="en-US" w:eastAsia="zh-CN"/>
              </w:rPr>
              <w:t>)</w:t>
            </w:r>
          </w:p>
        </w:tc>
        <w:tc>
          <w:tcPr>
            <w:tcW w:w="15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详见招标文件</w:t>
            </w:r>
          </w:p>
        </w:tc>
        <w:tc>
          <w:tcPr>
            <w:tcW w:w="13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4025000</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4025000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highlight w:val="yellow"/>
          <w:lang w:val="en-US" w:eastAsia="zh-CN"/>
        </w:rPr>
      </w:pPr>
      <w:r>
        <w:rPr>
          <w:rFonts w:hint="eastAsia" w:ascii="宋体" w:hAnsi="宋体" w:eastAsia="宋体" w:cs="宋体"/>
          <w:color w:val="auto"/>
          <w:sz w:val="21"/>
          <w:szCs w:val="21"/>
          <w:highlight w:val="none"/>
          <w:lang w:val="en-US" w:eastAsia="zh-CN"/>
        </w:rPr>
        <w:t>合同履行期限：</w:t>
      </w:r>
      <w:r>
        <w:rPr>
          <w:rFonts w:hint="eastAsia" w:ascii="Times New Roman" w:hAnsi="Times New Roman" w:eastAsia="宋体" w:cs="Times New Roman"/>
          <w:color w:val="auto"/>
          <w:highlight w:val="none"/>
          <w:shd w:val="clear"/>
          <w:lang w:val="en-US" w:eastAsia="zh-CN"/>
        </w:rPr>
        <w:t>自验收合格之日起</w:t>
      </w:r>
      <w:r>
        <w:rPr>
          <w:rFonts w:hint="eastAsia" w:cs="Times New Roman"/>
          <w:color w:val="auto"/>
          <w:highlight w:val="none"/>
          <w:shd w:val="clear"/>
          <w:lang w:val="en-US" w:eastAsia="zh-CN"/>
        </w:rPr>
        <w:t>3</w:t>
      </w:r>
      <w:r>
        <w:rPr>
          <w:rFonts w:hint="eastAsia" w:ascii="Times New Roman" w:hAnsi="Times New Roman" w:eastAsia="宋体" w:cs="Times New Roman"/>
          <w:color w:val="auto"/>
          <w:highlight w:val="none"/>
          <w:shd w:val="clear"/>
          <w:lang w:val="en-US" w:eastAsia="zh-CN"/>
        </w:rPr>
        <w:t>年</w:t>
      </w:r>
      <w:r>
        <w:rPr>
          <w:rFonts w:hint="eastAsia" w:cs="Times New Roman"/>
          <w:color w:val="auto"/>
          <w:highlight w:val="none"/>
          <w:shd w:val="clear"/>
          <w:lang w:val="en-US" w:eastAsia="zh-CN"/>
        </w:rPr>
        <w:t xml:space="preserve">，空调6年。 </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本合同包不接受联合体投标</w:t>
      </w:r>
    </w:p>
    <w:p>
      <w:pPr>
        <w:keepNext w:val="0"/>
        <w:keepLines w:val="0"/>
        <w:pageBreakBefore w:val="0"/>
        <w:widowControl/>
        <w:kinsoku/>
        <w:overflowPunct/>
        <w:topLinePunct w:val="0"/>
        <w:bidi w:val="0"/>
        <w:snapToGrid w:val="0"/>
        <w:spacing w:before="0" w:beforeAutospacing="0" w:after="0" w:afterAutospacing="0" w:line="360" w:lineRule="auto"/>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kern w:val="2"/>
          <w:sz w:val="21"/>
          <w:szCs w:val="21"/>
          <w:highlight w:val="none"/>
          <w:shd w:val="clear" w:color="auto" w:fill="FFFFFF"/>
          <w:lang w:val="en-US" w:eastAsia="zh-CN" w:bidi="ar-SA"/>
        </w:rPr>
        <w:t>二、申请人的资格要求</w:t>
      </w:r>
      <w:r>
        <w:rPr>
          <w:rFonts w:hint="eastAsia" w:ascii="宋体" w:hAnsi="宋体" w:eastAsia="宋体" w:cs="宋体"/>
          <w:color w:val="auto"/>
          <w:kern w:val="2"/>
          <w:sz w:val="21"/>
          <w:szCs w:val="21"/>
          <w:highlight w:val="none"/>
          <w:lang w:val="en-US" w:eastAsia="zh-CN" w:bidi="ar-SA"/>
        </w:rPr>
        <w:t>：</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1.满足《中华人民共和国政府采购法》第二十二条规定；</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2.落实政府采购政策需满足的资格要求：</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b w:val="0"/>
          <w:bCs/>
          <w:color w:val="auto"/>
          <w:sz w:val="21"/>
          <w:szCs w:val="21"/>
          <w:highlight w:val="none"/>
          <w:lang w:eastAsia="zh-CN"/>
        </w:rPr>
        <w:t>2023年长安区太乙街道中心学校、黄良街道湖村小学等5所学校设备采购项目</w:t>
      </w:r>
      <w:r>
        <w:rPr>
          <w:rFonts w:hint="eastAsia" w:ascii="宋体" w:hAnsi="宋体" w:eastAsia="宋体" w:cs="宋体"/>
          <w:sz w:val="21"/>
          <w:szCs w:val="21"/>
          <w:highlight w:val="none"/>
        </w:rPr>
        <w:t>)落实政府采购政策需满足的资格要求如下:</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（1）《政府采购促进中小企业发展管理办法》（财库〔2020〕46号）； </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（2）《财政部司法部关于政府采购支持监狱企业发展有关问题的通知》（财库〔2014〕68号）； </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（3）《国务院办公厅关于建立政府强制采购节能产品制度的通知》（国办发〔2007〕51号）； </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（4）《关于印发环境标志产品政府采购品目清单的通知》（财库〔2019〕18号）； </w:t>
      </w:r>
    </w:p>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（5）《关于印发节能产品政府采购品目清单的通知》（财库〔2019〕19号）；</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（6）《关于促进残疾人就业政府采购政策的通知》财库〔2017〕141号；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（7）《关于调整优化节能产品、环境标志产品政府采购执行机制的通知》（财库〔2019〕9号）；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（8）《财政部农业农村部国家乡村振兴局关于运用政府采购政策支持乡村产业振兴的通知》（财库〔2021〕19号）；</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（9）《陕西省中小企业政府采购信用融资办法》（陕财办采〔2018〕23号）；</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（10）《陕西省财政厅关于加快推进我省中小企业政府采购信用融资工作的通知》（陕财办采〔2020〕15号）；</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11</w:t>
      </w:r>
      <w:r>
        <w:rPr>
          <w:rFonts w:hint="eastAsia" w:ascii="宋体" w:hAnsi="宋体" w:eastAsia="宋体" w:cs="宋体"/>
          <w:sz w:val="21"/>
          <w:szCs w:val="21"/>
          <w:highlight w:val="none"/>
        </w:rPr>
        <w:t>）《关于进一步加大政府采购支持中小企业力度的通知》（财库〔2022〕19 号；</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）其他需要落实的政府采购政策。</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3.本项目的特定资格要求：</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（1）须提供</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年度的财务报告；或其基本开户银行出具的资信证明；或</w:t>
      </w:r>
      <w:r>
        <w:rPr>
          <w:rFonts w:hint="eastAsia" w:ascii="宋体" w:hAnsi="宋体" w:eastAsia="宋体" w:cs="宋体"/>
          <w:sz w:val="21"/>
          <w:szCs w:val="21"/>
          <w:highlight w:val="none"/>
        </w:rPr>
        <w:t>投标担保函（以上三种形式的资料提供任何一种即可）；</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依法缴纳税收和社会保障资金的良好记录。依法缴纳税收的良好记录（提供截止至开标时间前12个月内任一月份的缴费凭据,依法免税的单位应提供相关证明材料）；依法缴纳社会保障资金的良好记录（提供截止至开标时间前12个月内任一月份的缴费凭据或社保机构开具的社会保险参保缴费情况证明，依法不需要缴纳社会保障资金的单位应提供相关证明材料）；</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须具备独立承担民事责任能力的法人、其他组织或自然人，提供营业执照</w:t>
      </w:r>
      <w:r>
        <w:rPr>
          <w:rFonts w:hint="eastAsia" w:ascii="宋体" w:hAnsi="宋体" w:eastAsia="宋体" w:cs="宋体"/>
          <w:sz w:val="21"/>
          <w:szCs w:val="21"/>
          <w:highlight w:val="none"/>
          <w:lang w:eastAsia="zh-CN"/>
        </w:rPr>
        <w:t>或</w:t>
      </w:r>
      <w:r>
        <w:rPr>
          <w:rFonts w:hint="eastAsia" w:ascii="宋体" w:hAnsi="宋体" w:eastAsia="宋体" w:cs="宋体"/>
          <w:sz w:val="21"/>
          <w:szCs w:val="21"/>
          <w:highlight w:val="none"/>
        </w:rPr>
        <w:t>事业单位法人证书；自然人参与的提供其身份证</w:t>
      </w:r>
      <w:r>
        <w:rPr>
          <w:rFonts w:hint="eastAsia" w:ascii="宋体" w:hAnsi="宋体" w:eastAsia="宋体" w:cs="宋体"/>
          <w:sz w:val="21"/>
          <w:szCs w:val="21"/>
          <w:highlight w:val="none"/>
          <w:lang w:eastAsia="zh-CN"/>
        </w:rPr>
        <w:t>明</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应授权合法的人员参加投标全过程，其中法定代表人直接参加投标的，须出具法人身份证，并与营业执照上信息一致。法定代表人授权代表参加投标的，须出具法定代表人授权书；</w:t>
      </w:r>
    </w:p>
    <w:p>
      <w:pPr>
        <w:keepNext w:val="0"/>
        <w:keepLines w:val="0"/>
        <w:pageBreakBefore w:val="0"/>
        <w:widowControl w:val="0"/>
        <w:numPr>
          <w:ilvl w:val="0"/>
          <w:numId w:val="7"/>
        </w:numPr>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履行合同所必需的设备和专业技术能力的承诺；</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投标人不得为“信用中国”网站（www.creditchina.gov.cn）中列入失信被执行人（中国执行信息公开网http://zxgk.court.gov.cn/shixin）和重大税收违法失信主体的投标人；不得为中国政府采购网（www.ccgp.gov.cn）政府采购严重违法失信行为记录名单中被财政部门禁止参加政府采购活动的投标人</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7</w:t>
      </w:r>
      <w:r>
        <w:rPr>
          <w:rFonts w:hint="eastAsia" w:ascii="宋体" w:hAnsi="宋体" w:eastAsia="宋体" w:cs="宋体"/>
          <w:sz w:val="21"/>
          <w:szCs w:val="21"/>
          <w:highlight w:val="none"/>
          <w:lang w:eastAsia="zh-CN"/>
        </w:rPr>
        <w:t>）投标人参加政府采购活动前3年内在经营活动中没有重大违法记录的书面声明；</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eastAsia="宋体"/>
          <w:lang w:eastAsia="zh-CN"/>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8</w:t>
      </w:r>
      <w:r>
        <w:rPr>
          <w:rFonts w:hint="eastAsia" w:ascii="宋体" w:hAnsi="宋体" w:cs="宋体"/>
          <w:sz w:val="21"/>
          <w:szCs w:val="21"/>
          <w:highlight w:val="none"/>
          <w:lang w:eastAsia="zh-CN"/>
        </w:rPr>
        <w:t>）</w:t>
      </w:r>
      <w:r>
        <w:rPr>
          <w:rFonts w:hint="eastAsia" w:ascii="宋体" w:hAnsi="宋体" w:eastAsia="宋体" w:cs="宋体"/>
          <w:color w:val="auto"/>
          <w:sz w:val="21"/>
          <w:szCs w:val="21"/>
          <w:highlight w:val="none"/>
        </w:rPr>
        <w:t>不接受联合体投标</w:t>
      </w:r>
      <w:r>
        <w:rPr>
          <w:rFonts w:hint="eastAsia" w:ascii="宋体" w:hAnsi="宋体" w:cs="宋体"/>
          <w:color w:val="auto"/>
          <w:sz w:val="21"/>
          <w:szCs w:val="21"/>
          <w:highlight w:val="none"/>
          <w:lang w:eastAsia="zh-CN"/>
        </w:rPr>
        <w:t>。</w:t>
      </w:r>
    </w:p>
    <w:p>
      <w:pPr>
        <w:keepNext w:val="0"/>
        <w:keepLines w:val="0"/>
        <w:pageBreakBefore w:val="0"/>
        <w:widowControl/>
        <w:kinsoku/>
        <w:wordWrap/>
        <w:overflowPunct/>
        <w:topLinePunct w:val="0"/>
        <w:bidi w:val="0"/>
        <w:snapToGrid/>
        <w:spacing w:before="0" w:beforeAutospacing="0" w:after="0" w:afterAutospacing="0" w:line="312" w:lineRule="auto"/>
        <w:jc w:val="both"/>
        <w:textAlignment w:val="baseline"/>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b/>
          <w:bCs/>
          <w:kern w:val="2"/>
          <w:sz w:val="21"/>
          <w:szCs w:val="21"/>
          <w:highlight w:val="none"/>
          <w:shd w:val="clear" w:color="auto" w:fill="FFFFFF"/>
          <w:lang w:val="en-US" w:eastAsia="zh-CN" w:bidi="ar-SA"/>
        </w:rPr>
        <w:t>三、获取招标文件</w:t>
      </w:r>
    </w:p>
    <w:p>
      <w:pPr>
        <w:keepNext w:val="0"/>
        <w:keepLines w:val="0"/>
        <w:pageBreakBefore w:val="0"/>
        <w:widowControl/>
        <w:shd w:val="clear"/>
        <w:kinsoku/>
        <w:wordWrap/>
        <w:overflowPunct/>
        <w:topLinePunct w:val="0"/>
        <w:bidi w:val="0"/>
        <w:snapToGrid/>
        <w:spacing w:before="0" w:beforeAutospacing="0" w:after="0" w:afterAutospacing="0" w:line="312" w:lineRule="auto"/>
        <w:ind w:firstLine="420" w:firstLineChars="200"/>
        <w:jc w:val="both"/>
        <w:textAlignment w:val="baseline"/>
        <w:rPr>
          <w:rFonts w:hint="eastAsia" w:ascii="宋体" w:hAnsi="宋体" w:cs="宋体"/>
          <w:kern w:val="0"/>
          <w:sz w:val="21"/>
          <w:szCs w:val="21"/>
          <w:highlight w:val="none"/>
          <w:shd w:val="clear" w:color="auto" w:fill="FFFFFF"/>
          <w:lang w:val="en-US" w:eastAsia="zh-CN" w:bidi="ar-SA"/>
        </w:rPr>
      </w:pPr>
      <w:r>
        <w:rPr>
          <w:rFonts w:hint="eastAsia" w:ascii="宋体" w:hAnsi="宋体" w:eastAsia="宋体" w:cs="宋体"/>
          <w:color w:val="333333"/>
          <w:kern w:val="0"/>
          <w:sz w:val="21"/>
          <w:szCs w:val="21"/>
          <w:highlight w:val="none"/>
          <w:shd w:val="clear" w:color="auto" w:fill="FFFFFF"/>
          <w:lang w:val="en-US" w:eastAsia="zh-CN" w:bidi="ar-SA"/>
        </w:rPr>
        <w:t>时间</w:t>
      </w:r>
      <w:r>
        <w:rPr>
          <w:rFonts w:hint="eastAsia" w:ascii="宋体" w:hAnsi="宋体" w:eastAsia="宋体" w:cs="宋体"/>
          <w:kern w:val="0"/>
          <w:sz w:val="21"/>
          <w:szCs w:val="21"/>
          <w:highlight w:val="none"/>
          <w:shd w:val="clear" w:color="auto"/>
          <w:lang w:val="en-US" w:eastAsia="zh-CN" w:bidi="ar-SA"/>
        </w:rPr>
        <w:t>：2023年</w:t>
      </w:r>
      <w:r>
        <w:rPr>
          <w:rFonts w:hint="eastAsia" w:ascii="宋体" w:hAnsi="宋体" w:cs="宋体"/>
          <w:kern w:val="0"/>
          <w:sz w:val="21"/>
          <w:szCs w:val="21"/>
          <w:highlight w:val="none"/>
          <w:shd w:val="clear" w:color="auto"/>
          <w:lang w:val="en-US" w:eastAsia="zh-CN" w:bidi="ar-SA"/>
        </w:rPr>
        <w:t>12</w:t>
      </w:r>
      <w:r>
        <w:rPr>
          <w:rFonts w:hint="eastAsia" w:ascii="宋体" w:hAnsi="宋体" w:eastAsia="宋体" w:cs="宋体"/>
          <w:kern w:val="0"/>
          <w:sz w:val="21"/>
          <w:szCs w:val="21"/>
          <w:highlight w:val="none"/>
          <w:shd w:val="clear" w:color="auto"/>
          <w:lang w:val="en-US" w:eastAsia="zh-CN" w:bidi="ar-SA"/>
        </w:rPr>
        <w:t>月</w:t>
      </w:r>
      <w:r>
        <w:rPr>
          <w:rFonts w:hint="eastAsia" w:ascii="宋体" w:hAnsi="宋体" w:cs="宋体"/>
          <w:kern w:val="0"/>
          <w:sz w:val="21"/>
          <w:szCs w:val="21"/>
          <w:highlight w:val="none"/>
          <w:shd w:val="clear" w:color="auto"/>
          <w:lang w:val="en-US" w:eastAsia="zh-CN" w:bidi="ar-SA"/>
        </w:rPr>
        <w:t>08</w:t>
      </w:r>
      <w:r>
        <w:rPr>
          <w:rFonts w:hint="eastAsia" w:ascii="宋体" w:hAnsi="宋体" w:eastAsia="宋体" w:cs="宋体"/>
          <w:kern w:val="0"/>
          <w:sz w:val="21"/>
          <w:szCs w:val="21"/>
          <w:highlight w:val="none"/>
          <w:shd w:val="clear" w:color="auto"/>
          <w:lang w:val="en-US" w:eastAsia="zh-CN" w:bidi="ar-SA"/>
        </w:rPr>
        <w:t>日</w:t>
      </w:r>
      <w:r>
        <w:rPr>
          <w:rFonts w:hint="eastAsia" w:ascii="宋体" w:hAnsi="宋体" w:cs="宋体"/>
          <w:kern w:val="0"/>
          <w:sz w:val="21"/>
          <w:szCs w:val="21"/>
          <w:highlight w:val="none"/>
          <w:shd w:val="clear" w:color="auto"/>
          <w:lang w:val="en-US" w:eastAsia="zh-CN" w:bidi="ar-SA"/>
        </w:rPr>
        <w:t>00</w:t>
      </w:r>
      <w:r>
        <w:rPr>
          <w:rFonts w:hint="eastAsia" w:ascii="宋体" w:hAnsi="宋体" w:eastAsia="宋体" w:cs="宋体"/>
          <w:kern w:val="0"/>
          <w:sz w:val="21"/>
          <w:szCs w:val="21"/>
          <w:highlight w:val="none"/>
          <w:shd w:val="clear" w:color="auto"/>
          <w:lang w:val="en-US" w:eastAsia="zh-CN" w:bidi="ar-SA"/>
        </w:rPr>
        <w:t>:00:00至2023年</w:t>
      </w:r>
      <w:r>
        <w:rPr>
          <w:rFonts w:hint="eastAsia" w:ascii="宋体" w:hAnsi="宋体" w:cs="宋体"/>
          <w:kern w:val="0"/>
          <w:sz w:val="21"/>
          <w:szCs w:val="21"/>
          <w:highlight w:val="none"/>
          <w:shd w:val="clear" w:color="auto"/>
          <w:lang w:val="en-US" w:eastAsia="zh-CN" w:bidi="ar-SA"/>
        </w:rPr>
        <w:t>12</w:t>
      </w:r>
      <w:r>
        <w:rPr>
          <w:rFonts w:hint="eastAsia" w:ascii="宋体" w:hAnsi="宋体" w:eastAsia="宋体" w:cs="宋体"/>
          <w:kern w:val="0"/>
          <w:sz w:val="21"/>
          <w:szCs w:val="21"/>
          <w:highlight w:val="none"/>
          <w:shd w:val="clear" w:color="auto"/>
          <w:lang w:val="en-US" w:eastAsia="zh-CN" w:bidi="ar-SA"/>
        </w:rPr>
        <w:t>月</w:t>
      </w:r>
      <w:r>
        <w:rPr>
          <w:rFonts w:hint="eastAsia" w:ascii="宋体" w:hAnsi="宋体" w:cs="宋体"/>
          <w:kern w:val="0"/>
          <w:sz w:val="21"/>
          <w:szCs w:val="21"/>
          <w:highlight w:val="none"/>
          <w:shd w:val="clear" w:color="auto"/>
          <w:lang w:val="en-US" w:eastAsia="zh-CN" w:bidi="ar-SA"/>
        </w:rPr>
        <w:t>14</w:t>
      </w:r>
      <w:r>
        <w:rPr>
          <w:rFonts w:hint="eastAsia" w:ascii="宋体" w:hAnsi="宋体" w:eastAsia="宋体" w:cs="宋体"/>
          <w:kern w:val="0"/>
          <w:sz w:val="21"/>
          <w:szCs w:val="21"/>
          <w:highlight w:val="none"/>
          <w:shd w:val="clear" w:color="auto"/>
          <w:lang w:val="en-US" w:eastAsia="zh-CN" w:bidi="ar-SA"/>
        </w:rPr>
        <w:t>日</w:t>
      </w:r>
      <w:r>
        <w:rPr>
          <w:rFonts w:hint="eastAsia" w:ascii="宋体" w:hAnsi="宋体" w:cs="宋体"/>
          <w:kern w:val="0"/>
          <w:sz w:val="21"/>
          <w:szCs w:val="21"/>
          <w:highlight w:val="none"/>
          <w:shd w:val="clear" w:color="auto"/>
          <w:lang w:val="en-US" w:eastAsia="zh-CN" w:bidi="ar-SA"/>
        </w:rPr>
        <w:t>23</w:t>
      </w:r>
      <w:r>
        <w:rPr>
          <w:rFonts w:hint="eastAsia" w:ascii="宋体" w:hAnsi="宋体" w:eastAsia="宋体" w:cs="宋体"/>
          <w:kern w:val="0"/>
          <w:sz w:val="21"/>
          <w:szCs w:val="21"/>
          <w:highlight w:val="none"/>
          <w:shd w:val="clear" w:color="auto" w:fill="FFFFFF"/>
          <w:lang w:val="en-US" w:eastAsia="zh-CN" w:bidi="ar-SA"/>
        </w:rPr>
        <w:t>:</w:t>
      </w:r>
      <w:r>
        <w:rPr>
          <w:rFonts w:hint="eastAsia" w:ascii="宋体" w:hAnsi="宋体" w:cs="宋体"/>
          <w:kern w:val="0"/>
          <w:sz w:val="21"/>
          <w:szCs w:val="21"/>
          <w:highlight w:val="none"/>
          <w:shd w:val="clear" w:color="auto" w:fill="FFFFFF"/>
          <w:lang w:val="en-US" w:eastAsia="zh-CN" w:bidi="ar-SA"/>
        </w:rPr>
        <w:t>59</w:t>
      </w:r>
      <w:r>
        <w:rPr>
          <w:rFonts w:hint="eastAsia" w:ascii="宋体" w:hAnsi="宋体" w:eastAsia="宋体" w:cs="宋体"/>
          <w:kern w:val="0"/>
          <w:sz w:val="21"/>
          <w:szCs w:val="21"/>
          <w:highlight w:val="none"/>
          <w:shd w:val="clear" w:color="auto" w:fill="FFFFFF"/>
          <w:lang w:val="en-US" w:eastAsia="zh-CN" w:bidi="ar-SA"/>
        </w:rPr>
        <w:t>:</w:t>
      </w:r>
      <w:r>
        <w:rPr>
          <w:rFonts w:hint="eastAsia" w:ascii="宋体" w:hAnsi="宋体" w:cs="宋体"/>
          <w:kern w:val="0"/>
          <w:sz w:val="21"/>
          <w:szCs w:val="21"/>
          <w:highlight w:val="none"/>
          <w:shd w:val="clear" w:color="auto" w:fill="FFFFFF"/>
          <w:lang w:val="en-US" w:eastAsia="zh-CN" w:bidi="ar-SA"/>
        </w:rPr>
        <w:t>59</w:t>
      </w:r>
    </w:p>
    <w:p>
      <w:pPr>
        <w:keepNext w:val="0"/>
        <w:keepLines w:val="0"/>
        <w:pageBreakBefore w:val="0"/>
        <w:widowControl/>
        <w:shd w:val="clear"/>
        <w:kinsoku/>
        <w:wordWrap/>
        <w:overflowPunct/>
        <w:topLinePunct w:val="0"/>
        <w:bidi w:val="0"/>
        <w:snapToGrid/>
        <w:spacing w:before="0" w:beforeAutospacing="0" w:after="0" w:afterAutospacing="0" w:line="312" w:lineRule="auto"/>
        <w:ind w:firstLine="420" w:firstLineChars="200"/>
        <w:jc w:val="both"/>
        <w:textAlignment w:val="baseline"/>
        <w:rPr>
          <w:rFonts w:hint="eastAsia" w:ascii="宋体" w:hAnsi="宋体" w:eastAsia="宋体" w:cs="宋体"/>
          <w:kern w:val="0"/>
          <w:sz w:val="21"/>
          <w:szCs w:val="21"/>
          <w:highlight w:val="none"/>
          <w:shd w:val="clear" w:color="auto" w:fill="FFFFFF"/>
          <w:lang w:val="en-US" w:eastAsia="zh-CN" w:bidi="ar-SA"/>
        </w:rPr>
      </w:pPr>
      <w:r>
        <w:rPr>
          <w:rFonts w:hint="eastAsia" w:ascii="宋体" w:hAnsi="宋体" w:eastAsia="宋体" w:cs="宋体"/>
          <w:kern w:val="0"/>
          <w:sz w:val="21"/>
          <w:szCs w:val="21"/>
          <w:highlight w:val="none"/>
          <w:shd w:val="clear" w:color="auto" w:fill="FFFFFF"/>
          <w:lang w:val="en-US" w:eastAsia="zh-CN" w:bidi="ar-SA"/>
        </w:rPr>
        <w:t>途径：全国公共资源交易平台（陕西省·西安市）自行下载</w:t>
      </w:r>
    </w:p>
    <w:p>
      <w:pPr>
        <w:keepNext w:val="0"/>
        <w:keepLines w:val="0"/>
        <w:pageBreakBefore w:val="0"/>
        <w:widowControl/>
        <w:shd w:val="clear"/>
        <w:kinsoku/>
        <w:wordWrap/>
        <w:overflowPunct/>
        <w:topLinePunct w:val="0"/>
        <w:bidi w:val="0"/>
        <w:snapToGrid/>
        <w:spacing w:before="0" w:beforeAutospacing="0" w:after="0" w:afterAutospacing="0" w:line="312" w:lineRule="auto"/>
        <w:ind w:firstLine="420" w:firstLineChars="200"/>
        <w:jc w:val="both"/>
        <w:textAlignment w:val="baseline"/>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shd w:val="clear" w:color="auto" w:fill="FFFFFF"/>
          <w:lang w:val="en-US" w:eastAsia="zh-CN" w:bidi="ar-SA"/>
        </w:rPr>
        <w:t>下载方式：在线获取</w:t>
      </w:r>
    </w:p>
    <w:p>
      <w:pPr>
        <w:keepNext w:val="0"/>
        <w:keepLines w:val="0"/>
        <w:pageBreakBefore w:val="0"/>
        <w:shd w:val="clear"/>
        <w:kinsoku/>
        <w:wordWrap/>
        <w:overflowPunct/>
        <w:topLinePunct w:val="0"/>
        <w:bidi w:val="0"/>
        <w:snapToGrid/>
        <w:spacing w:line="312"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售</w:t>
      </w:r>
      <w:r>
        <w:rPr>
          <w:rFonts w:hint="eastAsia" w:ascii="宋体" w:hAnsi="宋体" w:eastAsia="宋体" w:cs="宋体"/>
          <w:color w:val="auto"/>
          <w:sz w:val="21"/>
          <w:szCs w:val="21"/>
          <w:highlight w:val="none"/>
        </w:rPr>
        <w:t>价</w:t>
      </w:r>
      <w:r>
        <w:rPr>
          <w:rFonts w:hint="eastAsia" w:ascii="宋体" w:hAnsi="宋体" w:eastAsia="宋体" w:cs="宋体"/>
          <w:color w:val="auto"/>
          <w:sz w:val="21"/>
          <w:szCs w:val="21"/>
          <w:highlight w:val="none"/>
          <w:lang w:eastAsia="zh-CN"/>
        </w:rPr>
        <w:t>：免费获取。</w:t>
      </w:r>
    </w:p>
    <w:p>
      <w:pPr>
        <w:keepNext w:val="0"/>
        <w:keepLines w:val="0"/>
        <w:pageBreakBefore w:val="0"/>
        <w:widowControl/>
        <w:numPr>
          <w:ilvl w:val="0"/>
          <w:numId w:val="0"/>
        </w:numPr>
        <w:shd w:val="clear"/>
        <w:tabs>
          <w:tab w:val="left" w:pos="720"/>
        </w:tabs>
        <w:kinsoku/>
        <w:wordWrap/>
        <w:overflowPunct/>
        <w:topLinePunct w:val="0"/>
        <w:autoSpaceDE w:val="0"/>
        <w:autoSpaceDN w:val="0"/>
        <w:bidi w:val="0"/>
        <w:adjustRightInd w:val="0"/>
        <w:snapToGrid/>
        <w:spacing w:line="312" w:lineRule="auto"/>
        <w:jc w:val="left"/>
        <w:textAlignment w:val="baseline"/>
        <w:outlineLvl w:val="3"/>
        <w:rPr>
          <w:rFonts w:hint="eastAsia" w:ascii="宋体" w:hAnsi="宋体" w:eastAsia="宋体" w:cs="宋体"/>
          <w:kern w:val="2"/>
          <w:sz w:val="21"/>
          <w:szCs w:val="21"/>
          <w:highlight w:val="none"/>
          <w:lang w:val="en-US" w:eastAsia="zh-CN" w:bidi="ar-SA"/>
        </w:rPr>
      </w:pPr>
      <w:r>
        <w:rPr>
          <w:rFonts w:hint="eastAsia" w:ascii="宋体" w:hAnsi="宋体" w:eastAsia="宋体" w:cs="宋体"/>
          <w:b/>
          <w:bCs/>
          <w:kern w:val="2"/>
          <w:sz w:val="21"/>
          <w:szCs w:val="21"/>
          <w:highlight w:val="none"/>
          <w:shd w:val="clear" w:color="auto" w:fill="FFFFFF"/>
          <w:lang w:val="en-US" w:eastAsia="zh-CN" w:bidi="ar-SA"/>
        </w:rPr>
        <w:t>四、提交投标文件截止时间、开标时间和地点</w:t>
      </w:r>
    </w:p>
    <w:p>
      <w:pPr>
        <w:keepNext w:val="0"/>
        <w:keepLines w:val="0"/>
        <w:pageBreakBefore w:val="0"/>
        <w:widowControl/>
        <w:shd w:val="clear"/>
        <w:kinsoku/>
        <w:wordWrap/>
        <w:overflowPunct/>
        <w:topLinePunct w:val="0"/>
        <w:bidi w:val="0"/>
        <w:snapToGrid/>
        <w:spacing w:before="0" w:beforeAutospacing="0" w:after="0" w:afterAutospacing="0" w:line="312" w:lineRule="auto"/>
        <w:ind w:firstLine="420" w:firstLineChars="200"/>
        <w:jc w:val="both"/>
        <w:textAlignment w:val="baseline"/>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shd w:val="clear" w:color="auto" w:fill="FFFFFF"/>
          <w:lang w:val="en-US" w:eastAsia="zh-CN" w:bidi="ar-SA"/>
        </w:rPr>
        <w:t>时间：</w:t>
      </w:r>
      <w:r>
        <w:rPr>
          <w:rFonts w:hint="eastAsia" w:ascii="宋体" w:hAnsi="宋体" w:eastAsia="宋体" w:cs="宋体"/>
          <w:kern w:val="0"/>
          <w:sz w:val="21"/>
          <w:szCs w:val="21"/>
          <w:highlight w:val="none"/>
          <w:shd w:val="clear" w:color="auto" w:fill="FFFFFF"/>
          <w:lang w:val="en-US" w:eastAsia="zh-CN" w:bidi="ar-SA"/>
        </w:rPr>
        <w:t>2023年</w:t>
      </w:r>
      <w:r>
        <w:rPr>
          <w:rFonts w:hint="eastAsia" w:ascii="宋体" w:hAnsi="宋体" w:cs="宋体"/>
          <w:kern w:val="0"/>
          <w:sz w:val="21"/>
          <w:szCs w:val="21"/>
          <w:highlight w:val="none"/>
          <w:shd w:val="clear" w:color="auto" w:fill="FFFFFF"/>
          <w:lang w:val="en-US" w:eastAsia="zh-CN" w:bidi="ar-SA"/>
        </w:rPr>
        <w:t>12</w:t>
      </w:r>
      <w:r>
        <w:rPr>
          <w:rFonts w:hint="eastAsia" w:ascii="宋体" w:hAnsi="宋体" w:eastAsia="宋体" w:cs="宋体"/>
          <w:kern w:val="0"/>
          <w:sz w:val="21"/>
          <w:szCs w:val="21"/>
          <w:highlight w:val="none"/>
          <w:shd w:val="clear" w:color="auto" w:fill="FFFFFF"/>
          <w:lang w:val="en-US" w:eastAsia="zh-CN" w:bidi="ar-SA"/>
        </w:rPr>
        <w:t>月</w:t>
      </w:r>
      <w:r>
        <w:rPr>
          <w:rFonts w:hint="eastAsia" w:ascii="宋体" w:hAnsi="宋体" w:cs="宋体"/>
          <w:kern w:val="0"/>
          <w:sz w:val="21"/>
          <w:szCs w:val="21"/>
          <w:highlight w:val="none"/>
          <w:shd w:val="clear" w:color="auto" w:fill="FFFFFF"/>
          <w:lang w:val="en-US" w:eastAsia="zh-CN" w:bidi="ar-SA"/>
        </w:rPr>
        <w:t xml:space="preserve">28 </w:t>
      </w:r>
      <w:r>
        <w:rPr>
          <w:rFonts w:hint="eastAsia" w:ascii="宋体" w:hAnsi="宋体" w:eastAsia="宋体" w:cs="宋体"/>
          <w:kern w:val="0"/>
          <w:sz w:val="21"/>
          <w:szCs w:val="21"/>
          <w:highlight w:val="none"/>
          <w:shd w:val="clear" w:color="auto" w:fill="FFFFFF"/>
          <w:lang w:val="en-US" w:eastAsia="zh-CN" w:bidi="ar-SA"/>
        </w:rPr>
        <w:t>日</w:t>
      </w:r>
      <w:r>
        <w:rPr>
          <w:rFonts w:hint="eastAsia" w:ascii="宋体" w:hAnsi="宋体" w:cs="宋体"/>
          <w:kern w:val="0"/>
          <w:sz w:val="21"/>
          <w:szCs w:val="21"/>
          <w:highlight w:val="none"/>
          <w:shd w:val="clear" w:color="auto" w:fill="FFFFFF"/>
          <w:lang w:val="en-US" w:eastAsia="zh-CN" w:bidi="ar-SA"/>
        </w:rPr>
        <w:t>09</w:t>
      </w:r>
      <w:r>
        <w:rPr>
          <w:rFonts w:hint="eastAsia" w:ascii="宋体" w:hAnsi="宋体" w:eastAsia="宋体" w:cs="宋体"/>
          <w:kern w:val="0"/>
          <w:sz w:val="21"/>
          <w:szCs w:val="21"/>
          <w:highlight w:val="none"/>
          <w:shd w:val="clear" w:color="auto" w:fill="FFFFFF"/>
          <w:lang w:val="en-US" w:eastAsia="zh-CN" w:bidi="ar-SA"/>
        </w:rPr>
        <w:t>时</w:t>
      </w:r>
      <w:r>
        <w:rPr>
          <w:rFonts w:hint="eastAsia" w:ascii="宋体" w:hAnsi="宋体" w:cs="宋体"/>
          <w:kern w:val="0"/>
          <w:sz w:val="21"/>
          <w:szCs w:val="21"/>
          <w:highlight w:val="none"/>
          <w:shd w:val="clear" w:color="auto" w:fill="FFFFFF"/>
          <w:lang w:val="en-US" w:eastAsia="zh-CN" w:bidi="ar-SA"/>
        </w:rPr>
        <w:t>30</w:t>
      </w:r>
      <w:r>
        <w:rPr>
          <w:rFonts w:hint="eastAsia" w:ascii="宋体" w:hAnsi="宋体" w:eastAsia="宋体" w:cs="宋体"/>
          <w:kern w:val="0"/>
          <w:sz w:val="21"/>
          <w:szCs w:val="21"/>
          <w:highlight w:val="none"/>
          <w:shd w:val="clear" w:color="auto" w:fill="FFFFFF"/>
          <w:lang w:val="en-US" w:eastAsia="zh-CN" w:bidi="ar-SA"/>
        </w:rPr>
        <w:t>分00秒（北京时间）</w:t>
      </w:r>
    </w:p>
    <w:p>
      <w:pPr>
        <w:keepNext w:val="0"/>
        <w:keepLines w:val="0"/>
        <w:pageBreakBefore w:val="0"/>
        <w:widowControl/>
        <w:kinsoku/>
        <w:wordWrap/>
        <w:overflowPunct/>
        <w:topLinePunct w:val="0"/>
        <w:bidi w:val="0"/>
        <w:snapToGrid/>
        <w:spacing w:before="0" w:beforeAutospacing="0" w:after="0" w:afterAutospacing="0" w:line="312" w:lineRule="auto"/>
        <w:ind w:left="2310" w:leftChars="200" w:hanging="1890" w:hangingChars="900"/>
        <w:jc w:val="left"/>
        <w:textAlignment w:val="baseline"/>
        <w:rPr>
          <w:rFonts w:hint="eastAsia" w:ascii="宋体" w:hAnsi="宋体" w:eastAsia="宋体" w:cs="宋体"/>
          <w:kern w:val="0"/>
          <w:sz w:val="21"/>
          <w:szCs w:val="21"/>
          <w:highlight w:val="none"/>
          <w:shd w:val="clear" w:color="auto" w:fill="FFFFFF"/>
          <w:lang w:val="en-US" w:eastAsia="zh-CN" w:bidi="ar-SA"/>
        </w:rPr>
      </w:pPr>
      <w:r>
        <w:rPr>
          <w:rFonts w:hint="eastAsia" w:ascii="宋体" w:hAnsi="宋体" w:eastAsia="宋体" w:cs="宋体"/>
          <w:kern w:val="0"/>
          <w:sz w:val="21"/>
          <w:szCs w:val="21"/>
          <w:highlight w:val="none"/>
          <w:shd w:val="clear" w:color="auto" w:fill="FFFFFF"/>
          <w:lang w:val="en-US" w:eastAsia="zh-CN" w:bidi="ar-SA"/>
        </w:rPr>
        <w:t>提交投标文件地点：全国公共资源交易平台（陕西省·西安市</w:t>
      </w:r>
      <w:r>
        <w:rPr>
          <w:rFonts w:hint="eastAsia" w:ascii="宋体" w:hAnsi="宋体" w:cs="宋体"/>
          <w:kern w:val="0"/>
          <w:sz w:val="21"/>
          <w:szCs w:val="21"/>
          <w:highlight w:val="none"/>
          <w:shd w:val="clear" w:color="auto" w:fill="FFFFFF"/>
          <w:lang w:val="en-US" w:eastAsia="zh-CN" w:bidi="ar-SA"/>
        </w:rPr>
        <w:t>）</w:t>
      </w:r>
      <w:r>
        <w:rPr>
          <w:rFonts w:hint="eastAsia" w:ascii="宋体" w:hAnsi="宋体" w:eastAsia="宋体" w:cs="宋体"/>
          <w:kern w:val="0"/>
          <w:sz w:val="21"/>
          <w:szCs w:val="21"/>
          <w:highlight w:val="none"/>
          <w:shd w:val="clear" w:color="auto" w:fill="FFFFFF"/>
          <w:lang w:val="en-US" w:eastAsia="zh-CN" w:bidi="ar-SA"/>
        </w:rPr>
        <w:t>上传投标文件</w:t>
      </w:r>
    </w:p>
    <w:p>
      <w:pPr>
        <w:keepNext w:val="0"/>
        <w:keepLines w:val="0"/>
        <w:pageBreakBefore w:val="0"/>
        <w:widowControl/>
        <w:kinsoku/>
        <w:wordWrap/>
        <w:overflowPunct/>
        <w:topLinePunct w:val="0"/>
        <w:bidi w:val="0"/>
        <w:snapToGrid/>
        <w:spacing w:before="0" w:beforeAutospacing="0" w:after="0" w:afterAutospacing="0" w:line="312" w:lineRule="auto"/>
        <w:ind w:firstLine="420" w:firstLineChars="200"/>
        <w:jc w:val="both"/>
        <w:textAlignment w:val="baseline"/>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kern w:val="0"/>
          <w:sz w:val="21"/>
          <w:szCs w:val="21"/>
          <w:highlight w:val="none"/>
          <w:shd w:val="clear" w:color="auto" w:fill="FFFFFF"/>
          <w:lang w:val="en-US" w:eastAsia="zh-CN" w:bidi="ar-SA"/>
        </w:rPr>
        <w:t>开标地点：全国公共资源交易平台（陕西省·西安市）-不见面开标大厅</w:t>
      </w:r>
    </w:p>
    <w:p>
      <w:pPr>
        <w:keepNext w:val="0"/>
        <w:keepLines w:val="0"/>
        <w:pageBreakBefore w:val="0"/>
        <w:widowControl/>
        <w:numPr>
          <w:ilvl w:val="0"/>
          <w:numId w:val="0"/>
        </w:numPr>
        <w:tabs>
          <w:tab w:val="left" w:pos="720"/>
        </w:tabs>
        <w:kinsoku/>
        <w:wordWrap/>
        <w:overflowPunct/>
        <w:topLinePunct w:val="0"/>
        <w:autoSpaceDE w:val="0"/>
        <w:autoSpaceDN w:val="0"/>
        <w:bidi w:val="0"/>
        <w:adjustRightInd w:val="0"/>
        <w:snapToGrid w:val="0"/>
        <w:spacing w:line="312" w:lineRule="auto"/>
        <w:jc w:val="left"/>
        <w:textAlignment w:val="baseline"/>
        <w:outlineLvl w:val="3"/>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b/>
          <w:bCs/>
          <w:kern w:val="2"/>
          <w:sz w:val="21"/>
          <w:szCs w:val="21"/>
          <w:highlight w:val="none"/>
          <w:shd w:val="clear" w:color="auto" w:fill="FFFFFF"/>
          <w:lang w:val="en-US" w:eastAsia="zh-CN" w:bidi="ar-SA"/>
        </w:rPr>
        <w:t>五、公告期限</w:t>
      </w:r>
    </w:p>
    <w:p>
      <w:pPr>
        <w:keepNext w:val="0"/>
        <w:keepLines w:val="0"/>
        <w:pageBreakBefore w:val="0"/>
        <w:widowControl/>
        <w:numPr>
          <w:ilvl w:val="0"/>
          <w:numId w:val="0"/>
        </w:numPr>
        <w:tabs>
          <w:tab w:val="left" w:pos="720"/>
        </w:tabs>
        <w:kinsoku/>
        <w:wordWrap/>
        <w:overflowPunct/>
        <w:topLinePunct w:val="0"/>
        <w:autoSpaceDE w:val="0"/>
        <w:autoSpaceDN w:val="0"/>
        <w:bidi w:val="0"/>
        <w:adjustRightInd w:val="0"/>
        <w:snapToGrid w:val="0"/>
        <w:spacing w:line="312" w:lineRule="auto"/>
        <w:ind w:firstLine="420" w:firstLineChars="200"/>
        <w:jc w:val="left"/>
        <w:textAlignment w:val="baseline"/>
        <w:outlineLvl w:val="3"/>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自本公告发布之日起5个工作日。</w:t>
      </w:r>
    </w:p>
    <w:p>
      <w:pPr>
        <w:keepNext w:val="0"/>
        <w:keepLines w:val="0"/>
        <w:pageBreakBefore w:val="0"/>
        <w:widowControl/>
        <w:numPr>
          <w:ilvl w:val="0"/>
          <w:numId w:val="0"/>
        </w:numPr>
        <w:tabs>
          <w:tab w:val="left" w:pos="720"/>
        </w:tabs>
        <w:kinsoku/>
        <w:wordWrap/>
        <w:overflowPunct/>
        <w:topLinePunct w:val="0"/>
        <w:autoSpaceDE w:val="0"/>
        <w:autoSpaceDN w:val="0"/>
        <w:bidi w:val="0"/>
        <w:adjustRightInd w:val="0"/>
        <w:snapToGrid w:val="0"/>
        <w:spacing w:line="312" w:lineRule="auto"/>
        <w:jc w:val="left"/>
        <w:textAlignment w:val="baseline"/>
        <w:outlineLvl w:val="3"/>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b/>
          <w:bCs/>
          <w:kern w:val="2"/>
          <w:sz w:val="21"/>
          <w:szCs w:val="21"/>
          <w:highlight w:val="none"/>
          <w:shd w:val="clear" w:color="auto" w:fill="FFFFFF"/>
          <w:lang w:val="en-US" w:eastAsia="zh-CN" w:bidi="ar-SA"/>
        </w:rPr>
        <w:t>六、其他补充事宜</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须于招标文件领取时间内在全国公共资源交易平台（陕西省·西安市）西安市公共资源交易中心平台（</w:t>
      </w:r>
      <w:r>
        <w:rPr>
          <w:rFonts w:hint="eastAsia" w:ascii="宋体" w:hAnsi="宋体" w:eastAsia="宋体" w:cs="宋体"/>
          <w:b w:val="0"/>
          <w:bCs w:val="0"/>
          <w:color w:val="auto"/>
          <w:sz w:val="21"/>
          <w:szCs w:val="21"/>
          <w:highlight w:val="none"/>
          <w:lang w:val="en-US" w:eastAsia="zh-CN"/>
        </w:rPr>
        <w:fldChar w:fldCharType="begin"/>
      </w:r>
      <w:r>
        <w:rPr>
          <w:rFonts w:hint="eastAsia" w:ascii="宋体" w:hAnsi="宋体" w:eastAsia="宋体" w:cs="宋体"/>
          <w:b w:val="0"/>
          <w:bCs w:val="0"/>
          <w:color w:val="auto"/>
          <w:sz w:val="21"/>
          <w:szCs w:val="21"/>
          <w:highlight w:val="none"/>
          <w:lang w:val="en-US" w:eastAsia="zh-CN"/>
        </w:rPr>
        <w:instrText xml:space="preserve"> HYPERLINK "http://sxggzyjy.xa.gov.cn/" </w:instrText>
      </w:r>
      <w:r>
        <w:rPr>
          <w:rFonts w:hint="eastAsia" w:ascii="宋体" w:hAnsi="宋体" w:eastAsia="宋体" w:cs="宋体"/>
          <w:b w:val="0"/>
          <w:bCs w:val="0"/>
          <w:color w:val="auto"/>
          <w:sz w:val="21"/>
          <w:szCs w:val="21"/>
          <w:highlight w:val="none"/>
          <w:lang w:val="en-US" w:eastAsia="zh-CN"/>
        </w:rPr>
        <w:fldChar w:fldCharType="separate"/>
      </w:r>
      <w:r>
        <w:rPr>
          <w:rFonts w:hint="eastAsia" w:ascii="宋体" w:hAnsi="宋体" w:eastAsia="宋体" w:cs="宋体"/>
          <w:b w:val="0"/>
          <w:bCs w:val="0"/>
          <w:color w:val="auto"/>
          <w:sz w:val="21"/>
          <w:szCs w:val="21"/>
          <w:highlight w:val="none"/>
          <w:lang w:val="en-US" w:eastAsia="zh-CN"/>
        </w:rPr>
        <w:t>http://sxggzyjy.xa.gov.cn/</w:t>
      </w:r>
      <w:r>
        <w:rPr>
          <w:rFonts w:hint="eastAsia" w:ascii="宋体" w:hAnsi="宋体" w:eastAsia="宋体" w:cs="宋体"/>
          <w:b w:val="0"/>
          <w:bCs w:val="0"/>
          <w:color w:val="auto"/>
          <w:sz w:val="21"/>
          <w:szCs w:val="21"/>
          <w:highlight w:val="none"/>
          <w:lang w:val="en-US" w:eastAsia="zh-CN"/>
        </w:rPr>
        <w:fldChar w:fldCharType="end"/>
      </w:r>
      <w:r>
        <w:rPr>
          <w:rFonts w:hint="eastAsia" w:ascii="宋体" w:hAnsi="宋体" w:eastAsia="宋体" w:cs="宋体"/>
          <w:b w:val="0"/>
          <w:bCs w:val="0"/>
          <w:color w:val="auto"/>
          <w:sz w:val="21"/>
          <w:szCs w:val="21"/>
          <w:highlight w:val="none"/>
          <w:lang w:val="en-US" w:eastAsia="zh-CN"/>
        </w:rPr>
        <w:t>）确认。从〖首页·〉电子交易平台·〉陕西政府采购交易系统·〉企业端〗登录，登录后选择“交易乙方”身份进入</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界面进行“我要投标”后免费获取本项目电子招标文件（*.SXSZF）。</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须在采购文件获取时限内，下载获取电子采购文件，逾期下载通道将关闭，未及时下载获取电子采购文件将会导致后期无法上传电子投标文件。</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须按照陕西省财政厅《关于政府采购</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注册登记有关事项的通知》中的要求，通过陕西省政府采购网（http://www.ccgp-shaanxi.gov.cn/） 注册登记加入陕西省政府采购</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库。</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highlight w:val="none"/>
        </w:rPr>
        <w:t>（3）</w:t>
      </w:r>
      <w:r>
        <w:rPr>
          <w:rFonts w:hint="eastAsia" w:ascii="宋体" w:hAnsi="宋体" w:eastAsia="宋体" w:cs="宋体"/>
          <w:b w:val="0"/>
          <w:bCs w:val="0"/>
          <w:color w:val="auto"/>
          <w:sz w:val="21"/>
          <w:szCs w:val="21"/>
          <w:highlight w:val="none"/>
          <w:lang w:val="en-US" w:eastAsia="zh-CN"/>
        </w:rPr>
        <w:t>办理CA锁方式：</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初次使用交易平台，需前往陕西省数字证书认证中心股份有限公司办理CA锁，办理地址及咨询电话如下：①西安市高新三路信息港大厦一楼客服中心，咨询电话：4006-369-888。②西安市长安北路14号陕西省公共资源交易中心一楼大厅3号、4号窗口，咨询电话：4006-369-888,029-88661241。</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b w:val="0"/>
          <w:bCs w:val="0"/>
          <w:color w:val="auto"/>
          <w:sz w:val="21"/>
          <w:szCs w:val="21"/>
          <w:highlight w:val="none"/>
          <w:lang w:val="en-US" w:eastAsia="zh-CN"/>
        </w:rPr>
        <w:t>（4）本项目采用“不见面开标”方式，投标人需在投标截止时间前通过全国公共资源交易平台（陕西省·西安市）递交电子投标文件。因投标人自身设施故障或自身原因导致无法完成投标的，由</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自行承担后果。操作说明详见平台〖首页·〉服务指南·〉下载专区〗中的《西安公共资源交易不见面开标大厅</w:t>
      </w:r>
      <w:r>
        <w:rPr>
          <w:rFonts w:hint="eastAsia" w:ascii="宋体" w:hAnsi="宋体"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en-US" w:eastAsia="zh-CN"/>
        </w:rPr>
        <w:t>操作手册</w:t>
      </w:r>
      <w:r>
        <w:rPr>
          <w:rFonts w:hint="eastAsia" w:ascii="宋体" w:hAnsi="宋体" w:eastAsia="宋体" w:cs="宋体"/>
          <w:kern w:val="0"/>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highlight w:val="none"/>
        </w:rPr>
        <w:t>（5）</w:t>
      </w:r>
      <w:r>
        <w:rPr>
          <w:rFonts w:hint="eastAsia" w:ascii="宋体" w:hAnsi="宋体" w:eastAsia="宋体" w:cs="宋体"/>
          <w:b w:val="0"/>
          <w:bCs w:val="0"/>
          <w:color w:val="auto"/>
          <w:sz w:val="21"/>
          <w:szCs w:val="21"/>
          <w:highlight w:val="none"/>
          <w:lang w:val="en-US" w:eastAsia="zh-CN"/>
        </w:rPr>
        <w:t>为了保证远程不见面开标顺利进行，投标人需使用配备相关设备的电脑提前一小时登录网络开标大厅。相关操作流程详见全国公共资源交易平台（陕西省·西安市）西安市公共资源交易中心平台，技术咨询电话：4009280095、4009980000。</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本次</w:t>
      </w:r>
      <w:r>
        <w:rPr>
          <w:rFonts w:hint="eastAsia" w:ascii="宋体" w:hAnsi="宋体" w:eastAsia="宋体" w:cs="宋体"/>
          <w:b w:val="0"/>
          <w:bCs w:val="0"/>
          <w:color w:val="auto"/>
          <w:sz w:val="21"/>
          <w:szCs w:val="21"/>
          <w:highlight w:val="none"/>
          <w:lang w:val="en-US" w:eastAsia="zh-CN"/>
        </w:rPr>
        <w:t>招标</w:t>
      </w:r>
      <w:r>
        <w:rPr>
          <w:rFonts w:hint="eastAsia" w:ascii="宋体" w:hAnsi="宋体" w:eastAsia="宋体" w:cs="宋体"/>
          <w:b w:val="0"/>
          <w:bCs w:val="0"/>
          <w:color w:val="auto"/>
          <w:sz w:val="21"/>
          <w:szCs w:val="21"/>
          <w:highlight w:val="none"/>
        </w:rPr>
        <w:t>公告同时在《陕西省政府采购网》、【全国公共资源交易平台（陕西省·</w:t>
      </w:r>
      <w:r>
        <w:rPr>
          <w:rFonts w:hint="eastAsia" w:ascii="宋体" w:hAnsi="宋体" w:eastAsia="宋体" w:cs="宋体"/>
          <w:b w:val="0"/>
          <w:bCs w:val="0"/>
          <w:color w:val="auto"/>
          <w:sz w:val="21"/>
          <w:szCs w:val="21"/>
          <w:highlight w:val="none"/>
          <w:lang w:val="en-US" w:eastAsia="zh-CN"/>
        </w:rPr>
        <w:t>西安</w:t>
      </w:r>
      <w:r>
        <w:rPr>
          <w:rFonts w:hint="eastAsia" w:ascii="宋体" w:hAnsi="宋体" w:eastAsia="宋体" w:cs="宋体"/>
          <w:b w:val="0"/>
          <w:bCs w:val="0"/>
          <w:color w:val="auto"/>
          <w:sz w:val="21"/>
          <w:szCs w:val="21"/>
          <w:highlight w:val="none"/>
        </w:rPr>
        <w:t>市）】（http：//bj.sxggzyjy.cn）发布。</w:t>
      </w:r>
    </w:p>
    <w:p>
      <w:pPr>
        <w:keepNext w:val="0"/>
        <w:keepLines w:val="0"/>
        <w:pageBreakBefore w:val="0"/>
        <w:kinsoku/>
        <w:wordWrap/>
        <w:overflowPunct/>
        <w:topLinePunct w:val="0"/>
        <w:bidi w:val="0"/>
        <w:snapToGrid w:val="0"/>
        <w:spacing w:line="360" w:lineRule="auto"/>
        <w:rPr>
          <w:rFonts w:hint="eastAsia" w:ascii="宋体" w:hAnsi="宋体" w:eastAsia="宋体" w:cs="宋体"/>
          <w:kern w:val="2"/>
          <w:sz w:val="21"/>
          <w:szCs w:val="21"/>
          <w:highlight w:val="none"/>
          <w:shd w:val="clear" w:color="auto" w:fill="FFFFFF"/>
          <w:lang w:val="en-US" w:eastAsia="zh-CN" w:bidi="ar-SA"/>
        </w:rPr>
      </w:pPr>
      <w:r>
        <w:rPr>
          <w:rFonts w:hint="eastAsia" w:ascii="宋体" w:hAnsi="宋体" w:eastAsia="宋体" w:cs="宋体"/>
          <w:b/>
          <w:bCs/>
          <w:kern w:val="2"/>
          <w:sz w:val="21"/>
          <w:szCs w:val="21"/>
          <w:highlight w:val="none"/>
          <w:shd w:val="clear" w:color="auto" w:fill="FFFFFF"/>
          <w:lang w:val="en-US" w:eastAsia="zh-CN" w:bidi="ar-SA"/>
        </w:rPr>
        <w:t>七、对本次招标提出询问，请按以下方式联系。</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1.采购人信息</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名称：</w:t>
      </w:r>
      <w:r>
        <w:rPr>
          <w:rFonts w:hint="eastAsia" w:ascii="宋体" w:hAnsi="宋体" w:cs="宋体"/>
          <w:b w:val="0"/>
          <w:bCs w:val="0"/>
          <w:sz w:val="21"/>
          <w:szCs w:val="21"/>
          <w:highlight w:val="none"/>
          <w:lang w:eastAsia="zh-CN"/>
        </w:rPr>
        <w:t>西安市长安区教育局</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地址：</w:t>
      </w:r>
      <w:r>
        <w:rPr>
          <w:rFonts w:hint="eastAsia" w:ascii="宋体" w:hAnsi="宋体" w:cs="宋体"/>
          <w:b w:val="0"/>
          <w:bCs w:val="0"/>
          <w:sz w:val="21"/>
          <w:szCs w:val="21"/>
          <w:highlight w:val="none"/>
          <w:lang w:eastAsia="zh-CN"/>
        </w:rPr>
        <w:t xml:space="preserve">西安市长安区长兴南路与韦曲南街十字向北100米处       </w:t>
      </w:r>
      <w:r>
        <w:rPr>
          <w:rFonts w:hint="eastAsia" w:ascii="宋体" w:hAnsi="宋体" w:eastAsia="宋体" w:cs="宋体"/>
          <w:b w:val="0"/>
          <w:bCs w:val="0"/>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highlight w:val="none"/>
          <w:lang w:val="en-US" w:eastAsia="zh-CN"/>
        </w:rPr>
      </w:pPr>
      <w:r>
        <w:rPr>
          <w:rFonts w:hint="eastAsia" w:ascii="宋体" w:hAnsi="宋体" w:eastAsia="宋体" w:cs="宋体"/>
          <w:b w:val="0"/>
          <w:bCs w:val="0"/>
          <w:sz w:val="21"/>
          <w:szCs w:val="21"/>
          <w:highlight w:val="none"/>
        </w:rPr>
        <w:t>联系方式：</w:t>
      </w:r>
      <w:r>
        <w:rPr>
          <w:rFonts w:hint="eastAsia" w:ascii="宋体" w:hAnsi="宋体" w:cs="宋体"/>
          <w:b w:val="0"/>
          <w:bCs w:val="0"/>
          <w:sz w:val="21"/>
          <w:szCs w:val="21"/>
          <w:highlight w:val="none"/>
          <w:lang w:val="en-US" w:eastAsia="zh-CN"/>
        </w:rPr>
        <w:t>029-</w:t>
      </w:r>
      <w:r>
        <w:rPr>
          <w:rFonts w:hint="eastAsia" w:ascii="宋体" w:hAnsi="宋体" w:eastAsia="宋体" w:cs="宋体"/>
          <w:b w:val="0"/>
          <w:bCs w:val="0"/>
          <w:sz w:val="21"/>
          <w:szCs w:val="21"/>
          <w:highlight w:val="none"/>
        </w:rPr>
        <w:t>85298541</w:t>
      </w:r>
    </w:p>
    <w:p>
      <w:pPr>
        <w:pStyle w:val="35"/>
        <w:spacing w:line="360" w:lineRule="auto"/>
        <w:ind w:firstLine="420" w:firstLineChars="200"/>
        <w:rPr>
          <w:rFonts w:hint="default"/>
          <w:highlight w:val="yellow"/>
          <w:lang w:val="en-US" w:eastAsia="zh-CN"/>
        </w:rPr>
      </w:pPr>
      <w:r>
        <w:rPr>
          <w:rFonts w:hint="eastAsia" w:ascii="宋体" w:hAnsi="宋体" w:eastAsia="宋体" w:cs="宋体"/>
          <w:b w:val="0"/>
          <w:bCs w:val="0"/>
          <w:sz w:val="21"/>
          <w:szCs w:val="21"/>
          <w:highlight w:val="none"/>
        </w:rPr>
        <w:t>联系</w:t>
      </w:r>
      <w:r>
        <w:rPr>
          <w:rFonts w:hint="eastAsia" w:ascii="宋体" w:hAnsi="宋体" w:cs="宋体"/>
          <w:b w:val="0"/>
          <w:bCs w:val="0"/>
          <w:sz w:val="21"/>
          <w:szCs w:val="21"/>
          <w:highlight w:val="none"/>
          <w:lang w:val="en-US" w:eastAsia="zh-CN"/>
        </w:rPr>
        <w:t>人：李老师</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2.采购代理机构信息</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名称：陕西国信招标有限公司</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地址：陕西省西安市曲江新区旺座曲江B座3105</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联系方式：</w:t>
      </w:r>
      <w:r>
        <w:rPr>
          <w:rFonts w:hint="eastAsia" w:ascii="宋体" w:hAnsi="宋体" w:cs="宋体"/>
          <w:b w:val="0"/>
          <w:bCs w:val="0"/>
          <w:sz w:val="21"/>
          <w:szCs w:val="21"/>
          <w:highlight w:val="none"/>
          <w:lang w:eastAsia="zh-CN"/>
        </w:rPr>
        <w:t>029-82680977</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3.项目联系方式</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项目联系人：</w:t>
      </w:r>
      <w:r>
        <w:rPr>
          <w:rFonts w:hint="eastAsia" w:ascii="宋体" w:hAnsi="宋体" w:cs="宋体"/>
          <w:sz w:val="21"/>
          <w:szCs w:val="21"/>
          <w:highlight w:val="none"/>
          <w:lang w:val="en-US" w:eastAsia="zh-CN"/>
        </w:rPr>
        <w:t>孙翠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电话：029-82680</w:t>
      </w:r>
      <w:r>
        <w:rPr>
          <w:rFonts w:hint="eastAsia" w:ascii="宋体" w:hAnsi="宋体" w:cs="宋体"/>
          <w:sz w:val="21"/>
          <w:szCs w:val="21"/>
          <w:highlight w:val="none"/>
          <w:lang w:val="en-US" w:eastAsia="zh-CN"/>
        </w:rPr>
        <w:t>97</w:t>
      </w:r>
      <w:r>
        <w:rPr>
          <w:rFonts w:hint="eastAsia" w:ascii="宋体" w:hAnsi="宋体" w:eastAsia="宋体" w:cs="宋体"/>
          <w:sz w:val="21"/>
          <w:szCs w:val="21"/>
          <w:highlight w:val="none"/>
        </w:rPr>
        <w:t>7</w:t>
      </w:r>
    </w:p>
    <w:p>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840" w:firstLineChars="4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lang w:val="en-US" w:eastAsia="zh-CN"/>
        </w:rPr>
        <w:t> </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陕西国信招标有限公司</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outlineLvl w:val="9"/>
        <w:rPr>
          <w:rFonts w:hint="eastAsia" w:ascii="宋体" w:hAnsi="宋体" w:eastAsia="宋体" w:cs="宋体"/>
          <w:spacing w:val="0"/>
          <w:sz w:val="21"/>
          <w:szCs w:val="21"/>
          <w:highlight w:val="none"/>
        </w:rPr>
      </w:pPr>
      <w:r>
        <w:rPr>
          <w:rFonts w:hint="eastAsia" w:ascii="宋体" w:hAnsi="宋体" w:eastAsia="宋体" w:cs="宋体"/>
          <w:color w:val="auto"/>
          <w:sz w:val="21"/>
          <w:szCs w:val="21"/>
          <w:highlight w:val="none"/>
          <w:lang w:val="en-US" w:eastAsia="zh-CN"/>
        </w:rPr>
        <w:t xml:space="preserve">                                                      2023</w:t>
      </w:r>
      <w:r>
        <w:rPr>
          <w:rFonts w:hint="eastAsia" w:ascii="宋体" w:hAnsi="宋体" w:eastAsia="宋体" w:cs="宋体"/>
          <w:color w:val="000000"/>
          <w:sz w:val="21"/>
          <w:szCs w:val="21"/>
          <w:highlight w:val="none"/>
        </w:rPr>
        <w:t>年</w:t>
      </w:r>
      <w:r>
        <w:rPr>
          <w:rFonts w:hint="eastAsia" w:ascii="宋体" w:hAnsi="宋体" w:cs="宋体"/>
          <w:color w:val="000000"/>
          <w:sz w:val="21"/>
          <w:szCs w:val="21"/>
          <w:highlight w:val="none"/>
          <w:lang w:val="en-US" w:eastAsia="zh-CN"/>
        </w:rPr>
        <w:t>12</w:t>
      </w:r>
      <w:r>
        <w:rPr>
          <w:rFonts w:hint="eastAsia" w:ascii="宋体" w:hAnsi="宋体" w:eastAsia="宋体" w:cs="宋体"/>
          <w:color w:val="000000"/>
          <w:sz w:val="21"/>
          <w:szCs w:val="21"/>
          <w:highlight w:val="none"/>
        </w:rPr>
        <w:t>月</w:t>
      </w:r>
      <w:r>
        <w:rPr>
          <w:rFonts w:hint="eastAsia" w:ascii="宋体" w:hAnsi="宋体" w:cs="宋体"/>
          <w:color w:val="000000"/>
          <w:sz w:val="21"/>
          <w:szCs w:val="21"/>
          <w:highlight w:val="none"/>
          <w:lang w:val="en-US" w:eastAsia="zh-CN"/>
        </w:rPr>
        <w:t>07</w:t>
      </w:r>
      <w:r>
        <w:rPr>
          <w:rFonts w:hint="eastAsia" w:ascii="宋体" w:hAnsi="宋体" w:eastAsia="宋体" w:cs="宋体"/>
          <w:color w:val="000000"/>
          <w:sz w:val="21"/>
          <w:szCs w:val="21"/>
          <w:highlight w:val="none"/>
          <w:lang w:val="en-US" w:eastAsia="zh-CN"/>
        </w:rPr>
        <w:t>日</w:t>
      </w: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rPr>
          <w:rFonts w:hint="eastAsia" w:ascii="宋体" w:hAnsi="宋体" w:eastAsia="宋体" w:cs="宋体"/>
          <w:b/>
          <w:bCs/>
          <w:sz w:val="36"/>
          <w:szCs w:val="36"/>
          <w:highlight w:val="none"/>
          <w:lang w:eastAsia="zh-CN"/>
        </w:rPr>
      </w:pPr>
    </w:p>
    <w:p>
      <w:pPr>
        <w:pStyle w:val="6"/>
        <w:numPr>
          <w:ilvl w:val="0"/>
          <w:numId w:val="0"/>
        </w:numPr>
        <w:ind w:leftChars="0"/>
        <w:jc w:val="both"/>
        <w:rPr>
          <w:rFonts w:hint="eastAsia"/>
          <w:lang w:eastAsia="zh-CN"/>
        </w:rPr>
      </w:pPr>
    </w:p>
    <w:p>
      <w:pPr>
        <w:rPr>
          <w:rFonts w:hint="eastAsia"/>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highlight w:val="none"/>
        </w:rPr>
      </w:pPr>
      <w:bookmarkStart w:id="12" w:name="_Toc13715"/>
      <w:r>
        <w:rPr>
          <w:rFonts w:hint="eastAsia" w:ascii="宋体" w:hAnsi="宋体" w:eastAsia="宋体" w:cs="宋体"/>
          <w:b/>
          <w:bCs/>
          <w:sz w:val="36"/>
          <w:szCs w:val="36"/>
          <w:highlight w:val="none"/>
          <w:lang w:eastAsia="zh-CN"/>
        </w:rPr>
        <w:t>第二章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投标人须知</w:t>
      </w:r>
      <w:bookmarkEnd w:id="12"/>
    </w:p>
    <w:bookmarkEnd w:id="8"/>
    <w:bookmarkEnd w:id="9"/>
    <w:bookmarkEnd w:id="10"/>
    <w:p>
      <w:pPr>
        <w:rPr>
          <w:rFonts w:hint="eastAsia" w:ascii="宋体" w:hAnsi="宋体" w:eastAsia="宋体" w:cs="宋体"/>
          <w:b/>
          <w:bCs/>
          <w:sz w:val="28"/>
          <w:szCs w:val="28"/>
          <w:highlight w:val="none"/>
        </w:rPr>
      </w:pPr>
      <w:bookmarkStart w:id="13" w:name="_Toc222740109"/>
      <w:r>
        <w:rPr>
          <w:rFonts w:hint="eastAsia" w:ascii="宋体" w:hAnsi="宋体" w:eastAsia="宋体" w:cs="宋体"/>
          <w:b/>
          <w:bCs/>
          <w:sz w:val="28"/>
          <w:szCs w:val="28"/>
          <w:highlight w:val="none"/>
        </w:rPr>
        <w:br w:type="page"/>
      </w:r>
    </w:p>
    <w:p>
      <w:pPr>
        <w:pStyle w:val="5"/>
        <w:numPr>
          <w:ilvl w:val="0"/>
          <w:numId w:val="0"/>
        </w:numPr>
        <w:jc w:val="center"/>
        <w:rPr>
          <w:rFonts w:hint="eastAsia"/>
          <w:szCs w:val="21"/>
          <w:highlight w:val="none"/>
        </w:rPr>
      </w:pPr>
      <w:r>
        <w:rPr>
          <w:rFonts w:hint="eastAsia" w:ascii="宋体" w:hAnsi="宋体" w:eastAsia="宋体" w:cs="宋体"/>
          <w:b/>
          <w:bCs/>
          <w:sz w:val="28"/>
          <w:szCs w:val="28"/>
          <w:highlight w:val="none"/>
        </w:rPr>
        <w:t>投标人须知前附表</w:t>
      </w:r>
      <w:bookmarkEnd w:id="13"/>
    </w:p>
    <w:tbl>
      <w:tblPr>
        <w:tblStyle w:val="37"/>
        <w:tblW w:w="4992"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24"/>
        <w:gridCol w:w="3078"/>
        <w:gridCol w:w="61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color w:val="auto"/>
                <w:sz w:val="21"/>
                <w:szCs w:val="21"/>
                <w:highlight w:val="none"/>
              </w:rPr>
              <w:t>序号</w:t>
            </w:r>
          </w:p>
        </w:tc>
        <w:tc>
          <w:tcPr>
            <w:tcW w:w="1547" w:type="pct"/>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b/>
                <w:color w:val="auto"/>
                <w:sz w:val="21"/>
                <w:szCs w:val="21"/>
                <w:highlight w:val="none"/>
              </w:rPr>
              <w:t>条款名称</w:t>
            </w:r>
          </w:p>
        </w:tc>
        <w:tc>
          <w:tcPr>
            <w:tcW w:w="3087" w:type="pct"/>
            <w:vAlign w:val="center"/>
          </w:tcPr>
          <w:p>
            <w:pPr>
              <w:spacing w:line="400" w:lineRule="exact"/>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具体信息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7"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1</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b/>
                <w:sz w:val="21"/>
                <w:szCs w:val="21"/>
                <w:highlight w:val="none"/>
              </w:rPr>
            </w:pPr>
            <w:r>
              <w:rPr>
                <w:rFonts w:hint="default" w:ascii="Times New Roman" w:hAnsi="Times New Roman" w:cs="Times New Roman"/>
                <w:color w:val="auto"/>
                <w:sz w:val="21"/>
                <w:szCs w:val="21"/>
                <w:highlight w:val="none"/>
              </w:rPr>
              <w:t>采购人</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cs="Times New Roman"/>
                <w:color w:val="auto"/>
                <w:sz w:val="21"/>
                <w:szCs w:val="21"/>
                <w:highlight w:val="none"/>
                <w:lang w:eastAsia="zh-CN"/>
              </w:rPr>
            </w:pPr>
            <w:r>
              <w:rPr>
                <w:rFonts w:hint="default" w:ascii="Times New Roman" w:hAnsi="Times New Roman" w:cs="Times New Roman"/>
                <w:color w:val="auto"/>
                <w:sz w:val="21"/>
                <w:szCs w:val="21"/>
                <w:highlight w:val="none"/>
              </w:rPr>
              <w:t>名  称：</w:t>
            </w:r>
            <w:r>
              <w:rPr>
                <w:rFonts w:hint="eastAsia" w:cs="Times New Roman"/>
                <w:color w:val="auto"/>
                <w:sz w:val="21"/>
                <w:szCs w:val="21"/>
                <w:highlight w:val="none"/>
                <w:lang w:eastAsia="zh-CN"/>
              </w:rPr>
              <w:t>西安市长安区教育局</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地  址：</w:t>
            </w:r>
            <w:r>
              <w:rPr>
                <w:rFonts w:hint="eastAsia" w:ascii="宋体" w:hAnsi="宋体" w:cs="宋体"/>
                <w:b w:val="0"/>
                <w:bCs w:val="0"/>
                <w:sz w:val="21"/>
                <w:szCs w:val="21"/>
                <w:highlight w:val="none"/>
                <w:lang w:eastAsia="zh-CN"/>
              </w:rPr>
              <w:t xml:space="preserve">西安市长安区长兴南路与韦曲南街十字向北100米处       </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color w:val="auto"/>
                <w:sz w:val="21"/>
                <w:szCs w:val="21"/>
                <w:highlight w:val="none"/>
              </w:rPr>
              <w:t>联系方式：</w:t>
            </w:r>
            <w:r>
              <w:rPr>
                <w:rFonts w:hint="eastAsia" w:ascii="宋体" w:hAnsi="宋体" w:cs="宋体"/>
                <w:b w:val="0"/>
                <w:bCs w:val="0"/>
                <w:sz w:val="21"/>
                <w:szCs w:val="21"/>
                <w:highlight w:val="none"/>
                <w:lang w:val="en-US" w:eastAsia="zh-CN"/>
              </w:rPr>
              <w:t>029-</w:t>
            </w:r>
            <w:r>
              <w:rPr>
                <w:rFonts w:hint="eastAsia" w:ascii="宋体" w:hAnsi="宋体" w:eastAsia="宋体" w:cs="宋体"/>
                <w:b w:val="0"/>
                <w:bCs w:val="0"/>
                <w:sz w:val="21"/>
                <w:szCs w:val="21"/>
                <w:highlight w:val="none"/>
              </w:rPr>
              <w:t>85298541</w:t>
            </w:r>
            <w:r>
              <w:rPr>
                <w:rFonts w:hint="eastAsia" w:ascii="Times New Roman" w:hAnsi="Times New Roman"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 xml:space="preserve">  李老师</w:t>
            </w:r>
            <w:r>
              <w:rPr>
                <w:rFonts w:hint="eastAsia" w:ascii="Times New Roman" w:hAnsi="Times New Roman" w:cs="Times New Roman"/>
                <w:color w:val="auto"/>
                <w:sz w:val="21"/>
                <w:szCs w:val="21"/>
                <w:highlight w:val="non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9"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2</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采购代理机构</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  称：陕西国信招标有限公司</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地  址：陕西省西安市曲江新区旺座曲江B座</w:t>
            </w:r>
            <w:r>
              <w:rPr>
                <w:rFonts w:hint="eastAsia" w:cs="Times New Roman"/>
                <w:color w:val="auto"/>
                <w:sz w:val="21"/>
                <w:szCs w:val="21"/>
                <w:highlight w:val="none"/>
                <w:lang w:val="en-US" w:eastAsia="zh-CN"/>
              </w:rPr>
              <w:t>3105</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联系人</w:t>
            </w:r>
            <w:r>
              <w:rPr>
                <w:rFonts w:hint="default" w:ascii="Times New Roman" w:hAnsi="Times New Roman" w:cs="Times New Roman"/>
                <w:color w:val="000000"/>
                <w:sz w:val="21"/>
                <w:szCs w:val="21"/>
                <w:highlight w:val="none"/>
              </w:rPr>
              <w:t>：</w:t>
            </w:r>
            <w:r>
              <w:rPr>
                <w:rFonts w:hint="eastAsia" w:cs="Times New Roman"/>
                <w:color w:val="000000"/>
                <w:sz w:val="21"/>
                <w:szCs w:val="21"/>
                <w:highlight w:val="none"/>
                <w:lang w:val="en-US" w:eastAsia="zh-CN"/>
              </w:rPr>
              <w:t>孙翠</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ascii="宋体" w:hAnsi="宋体" w:eastAsia="宋体" w:cs="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电话/传</w:t>
            </w:r>
            <w:r>
              <w:rPr>
                <w:rFonts w:hint="default" w:ascii="宋体" w:hAnsi="宋体" w:eastAsia="宋体" w:cs="宋体"/>
                <w:color w:val="auto"/>
                <w:sz w:val="21"/>
                <w:szCs w:val="21"/>
                <w:highlight w:val="none"/>
              </w:rPr>
              <w:t>真：</w:t>
            </w:r>
            <w:r>
              <w:rPr>
                <w:rFonts w:hint="eastAsia" w:ascii="宋体" w:hAnsi="宋体" w:cs="宋体"/>
                <w:color w:val="auto"/>
                <w:sz w:val="21"/>
                <w:szCs w:val="21"/>
                <w:highlight w:val="none"/>
                <w:lang w:eastAsia="zh-CN"/>
              </w:rPr>
              <w:t>029-82680977</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sz w:val="21"/>
                <w:szCs w:val="21"/>
                <w:highlight w:val="none"/>
              </w:rPr>
            </w:pPr>
            <w:r>
              <w:rPr>
                <w:rFonts w:hint="default" w:ascii="宋体" w:hAnsi="宋体" w:eastAsia="宋体" w:cs="宋体"/>
                <w:color w:val="auto"/>
                <w:sz w:val="21"/>
                <w:szCs w:val="21"/>
                <w:highlight w:val="none"/>
              </w:rPr>
              <w:t>电子邮箱：guoxin_zb@126.com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82"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3</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采购项目名称</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eastAsia="zh-CN"/>
              </w:rPr>
              <w:t>2023年长安区太乙街道中心学校、黄良街道湖村小学等5所学校设备采购项目（二次）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4</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采购项目编号</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ascii="Times New Roman" w:hAnsi="Times New Roman" w:eastAsia="宋体" w:cs="Times New Roman"/>
                <w:sz w:val="21"/>
                <w:szCs w:val="21"/>
                <w:highlight w:val="none"/>
                <w:lang w:eastAsia="zh-CN"/>
              </w:rPr>
            </w:pPr>
            <w:r>
              <w:rPr>
                <w:rFonts w:hint="eastAsia"/>
              </w:rPr>
              <w:t>GXZB2023-067Z.1B1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7"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sz w:val="21"/>
                <w:szCs w:val="21"/>
                <w:highlight w:val="none"/>
                <w:lang w:eastAsia="zh-CN"/>
              </w:rPr>
            </w:pPr>
            <w:r>
              <w:rPr>
                <w:rFonts w:hint="eastAsia" w:cs="Times New Roman"/>
                <w:color w:val="auto"/>
                <w:sz w:val="21"/>
                <w:szCs w:val="21"/>
                <w:highlight w:val="none"/>
                <w:lang w:val="en-US" w:eastAsia="zh-CN"/>
              </w:rPr>
              <w:t>6</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资金来源</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eastAsia="黑体"/>
                <w:color w:val="auto"/>
                <w:highlight w:val="none"/>
                <w:lang w:eastAsia="zh-CN"/>
              </w:rPr>
            </w:pPr>
            <w:r>
              <w:rPr>
                <w:rFonts w:hint="eastAsia" w:cs="Times New Roman"/>
                <w:color w:val="auto"/>
                <w:sz w:val="21"/>
                <w:szCs w:val="21"/>
                <w:highlight w:val="none"/>
                <w:lang w:eastAsia="zh-CN"/>
              </w:rPr>
              <w:t>财政资金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eastAsia="zh-CN"/>
              </w:rPr>
              <w:t>采购预算</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eastAsia="宋体" w:cs="Times New Roman"/>
                <w:color w:val="auto"/>
                <w:sz w:val="21"/>
                <w:szCs w:val="21"/>
                <w:highlight w:val="yellow"/>
                <w:lang w:val="en-US" w:eastAsia="zh-CN"/>
              </w:rPr>
            </w:pPr>
            <w:r>
              <w:rPr>
                <w:rFonts w:hint="eastAsia" w:ascii="宋体" w:hAnsi="宋体" w:cs="宋体"/>
                <w:color w:val="auto"/>
                <w:sz w:val="21"/>
                <w:szCs w:val="21"/>
                <w:highlight w:val="none"/>
                <w:lang w:val="en-US" w:eastAsia="zh-CN"/>
              </w:rPr>
              <w:t>402.50万元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cs="Times New Roman"/>
                <w:color w:val="auto"/>
                <w:sz w:val="21"/>
                <w:szCs w:val="21"/>
                <w:highlight w:val="none"/>
                <w:lang w:val="en-US" w:eastAsia="zh-CN"/>
              </w:rPr>
            </w:pP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lang w:eastAsia="zh-CN"/>
              </w:rPr>
            </w:pPr>
            <w:r>
              <w:rPr>
                <w:rFonts w:hint="eastAsia" w:cs="Times New Roman"/>
                <w:color w:val="auto"/>
                <w:sz w:val="21"/>
                <w:szCs w:val="21"/>
                <w:lang w:val="en-US" w:eastAsia="zh-CN"/>
              </w:rPr>
              <w:t>最高限价</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szCs w:val="21"/>
                <w:lang w:val="en-US" w:eastAsia="zh-CN"/>
              </w:rPr>
            </w:pPr>
            <w:r>
              <w:rPr>
                <w:rFonts w:hint="eastAsia" w:ascii="宋体" w:hAnsi="宋体" w:cs="宋体"/>
                <w:color w:val="auto"/>
                <w:sz w:val="21"/>
                <w:szCs w:val="21"/>
                <w:highlight w:val="none"/>
                <w:lang w:val="en-US" w:eastAsia="zh-CN"/>
              </w:rPr>
              <w:t>402.50万元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sz w:val="21"/>
                <w:szCs w:val="21"/>
                <w:highlight w:val="none"/>
                <w:lang w:eastAsia="zh-CN"/>
              </w:rPr>
            </w:pPr>
            <w:r>
              <w:rPr>
                <w:rFonts w:hint="eastAsia" w:cs="Times New Roman"/>
                <w:color w:val="auto"/>
                <w:sz w:val="21"/>
                <w:szCs w:val="21"/>
                <w:highlight w:val="none"/>
                <w:lang w:val="en-US" w:eastAsia="zh-CN"/>
              </w:rPr>
              <w:t>8</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eastAsia="zh-CN"/>
              </w:rPr>
              <w:t>采购</w:t>
            </w:r>
            <w:r>
              <w:rPr>
                <w:rFonts w:hint="default" w:ascii="Times New Roman" w:hAnsi="Times New Roman" w:cs="Times New Roman"/>
                <w:color w:val="auto"/>
                <w:sz w:val="21"/>
                <w:szCs w:val="21"/>
                <w:highlight w:val="none"/>
              </w:rPr>
              <w:t>项目用途</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学校设备采购。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sz w:val="21"/>
                <w:szCs w:val="21"/>
                <w:highlight w:val="none"/>
                <w:lang w:eastAsia="zh-CN"/>
              </w:rPr>
            </w:pPr>
            <w:r>
              <w:rPr>
                <w:rFonts w:hint="eastAsia" w:cs="Times New Roman"/>
                <w:color w:val="auto"/>
                <w:sz w:val="21"/>
                <w:szCs w:val="21"/>
                <w:highlight w:val="none"/>
                <w:lang w:val="en-US" w:eastAsia="zh-CN"/>
              </w:rPr>
              <w:t>9</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采购方式</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eastAsia="zh-CN"/>
              </w:rPr>
              <w:t>公开招标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5"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是否</w:t>
            </w:r>
            <w:r>
              <w:rPr>
                <w:rFonts w:hint="eastAsia" w:cs="Times New Roman"/>
                <w:color w:val="auto"/>
                <w:sz w:val="21"/>
                <w:szCs w:val="21"/>
                <w:highlight w:val="none"/>
                <w:lang w:val="en-US" w:eastAsia="zh-CN"/>
              </w:rPr>
              <w:t>专门</w:t>
            </w:r>
            <w:r>
              <w:rPr>
                <w:rFonts w:hint="eastAsia" w:ascii="Times New Roman" w:hAnsi="Times New Roman" w:cs="Times New Roman"/>
                <w:color w:val="auto"/>
                <w:sz w:val="21"/>
                <w:szCs w:val="21"/>
                <w:highlight w:val="none"/>
                <w:lang w:val="en-US" w:eastAsia="zh-CN"/>
              </w:rPr>
              <w:t>面向中小企业或小微型企业</w:t>
            </w:r>
          </w:p>
        </w:tc>
        <w:tc>
          <w:tcPr>
            <w:tcW w:w="3087" w:type="pct"/>
            <w:vAlign w:val="center"/>
          </w:tcPr>
          <w:p>
            <w:pPr>
              <w:tabs>
                <w:tab w:val="left" w:pos="9720"/>
              </w:tabs>
              <w:spacing w:line="400" w:lineRule="exact"/>
              <w:ind w:left="632" w:hanging="632" w:hangingChars="300"/>
              <w:rPr>
                <w:rFonts w:hint="eastAsia"/>
                <w:b/>
                <w:bCs/>
                <w:color w:val="auto"/>
                <w:szCs w:val="21"/>
                <w:highlight w:val="none"/>
                <w:lang w:val="en-US" w:eastAsia="zh-CN"/>
              </w:rPr>
            </w:pPr>
            <w:r>
              <w:rPr>
                <w:rFonts w:hint="eastAsia"/>
                <w:b/>
                <w:bCs/>
                <w:color w:val="auto"/>
                <w:szCs w:val="21"/>
                <w:highlight w:val="none"/>
                <w:lang w:val="en-US" w:eastAsia="zh-CN"/>
              </w:rPr>
              <w:t>是</w:t>
            </w:r>
            <w:r>
              <w:rPr>
                <w:rFonts w:hint="eastAsia"/>
                <w:b/>
                <w:bCs/>
                <w:color w:val="auto"/>
                <w:szCs w:val="21"/>
                <w:highlight w:val="none"/>
                <w:lang w:val="en-US" w:eastAsia="zh-CN"/>
              </w:rPr>
              <w:sym w:font="Wingdings" w:char="00A8"/>
            </w:r>
            <w:r>
              <w:rPr>
                <w:rFonts w:hint="eastAsia"/>
                <w:b/>
                <w:bCs/>
                <w:color w:val="auto"/>
                <w:szCs w:val="21"/>
                <w:highlight w:val="none"/>
                <w:lang w:val="en-US" w:eastAsia="zh-CN"/>
              </w:rPr>
              <w:t xml:space="preserve">  </w:t>
            </w:r>
            <w:r>
              <w:rPr>
                <w:rFonts w:hint="eastAsia"/>
                <w:b w:val="0"/>
                <w:bCs w:val="0"/>
                <w:color w:val="auto"/>
                <w:szCs w:val="21"/>
                <w:highlight w:val="none"/>
                <w:lang w:val="en-US" w:eastAsia="zh-CN"/>
              </w:rPr>
              <w:t>非小微型企业，监狱企业或者残疾人福利性单位的投标人，其投标无效。</w:t>
            </w:r>
            <w:r>
              <w:rPr>
                <w:rFonts w:hint="eastAsia"/>
                <w:b/>
                <w:bCs/>
                <w:color w:val="auto"/>
                <w:szCs w:val="21"/>
                <w:highlight w:val="none"/>
                <w:lang w:val="en-US" w:eastAsia="zh-CN"/>
              </w:rPr>
              <w:t xml:space="preserve"> </w:t>
            </w:r>
          </w:p>
          <w:p>
            <w:pPr>
              <w:tabs>
                <w:tab w:val="left" w:pos="9720"/>
              </w:tabs>
              <w:spacing w:line="400" w:lineRule="exact"/>
              <w:rPr>
                <w:rFonts w:hint="eastAsia" w:cs="Times New Roman"/>
                <w:sz w:val="21"/>
                <w:szCs w:val="21"/>
                <w:highlight w:val="none"/>
                <w:lang w:eastAsia="zh-CN"/>
              </w:rPr>
            </w:pPr>
            <w:r>
              <w:rPr>
                <w:rFonts w:hint="eastAsia"/>
                <w:b/>
                <w:bCs/>
                <w:color w:val="auto"/>
                <w:szCs w:val="21"/>
                <w:highlight w:val="none"/>
                <w:lang w:val="en-US" w:eastAsia="zh-CN"/>
              </w:rPr>
              <w:t>否</w:t>
            </w:r>
            <w:r>
              <w:rPr>
                <w:rFonts w:hint="eastAsia"/>
                <w:b/>
                <w:bCs/>
                <w:color w:val="auto"/>
                <w:szCs w:val="21"/>
                <w:highlight w:val="none"/>
                <w:lang w:val="en-US" w:eastAsia="zh-CN"/>
              </w:rPr>
              <w:sym w:font="Wingdings" w:char="00FE"/>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13"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11</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rPr>
              <w:t>采购</w:t>
            </w:r>
            <w:r>
              <w:rPr>
                <w:rFonts w:hint="default" w:ascii="Times New Roman" w:hAnsi="Times New Roman" w:cs="Times New Roman"/>
                <w:color w:val="auto"/>
                <w:sz w:val="21"/>
                <w:szCs w:val="21"/>
                <w:highlight w:val="none"/>
              </w:rPr>
              <w:t>内容</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lang w:val="en-US" w:eastAsia="zh-CN"/>
              </w:rPr>
            </w:pPr>
            <w:r>
              <w:rPr>
                <w:rFonts w:hint="eastAsia" w:ascii="宋体" w:hAnsi="宋体" w:cs="宋体"/>
                <w:color w:val="auto"/>
                <w:sz w:val="21"/>
                <w:szCs w:val="21"/>
                <w:highlight w:val="none"/>
                <w:lang w:eastAsia="zh-CN"/>
              </w:rPr>
              <w:t>2023年长安区太乙街道中心学校、黄良街道湖村小学等5所学校设备采购</w:t>
            </w:r>
            <w:r>
              <w:rPr>
                <w:rFonts w:hint="default" w:ascii="Times New Roman" w:hAnsi="Times New Roman" w:cs="Times New Roman"/>
                <w:color w:val="auto"/>
                <w:sz w:val="21"/>
                <w:szCs w:val="21"/>
                <w:highlight w:val="none"/>
                <w:lang w:val="en-US" w:eastAsia="zh-CN"/>
              </w:rPr>
              <w:t>，详见招标文件“第</w:t>
            </w:r>
            <w:r>
              <w:rPr>
                <w:rFonts w:hint="eastAsia" w:cs="Times New Roman"/>
                <w:color w:val="auto"/>
                <w:sz w:val="21"/>
                <w:szCs w:val="21"/>
                <w:highlight w:val="none"/>
                <w:lang w:val="en-US" w:eastAsia="zh-CN"/>
              </w:rPr>
              <w:t>四</w:t>
            </w:r>
            <w:r>
              <w:rPr>
                <w:rFonts w:hint="default" w:ascii="Times New Roman" w:hAnsi="Times New Roman" w:cs="Times New Roman"/>
                <w:color w:val="auto"/>
                <w:sz w:val="21"/>
                <w:szCs w:val="21"/>
                <w:highlight w:val="none"/>
                <w:lang w:val="en-US" w:eastAsia="zh-CN"/>
              </w:rPr>
              <w:t>章</w:t>
            </w:r>
            <w:r>
              <w:rPr>
                <w:rFonts w:hint="eastAsia" w:cs="Times New Roman"/>
                <w:color w:val="auto"/>
                <w:sz w:val="21"/>
                <w:szCs w:val="21"/>
                <w:highlight w:val="none"/>
                <w:lang w:val="en-US" w:eastAsia="zh-CN"/>
              </w:rPr>
              <w:t>采购</w:t>
            </w:r>
            <w:r>
              <w:rPr>
                <w:rFonts w:hint="default" w:ascii="Times New Roman" w:hAnsi="Times New Roman" w:cs="Times New Roman"/>
                <w:color w:val="auto"/>
                <w:sz w:val="21"/>
                <w:szCs w:val="21"/>
                <w:highlight w:val="none"/>
                <w:lang w:val="en-US" w:eastAsia="zh-CN"/>
              </w:rPr>
              <w:t>内容及要求”。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color w:val="auto"/>
                <w:sz w:val="21"/>
                <w:szCs w:val="21"/>
                <w:highlight w:val="none"/>
                <w:lang w:val="en-US" w:eastAsia="zh-CN"/>
              </w:rPr>
              <w:t>12</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交货时间（期限）、地点</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ascii="Times New Roman" w:hAnsi="Times New Roman" w:eastAsia="宋体" w:cs="Times New Roman"/>
                <w:color w:val="FF0000"/>
                <w:sz w:val="21"/>
                <w:szCs w:val="21"/>
                <w:lang w:eastAsia="zh-CN"/>
              </w:rPr>
            </w:pPr>
            <w:r>
              <w:rPr>
                <w:rFonts w:hint="default" w:ascii="Times New Roman" w:hAnsi="Times New Roman" w:cs="Times New Roman"/>
                <w:color w:val="auto"/>
                <w:sz w:val="21"/>
                <w:szCs w:val="21"/>
              </w:rPr>
              <w:t>交货时间（期限）：</w:t>
            </w:r>
            <w:r>
              <w:rPr>
                <w:rFonts w:hint="eastAsia" w:ascii="宋体" w:hAnsi="宋体" w:eastAsia="宋体" w:cs="宋体"/>
                <w:color w:val="auto"/>
                <w:highlight w:val="none"/>
                <w:lang w:eastAsia="zh-CN"/>
              </w:rPr>
              <w:t>合同签订后</w:t>
            </w:r>
            <w:r>
              <w:rPr>
                <w:rFonts w:hint="eastAsia" w:ascii="宋体" w:hAnsi="宋体" w:cs="宋体"/>
                <w:color w:val="auto"/>
                <w:highlight w:val="none"/>
                <w:lang w:val="en-US" w:eastAsia="zh-CN"/>
              </w:rPr>
              <w:t>20</w:t>
            </w:r>
            <w:r>
              <w:rPr>
                <w:rFonts w:hint="eastAsia" w:ascii="宋体" w:hAnsi="宋体" w:eastAsia="宋体" w:cs="宋体"/>
                <w:color w:val="auto"/>
                <w:highlight w:val="none"/>
                <w:lang w:eastAsia="zh-CN"/>
              </w:rPr>
              <w:t>个日历天供货安装调试完毕</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交货地点：</w:t>
            </w:r>
            <w:r>
              <w:rPr>
                <w:rFonts w:hint="eastAsia" w:cs="Times New Roman"/>
                <w:sz w:val="21"/>
                <w:szCs w:val="21"/>
                <w:highlight w:val="none"/>
                <w:lang w:eastAsia="zh-CN"/>
              </w:rPr>
              <w:t>长安区教育局</w:t>
            </w:r>
            <w:r>
              <w:rPr>
                <w:rFonts w:hint="default" w:ascii="Times New Roman" w:hAnsi="Times New Roman" w:cs="Times New Roman"/>
                <w:color w:val="auto"/>
                <w:sz w:val="21"/>
                <w:szCs w:val="21"/>
                <w:u w:val="none"/>
                <w:lang w:val="en-US" w:eastAsia="zh-CN"/>
              </w:rPr>
              <w:t>指定地点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7"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sz w:val="21"/>
                <w:szCs w:val="21"/>
                <w:highlight w:val="none"/>
                <w:lang w:eastAsia="zh-CN"/>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3</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质量要求及验收标准</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sz w:val="21"/>
                <w:szCs w:val="21"/>
                <w:highlight w:val="none"/>
              </w:rPr>
            </w:pPr>
            <w:r>
              <w:rPr>
                <w:rFonts w:hint="eastAsia" w:ascii="Times New Roman" w:hAnsi="Times New Roman" w:eastAsia="宋体" w:cs="Times New Roman"/>
                <w:b w:val="0"/>
                <w:bCs w:val="0"/>
                <w:color w:val="auto"/>
                <w:kern w:val="2"/>
                <w:sz w:val="21"/>
                <w:szCs w:val="21"/>
                <w:highlight w:val="none"/>
                <w:lang w:val="en-US" w:eastAsia="zh-CN" w:bidi="ar-SA"/>
              </w:rPr>
              <w:t>符合国家和行业制定的相应的标准和规范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4"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sz w:val="21"/>
                <w:szCs w:val="21"/>
                <w:highlight w:val="none"/>
                <w:lang w:eastAsia="zh-CN"/>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4</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资格证明文件</w:t>
            </w:r>
          </w:p>
        </w:tc>
        <w:tc>
          <w:tcPr>
            <w:tcW w:w="3087" w:type="pct"/>
            <w:vAlign w:val="center"/>
          </w:tcPr>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1、供应商</w:t>
            </w:r>
            <w:r>
              <w:rPr>
                <w:rFonts w:hint="eastAsia" w:ascii="宋体" w:hAnsi="宋体" w:eastAsia="宋体" w:cs="宋体"/>
                <w:color w:val="auto"/>
                <w:sz w:val="21"/>
                <w:szCs w:val="21"/>
                <w:highlight w:val="none"/>
              </w:rPr>
              <w:t>须符合《中华人民共和国政府采购法》第二十二条有关规定：</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（1）须提供</w:t>
            </w:r>
            <w:r>
              <w:rPr>
                <w:rFonts w:hint="eastAsia" w:ascii="宋体" w:hAnsi="宋体" w:eastAsia="宋体" w:cs="宋体"/>
                <w:color w:val="auto"/>
                <w:sz w:val="21"/>
                <w:szCs w:val="21"/>
                <w:highlight w:val="none"/>
                <w:lang w:val="en-US" w:eastAsia="zh-CN"/>
              </w:rPr>
              <w:t>2022</w:t>
            </w:r>
            <w:r>
              <w:rPr>
                <w:rFonts w:hint="eastAsia" w:ascii="宋体" w:hAnsi="宋体" w:eastAsia="宋体" w:cs="宋体"/>
                <w:color w:val="auto"/>
                <w:sz w:val="21"/>
                <w:szCs w:val="21"/>
                <w:highlight w:val="none"/>
              </w:rPr>
              <w:t>年度的财务报告；或其基本开户银行出具的资信证明；或</w:t>
            </w:r>
            <w:r>
              <w:rPr>
                <w:rFonts w:hint="eastAsia" w:ascii="宋体" w:hAnsi="宋体" w:eastAsia="宋体" w:cs="宋体"/>
                <w:sz w:val="21"/>
                <w:szCs w:val="21"/>
                <w:highlight w:val="none"/>
              </w:rPr>
              <w:t>投标担保函（以上三种形式的资料提供任何一种即可）；</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依法缴纳税收和社会保障资金的良好记录。依法缴纳税收的良好记录（提供截止至开标时间前12个月内任一月份的缴费凭据,依法免税的单位应提供相关证明材料）；依法缴纳社会保障资金的良好记录（提供截止至开标时间前12个月内任一月份的缴费凭据或社保机构开具的社会保险参保缴费情况证明，依法不需要缴纳社会保障资金的单位应提供相关证明材料）；</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须具备独立承担民事责任能力的法人、其他组织或自然人，提供营业执照</w:t>
            </w:r>
            <w:r>
              <w:rPr>
                <w:rFonts w:hint="eastAsia" w:ascii="宋体" w:hAnsi="宋体" w:eastAsia="宋体" w:cs="宋体"/>
                <w:sz w:val="21"/>
                <w:szCs w:val="21"/>
                <w:highlight w:val="none"/>
                <w:lang w:eastAsia="zh-CN"/>
              </w:rPr>
              <w:t>或</w:t>
            </w:r>
            <w:r>
              <w:rPr>
                <w:rFonts w:hint="eastAsia" w:ascii="宋体" w:hAnsi="宋体" w:eastAsia="宋体" w:cs="宋体"/>
                <w:sz w:val="21"/>
                <w:szCs w:val="21"/>
                <w:highlight w:val="none"/>
              </w:rPr>
              <w:t>事业单位法人证书；自然人参与的提供其身份证</w:t>
            </w:r>
            <w:r>
              <w:rPr>
                <w:rFonts w:hint="eastAsia" w:ascii="宋体" w:hAnsi="宋体" w:eastAsia="宋体" w:cs="宋体"/>
                <w:sz w:val="21"/>
                <w:szCs w:val="21"/>
                <w:highlight w:val="none"/>
                <w:lang w:eastAsia="zh-CN"/>
              </w:rPr>
              <w:t>明</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应授权合法的人员参加投标全过程，其中法定代表人直接参加投标的，须出具法人身份证，并与营业执照上信息一致。法定代表人授权代表参加投标的，须出具法定代表人授权书；</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lang w:eastAsia="zh-CN"/>
              </w:rPr>
              <w:t>）履行合同所必需的设备和专业技术能力的承诺；</w:t>
            </w:r>
          </w:p>
          <w:p>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不得为“信用中国”网站（www.creditchina.gov.cn）中列入失信被执行人（中国执行信息公开网http://zxgk.court.gov.cn/shixin）和重大税收违法失信主体的投标人；不得为中国政府采购网（www.ccgp.gov.cn）政府采购严重违法失信行为记录名单中被财政部门禁止参加政府采购活动的投标人</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7</w:t>
            </w:r>
            <w:r>
              <w:rPr>
                <w:rFonts w:hint="eastAsia" w:ascii="宋体" w:hAnsi="宋体" w:eastAsia="宋体" w:cs="宋体"/>
                <w:sz w:val="21"/>
                <w:szCs w:val="21"/>
                <w:highlight w:val="none"/>
                <w:lang w:eastAsia="zh-CN"/>
              </w:rPr>
              <w:t>）投标人参加政府采购活动前3年内在经营活动中没有重大违法记录的书面声明</w:t>
            </w:r>
            <w:r>
              <w:rPr>
                <w:rFonts w:hint="eastAsia" w:ascii="宋体" w:hAnsi="宋体" w:cs="Times New Roman"/>
                <w:szCs w:val="21"/>
                <w:highlight w:val="none"/>
                <w:lang w:val="en-US" w:eastAsia="zh-CN"/>
              </w:rPr>
              <w:t>。</w:t>
            </w:r>
          </w:p>
          <w:p>
            <w:pPr>
              <w:keepNext w:val="0"/>
              <w:keepLines w:val="0"/>
              <w:pageBreakBefore w:val="0"/>
              <w:widowControl w:val="0"/>
              <w:kinsoku/>
              <w:wordWrap/>
              <w:overflowPunct/>
              <w:topLinePunct w:val="0"/>
              <w:autoSpaceDE/>
              <w:autoSpaceDN/>
              <w:bidi w:val="0"/>
              <w:adjustRightInd/>
              <w:spacing w:line="400" w:lineRule="exact"/>
              <w:ind w:right="0" w:rightChars="0" w:firstLine="420"/>
              <w:textAlignment w:val="auto"/>
              <w:outlineLvl w:val="9"/>
              <w:rPr>
                <w:rFonts w:hint="default" w:ascii="Times New Roman" w:hAnsi="Times New Roman" w:eastAsia="宋体" w:cs="Times New Roman"/>
                <w:b/>
                <w:bCs/>
                <w:color w:val="auto"/>
                <w:sz w:val="21"/>
                <w:szCs w:val="21"/>
                <w:highlight w:val="none"/>
              </w:rPr>
            </w:pPr>
            <w:r>
              <w:rPr>
                <w:rFonts w:hint="eastAsia" w:ascii="宋体" w:hAnsi="宋体" w:eastAsia="宋体" w:cs="宋体"/>
                <w:b/>
                <w:bCs/>
                <w:szCs w:val="21"/>
                <w:highlight w:val="none"/>
              </w:rPr>
              <w:t>注：上述资格证明文件为必备资质，欠缺其中任何一项或某项达不到要求，按无效投标文件处理。</w:t>
            </w:r>
            <w:r>
              <w:rPr>
                <w:b/>
                <w:bCs/>
                <w:color w:val="000000"/>
                <w:highlight w:val="none"/>
              </w:rPr>
              <w:t xml:space="preserve">   </w:t>
            </w:r>
            <w:r>
              <w:rPr>
                <w:b/>
                <w:bCs/>
                <w:highlight w:val="none"/>
              </w:rPr>
              <w:t xml:space="preserve">  </w:t>
            </w:r>
            <w:r>
              <w:rPr>
                <w:rFonts w:hint="eastAsia" w:cs="Times New Roman"/>
                <w:b/>
                <w:bCs/>
                <w:color w:val="auto"/>
                <w:sz w:val="21"/>
                <w:szCs w:val="21"/>
                <w:highlight w:val="non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5"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color w:val="auto"/>
                <w:sz w:val="21"/>
                <w:szCs w:val="21"/>
                <w:highlight w:val="none"/>
                <w:lang w:val="en-US" w:eastAsia="zh-CN"/>
              </w:rPr>
              <w:t>15</w:t>
            </w:r>
          </w:p>
        </w:tc>
        <w:tc>
          <w:tcPr>
            <w:tcW w:w="1547" w:type="pct"/>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是否接受联合体投标</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不接受。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81"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color w:val="auto"/>
                <w:sz w:val="21"/>
                <w:szCs w:val="21"/>
                <w:highlight w:val="none"/>
                <w:lang w:val="en-US" w:eastAsia="zh-CN"/>
              </w:rPr>
              <w:t>16</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现场踏勘及答疑</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color w:val="auto"/>
                <w:highlight w:val="none"/>
              </w:rPr>
            </w:pPr>
            <w:r>
              <w:rPr>
                <w:rFonts w:hint="default"/>
                <w:color w:val="auto"/>
                <w:highlight w:val="none"/>
              </w:rPr>
              <w:t>不组织。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80"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7</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投标人</w:t>
            </w:r>
            <w:r>
              <w:rPr>
                <w:rFonts w:hint="default" w:ascii="Times New Roman" w:hAnsi="Times New Roman" w:cs="Times New Roman"/>
                <w:color w:val="auto"/>
                <w:sz w:val="21"/>
                <w:szCs w:val="21"/>
                <w:highlight w:val="none"/>
              </w:rPr>
              <w:t>提出询问和质疑的时间</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eastAsia="zh-CN"/>
              </w:rPr>
              <w:t>已经购买招标文件的投标人对招标文件有询问或者质疑的，可以在本项目采购文件公告期限届满之日起</w:t>
            </w:r>
            <w:r>
              <w:rPr>
                <w:rFonts w:hint="eastAsia" w:ascii="Times New Roman" w:hAnsi="Times New Roman" w:cs="Times New Roman"/>
                <w:snapToGrid w:val="0"/>
                <w:color w:val="auto"/>
                <w:sz w:val="21"/>
                <w:szCs w:val="21"/>
                <w:highlight w:val="none"/>
                <w:lang w:val="en-US" w:eastAsia="zh-CN"/>
              </w:rPr>
              <w:t>7</w:t>
            </w:r>
            <w:r>
              <w:rPr>
                <w:rFonts w:hint="eastAsia" w:ascii="Times New Roman" w:hAnsi="Times New Roman" w:cs="Times New Roman"/>
                <w:snapToGrid w:val="0"/>
                <w:color w:val="auto"/>
                <w:sz w:val="21"/>
                <w:szCs w:val="21"/>
                <w:highlight w:val="none"/>
                <w:lang w:eastAsia="zh-CN"/>
              </w:rPr>
              <w:t>个工作日内，以书面形式</w:t>
            </w:r>
            <w:r>
              <w:rPr>
                <w:rFonts w:hint="eastAsia"/>
                <w:snapToGrid w:val="0"/>
                <w:color w:val="auto"/>
                <w:szCs w:val="21"/>
                <w:highlight w:val="none"/>
              </w:rPr>
              <w:t>（陕西省政府采购网上政府采购</w:t>
            </w:r>
            <w:r>
              <w:rPr>
                <w:rFonts w:hint="eastAsia"/>
                <w:snapToGrid w:val="0"/>
                <w:color w:val="auto"/>
                <w:szCs w:val="21"/>
                <w:highlight w:val="none"/>
                <w:lang w:eastAsia="zh-CN"/>
              </w:rPr>
              <w:t>投标人</w:t>
            </w:r>
            <w:r>
              <w:rPr>
                <w:rFonts w:hint="eastAsia"/>
                <w:snapToGrid w:val="0"/>
                <w:color w:val="auto"/>
                <w:szCs w:val="21"/>
                <w:highlight w:val="none"/>
              </w:rPr>
              <w:t>质疑函范本</w:t>
            </w:r>
            <w:r>
              <w:rPr>
                <w:rFonts w:hint="eastAsia" w:cs="Times New Roman"/>
                <w:snapToGrid w:val="0"/>
                <w:color w:val="auto"/>
                <w:sz w:val="21"/>
                <w:szCs w:val="21"/>
                <w:highlight w:val="none"/>
                <w:lang w:eastAsia="zh-CN"/>
              </w:rPr>
              <w:t>）一次性</w:t>
            </w:r>
            <w:r>
              <w:rPr>
                <w:rFonts w:hint="eastAsia" w:ascii="Times New Roman" w:hAnsi="Times New Roman" w:cs="Times New Roman"/>
                <w:snapToGrid w:val="0"/>
                <w:color w:val="auto"/>
                <w:sz w:val="21"/>
                <w:szCs w:val="21"/>
                <w:highlight w:val="none"/>
                <w:lang w:eastAsia="zh-CN"/>
              </w:rPr>
              <w:t>向采购代理机构提出，在此之后提出的询问和质疑均为无效，采购代理机构不予受理。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8</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采购代理机构答疑的时间</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eastAsia="zh-CN"/>
              </w:rPr>
              <w:t>对于投标人在规定时间内依法提出的询问和质疑，采购代理机构将在三个工作日内答复询问，七个工作日内答复质疑。若对招标文件做出实质性变动，则按照相关规定延长投标截止时间。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9</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投标有效期</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90个日历日（从</w:t>
            </w:r>
            <w:r>
              <w:rPr>
                <w:rFonts w:hint="eastAsia" w:cs="Times New Roman"/>
                <w:color w:val="auto"/>
                <w:sz w:val="21"/>
                <w:szCs w:val="21"/>
                <w:highlight w:val="none"/>
                <w:lang w:eastAsia="zh-CN"/>
              </w:rPr>
              <w:t>提交</w:t>
            </w:r>
            <w:r>
              <w:rPr>
                <w:rFonts w:hint="default" w:ascii="Times New Roman" w:hAnsi="Times New Roman" w:cs="Times New Roman"/>
                <w:color w:val="auto"/>
                <w:sz w:val="21"/>
                <w:szCs w:val="21"/>
                <w:highlight w:val="none"/>
              </w:rPr>
              <w:t>投标</w:t>
            </w:r>
            <w:r>
              <w:rPr>
                <w:rFonts w:hint="eastAsia" w:cs="Times New Roman"/>
                <w:color w:val="auto"/>
                <w:sz w:val="21"/>
                <w:szCs w:val="21"/>
                <w:highlight w:val="none"/>
                <w:lang w:eastAsia="zh-CN"/>
              </w:rPr>
              <w:t>文件</w:t>
            </w:r>
            <w:r>
              <w:rPr>
                <w:rFonts w:hint="default" w:ascii="Times New Roman" w:hAnsi="Times New Roman" w:cs="Times New Roman"/>
                <w:color w:val="auto"/>
                <w:sz w:val="21"/>
                <w:szCs w:val="21"/>
                <w:highlight w:val="none"/>
              </w:rPr>
              <w:t>截止之日算起）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lang w:val="en-US"/>
              </w:rPr>
            </w:pPr>
            <w:r>
              <w:rPr>
                <w:rFonts w:hint="eastAsia" w:cs="Times New Roman"/>
                <w:color w:val="auto"/>
                <w:sz w:val="21"/>
                <w:szCs w:val="21"/>
                <w:highlight w:val="none"/>
                <w:lang w:val="en-US" w:eastAsia="zh-CN"/>
              </w:rPr>
              <w:t>20</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转包与分包履约</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不得转包。若分包中标</w:t>
            </w:r>
            <w:r>
              <w:rPr>
                <w:rFonts w:hint="default" w:ascii="Times New Roman" w:hAnsi="Times New Roman" w:cs="Times New Roman"/>
                <w:color w:val="auto"/>
                <w:sz w:val="21"/>
                <w:szCs w:val="21"/>
                <w:highlight w:val="none"/>
                <w:lang w:eastAsia="zh-CN"/>
              </w:rPr>
              <w:t>人</w:t>
            </w:r>
            <w:r>
              <w:rPr>
                <w:rFonts w:hint="default" w:ascii="Times New Roman" w:hAnsi="Times New Roman" w:cs="Times New Roman"/>
                <w:color w:val="auto"/>
                <w:sz w:val="21"/>
                <w:szCs w:val="21"/>
                <w:highlight w:val="none"/>
              </w:rPr>
              <w:t>在合同签订之前必须征得采购人同意（详见投标</w:t>
            </w:r>
            <w:r>
              <w:rPr>
                <w:rFonts w:hint="eastAsia" w:ascii="Times New Roman" w:hAnsi="Times New Roman" w:cs="Times New Roman"/>
                <w:color w:val="auto"/>
                <w:sz w:val="21"/>
                <w:szCs w:val="21"/>
                <w:highlight w:val="none"/>
                <w:lang w:eastAsia="zh-CN"/>
              </w:rPr>
              <w:t>人</w:t>
            </w:r>
            <w:r>
              <w:rPr>
                <w:rFonts w:hint="default" w:ascii="Times New Roman" w:hAnsi="Times New Roman" w:cs="Times New Roman"/>
                <w:color w:val="auto"/>
                <w:sz w:val="21"/>
                <w:szCs w:val="21"/>
                <w:highlight w:val="none"/>
              </w:rPr>
              <w:t>须知）。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69"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color w:val="auto"/>
                <w:sz w:val="21"/>
                <w:szCs w:val="21"/>
                <w:highlight w:val="none"/>
                <w:lang w:val="en-US" w:eastAsia="zh-CN"/>
              </w:rPr>
              <w:t>21</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sz w:val="21"/>
                <w:szCs w:val="21"/>
                <w:highlight w:val="none"/>
                <w:lang w:eastAsia="zh-CN"/>
              </w:rPr>
            </w:pPr>
            <w:r>
              <w:rPr>
                <w:rFonts w:hint="default" w:ascii="Times New Roman" w:hAnsi="Times New Roman" w:cs="Times New Roman"/>
                <w:color w:val="auto"/>
                <w:sz w:val="21"/>
                <w:szCs w:val="21"/>
                <w:highlight w:val="none"/>
              </w:rPr>
              <w:t>投标保证金金额及递交时间</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本项目不收取投标保证金。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cs="Times New Roman"/>
                <w:color w:val="auto"/>
                <w:sz w:val="21"/>
                <w:szCs w:val="21"/>
                <w:highlight w:val="none"/>
                <w:lang w:val="en-US" w:eastAsia="zh-CN"/>
              </w:rPr>
              <w:t>22</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ascii="Times New Roman" w:hAnsi="Times New Roman" w:eastAsia="宋体" w:cs="Times New Roman"/>
                <w:sz w:val="21"/>
                <w:szCs w:val="21"/>
                <w:highlight w:val="none"/>
                <w:lang w:eastAsia="zh-CN"/>
              </w:rPr>
            </w:pPr>
            <w:r>
              <w:rPr>
                <w:rFonts w:hint="eastAsia" w:ascii="Times New Roman" w:hAnsi="Times New Roman" w:cs="Times New Roman"/>
                <w:color w:val="auto"/>
                <w:sz w:val="21"/>
                <w:szCs w:val="21"/>
                <w:highlight w:val="none"/>
                <w:lang w:eastAsia="zh-CN"/>
              </w:rPr>
              <w:t>招标文件</w:t>
            </w:r>
            <w:r>
              <w:rPr>
                <w:rFonts w:hint="eastAsia" w:cs="Times New Roman"/>
                <w:color w:val="auto"/>
                <w:sz w:val="21"/>
                <w:szCs w:val="21"/>
                <w:highlight w:val="none"/>
                <w:lang w:val="en-US" w:eastAsia="zh-CN"/>
              </w:rPr>
              <w:t>获取</w:t>
            </w:r>
          </w:p>
        </w:tc>
        <w:tc>
          <w:tcPr>
            <w:tcW w:w="3087" w:type="pct"/>
            <w:vAlign w:val="center"/>
          </w:tcPr>
          <w:p>
            <w:pPr>
              <w:keepNext w:val="0"/>
              <w:keepLines w:val="0"/>
              <w:pageBreakBefore w:val="0"/>
              <w:widowControl/>
              <w:kinsoku/>
              <w:wordWrap/>
              <w:overflowPunct/>
              <w:topLinePunct w:val="0"/>
              <w:bidi w:val="0"/>
              <w:snapToGrid/>
              <w:spacing w:before="0" w:beforeAutospacing="0" w:after="0" w:afterAutospacing="0" w:line="312" w:lineRule="auto"/>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w:t>
            </w:r>
            <w:r>
              <w:rPr>
                <w:rFonts w:hint="eastAsia" w:ascii="宋体" w:hAnsi="宋体" w:eastAsia="宋体" w:cs="宋体"/>
                <w:kern w:val="0"/>
                <w:sz w:val="21"/>
                <w:szCs w:val="21"/>
                <w:highlight w:val="none"/>
                <w:shd w:val="clear" w:color="auto" w:fill="FFFFFF"/>
                <w:lang w:val="en-US" w:eastAsia="zh-CN" w:bidi="ar-SA"/>
              </w:rPr>
              <w:t>2023年</w:t>
            </w:r>
            <w:r>
              <w:rPr>
                <w:rFonts w:hint="eastAsia" w:ascii="宋体" w:hAnsi="宋体" w:cs="宋体"/>
                <w:kern w:val="0"/>
                <w:sz w:val="21"/>
                <w:szCs w:val="21"/>
                <w:highlight w:val="none"/>
                <w:shd w:val="clear" w:color="auto" w:fill="FFFFFF"/>
                <w:lang w:val="en-US" w:eastAsia="zh-CN" w:bidi="ar-SA"/>
              </w:rPr>
              <w:t>12</w:t>
            </w:r>
            <w:r>
              <w:rPr>
                <w:rFonts w:hint="eastAsia" w:ascii="宋体" w:hAnsi="宋体" w:eastAsia="宋体" w:cs="宋体"/>
                <w:kern w:val="0"/>
                <w:sz w:val="21"/>
                <w:szCs w:val="21"/>
                <w:highlight w:val="none"/>
                <w:shd w:val="clear" w:color="auto" w:fill="FFFFFF"/>
                <w:lang w:val="en-US" w:eastAsia="zh-CN" w:bidi="ar-SA"/>
              </w:rPr>
              <w:t>月</w:t>
            </w:r>
            <w:r>
              <w:rPr>
                <w:rFonts w:hint="eastAsia" w:ascii="宋体" w:hAnsi="宋体" w:cs="宋体"/>
                <w:kern w:val="0"/>
                <w:sz w:val="21"/>
                <w:szCs w:val="21"/>
                <w:highlight w:val="none"/>
                <w:shd w:val="clear" w:color="auto" w:fill="FFFFFF"/>
                <w:lang w:val="en-US" w:eastAsia="zh-CN" w:bidi="ar-SA"/>
              </w:rPr>
              <w:t>08</w:t>
            </w:r>
            <w:r>
              <w:rPr>
                <w:rFonts w:hint="eastAsia" w:ascii="宋体" w:hAnsi="宋体" w:eastAsia="宋体" w:cs="宋体"/>
                <w:kern w:val="0"/>
                <w:sz w:val="21"/>
                <w:szCs w:val="21"/>
                <w:highlight w:val="none"/>
                <w:shd w:val="clear" w:color="auto" w:fill="FFFFFF"/>
                <w:lang w:val="en-US" w:eastAsia="zh-CN" w:bidi="ar-SA"/>
              </w:rPr>
              <w:t>日</w:t>
            </w:r>
            <w:r>
              <w:rPr>
                <w:rFonts w:hint="eastAsia" w:ascii="宋体" w:hAnsi="宋体" w:cs="宋体"/>
                <w:kern w:val="0"/>
                <w:sz w:val="21"/>
                <w:szCs w:val="21"/>
                <w:highlight w:val="none"/>
                <w:shd w:val="clear" w:color="auto" w:fill="FFFFFF"/>
                <w:lang w:val="en-US" w:eastAsia="zh-CN" w:bidi="ar-SA"/>
              </w:rPr>
              <w:t>00</w:t>
            </w:r>
            <w:r>
              <w:rPr>
                <w:rFonts w:hint="eastAsia" w:ascii="宋体" w:hAnsi="宋体" w:eastAsia="宋体" w:cs="宋体"/>
                <w:kern w:val="0"/>
                <w:sz w:val="21"/>
                <w:szCs w:val="21"/>
                <w:highlight w:val="none"/>
                <w:shd w:val="clear" w:color="auto" w:fill="FFFFFF"/>
                <w:lang w:val="en-US" w:eastAsia="zh-CN" w:bidi="ar-SA"/>
              </w:rPr>
              <w:t>:00:00至2023年</w:t>
            </w:r>
            <w:r>
              <w:rPr>
                <w:rFonts w:hint="eastAsia" w:ascii="宋体" w:hAnsi="宋体" w:cs="宋体"/>
                <w:kern w:val="0"/>
                <w:sz w:val="21"/>
                <w:szCs w:val="21"/>
                <w:highlight w:val="none"/>
                <w:shd w:val="clear" w:color="auto" w:fill="FFFFFF"/>
                <w:lang w:val="en-US" w:eastAsia="zh-CN" w:bidi="ar-SA"/>
              </w:rPr>
              <w:t>12</w:t>
            </w:r>
            <w:r>
              <w:rPr>
                <w:rFonts w:hint="eastAsia" w:ascii="宋体" w:hAnsi="宋体" w:eastAsia="宋体" w:cs="宋体"/>
                <w:kern w:val="0"/>
                <w:sz w:val="21"/>
                <w:szCs w:val="21"/>
                <w:highlight w:val="none"/>
                <w:shd w:val="clear" w:color="auto" w:fill="FFFFFF"/>
                <w:lang w:val="en-US" w:eastAsia="zh-CN" w:bidi="ar-SA"/>
              </w:rPr>
              <w:t>月</w:t>
            </w:r>
            <w:r>
              <w:rPr>
                <w:rFonts w:hint="eastAsia" w:ascii="宋体" w:hAnsi="宋体" w:cs="宋体"/>
                <w:kern w:val="0"/>
                <w:sz w:val="21"/>
                <w:szCs w:val="21"/>
                <w:highlight w:val="none"/>
                <w:shd w:val="clear" w:color="auto" w:fill="FFFFFF"/>
                <w:lang w:val="en-US" w:eastAsia="zh-CN" w:bidi="ar-SA"/>
              </w:rPr>
              <w:t>14</w:t>
            </w:r>
            <w:r>
              <w:rPr>
                <w:rFonts w:hint="eastAsia" w:ascii="宋体" w:hAnsi="宋体" w:eastAsia="宋体" w:cs="宋体"/>
                <w:kern w:val="0"/>
                <w:sz w:val="21"/>
                <w:szCs w:val="21"/>
                <w:highlight w:val="none"/>
                <w:shd w:val="clear" w:color="auto" w:fill="FFFFFF"/>
                <w:lang w:val="en-US" w:eastAsia="zh-CN" w:bidi="ar-SA"/>
              </w:rPr>
              <w:t>日</w:t>
            </w:r>
            <w:r>
              <w:rPr>
                <w:rFonts w:hint="eastAsia" w:ascii="宋体" w:hAnsi="宋体" w:cs="宋体"/>
                <w:kern w:val="0"/>
                <w:sz w:val="21"/>
                <w:szCs w:val="21"/>
                <w:highlight w:val="none"/>
                <w:shd w:val="clear" w:color="auto" w:fill="FFFFFF"/>
                <w:lang w:val="en-US" w:eastAsia="zh-CN" w:bidi="ar-SA"/>
              </w:rPr>
              <w:t>23</w:t>
            </w:r>
            <w:r>
              <w:rPr>
                <w:rFonts w:hint="eastAsia" w:ascii="宋体" w:hAnsi="宋体" w:eastAsia="宋体" w:cs="宋体"/>
                <w:kern w:val="0"/>
                <w:sz w:val="21"/>
                <w:szCs w:val="21"/>
                <w:highlight w:val="none"/>
                <w:shd w:val="clear" w:color="auto" w:fill="FFFFFF"/>
                <w:lang w:val="en-US" w:eastAsia="zh-CN" w:bidi="ar-SA"/>
              </w:rPr>
              <w:t>:</w:t>
            </w:r>
            <w:r>
              <w:rPr>
                <w:rFonts w:hint="eastAsia" w:ascii="宋体" w:hAnsi="宋体" w:cs="宋体"/>
                <w:kern w:val="0"/>
                <w:sz w:val="21"/>
                <w:szCs w:val="21"/>
                <w:highlight w:val="none"/>
                <w:shd w:val="clear" w:color="auto" w:fill="FFFFFF"/>
                <w:lang w:val="en-US" w:eastAsia="zh-CN" w:bidi="ar-SA"/>
              </w:rPr>
              <w:t>59</w:t>
            </w:r>
            <w:r>
              <w:rPr>
                <w:rFonts w:hint="eastAsia" w:ascii="宋体" w:hAnsi="宋体" w:eastAsia="宋体" w:cs="宋体"/>
                <w:kern w:val="0"/>
                <w:sz w:val="21"/>
                <w:szCs w:val="21"/>
                <w:highlight w:val="none"/>
                <w:shd w:val="clear" w:color="auto" w:fill="FFFFFF"/>
                <w:lang w:val="en-US" w:eastAsia="zh-CN" w:bidi="ar-SA"/>
              </w:rPr>
              <w:t>:</w:t>
            </w:r>
            <w:r>
              <w:rPr>
                <w:rFonts w:hint="eastAsia" w:ascii="宋体" w:hAnsi="宋体" w:cs="宋体"/>
                <w:kern w:val="0"/>
                <w:sz w:val="21"/>
                <w:szCs w:val="21"/>
                <w:highlight w:val="none"/>
                <w:shd w:val="clear" w:color="auto" w:fill="FFFFFF"/>
                <w:lang w:val="en-US" w:eastAsia="zh-CN" w:bidi="ar-SA"/>
              </w:rPr>
              <w:t>59</w:t>
            </w:r>
            <w:r>
              <w:rPr>
                <w:rFonts w:hint="eastAsia" w:ascii="宋体" w:hAnsi="宋体" w:eastAsia="宋体" w:cs="宋体"/>
                <w:color w:val="auto"/>
                <w:sz w:val="21"/>
                <w:szCs w:val="21"/>
                <w:highlight w:val="none"/>
              </w:rPr>
              <w:t>地点：</w:t>
            </w:r>
            <w:r>
              <w:rPr>
                <w:rFonts w:hint="eastAsia"/>
                <w:sz w:val="21"/>
                <w:szCs w:val="21"/>
                <w:highlight w:val="none"/>
                <w:shd w:val="clear" w:color="auto" w:fill="FFFFFF"/>
              </w:rPr>
              <w:t>全国公共资源交易平台（陕西省·</w:t>
            </w:r>
            <w:r>
              <w:rPr>
                <w:rFonts w:hint="eastAsia"/>
                <w:sz w:val="21"/>
                <w:szCs w:val="21"/>
                <w:highlight w:val="none"/>
                <w:shd w:val="clear" w:color="auto" w:fill="FFFFFF"/>
                <w:lang w:eastAsia="zh-CN"/>
              </w:rPr>
              <w:t>西安市</w:t>
            </w:r>
            <w:r>
              <w:rPr>
                <w:rFonts w:hint="eastAsia"/>
                <w:sz w:val="21"/>
                <w:szCs w:val="21"/>
                <w:highlight w:val="none"/>
                <w:shd w:val="clear" w:color="auto" w:fill="FFFFFF"/>
              </w:rPr>
              <w:t>）自行</w:t>
            </w:r>
            <w:r>
              <w:rPr>
                <w:rFonts w:hint="eastAsia"/>
                <w:sz w:val="21"/>
                <w:szCs w:val="21"/>
                <w:highlight w:val="none"/>
                <w:shd w:val="clear" w:color="auto" w:fill="FFFFFF"/>
                <w:lang w:eastAsia="zh-CN"/>
              </w:rPr>
              <w:t>下载</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售价：免费获取。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lang w:val="en-US"/>
              </w:rPr>
            </w:pPr>
            <w:r>
              <w:rPr>
                <w:rFonts w:hint="eastAsia" w:cs="Times New Roman"/>
                <w:color w:val="auto"/>
                <w:sz w:val="21"/>
                <w:szCs w:val="21"/>
                <w:highlight w:val="none"/>
                <w:lang w:val="en-US" w:eastAsia="zh-CN"/>
              </w:rPr>
              <w:t>23</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备选投标方案和报价</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本项目不接受备选投标方案和多个报价。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lang w:val="en-US"/>
              </w:rPr>
            </w:pPr>
            <w:r>
              <w:rPr>
                <w:rFonts w:hint="eastAsia" w:cs="Times New Roman"/>
                <w:color w:val="auto"/>
                <w:sz w:val="21"/>
                <w:szCs w:val="21"/>
                <w:highlight w:val="none"/>
                <w:lang w:val="en-US" w:eastAsia="zh-CN"/>
              </w:rPr>
              <w:t>24</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投标文件提交地点及截止时间</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收件人：陕西国信招标有限公司</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宋体" w:hAnsi="宋体" w:eastAsia="宋体" w:cs="宋体"/>
                <w:color w:val="auto"/>
                <w:sz w:val="21"/>
                <w:szCs w:val="21"/>
                <w:highlight w:val="none"/>
                <w:u w:val="none"/>
                <w:lang w:val="en-US"/>
              </w:rPr>
            </w:pPr>
            <w:r>
              <w:rPr>
                <w:rFonts w:hint="default" w:ascii="Times New Roman" w:hAnsi="Times New Roman" w:cs="Times New Roman"/>
                <w:color w:val="auto"/>
                <w:sz w:val="21"/>
                <w:szCs w:val="21"/>
                <w:highlight w:val="none"/>
                <w:u w:val="none"/>
              </w:rPr>
              <w:t>时  间：</w:t>
            </w:r>
            <w:r>
              <w:rPr>
                <w:rFonts w:hint="eastAsia" w:ascii="宋体" w:hAnsi="宋体" w:eastAsia="宋体" w:cs="宋体"/>
                <w:color w:val="auto"/>
                <w:sz w:val="21"/>
                <w:szCs w:val="21"/>
                <w:highlight w:val="none"/>
                <w:u w:val="none"/>
                <w:lang w:val="en-US" w:eastAsia="zh-CN"/>
              </w:rPr>
              <w:t>202</w:t>
            </w:r>
            <w:r>
              <w:rPr>
                <w:rFonts w:hint="eastAsia" w:ascii="宋体" w:hAnsi="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cs="宋体"/>
                <w:color w:val="auto"/>
                <w:sz w:val="21"/>
                <w:szCs w:val="21"/>
                <w:highlight w:val="none"/>
                <w:u w:val="none"/>
                <w:lang w:val="en-US" w:eastAsia="zh-CN"/>
              </w:rPr>
              <w:t>12</w:t>
            </w:r>
            <w:r>
              <w:rPr>
                <w:rFonts w:hint="default" w:ascii="Times New Roman" w:hAnsi="Times New Roman" w:cs="Times New Roman"/>
                <w:color w:val="auto"/>
                <w:sz w:val="21"/>
                <w:szCs w:val="21"/>
                <w:highlight w:val="none"/>
                <w:lang w:val="en-US" w:eastAsia="zh-CN"/>
              </w:rPr>
              <w:t>月</w:t>
            </w:r>
            <w:r>
              <w:rPr>
                <w:rFonts w:hint="eastAsia" w:ascii="宋体" w:hAnsi="宋体" w:cs="宋体"/>
                <w:color w:val="auto"/>
                <w:sz w:val="21"/>
                <w:szCs w:val="21"/>
                <w:highlight w:val="none"/>
                <w:u w:val="none"/>
                <w:lang w:val="en-US" w:eastAsia="zh-CN"/>
              </w:rPr>
              <w:t>28</w:t>
            </w:r>
            <w:r>
              <w:rPr>
                <w:rFonts w:hint="default" w:ascii="宋体" w:hAnsi="宋体" w:cs="宋体"/>
                <w:color w:val="auto"/>
                <w:sz w:val="21"/>
                <w:szCs w:val="21"/>
                <w:highlight w:val="none"/>
                <w:u w:val="none"/>
                <w:lang w:val="en-US" w:eastAsia="zh-CN"/>
              </w:rPr>
              <w:t>日</w:t>
            </w:r>
            <w:r>
              <w:rPr>
                <w:rFonts w:hint="eastAsia" w:ascii="宋体" w:hAnsi="宋体" w:eastAsia="宋体" w:cs="宋体"/>
                <w:color w:val="auto"/>
                <w:sz w:val="21"/>
                <w:szCs w:val="21"/>
                <w:highlight w:val="none"/>
                <w:u w:val="none"/>
                <w:lang w:val="en-US" w:eastAsia="zh-CN"/>
              </w:rPr>
              <w:t>上</w:t>
            </w:r>
            <w:r>
              <w:rPr>
                <w:rFonts w:hint="default" w:ascii="宋体" w:hAnsi="宋体" w:eastAsia="宋体" w:cs="宋体"/>
                <w:color w:val="auto"/>
                <w:sz w:val="21"/>
                <w:szCs w:val="21"/>
                <w:highlight w:val="none"/>
                <w:u w:val="none"/>
                <w:lang w:eastAsia="zh-CN"/>
              </w:rPr>
              <w:t>午</w:t>
            </w:r>
            <w:r>
              <w:rPr>
                <w:rFonts w:hint="eastAsia" w:ascii="宋体" w:hAnsi="宋体" w:eastAsia="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lang w:eastAsia="zh-CN"/>
              </w:rPr>
              <w:t>：</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u w:val="none"/>
              </w:rPr>
            </w:pPr>
            <w:r>
              <w:rPr>
                <w:rFonts w:hint="default" w:ascii="宋体" w:hAnsi="宋体" w:eastAsia="宋体" w:cs="宋体"/>
                <w:color w:val="auto"/>
                <w:sz w:val="21"/>
                <w:szCs w:val="21"/>
                <w:highlight w:val="none"/>
                <w:u w:val="none"/>
              </w:rPr>
              <w:t>地  点：全国公共资源交易平台（陕西省·</w:t>
            </w:r>
            <w:r>
              <w:rPr>
                <w:rFonts w:hint="eastAsia" w:cs="Times New Roman"/>
                <w:color w:val="auto"/>
                <w:sz w:val="21"/>
                <w:szCs w:val="21"/>
                <w:highlight w:val="none"/>
                <w:u w:val="none"/>
                <w:lang w:eastAsia="zh-CN"/>
              </w:rPr>
              <w:t>西安市</w:t>
            </w:r>
            <w:r>
              <w:rPr>
                <w:rFonts w:hint="default" w:ascii="Times New Roman" w:hAnsi="Times New Roman" w:cs="Times New Roman"/>
                <w:color w:val="auto"/>
                <w:sz w:val="21"/>
                <w:szCs w:val="21"/>
                <w:highlight w:val="none"/>
                <w:u w:val="none"/>
              </w:rPr>
              <w:t>）上传投标文件。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lang w:val="en-US"/>
              </w:rPr>
            </w:pPr>
            <w:r>
              <w:rPr>
                <w:rFonts w:hint="eastAsia" w:cs="Times New Roman"/>
                <w:color w:val="auto"/>
                <w:sz w:val="21"/>
                <w:szCs w:val="21"/>
                <w:highlight w:val="none"/>
                <w:lang w:val="en-US" w:eastAsia="zh-CN"/>
              </w:rPr>
              <w:t>25</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开标</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宋体" w:hAnsi="宋体" w:eastAsia="宋体" w:cs="宋体"/>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时  间：</w:t>
            </w:r>
            <w:r>
              <w:rPr>
                <w:rFonts w:hint="eastAsia" w:ascii="宋体" w:hAnsi="宋体" w:eastAsia="宋体" w:cs="宋体"/>
                <w:color w:val="auto"/>
                <w:sz w:val="21"/>
                <w:szCs w:val="21"/>
                <w:highlight w:val="none"/>
                <w:u w:val="none"/>
                <w:lang w:val="en-US" w:eastAsia="zh-CN"/>
              </w:rPr>
              <w:t>202</w:t>
            </w:r>
            <w:r>
              <w:rPr>
                <w:rFonts w:hint="eastAsia" w:ascii="宋体" w:hAnsi="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cs="宋体"/>
                <w:color w:val="auto"/>
                <w:sz w:val="21"/>
                <w:szCs w:val="21"/>
                <w:highlight w:val="none"/>
                <w:u w:val="none"/>
                <w:lang w:val="en-US" w:eastAsia="zh-CN"/>
              </w:rPr>
              <w:t>12</w:t>
            </w:r>
            <w:r>
              <w:rPr>
                <w:rFonts w:hint="default" w:ascii="宋体" w:hAnsi="宋体" w:eastAsia="宋体" w:cs="宋体"/>
                <w:color w:val="auto"/>
                <w:sz w:val="21"/>
                <w:szCs w:val="21"/>
                <w:highlight w:val="none"/>
                <w:u w:val="none"/>
                <w:lang w:val="en-US" w:eastAsia="zh-CN"/>
              </w:rPr>
              <w:t>月</w:t>
            </w:r>
            <w:r>
              <w:rPr>
                <w:rFonts w:hint="eastAsia" w:ascii="宋体" w:hAnsi="宋体" w:cs="宋体"/>
                <w:color w:val="auto"/>
                <w:sz w:val="21"/>
                <w:szCs w:val="21"/>
                <w:highlight w:val="none"/>
                <w:u w:val="none"/>
                <w:lang w:val="en-US" w:eastAsia="zh-CN"/>
              </w:rPr>
              <w:t>28</w:t>
            </w:r>
            <w:r>
              <w:rPr>
                <w:rFonts w:hint="default" w:ascii="宋体" w:hAnsi="宋体" w:eastAsia="宋体" w:cs="宋体"/>
                <w:color w:val="auto"/>
                <w:sz w:val="21"/>
                <w:szCs w:val="21"/>
                <w:highlight w:val="none"/>
                <w:u w:val="none"/>
                <w:lang w:val="en-US" w:eastAsia="zh-CN"/>
              </w:rPr>
              <w:t>日</w:t>
            </w:r>
            <w:r>
              <w:rPr>
                <w:rFonts w:hint="eastAsia" w:ascii="宋体" w:hAnsi="宋体" w:eastAsia="宋体" w:cs="宋体"/>
                <w:color w:val="auto"/>
                <w:sz w:val="21"/>
                <w:szCs w:val="21"/>
                <w:highlight w:val="none"/>
                <w:u w:val="none"/>
                <w:lang w:val="en-US" w:eastAsia="zh-CN"/>
              </w:rPr>
              <w:t>上</w:t>
            </w:r>
            <w:r>
              <w:rPr>
                <w:rFonts w:hint="default" w:ascii="宋体" w:hAnsi="宋体" w:eastAsia="宋体" w:cs="宋体"/>
                <w:color w:val="auto"/>
                <w:sz w:val="21"/>
                <w:szCs w:val="21"/>
                <w:highlight w:val="none"/>
                <w:u w:val="none"/>
                <w:lang w:val="en-US" w:eastAsia="zh-CN"/>
              </w:rPr>
              <w:t>午</w:t>
            </w:r>
            <w:r>
              <w:rPr>
                <w:rFonts w:hint="eastAsia" w:ascii="宋体" w:hAnsi="宋体" w:eastAsia="宋体" w:cs="宋体"/>
                <w:color w:val="auto"/>
                <w:sz w:val="21"/>
                <w:szCs w:val="21"/>
                <w:highlight w:val="none"/>
                <w:u w:val="none"/>
                <w:lang w:val="en-US" w:eastAsia="zh-CN"/>
              </w:rPr>
              <w:t>09：</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color w:val="auto"/>
                <w:sz w:val="21"/>
                <w:szCs w:val="21"/>
                <w:highlight w:val="none"/>
                <w:u w:val="none"/>
              </w:rPr>
            </w:pPr>
            <w:r>
              <w:rPr>
                <w:rFonts w:hint="default" w:ascii="宋体" w:hAnsi="宋体" w:eastAsia="宋体" w:cs="宋体"/>
                <w:color w:val="auto"/>
                <w:sz w:val="21"/>
                <w:szCs w:val="21"/>
                <w:highlight w:val="none"/>
                <w:u w:val="none"/>
                <w:lang w:val="en-US" w:eastAsia="zh-CN"/>
              </w:rPr>
              <w:t>地</w:t>
            </w:r>
            <w:r>
              <w:rPr>
                <w:rFonts w:hint="eastAsia" w:ascii="宋体" w:hAnsi="宋体" w:eastAsia="宋体" w:cs="宋体"/>
                <w:color w:val="auto"/>
                <w:sz w:val="21"/>
                <w:szCs w:val="21"/>
                <w:highlight w:val="none"/>
                <w:u w:val="none"/>
                <w:lang w:val="en-US" w:eastAsia="zh-CN"/>
              </w:rPr>
              <w:t xml:space="preserve"> </w:t>
            </w:r>
            <w:r>
              <w:rPr>
                <w:rFonts w:hint="default" w:ascii="宋体" w:hAnsi="宋体" w:eastAsia="宋体" w:cs="宋体"/>
                <w:color w:val="auto"/>
                <w:sz w:val="21"/>
                <w:szCs w:val="21"/>
                <w:highlight w:val="none"/>
                <w:u w:val="none"/>
                <w:lang w:val="en-US" w:eastAsia="zh-CN"/>
              </w:rPr>
              <w:t xml:space="preserve"> 点：全国公共资源交易平台（陕西省·</w:t>
            </w:r>
            <w:r>
              <w:rPr>
                <w:rFonts w:hint="eastAsia" w:ascii="宋体" w:hAnsi="宋体" w:eastAsia="宋体" w:cs="宋体"/>
                <w:color w:val="auto"/>
                <w:sz w:val="21"/>
                <w:szCs w:val="21"/>
                <w:highlight w:val="none"/>
                <w:u w:val="none"/>
                <w:lang w:val="en-US" w:eastAsia="zh-CN"/>
              </w:rPr>
              <w:t>西安市</w:t>
            </w:r>
            <w:r>
              <w:rPr>
                <w:rFonts w:hint="default" w:ascii="Times New Roman" w:hAnsi="Times New Roman" w:cs="Times New Roman"/>
                <w:color w:val="auto"/>
                <w:sz w:val="21"/>
                <w:szCs w:val="21"/>
                <w:highlight w:val="none"/>
                <w:u w:val="none"/>
              </w:rPr>
              <w:t>）-电子交易平台-</w:t>
            </w:r>
            <w:r>
              <w:rPr>
                <w:rFonts w:hint="eastAsia" w:cs="Times New Roman"/>
                <w:color w:val="auto"/>
                <w:sz w:val="21"/>
                <w:szCs w:val="21"/>
                <w:highlight w:val="none"/>
                <w:u w:val="none"/>
                <w:lang w:eastAsia="zh-CN"/>
              </w:rPr>
              <w:t>西安市</w:t>
            </w:r>
            <w:r>
              <w:rPr>
                <w:rFonts w:hint="default" w:ascii="Times New Roman" w:hAnsi="Times New Roman" w:cs="Times New Roman"/>
                <w:color w:val="auto"/>
                <w:sz w:val="21"/>
                <w:szCs w:val="21"/>
                <w:highlight w:val="none"/>
                <w:u w:val="none"/>
              </w:rPr>
              <w:t>公共资源交易不见面开标系统。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2"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lang w:val="en-US"/>
              </w:rPr>
            </w:pPr>
            <w:r>
              <w:rPr>
                <w:rFonts w:hint="eastAsia" w:cs="Times New Roman"/>
                <w:color w:val="auto"/>
                <w:sz w:val="21"/>
                <w:szCs w:val="21"/>
                <w:highlight w:val="none"/>
                <w:lang w:val="en-US" w:eastAsia="zh-CN"/>
              </w:rPr>
              <w:t>26</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评标办法及标准</w:t>
            </w:r>
          </w:p>
        </w:tc>
        <w:tc>
          <w:tcPr>
            <w:tcW w:w="308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textAlignment w:val="auto"/>
              <w:outlineLvl w:val="9"/>
              <w:rPr>
                <w:rFonts w:hint="default" w:ascii="Times New Roman" w:hAnsi="Times New Roman" w:cs="Times New Roman"/>
                <w:sz w:val="21"/>
                <w:szCs w:val="21"/>
                <w:highlight w:val="none"/>
                <w:u w:val="none"/>
              </w:rPr>
            </w:pPr>
            <w:r>
              <w:rPr>
                <w:rFonts w:hint="default" w:ascii="Times New Roman" w:hAnsi="Times New Roman" w:cs="Times New Roman"/>
                <w:color w:val="auto"/>
                <w:sz w:val="21"/>
                <w:szCs w:val="21"/>
                <w:highlight w:val="none"/>
                <w:u w:val="none"/>
              </w:rPr>
              <w:t>详见招标文件</w:t>
            </w:r>
            <w:r>
              <w:rPr>
                <w:rFonts w:hint="eastAsia" w:cs="Times New Roman"/>
                <w:color w:val="auto"/>
                <w:sz w:val="21"/>
                <w:szCs w:val="21"/>
                <w:highlight w:val="none"/>
                <w:u w:val="none"/>
                <w:lang w:eastAsia="zh-CN"/>
              </w:rPr>
              <w:t>第三章</w:t>
            </w:r>
            <w:r>
              <w:rPr>
                <w:rFonts w:hint="default" w:ascii="Times New Roman" w:hAnsi="Times New Roman" w:cs="Times New Roman"/>
                <w:color w:val="auto"/>
                <w:sz w:val="21"/>
                <w:szCs w:val="21"/>
                <w:highlight w:val="none"/>
                <w:u w:val="none"/>
              </w:rPr>
              <w:t>评标办法。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2"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1547" w:type="pct"/>
            <w:vAlign w:val="center"/>
          </w:tcPr>
          <w:p>
            <w:pPr>
              <w:spacing w:line="420" w:lineRule="exact"/>
              <w:jc w:val="center"/>
              <w:rPr>
                <w:rFonts w:hint="default" w:ascii="Times New Roman" w:hAnsi="Times New Roman" w:cs="Times New Roman"/>
                <w:color w:val="auto"/>
                <w:sz w:val="21"/>
                <w:szCs w:val="21"/>
                <w:highlight w:val="none"/>
              </w:rPr>
            </w:pPr>
            <w:r>
              <w:rPr>
                <w:rFonts w:hint="eastAsia"/>
                <w:szCs w:val="21"/>
                <w:highlight w:val="none"/>
              </w:rPr>
              <w:t>履约担保</w:t>
            </w:r>
          </w:p>
        </w:tc>
        <w:tc>
          <w:tcPr>
            <w:tcW w:w="3087" w:type="pct"/>
            <w:vAlign w:val="center"/>
          </w:tcPr>
          <w:p>
            <w:pPr>
              <w:spacing w:line="420" w:lineRule="exact"/>
              <w:rPr>
                <w:rFonts w:hint="eastAsia" w:ascii="Times New Roman" w:hAnsi="Times New Roman" w:eastAsia="宋体" w:cs="Times New Roman"/>
                <w:color w:val="auto"/>
                <w:sz w:val="21"/>
                <w:szCs w:val="21"/>
                <w:highlight w:val="none"/>
                <w:u w:val="none"/>
                <w:lang w:eastAsia="zh-CN"/>
              </w:rPr>
            </w:pPr>
            <w:r>
              <w:rPr>
                <w:rFonts w:hint="eastAsia"/>
                <w:color w:val="auto"/>
                <w:szCs w:val="21"/>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lang w:val="en-US"/>
              </w:rPr>
            </w:pPr>
            <w:r>
              <w:rPr>
                <w:rFonts w:hint="eastAsia" w:cs="Times New Roman"/>
                <w:color w:val="auto"/>
                <w:sz w:val="21"/>
                <w:szCs w:val="21"/>
                <w:highlight w:val="none"/>
                <w:lang w:val="en-US" w:eastAsia="zh-CN"/>
              </w:rPr>
              <w:t>28</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sz w:val="21"/>
                <w:szCs w:val="21"/>
                <w:highlight w:val="none"/>
              </w:rPr>
            </w:pPr>
            <w:r>
              <w:rPr>
                <w:rFonts w:hint="eastAsia" w:ascii="Times New Roman" w:hAnsi="Times New Roman" w:cs="Times New Roman"/>
                <w:color w:val="auto"/>
                <w:sz w:val="21"/>
                <w:szCs w:val="21"/>
                <w:highlight w:val="none"/>
                <w:lang w:eastAsia="zh-CN"/>
              </w:rPr>
              <w:t>采购</w:t>
            </w:r>
            <w:r>
              <w:rPr>
                <w:rFonts w:hint="default" w:ascii="Times New Roman" w:hAnsi="Times New Roman" w:cs="Times New Roman"/>
                <w:color w:val="auto"/>
                <w:sz w:val="21"/>
                <w:szCs w:val="21"/>
                <w:highlight w:val="none"/>
                <w:lang w:eastAsia="zh-CN"/>
              </w:rPr>
              <w:t>代理服务费</w:t>
            </w:r>
          </w:p>
        </w:tc>
        <w:tc>
          <w:tcPr>
            <w:tcW w:w="3087" w:type="pct"/>
            <w:vAlign w:val="center"/>
          </w:tcPr>
          <w:p>
            <w:pPr>
              <w:spacing w:line="500" w:lineRule="exact"/>
              <w:rPr>
                <w:rFonts w:hint="default" w:ascii="Times New Roman" w:hAnsi="Times New Roman" w:cs="Times New Roman"/>
                <w:color w:val="FF0000"/>
                <w:sz w:val="21"/>
                <w:szCs w:val="21"/>
                <w:highlight w:val="none"/>
              </w:rPr>
            </w:pPr>
            <w:r>
              <w:rPr>
                <w:rFonts w:hint="default" w:ascii="Times New Roman" w:hAnsi="Times New Roman" w:cs="Times New Roman"/>
                <w:color w:val="auto"/>
                <w:sz w:val="21"/>
                <w:szCs w:val="21"/>
                <w:highlight w:val="none"/>
                <w:lang w:eastAsia="zh-CN"/>
              </w:rPr>
              <w:t>招标代理服务费计取：</w:t>
            </w:r>
            <w:r>
              <w:rPr>
                <w:rFonts w:hint="eastAsia" w:ascii="Times New Roman" w:hAnsi="Times New Roman" w:cs="Times New Roman"/>
                <w:color w:val="auto"/>
                <w:sz w:val="21"/>
                <w:szCs w:val="21"/>
                <w:highlight w:val="none"/>
                <w:lang w:eastAsia="zh-CN"/>
              </w:rPr>
              <w:t>参照《国家计委关于印发&lt;招标代理服务收费管理暂行办法&gt;的通知》（计价格[2002]1980号）和国家发改委办公厅颁发的《关于招标代理服务收费有关问题的通知》（发改办价格【2003】857号）、《国家发展改革委关于降低部分建设项目收费标准规范</w:t>
            </w:r>
            <w:r>
              <w:rPr>
                <w:rFonts w:hint="eastAsia" w:ascii="Times New Roman" w:hAnsi="Times New Roman" w:cs="Times New Roman"/>
                <w:color w:val="auto"/>
                <w:sz w:val="21"/>
                <w:szCs w:val="21"/>
                <w:highlight w:val="none"/>
                <w:u w:val="none"/>
              </w:rPr>
              <w:t>收费行为等有关问题的通知》（发改价格[2011]534号）的有关规定收取。</w:t>
            </w:r>
            <w:r>
              <w:rPr>
                <w:rFonts w:hint="default" w:ascii="Times New Roman" w:hAnsi="Times New Roman" w:cs="Times New Roman"/>
                <w:color w:val="auto"/>
                <w:sz w:val="21"/>
                <w:szCs w:val="21"/>
                <w:highlight w:val="none"/>
                <w:u w:val="none"/>
              </w:rPr>
              <w:t>由中标单位</w:t>
            </w:r>
            <w:r>
              <w:rPr>
                <w:rFonts w:hint="eastAsia" w:ascii="Times New Roman" w:hAnsi="Times New Roman" w:cs="Times New Roman"/>
                <w:color w:val="auto"/>
                <w:sz w:val="21"/>
                <w:szCs w:val="21"/>
                <w:highlight w:val="none"/>
                <w:u w:val="none"/>
              </w:rPr>
              <w:t>在领取中标通知书前一次性</w:t>
            </w:r>
            <w:r>
              <w:rPr>
                <w:rFonts w:hint="default" w:ascii="Times New Roman" w:hAnsi="Times New Roman" w:cs="Times New Roman"/>
                <w:color w:val="auto"/>
                <w:sz w:val="21"/>
                <w:szCs w:val="21"/>
                <w:highlight w:val="none"/>
                <w:u w:val="none"/>
              </w:rPr>
              <w:t>向</w:t>
            </w:r>
            <w:r>
              <w:rPr>
                <w:szCs w:val="21"/>
                <w:shd w:val="clear" w:color="auto" w:fill="FFFFFF"/>
              </w:rPr>
              <w:t>采购代理机构</w:t>
            </w:r>
            <w:r>
              <w:rPr>
                <w:rFonts w:hint="eastAsia" w:cs="Times New Roman"/>
                <w:color w:val="auto"/>
                <w:sz w:val="21"/>
                <w:szCs w:val="21"/>
                <w:highlight w:val="none"/>
                <w:u w:val="none"/>
                <w:lang w:val="en-US" w:eastAsia="zh-CN"/>
              </w:rPr>
              <w:t>付清</w:t>
            </w:r>
            <w:r>
              <w:rPr>
                <w:rFonts w:hint="default" w:ascii="Times New Roman" w:hAnsi="Times New Roman" w:cs="Times New Roman"/>
                <w:color w:val="auto"/>
                <w:sz w:val="21"/>
                <w:szCs w:val="21"/>
                <w:highlight w:val="none"/>
                <w:u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cs="Times New Roman"/>
                <w:color w:val="auto"/>
                <w:sz w:val="21"/>
                <w:szCs w:val="21"/>
                <w:highlight w:val="none"/>
                <w:lang w:val="en-US" w:eastAsia="zh-CN"/>
              </w:rPr>
            </w:pPr>
            <w:bookmarkStart w:id="14" w:name="_Toc222740110"/>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9</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sz w:val="21"/>
                <w:szCs w:val="21"/>
                <w:highlight w:val="none"/>
                <w:lang w:val="en-US" w:eastAsia="zh-CN"/>
              </w:rPr>
              <w:t>采购标对应的中小企业划分标准所属行业</w:t>
            </w:r>
          </w:p>
        </w:tc>
        <w:tc>
          <w:tcPr>
            <w:tcW w:w="3087" w:type="pct"/>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outlineLvl w:val="9"/>
              <w:rPr>
                <w:rFonts w:cs="Times New Roman"/>
                <w:sz w:val="21"/>
                <w:szCs w:val="21"/>
                <w:highlight w:val="none"/>
              </w:rPr>
            </w:pPr>
            <w:r>
              <w:rPr>
                <w:rFonts w:hint="eastAsia" w:ascii="Times New Roman" w:hAnsi="Times New Roman" w:eastAsia="宋体" w:cs="Times New Roman"/>
                <w:color w:val="auto"/>
                <w:sz w:val="21"/>
                <w:szCs w:val="21"/>
                <w:highlight w:val="none"/>
                <w:shd w:val="clear" w:color="auto" w:fill="FFFFFF"/>
                <w:lang w:eastAsia="zh-CN"/>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20" w:hRule="atLeast"/>
        </w:trPr>
        <w:tc>
          <w:tcPr>
            <w:tcW w:w="364"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547" w:type="pct"/>
            <w:vAlign w:val="center"/>
          </w:tcPr>
          <w:p>
            <w:pPr>
              <w:keepNext w:val="0"/>
              <w:keepLines w:val="0"/>
              <w:pageBreakBefore w:val="0"/>
              <w:widowControl w:val="0"/>
              <w:kinsoku/>
              <w:wordWrap/>
              <w:overflowPunct/>
              <w:topLinePunct w:val="0"/>
              <w:autoSpaceDE/>
              <w:autoSpaceDN/>
              <w:bidi w:val="0"/>
              <w:adjustRightInd/>
              <w:spacing w:line="400" w:lineRule="exact"/>
              <w:ind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其他</w:t>
            </w:r>
          </w:p>
        </w:tc>
        <w:tc>
          <w:tcPr>
            <w:tcW w:w="3087" w:type="pct"/>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outlineLvl w:val="9"/>
              <w:rPr>
                <w:rFonts w:hint="eastAsia" w:ascii="Times New Roman" w:hAnsi="Times New Roman" w:eastAsia="宋体" w:cs="Times New Roman"/>
                <w:color w:val="auto"/>
                <w:sz w:val="21"/>
                <w:szCs w:val="21"/>
                <w:highlight w:val="none"/>
                <w:shd w:val="clear" w:color="auto" w:fill="FFFFFF"/>
                <w:lang w:eastAsia="zh-CN"/>
              </w:rPr>
            </w:pPr>
            <w:r>
              <w:rPr>
                <w:rFonts w:hint="eastAsia"/>
                <w:lang w:val="en-US" w:eastAsia="zh-CN"/>
              </w:rPr>
              <w:t>1、</w:t>
            </w:r>
            <w:r>
              <w:t>本招标文件未明确的其他事项，按照有关法律、法规或省市</w:t>
            </w:r>
            <w:r>
              <w:rPr>
                <w:rFonts w:hint="eastAsia" w:ascii="Times New Roman" w:hAnsi="Times New Roman" w:eastAsia="宋体" w:cs="Times New Roman"/>
                <w:color w:val="auto"/>
                <w:sz w:val="21"/>
                <w:szCs w:val="21"/>
                <w:highlight w:val="none"/>
                <w:shd w:val="clear" w:color="auto" w:fill="FFFFFF"/>
                <w:lang w:eastAsia="zh-CN"/>
              </w:rPr>
              <w:t>有关规定执行。</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outlineLvl w:val="9"/>
              <w:rPr>
                <w:rFonts w:hint="default"/>
                <w:lang w:val="en-US" w:eastAsia="zh-CN"/>
              </w:rPr>
            </w:pPr>
            <w:r>
              <w:rPr>
                <w:rFonts w:hint="eastAsia" w:ascii="Times New Roman" w:hAnsi="Times New Roman" w:eastAsia="宋体" w:cs="Times New Roman"/>
                <w:color w:val="auto"/>
                <w:sz w:val="21"/>
                <w:szCs w:val="21"/>
                <w:highlight w:val="none"/>
                <w:shd w:val="clear" w:color="auto" w:fill="FFFFFF"/>
                <w:lang w:val="en-US" w:eastAsia="zh-CN"/>
              </w:rPr>
              <w:t>2、中标单位在领取中标通知书时，提供与电子投标文件一致的纸质版文件1正2副，电子版U盘一份（胶装方式装订成册，装订应牢固、不易拆散和换页，不得采用活页装订</w:t>
            </w:r>
            <w:r>
              <w:rPr>
                <w:rFonts w:hint="eastAsia"/>
                <w:lang w:val="en-US" w:eastAsia="zh-CN"/>
              </w:rPr>
              <w:t>）</w:t>
            </w:r>
          </w:p>
        </w:tc>
      </w:tr>
      <w:bookmarkEnd w:id="11"/>
    </w:tbl>
    <w:p>
      <w:pPr>
        <w:keepNext w:val="0"/>
        <w:keepLines w:val="0"/>
        <w:pageBreakBefore w:val="0"/>
        <w:widowControl w:val="0"/>
        <w:kinsoku/>
        <w:wordWrap/>
        <w:overflowPunct/>
        <w:topLinePunct w:val="0"/>
        <w:autoSpaceDE/>
        <w:autoSpaceDN/>
        <w:bidi w:val="0"/>
        <w:adjustRightInd/>
        <w:snapToGrid/>
        <w:spacing w:line="500" w:lineRule="exact"/>
        <w:ind w:right="0" w:rightChars="0"/>
        <w:textAlignment w:val="auto"/>
        <w:outlineLvl w:val="9"/>
        <w:rPr>
          <w:rFonts w:hint="default" w:ascii="Times New Roman" w:hAnsi="Times New Roman" w:cs="Times New Roman"/>
          <w:spacing w:val="0"/>
          <w:sz w:val="21"/>
          <w:szCs w:val="21"/>
          <w:highlight w:val="none"/>
        </w:rPr>
        <w:sectPr>
          <w:footerReference r:id="rId6" w:type="default"/>
          <w:pgSz w:w="11905" w:h="16838"/>
          <w:pgMar w:top="1440" w:right="1080" w:bottom="1440" w:left="1080" w:header="1020" w:footer="680" w:gutter="0"/>
          <w:pgBorders w:zOrder="back">
            <w:top w:val="thinThickSmallGap" w:color="auto" w:sz="24" w:space="1"/>
            <w:left w:val="none" w:sz="0" w:space="0"/>
            <w:bottom w:val="thinThickSmallGap" w:color="auto" w:sz="24" w:space="1"/>
            <w:right w:val="none" w:sz="0" w:space="0"/>
          </w:pgBorders>
          <w:pgNumType w:fmt="decimal" w:start="1"/>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500" w:lineRule="exact"/>
        <w:ind w:right="0" w:rightChars="0"/>
        <w:textAlignment w:val="auto"/>
        <w:outlineLvl w:val="9"/>
        <w:rPr>
          <w:rFonts w:ascii="宋体" w:hAnsi="宋体"/>
          <w:spacing w:val="0"/>
          <w:sz w:val="21"/>
          <w:szCs w:val="21"/>
          <w:highlight w:val="none"/>
        </w:rPr>
      </w:pPr>
      <w:r>
        <w:rPr>
          <w:rFonts w:hint="default" w:ascii="Times New Roman" w:hAnsi="Times New Roman" w:cs="Times New Roman"/>
          <w:spacing w:val="0"/>
          <w:sz w:val="21"/>
          <w:szCs w:val="21"/>
          <w:highlight w:val="none"/>
        </w:rPr>
        <w:t>附件</w:t>
      </w:r>
      <w:r>
        <w:rPr>
          <w:rFonts w:hint="eastAsia" w:cs="Times New Roman"/>
          <w:spacing w:val="0"/>
          <w:sz w:val="21"/>
          <w:szCs w:val="21"/>
          <w:highlight w:val="none"/>
          <w:lang w:eastAsia="zh-CN"/>
        </w:rPr>
        <w:t>一</w:t>
      </w:r>
      <w:r>
        <w:rPr>
          <w:rFonts w:hint="default" w:ascii="Times New Roman" w:hAnsi="Times New Roman" w:cs="Times New Roman"/>
          <w:spacing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562" w:firstLineChars="200"/>
        <w:jc w:val="center"/>
        <w:textAlignment w:val="auto"/>
        <w:outlineLvl w:val="9"/>
        <w:rPr>
          <w:rFonts w:ascii="宋体" w:hAnsi="宋体"/>
          <w:spacing w:val="0"/>
          <w:sz w:val="21"/>
          <w:szCs w:val="21"/>
          <w:highlight w:val="none"/>
        </w:rPr>
      </w:pPr>
      <w:r>
        <w:rPr>
          <w:rFonts w:hint="eastAsia" w:ascii="宋体" w:hAnsi="宋体"/>
          <w:b/>
          <w:spacing w:val="0"/>
          <w:sz w:val="28"/>
          <w:szCs w:val="28"/>
          <w:highlight w:val="none"/>
          <w:lang w:val="en-US" w:eastAsia="zh-CN"/>
        </w:rPr>
        <w:t>代理服务</w:t>
      </w:r>
      <w:r>
        <w:rPr>
          <w:rFonts w:hint="eastAsia" w:ascii="宋体" w:hAnsi="宋体"/>
          <w:b/>
          <w:spacing w:val="0"/>
          <w:sz w:val="28"/>
          <w:szCs w:val="28"/>
          <w:highlight w:val="none"/>
        </w:rPr>
        <w:t>费收取说明</w:t>
      </w:r>
    </w:p>
    <w:p>
      <w:pPr>
        <w:keepNext w:val="0"/>
        <w:keepLines w:val="0"/>
        <w:pageBreakBefore w:val="0"/>
        <w:widowControl w:val="0"/>
        <w:kinsoku/>
        <w:wordWrap/>
        <w:overflowPunct/>
        <w:topLinePunct w:val="0"/>
        <w:autoSpaceDE/>
        <w:autoSpaceDN/>
        <w:bidi w:val="0"/>
        <w:adjustRightInd/>
        <w:snapToGrid/>
        <w:spacing w:line="500" w:lineRule="exact"/>
        <w:ind w:right="0" w:rightChars="0"/>
        <w:textAlignment w:val="auto"/>
        <w:outlineLvl w:val="9"/>
        <w:rPr>
          <w:rFonts w:hint="default" w:ascii="Times New Roman" w:hAnsi="Times New Roman" w:cs="Times New Roman"/>
          <w:spacing w:val="0"/>
          <w:sz w:val="21"/>
          <w:szCs w:val="21"/>
          <w:highlight w:val="none"/>
        </w:rPr>
      </w:pPr>
      <w:r>
        <w:rPr>
          <w:rFonts w:hint="eastAsia" w:ascii="宋体" w:hAnsi="宋体"/>
          <w:spacing w:val="0"/>
          <w:sz w:val="21"/>
          <w:szCs w:val="21"/>
          <w:highlight w:val="none"/>
          <w:lang w:val="en-US" w:eastAsia="zh-CN"/>
        </w:rPr>
        <w:t xml:space="preserve">    一</w:t>
      </w:r>
      <w:r>
        <w:rPr>
          <w:rFonts w:hint="eastAsia" w:ascii="宋体" w:hAnsi="宋体"/>
          <w:spacing w:val="0"/>
          <w:sz w:val="21"/>
          <w:szCs w:val="21"/>
          <w:highlight w:val="none"/>
        </w:rPr>
        <w:t>、请将款项汇至以下指定的银行账户内（须从公司基本账户转出）：</w:t>
      </w:r>
    </w:p>
    <w:tbl>
      <w:tblPr>
        <w:tblStyle w:val="37"/>
        <w:tblW w:w="8700" w:type="dxa"/>
        <w:tblInd w:w="64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8" w:hRule="atLeast"/>
        </w:trPr>
        <w:tc>
          <w:tcPr>
            <w:tcW w:w="8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right="0" w:rightChars="0"/>
              <w:textAlignment w:val="auto"/>
              <w:outlineLvl w:val="9"/>
              <w:rPr>
                <w:rFonts w:hint="default" w:ascii="Times New Roman" w:hAnsi="Times New Roman" w:cs="Times New Roman"/>
                <w:spacing w:val="0"/>
                <w:sz w:val="21"/>
                <w:szCs w:val="21"/>
                <w:highlight w:val="none"/>
              </w:rPr>
            </w:pPr>
            <w:r>
              <w:rPr>
                <w:rFonts w:hint="default" w:ascii="Times New Roman" w:hAnsi="Times New Roman" w:cs="Times New Roman"/>
                <w:spacing w:val="0"/>
                <w:sz w:val="21"/>
                <w:szCs w:val="21"/>
                <w:highlight w:val="none"/>
              </w:rPr>
              <w:t>招标</w:t>
            </w:r>
            <w:r>
              <w:rPr>
                <w:rFonts w:hint="default" w:ascii="Times New Roman" w:hAnsi="Times New Roman" w:cs="Times New Roman"/>
                <w:spacing w:val="0"/>
                <w:sz w:val="21"/>
                <w:szCs w:val="21"/>
                <w:highlight w:val="none"/>
                <w:lang w:eastAsia="zh-CN"/>
              </w:rPr>
              <w:t>代理</w:t>
            </w:r>
            <w:r>
              <w:rPr>
                <w:rFonts w:hint="default" w:ascii="Times New Roman" w:hAnsi="Times New Roman" w:cs="Times New Roman"/>
                <w:spacing w:val="0"/>
                <w:sz w:val="21"/>
                <w:szCs w:val="21"/>
                <w:highlight w:val="none"/>
              </w:rPr>
              <w:t>服务费</w:t>
            </w:r>
            <w:r>
              <w:rPr>
                <w:szCs w:val="21"/>
              </w:rPr>
              <w:t>专用户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8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630" w:leftChars="300" w:right="0" w:rightChars="0"/>
              <w:textAlignment w:val="auto"/>
              <w:outlineLvl w:val="9"/>
              <w:rPr>
                <w:rFonts w:hint="default" w:ascii="Times New Roman" w:hAnsi="Times New Roman" w:cs="Times New Roman"/>
                <w:spacing w:val="0"/>
                <w:sz w:val="21"/>
                <w:szCs w:val="21"/>
                <w:highlight w:val="none"/>
              </w:rPr>
            </w:pPr>
            <w:r>
              <w:rPr>
                <w:rFonts w:hint="default" w:ascii="Times New Roman" w:hAnsi="Times New Roman" w:cs="Times New Roman"/>
                <w:spacing w:val="0"/>
                <w:sz w:val="21"/>
                <w:szCs w:val="21"/>
                <w:highlight w:val="none"/>
              </w:rPr>
              <w:t>名  称：</w:t>
            </w:r>
            <w:r>
              <w:rPr>
                <w:rFonts w:hint="default" w:ascii="Times New Roman" w:hAnsi="Times New Roman" w:cs="Times New Roman"/>
                <w:szCs w:val="21"/>
                <w:highlight w:val="none"/>
                <w:lang w:val="en-US" w:eastAsia="zh-CN"/>
              </w:rPr>
              <w:t>陕西国信招标有限公司</w:t>
            </w:r>
          </w:p>
          <w:p>
            <w:pPr>
              <w:keepNext w:val="0"/>
              <w:keepLines w:val="0"/>
              <w:pageBreakBefore w:val="0"/>
              <w:widowControl w:val="0"/>
              <w:kinsoku/>
              <w:wordWrap/>
              <w:overflowPunct/>
              <w:topLinePunct w:val="0"/>
              <w:autoSpaceDE/>
              <w:autoSpaceDN/>
              <w:bidi w:val="0"/>
              <w:adjustRightInd/>
              <w:snapToGrid/>
              <w:spacing w:line="500" w:lineRule="exact"/>
              <w:ind w:left="630" w:leftChars="300" w:right="0" w:rightChars="0"/>
              <w:textAlignment w:val="auto"/>
              <w:outlineLvl w:val="9"/>
              <w:rPr>
                <w:rFonts w:hint="default" w:ascii="Times New Roman" w:hAnsi="Times New Roman" w:cs="Times New Roman"/>
                <w:spacing w:val="0"/>
                <w:sz w:val="21"/>
                <w:szCs w:val="21"/>
                <w:highlight w:val="none"/>
              </w:rPr>
            </w:pPr>
            <w:r>
              <w:rPr>
                <w:rFonts w:hint="default" w:ascii="Times New Roman" w:hAnsi="Times New Roman" w:cs="Times New Roman"/>
                <w:spacing w:val="0"/>
                <w:sz w:val="21"/>
                <w:szCs w:val="21"/>
                <w:highlight w:val="none"/>
              </w:rPr>
              <w:t>开户行：</w:t>
            </w:r>
            <w:r>
              <w:rPr>
                <w:rFonts w:hint="default" w:ascii="Times New Roman" w:hAnsi="Times New Roman" w:cs="Times New Roman"/>
                <w:szCs w:val="21"/>
                <w:highlight w:val="none"/>
                <w:lang w:val="en-US" w:eastAsia="zh-CN"/>
              </w:rPr>
              <w:t>西安银行股份有限公司咸宁中路支行</w:t>
            </w:r>
          </w:p>
          <w:p>
            <w:pPr>
              <w:keepNext w:val="0"/>
              <w:keepLines w:val="0"/>
              <w:pageBreakBefore w:val="0"/>
              <w:widowControl w:val="0"/>
              <w:kinsoku/>
              <w:wordWrap/>
              <w:overflowPunct/>
              <w:topLinePunct w:val="0"/>
              <w:autoSpaceDE/>
              <w:autoSpaceDN/>
              <w:bidi w:val="0"/>
              <w:adjustRightInd/>
              <w:snapToGrid/>
              <w:spacing w:line="500" w:lineRule="exact"/>
              <w:ind w:left="630" w:leftChars="300" w:right="0" w:rightChars="0"/>
              <w:textAlignment w:val="auto"/>
              <w:outlineLvl w:val="9"/>
              <w:rPr>
                <w:rFonts w:hint="default" w:ascii="Times New Roman" w:hAnsi="Times New Roman" w:cs="Times New Roman"/>
                <w:spacing w:val="0"/>
                <w:sz w:val="21"/>
                <w:szCs w:val="21"/>
                <w:highlight w:val="none"/>
              </w:rPr>
            </w:pPr>
            <w:r>
              <w:rPr>
                <w:rFonts w:hint="default" w:ascii="Times New Roman" w:hAnsi="Times New Roman" w:cs="Times New Roman"/>
                <w:spacing w:val="0"/>
                <w:sz w:val="21"/>
                <w:szCs w:val="21"/>
                <w:highlight w:val="none"/>
              </w:rPr>
              <w:t>帐  号：</w:t>
            </w:r>
            <w:r>
              <w:rPr>
                <w:rFonts w:hint="default" w:ascii="Times New Roman" w:hAnsi="Times New Roman" w:cs="Times New Roman"/>
                <w:b w:val="0"/>
                <w:bCs w:val="0"/>
                <w:szCs w:val="21"/>
                <w:highlight w:val="none"/>
                <w:lang w:val="en-US" w:eastAsia="zh-CN"/>
              </w:rPr>
              <w:t>4120 1158 00000 61474</w:t>
            </w:r>
          </w:p>
          <w:p>
            <w:pPr>
              <w:keepNext w:val="0"/>
              <w:keepLines w:val="0"/>
              <w:pageBreakBefore w:val="0"/>
              <w:widowControl w:val="0"/>
              <w:kinsoku/>
              <w:wordWrap/>
              <w:overflowPunct/>
              <w:topLinePunct w:val="0"/>
              <w:autoSpaceDE/>
              <w:autoSpaceDN/>
              <w:bidi w:val="0"/>
              <w:adjustRightInd/>
              <w:snapToGrid/>
              <w:spacing w:line="500" w:lineRule="exact"/>
              <w:ind w:left="630" w:leftChars="300" w:right="0" w:rightChars="0"/>
              <w:textAlignment w:val="auto"/>
              <w:outlineLvl w:val="9"/>
              <w:rPr>
                <w:rFonts w:hint="default" w:ascii="Times New Roman" w:hAnsi="Times New Roman" w:cs="Times New Roman"/>
                <w:spacing w:val="0"/>
                <w:sz w:val="21"/>
                <w:szCs w:val="21"/>
                <w:highlight w:val="none"/>
              </w:rPr>
            </w:pPr>
            <w:r>
              <w:rPr>
                <w:rFonts w:hint="default" w:ascii="Times New Roman" w:hAnsi="Times New Roman" w:cs="Times New Roman"/>
                <w:spacing w:val="0"/>
                <w:sz w:val="21"/>
                <w:szCs w:val="21"/>
                <w:highlight w:val="none"/>
              </w:rPr>
              <w:t>备</w:t>
            </w:r>
            <w:r>
              <w:rPr>
                <w:rFonts w:hint="eastAsia" w:ascii="Times New Roman" w:hAnsi="Times New Roman" w:cs="Times New Roman"/>
                <w:spacing w:val="0"/>
                <w:sz w:val="21"/>
                <w:szCs w:val="21"/>
                <w:highlight w:val="none"/>
                <w:lang w:val="en-US" w:eastAsia="zh-CN"/>
              </w:rPr>
              <w:t xml:space="preserve">  </w:t>
            </w:r>
            <w:r>
              <w:rPr>
                <w:rFonts w:hint="default" w:ascii="Times New Roman" w:hAnsi="Times New Roman" w:cs="Times New Roman"/>
                <w:spacing w:val="0"/>
                <w:sz w:val="21"/>
                <w:szCs w:val="21"/>
                <w:highlight w:val="none"/>
              </w:rPr>
              <w:t>注：</w:t>
            </w:r>
            <w:r>
              <w:rPr>
                <w:rFonts w:hint="default" w:ascii="Times New Roman" w:hAnsi="Times New Roman" w:cs="Times New Roman"/>
                <w:spacing w:val="0"/>
                <w:sz w:val="21"/>
                <w:szCs w:val="21"/>
                <w:highlight w:val="none"/>
                <w:lang w:eastAsia="zh-CN"/>
              </w:rPr>
              <w:t>转账</w:t>
            </w:r>
            <w:r>
              <w:rPr>
                <w:rFonts w:hint="default" w:ascii="Times New Roman" w:hAnsi="Times New Roman" w:cs="Times New Roman"/>
                <w:spacing w:val="0"/>
                <w:sz w:val="21"/>
                <w:szCs w:val="21"/>
                <w:highlight w:val="none"/>
              </w:rPr>
              <w:t>时请注明项目编号信息</w:t>
            </w:r>
            <w:r>
              <w:rPr>
                <w:rFonts w:hint="eastAsia" w:ascii="Times New Roman" w:hAnsi="Times New Roman" w:cs="Times New Roman"/>
                <w:color w:val="000000"/>
                <w:spacing w:val="0"/>
                <w:sz w:val="21"/>
                <w:szCs w:val="21"/>
                <w:highlight w:val="none"/>
                <w:lang w:eastAsia="zh-CN"/>
              </w:rPr>
              <w:t>“GXZB2023-067Z.1B1</w:t>
            </w:r>
            <w:r>
              <w:rPr>
                <w:rFonts w:hint="default" w:ascii="Times New Roman" w:hAnsi="Times New Roman" w:cs="Times New Roman"/>
                <w:color w:val="000000"/>
                <w:spacing w:val="0"/>
                <w:sz w:val="21"/>
                <w:szCs w:val="21"/>
                <w:highlight w:val="none"/>
              </w:rPr>
              <w:t>项</w:t>
            </w:r>
            <w:r>
              <w:rPr>
                <w:rFonts w:hint="default" w:ascii="Times New Roman" w:hAnsi="Times New Roman" w:cs="Times New Roman"/>
                <w:spacing w:val="0"/>
                <w:sz w:val="21"/>
                <w:szCs w:val="21"/>
                <w:highlight w:val="none"/>
              </w:rPr>
              <w:t>目</w:t>
            </w:r>
            <w:r>
              <w:rPr>
                <w:rFonts w:hint="default" w:ascii="Times New Roman" w:hAnsi="Times New Roman" w:cs="Times New Roman"/>
                <w:spacing w:val="0"/>
                <w:sz w:val="21"/>
                <w:szCs w:val="21"/>
                <w:highlight w:val="none"/>
                <w:lang w:eastAsia="zh-CN"/>
              </w:rPr>
              <w:t>招标代理服务费</w:t>
            </w:r>
            <w:r>
              <w:rPr>
                <w:rFonts w:hint="eastAsia" w:ascii="Times New Roman" w:hAnsi="Times New Roman" w:cs="Times New Roman"/>
                <w:spacing w:val="0"/>
                <w:sz w:val="21"/>
                <w:szCs w:val="21"/>
                <w:highlight w:val="none"/>
                <w:lang w:eastAsia="zh-CN"/>
              </w:rPr>
              <w:t>”</w:t>
            </w:r>
          </w:p>
        </w:tc>
      </w:tr>
    </w:tbl>
    <w:p>
      <w:pPr>
        <w:keepNext w:val="0"/>
        <w:keepLines w:val="0"/>
        <w:pageBreakBefore w:val="0"/>
        <w:widowControl w:val="0"/>
        <w:kinsoku/>
        <w:wordWrap/>
        <w:overflowPunct/>
        <w:topLinePunct w:val="0"/>
        <w:autoSpaceDE/>
        <w:autoSpaceDN/>
        <w:bidi w:val="0"/>
        <w:adjustRightInd/>
        <w:snapToGrid/>
        <w:spacing w:line="500" w:lineRule="exact"/>
        <w:ind w:right="0" w:rightChars="0" w:firstLine="420"/>
        <w:textAlignment w:val="auto"/>
        <w:outlineLvl w:val="9"/>
        <w:rPr>
          <w:rFonts w:hint="eastAsia" w:ascii="宋体" w:hAnsi="宋体"/>
          <w:spacing w:val="0"/>
          <w:sz w:val="21"/>
          <w:szCs w:val="21"/>
          <w:highlight w:val="none"/>
        </w:rPr>
      </w:pPr>
      <w:r>
        <w:rPr>
          <w:rFonts w:hint="eastAsia" w:ascii="宋体" w:hAnsi="宋体"/>
          <w:spacing w:val="0"/>
          <w:sz w:val="21"/>
          <w:szCs w:val="21"/>
          <w:highlight w:val="none"/>
          <w:lang w:eastAsia="zh-CN"/>
        </w:rPr>
        <w:t>二</w:t>
      </w:r>
      <w:r>
        <w:rPr>
          <w:rFonts w:hint="eastAsia" w:ascii="宋体" w:hAnsi="宋体"/>
          <w:spacing w:val="0"/>
          <w:sz w:val="21"/>
          <w:szCs w:val="21"/>
          <w:highlight w:val="none"/>
        </w:rPr>
        <w:t>、投标人需要办理完税发票（招标</w:t>
      </w:r>
      <w:r>
        <w:rPr>
          <w:rFonts w:hint="eastAsia" w:ascii="宋体" w:hAnsi="宋体"/>
          <w:spacing w:val="0"/>
          <w:sz w:val="21"/>
          <w:szCs w:val="21"/>
          <w:highlight w:val="none"/>
          <w:lang w:eastAsia="zh-CN"/>
        </w:rPr>
        <w:t>代理</w:t>
      </w:r>
      <w:r>
        <w:rPr>
          <w:rFonts w:hint="eastAsia" w:ascii="宋体" w:hAnsi="宋体"/>
          <w:spacing w:val="0"/>
          <w:sz w:val="21"/>
          <w:szCs w:val="21"/>
          <w:highlight w:val="none"/>
        </w:rPr>
        <w:t>服务费）的，须在</w:t>
      </w:r>
      <w:r>
        <w:rPr>
          <w:rFonts w:hint="eastAsia"/>
          <w:szCs w:val="21"/>
          <w:highlight w:val="none"/>
          <w:lang w:val="en-US" w:eastAsia="zh-CN"/>
        </w:rPr>
        <w:t>陕西国信招标有限公司</w:t>
      </w:r>
      <w:r>
        <w:rPr>
          <w:rFonts w:hint="eastAsia" w:ascii="宋体" w:hAnsi="宋体"/>
          <w:spacing w:val="0"/>
          <w:sz w:val="21"/>
          <w:szCs w:val="21"/>
          <w:highlight w:val="none"/>
        </w:rPr>
        <w:t>财务部的收款收据</w:t>
      </w:r>
      <w:r>
        <w:rPr>
          <w:rFonts w:hint="eastAsia" w:ascii="宋体" w:hAnsi="宋体"/>
          <w:spacing w:val="0"/>
          <w:sz w:val="21"/>
          <w:szCs w:val="21"/>
          <w:highlight w:val="none"/>
          <w:lang w:eastAsia="zh-CN"/>
        </w:rPr>
        <w:t>或发票</w:t>
      </w:r>
      <w:r>
        <w:rPr>
          <w:rFonts w:hint="eastAsia" w:ascii="宋体" w:hAnsi="宋体"/>
          <w:spacing w:val="0"/>
          <w:sz w:val="21"/>
          <w:szCs w:val="21"/>
          <w:highlight w:val="none"/>
        </w:rPr>
        <w:t>开具之日起</w:t>
      </w:r>
      <w:r>
        <w:rPr>
          <w:rFonts w:hint="default" w:ascii="Times New Roman" w:hAnsi="Times New Roman" w:cs="Times New Roman"/>
          <w:spacing w:val="0"/>
          <w:sz w:val="21"/>
          <w:szCs w:val="21"/>
          <w:highlight w:val="none"/>
        </w:rPr>
        <w:t>90</w:t>
      </w:r>
      <w:r>
        <w:rPr>
          <w:rFonts w:hint="eastAsia" w:ascii="宋体" w:hAnsi="宋体"/>
          <w:spacing w:val="0"/>
          <w:sz w:val="21"/>
          <w:szCs w:val="21"/>
          <w:highlight w:val="none"/>
        </w:rPr>
        <w:t>日内换领，逾期不予办理。</w:t>
      </w:r>
    </w:p>
    <w:p>
      <w:pPr>
        <w:rPr>
          <w:rFonts w:hint="eastAsia" w:ascii="宋体" w:hAnsi="宋体"/>
          <w:spacing w:val="0"/>
          <w:sz w:val="21"/>
          <w:szCs w:val="21"/>
          <w:highlight w:val="none"/>
        </w:rPr>
      </w:pPr>
      <w:r>
        <w:rPr>
          <w:rFonts w:hint="eastAsia" w:ascii="宋体" w:hAnsi="宋体"/>
          <w:spacing w:val="0"/>
          <w:sz w:val="21"/>
          <w:szCs w:val="21"/>
          <w:highlight w:val="none"/>
        </w:rPr>
        <w:br w:type="page"/>
      </w:r>
    </w:p>
    <w:p>
      <w:pPr>
        <w:keepNext w:val="0"/>
        <w:keepLines w:val="0"/>
        <w:pageBreakBefore w:val="0"/>
        <w:widowControl w:val="0"/>
        <w:kinsoku/>
        <w:wordWrap/>
        <w:overflowPunct/>
        <w:topLinePunct w:val="0"/>
        <w:autoSpaceDE/>
        <w:autoSpaceDN/>
        <w:bidi w:val="0"/>
        <w:adjustRightInd/>
        <w:snapToGrid/>
        <w:spacing w:line="500" w:lineRule="exact"/>
        <w:ind w:right="0" w:rightChars="0"/>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附件</w:t>
      </w:r>
      <w:r>
        <w:rPr>
          <w:rFonts w:hint="eastAsia" w:cs="Times New Roman"/>
          <w:sz w:val="21"/>
          <w:szCs w:val="21"/>
          <w:highlight w:val="none"/>
          <w:lang w:eastAsia="zh-CN"/>
        </w:rPr>
        <w:t>二</w:t>
      </w:r>
      <w:r>
        <w:rPr>
          <w:rFonts w:hint="default" w:ascii="Times New Roman" w:hAnsi="Times New Roman" w:cs="Times New Roman"/>
          <w:sz w:val="21"/>
          <w:szCs w:val="21"/>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center"/>
        <w:textAlignment w:val="auto"/>
        <w:outlineLvl w:val="9"/>
        <w:rPr>
          <w:b/>
          <w:bCs/>
          <w:sz w:val="36"/>
          <w:szCs w:val="36"/>
          <w:highlight w:val="none"/>
        </w:rPr>
      </w:pPr>
      <w:r>
        <w:rPr>
          <w:rFonts w:hint="default" w:ascii="Times New Roman" w:hAnsi="Times New Roman" w:cs="Times New Roman"/>
          <w:b/>
          <w:sz w:val="28"/>
          <w:szCs w:val="28"/>
          <w:highlight w:val="none"/>
        </w:rPr>
        <w:t>陕西省政府采购信用担保实施说明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1"/>
          <w:szCs w:val="21"/>
          <w:highlight w:val="none"/>
        </w:rPr>
      </w:pPr>
      <w:r>
        <w:rPr>
          <w:rFonts w:hint="eastAsia" w:ascii="Times New Roman" w:hAnsi="Times New Roman" w:cs="Times New Roman"/>
          <w:sz w:val="21"/>
          <w:szCs w:val="21"/>
          <w:highlight w:val="none"/>
          <w:lang w:val="en-US" w:eastAsia="zh-CN"/>
        </w:rPr>
        <w:t xml:space="preserve">    </w:t>
      </w:r>
      <w:r>
        <w:rPr>
          <w:rFonts w:hint="eastAsia" w:ascii="宋体" w:hAnsi="宋体" w:eastAsia="宋体" w:cs="宋体"/>
          <w:sz w:val="21"/>
          <w:szCs w:val="21"/>
          <w:highlight w:val="none"/>
        </w:rPr>
        <w:t>为支持和促进中小企业发展，进一步发挥政府采购政策功能作用，有效缓解中小企业融资难等问题，根据有关规定，为参与陕西省政府采购项目的</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提供政府采购信用担保，并按照程序确定了合作的担保机构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投标担保是为了确保本次</w:t>
      </w:r>
      <w:r>
        <w:rPr>
          <w:rFonts w:hint="eastAsia" w:ascii="宋体" w:hAnsi="宋体" w:eastAsia="宋体" w:cs="宋体"/>
          <w:sz w:val="21"/>
          <w:szCs w:val="21"/>
          <w:highlight w:val="none"/>
          <w:lang w:eastAsia="zh-CN"/>
        </w:rPr>
        <w:t>采购项目</w:t>
      </w:r>
      <w:r>
        <w:rPr>
          <w:rFonts w:hint="eastAsia" w:ascii="宋体" w:hAnsi="宋体" w:eastAsia="宋体" w:cs="宋体"/>
          <w:sz w:val="21"/>
          <w:szCs w:val="21"/>
          <w:highlight w:val="none"/>
        </w:rPr>
        <w:t>顺利进行而对投标单位的约束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投标保证金与投标担保函具有同等担保效力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担保函由陕西省财政厅公布的担保机构出具</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在缴纳投标保证金及中标</w:t>
      </w:r>
      <w:r>
        <w:rPr>
          <w:rFonts w:hint="eastAsia" w:ascii="宋体" w:hAnsi="宋体" w:eastAsia="宋体" w:cs="宋体"/>
          <w:sz w:val="21"/>
          <w:szCs w:val="21"/>
          <w:highlight w:val="none"/>
          <w:lang w:eastAsia="zh-CN"/>
        </w:rPr>
        <w:t>人</w:t>
      </w:r>
      <w:r>
        <w:rPr>
          <w:rFonts w:hint="eastAsia" w:ascii="宋体" w:hAnsi="宋体" w:eastAsia="宋体" w:cs="宋体"/>
          <w:sz w:val="21"/>
          <w:szCs w:val="21"/>
          <w:highlight w:val="none"/>
        </w:rPr>
        <w:t>缴纳履约保证金时可自愿选择通过担保机构保函的形式缴纳</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中标</w:t>
      </w:r>
      <w:r>
        <w:rPr>
          <w:rFonts w:hint="eastAsia" w:ascii="宋体" w:hAnsi="宋体" w:eastAsia="宋体" w:cs="宋体"/>
          <w:sz w:val="21"/>
          <w:szCs w:val="21"/>
          <w:highlight w:val="none"/>
          <w:lang w:eastAsia="zh-CN"/>
        </w:rPr>
        <w:t>人</w:t>
      </w:r>
      <w:r>
        <w:rPr>
          <w:rFonts w:hint="eastAsia" w:ascii="宋体" w:hAnsi="宋体" w:eastAsia="宋体" w:cs="宋体"/>
          <w:szCs w:val="21"/>
          <w:highlight w:val="none"/>
        </w:rPr>
        <w:t>申请信用融资时，提供政府采购中标（</w:t>
      </w:r>
      <w:r>
        <w:rPr>
          <w:rFonts w:hint="eastAsia" w:ascii="宋体" w:hAnsi="宋体" w:cs="宋体"/>
          <w:szCs w:val="21"/>
          <w:highlight w:val="none"/>
          <w:lang w:eastAsia="zh-CN"/>
        </w:rPr>
        <w:t>成交</w:t>
      </w:r>
      <w:r>
        <w:rPr>
          <w:rFonts w:hint="eastAsia" w:ascii="宋体" w:hAnsi="宋体" w:eastAsia="宋体" w:cs="宋体"/>
          <w:szCs w:val="21"/>
          <w:highlight w:val="none"/>
        </w:rPr>
        <w:t>）通知书、合同、融资等信息；具体按照陕西省财政厅关于印发《陕西省中小企业政府采购信用融资办法》（陕财办采〔2018〕23号）及陕西省财政厅《关于加快推进我省中小企业政府采购信用融资工作的通知》（陕财办采〔2020〕15 号）文件规定的程序申请办理</w:t>
      </w:r>
      <w:r>
        <w:rPr>
          <w:rFonts w:hint="eastAsia" w:ascii="宋体" w:hAnsi="宋体" w:eastAsia="宋体" w:cs="宋体"/>
          <w:sz w:val="21"/>
          <w:szCs w:val="21"/>
          <w:highlight w:val="none"/>
        </w:rPr>
        <w:t>，具体规定可登陆陕西省政府采购网(www.ccgp-shaanxi.gov.cn)重要通知专栏中查询了解。</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bCs/>
          <w:sz w:val="28"/>
          <w:szCs w:val="28"/>
          <w:highlight w:val="none"/>
          <w:lang w:val="en-US" w:eastAsia="zh-CN"/>
        </w:rPr>
      </w:pPr>
      <w:bookmarkStart w:id="15" w:name="bookmark27"/>
      <w:bookmarkStart w:id="16" w:name="bookmark28"/>
      <w:bookmarkStart w:id="17" w:name="bookmark29"/>
      <w:r>
        <w:rPr>
          <w:rFonts w:hint="eastAsia" w:ascii="宋体" w:hAnsi="宋体" w:eastAsia="宋体" w:cs="宋体"/>
          <w:b/>
          <w:bCs/>
          <w:sz w:val="28"/>
          <w:szCs w:val="28"/>
          <w:highlight w:val="none"/>
          <w:lang w:val="en-US" w:eastAsia="zh-CN"/>
        </w:rPr>
        <w:t>政采贷操作流程：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陕西政府采购供应商信用融资信息服务平台操作手册</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陕西政府采购供应商信用融资信息服务平台主要功能为：供应商凭中标项目或</w:t>
      </w:r>
      <w:r>
        <w:rPr>
          <w:rFonts w:hint="eastAsia" w:ascii="宋体" w:hAnsi="宋体" w:eastAsia="宋体" w:cs="宋体"/>
          <w:sz w:val="21"/>
          <w:szCs w:val="21"/>
          <w:highlight w:val="none"/>
          <w:lang w:eastAsia="zh-CN"/>
        </w:rPr>
        <w:t>中标</w:t>
      </w:r>
      <w:r>
        <w:rPr>
          <w:rFonts w:hint="eastAsia" w:ascii="宋体" w:hAnsi="宋体" w:eastAsia="宋体" w:cs="宋体"/>
          <w:sz w:val="21"/>
          <w:szCs w:val="21"/>
          <w:highlight w:val="none"/>
        </w:rPr>
        <w:t>合</w:t>
      </w:r>
      <w:r>
        <w:rPr>
          <w:rFonts w:hint="eastAsia" w:ascii="宋体" w:hAnsi="宋体" w:cs="宋体"/>
          <w:sz w:val="21"/>
          <w:szCs w:val="21"/>
          <w:highlight w:val="none"/>
          <w:lang w:eastAsia="zh-CN"/>
        </w:rPr>
        <w:t>同</w:t>
      </w:r>
      <w:r>
        <w:rPr>
          <w:rFonts w:hint="eastAsia" w:ascii="宋体" w:hAnsi="宋体" w:eastAsia="宋体" w:cs="宋体"/>
          <w:sz w:val="21"/>
          <w:szCs w:val="21"/>
          <w:highlight w:val="none"/>
        </w:rPr>
        <w:t>提交融资意向，查看融资申请进度等功能，本操作手册将详细说明这些功能。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宋体" w:hAnsi="宋体" w:eastAsia="宋体" w:cs="宋体"/>
          <w:sz w:val="21"/>
          <w:szCs w:val="21"/>
          <w:highlight w:val="none"/>
        </w:rPr>
      </w:pPr>
      <w:bookmarkStart w:id="18" w:name="bookmark32"/>
      <w:bookmarkEnd w:id="18"/>
      <w:bookmarkStart w:id="19" w:name="bookmark33"/>
      <w:bookmarkStart w:id="20" w:name="bookmark31"/>
      <w:bookmarkStart w:id="21" w:name="bookmark30"/>
      <w:r>
        <w:rPr>
          <w:rFonts w:hint="eastAsia" w:ascii="宋体" w:hAnsi="宋体" w:eastAsia="宋体" w:cs="宋体"/>
          <w:color w:val="000000"/>
          <w:spacing w:val="0"/>
          <w:w w:val="100"/>
          <w:kern w:val="2"/>
          <w:position w:val="0"/>
          <w:sz w:val="21"/>
          <w:szCs w:val="21"/>
          <w:u w:val="none"/>
          <w:shd w:val="clear" w:color="auto" w:fill="auto"/>
          <w:lang w:val="en-US" w:eastAsia="zh-CN" w:bidi="ar-SA"/>
        </w:rPr>
        <w:t>1.</w:t>
      </w:r>
      <w:r>
        <w:rPr>
          <w:rFonts w:hint="eastAsia" w:ascii="宋体" w:hAnsi="宋体" w:eastAsia="宋体" w:cs="宋体"/>
          <w:sz w:val="21"/>
          <w:szCs w:val="21"/>
          <w:highlight w:val="none"/>
        </w:rPr>
        <w:t>首页</w:t>
      </w:r>
      <w:bookmarkEnd w:id="19"/>
      <w:bookmarkEnd w:id="20"/>
      <w:bookmarkEnd w:id="2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平台首页主要呈现陕西政府采购信用融资相关政策法规、基本操作流程及供应商帮助内容，供应商企业可由登录注册模块登录平台。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宋体" w:hAnsi="宋体" w:eastAsia="宋体" w:cs="宋体"/>
          <w:sz w:val="21"/>
          <w:szCs w:val="21"/>
          <w:highlight w:val="none"/>
        </w:rPr>
      </w:pPr>
      <w:bookmarkStart w:id="22" w:name="bookmark36"/>
      <w:bookmarkEnd w:id="22"/>
      <w:bookmarkStart w:id="23" w:name="bookmark34"/>
      <w:bookmarkStart w:id="24" w:name="bookmark35"/>
      <w:bookmarkStart w:id="25" w:name="bookmark37"/>
      <w:r>
        <w:rPr>
          <w:rFonts w:hint="eastAsia" w:ascii="宋体" w:hAnsi="宋体" w:eastAsia="宋体" w:cs="宋体"/>
          <w:color w:val="000000"/>
          <w:spacing w:val="0"/>
          <w:w w:val="100"/>
          <w:kern w:val="2"/>
          <w:position w:val="0"/>
          <w:sz w:val="21"/>
          <w:szCs w:val="21"/>
          <w:u w:val="none"/>
          <w:shd w:val="clear" w:color="auto" w:fill="auto"/>
          <w:lang w:val="en-US" w:eastAsia="zh-CN" w:bidi="ar-SA"/>
        </w:rPr>
        <w:t>2.</w:t>
      </w:r>
      <w:r>
        <w:rPr>
          <w:rFonts w:hint="eastAsia" w:ascii="宋体" w:hAnsi="宋体" w:eastAsia="宋体" w:cs="宋体"/>
          <w:sz w:val="21"/>
          <w:szCs w:val="21"/>
          <w:highlight w:val="none"/>
        </w:rPr>
        <w:t>登录</w:t>
      </w:r>
      <w:bookmarkEnd w:id="23"/>
      <w:bookmarkEnd w:id="24"/>
      <w:bookmarkEnd w:id="2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陕西政府采购网的中标企业可用手机号注册用户，注册时需要填写企业名称及社会统一信用代码等信息，如下图：</w:t>
      </w:r>
    </w:p>
    <w:p>
      <w:pPr>
        <w:pStyle w:val="19"/>
      </w:pPr>
      <w:r>
        <w:drawing>
          <wp:inline distT="0" distB="0" distL="114300" distR="114300">
            <wp:extent cx="5486400" cy="3541395"/>
            <wp:effectExtent l="0" t="0" r="0" b="1905"/>
            <wp:docPr id="8" name="Picutre 8"/>
            <wp:cNvGraphicFramePr/>
            <a:graphic xmlns:a="http://schemas.openxmlformats.org/drawingml/2006/main">
              <a:graphicData uri="http://schemas.openxmlformats.org/drawingml/2006/picture">
                <pic:pic xmlns:pic="http://schemas.openxmlformats.org/drawingml/2006/picture">
                  <pic:nvPicPr>
                    <pic:cNvPr id="8" name="Picutre 8"/>
                    <pic:cNvPicPr/>
                  </pic:nvPicPr>
                  <pic:blipFill>
                    <a:blip r:embed="rId13"/>
                    <a:stretch>
                      <a:fillRect/>
                    </a:stretch>
                  </pic:blipFill>
                  <pic:spPr>
                    <a:xfrm>
                      <a:off x="0" y="0"/>
                      <a:ext cx="5486400" cy="3541395"/>
                    </a:xfrm>
                    <a:prstGeom prst="rect">
                      <a:avLst/>
                    </a:prstGeom>
                  </pic:spPr>
                </pic:pic>
              </a:graphicData>
            </a:graphic>
          </wp:inline>
        </w:drawing>
      </w:r>
    </w:p>
    <w:p>
      <w:pPr>
        <w:pStyle w:val="19"/>
        <w:rPr>
          <w:rFonts w:hint="default"/>
        </w:rPr>
      </w:pPr>
      <w:bookmarkStart w:id="26" w:name="bookmark38"/>
      <w:bookmarkStart w:id="27" w:name="bookmark40"/>
      <w:bookmarkStart w:id="28" w:name="bookmark39"/>
    </w:p>
    <w:p>
      <w:pPr>
        <w:pStyle w:val="19"/>
        <w:rPr>
          <w:rFonts w:hint="default"/>
        </w:rPr>
      </w:pPr>
      <w:r>
        <w:rPr>
          <w:rFonts w:hint="default"/>
        </w:rPr>
        <w:t>注册成功后，凭手机登录平台，如下图，点击首页:</w:t>
      </w:r>
      <w:bookmarkEnd w:id="26"/>
      <w:bookmarkEnd w:id="27"/>
      <w:bookmarkEnd w:id="28"/>
    </w:p>
    <w:p>
      <w:pPr>
        <w:pStyle w:val="19"/>
        <w:rPr>
          <w:rFonts w:hint="default"/>
        </w:rPr>
      </w:pPr>
      <w:r>
        <w:drawing>
          <wp:inline distT="0" distB="0" distL="114300" distR="114300">
            <wp:extent cx="5553075" cy="3606800"/>
            <wp:effectExtent l="0" t="0" r="9525"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553075" cy="3606800"/>
                    </a:xfrm>
                    <a:prstGeom prst="rect">
                      <a:avLst/>
                    </a:prstGeom>
                    <a:noFill/>
                    <a:ln>
                      <a:noFill/>
                    </a:ln>
                  </pic:spPr>
                </pic:pic>
              </a:graphicData>
            </a:graphic>
          </wp:inline>
        </w:drawing>
      </w:r>
    </w:p>
    <w:p>
      <w:pPr>
        <w:bidi w:val="0"/>
        <w:ind w:firstLine="420" w:firstLineChars="200"/>
        <w:rPr>
          <w:rFonts w:hint="eastAsia" w:ascii="宋体" w:hAnsi="宋体" w:eastAsia="宋体" w:cs="宋体"/>
        </w:rPr>
      </w:pPr>
      <w:bookmarkStart w:id="29" w:name="bookmark19"/>
      <w:bookmarkEnd w:id="29"/>
      <w:r>
        <w:rPr>
          <w:rFonts w:hint="eastAsia" w:ascii="宋体" w:hAnsi="宋体" w:eastAsia="宋体" w:cs="宋体"/>
          <w:color w:val="000000"/>
          <w:spacing w:val="0"/>
          <w:w w:val="100"/>
          <w:kern w:val="2"/>
          <w:position w:val="0"/>
          <w:sz w:val="21"/>
          <w:szCs w:val="21"/>
          <w:u w:val="none"/>
          <w:shd w:val="clear" w:color="auto" w:fill="auto"/>
          <w:lang w:val="en-US" w:eastAsia="zh-CN" w:bidi="ar-SA"/>
        </w:rPr>
        <w:t>3.</w:t>
      </w:r>
      <w:r>
        <w:rPr>
          <w:rFonts w:hint="eastAsia" w:ascii="宋体" w:hAnsi="宋体" w:eastAsia="宋体" w:cs="宋体"/>
          <w:color w:val="000000"/>
          <w:spacing w:val="0"/>
          <w:w w:val="100"/>
          <w:position w:val="0"/>
        </w:rPr>
        <w:t>点击</w:t>
      </w:r>
      <w:r>
        <w:rPr>
          <w:rFonts w:hint="eastAsia" w:ascii="宋体" w:hAnsi="宋体" w:eastAsia="宋体" w:cs="宋体"/>
          <w:color w:val="000000"/>
          <w:spacing w:val="0"/>
          <w:w w:val="100"/>
          <w:position w:val="0"/>
          <w:lang w:val="zh-CN" w:eastAsia="zh-CN" w:bidi="zh-CN"/>
        </w:rPr>
        <w:t>“可融</w:t>
      </w:r>
      <w:r>
        <w:rPr>
          <w:rFonts w:hint="eastAsia" w:ascii="宋体" w:hAnsi="宋体" w:eastAsia="宋体" w:cs="宋体"/>
          <w:color w:val="000000"/>
          <w:spacing w:val="0"/>
          <w:w w:val="100"/>
          <w:position w:val="0"/>
        </w:rPr>
        <w:t>资项目/合同”，再点击申请贷款</w:t>
      </w:r>
    </w:p>
    <w:p>
      <w:pPr>
        <w:bidi w:val="0"/>
        <w:rPr>
          <w:rFonts w:hint="eastAsia"/>
          <w:color w:val="000000"/>
          <w:spacing w:val="0"/>
          <w:w w:val="100"/>
          <w:position w:val="0"/>
          <w:lang w:val="en-US" w:eastAsia="zh-CN"/>
        </w:rPr>
      </w:pPr>
      <w:r>
        <w:drawing>
          <wp:inline distT="0" distB="0" distL="114300" distR="114300">
            <wp:extent cx="5524500" cy="367665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524500" cy="3676650"/>
                    </a:xfrm>
                    <a:prstGeom prst="rect">
                      <a:avLst/>
                    </a:prstGeom>
                    <a:noFill/>
                    <a:ln>
                      <a:noFill/>
                    </a:ln>
                  </pic:spPr>
                </pic:pic>
              </a:graphicData>
            </a:graphic>
          </wp:inline>
        </w:drawing>
      </w:r>
      <w:bookmarkStart w:id="30" w:name="bookmark20"/>
      <w:bookmarkEnd w:id="30"/>
    </w:p>
    <w:p>
      <w:pPr>
        <w:pStyle w:val="170"/>
        <w:keepNext w:val="0"/>
        <w:keepLines w:val="0"/>
        <w:widowControl w:val="0"/>
        <w:numPr>
          <w:ilvl w:val="0"/>
          <w:numId w:val="0"/>
        </w:numPr>
        <w:shd w:val="clear" w:color="auto" w:fill="auto"/>
        <w:bidi w:val="0"/>
        <w:spacing w:before="0" w:after="0" w:line="240" w:lineRule="auto"/>
        <w:ind w:leftChars="0" w:right="0" w:rightChars="0" w:firstLine="420" w:firstLineChars="200"/>
        <w:jc w:val="left"/>
        <w:rPr>
          <w:rFonts w:hint="eastAsia" w:eastAsia="宋体"/>
          <w:sz w:val="21"/>
          <w:szCs w:val="21"/>
          <w:lang w:eastAsia="zh-CN"/>
        </w:rPr>
      </w:pPr>
      <w:r>
        <w:rPr>
          <w:rFonts w:hint="eastAsia" w:ascii="宋体" w:hAnsi="Courier New" w:eastAsia="宋体" w:cs="黑体"/>
          <w:color w:val="000000"/>
          <w:spacing w:val="0"/>
          <w:w w:val="100"/>
          <w:kern w:val="2"/>
          <w:position w:val="0"/>
          <w:sz w:val="21"/>
          <w:szCs w:val="21"/>
          <w:u w:val="none"/>
          <w:shd w:val="clear"/>
          <w:lang w:val="en-US" w:eastAsia="zh-CN" w:bidi="ar-SA"/>
        </w:rPr>
        <w:t>4.</w:t>
      </w:r>
      <w:r>
        <w:rPr>
          <w:color w:val="000000"/>
          <w:spacing w:val="0"/>
          <w:w w:val="100"/>
          <w:position w:val="0"/>
          <w:sz w:val="21"/>
          <w:szCs w:val="21"/>
        </w:rPr>
        <w:t>勾选融资意向书</w:t>
      </w:r>
    </w:p>
    <w:p>
      <w:pPr>
        <w:bidi w:val="0"/>
        <w:rPr>
          <w:rFonts w:hint="eastAsia"/>
          <w:color w:val="000000"/>
          <w:spacing w:val="0"/>
          <w:w w:val="100"/>
          <w:position w:val="0"/>
          <w:lang w:val="en-US" w:eastAsia="zh-CN"/>
        </w:rPr>
      </w:pPr>
      <w:r>
        <w:drawing>
          <wp:inline distT="0" distB="0" distL="114300" distR="114300">
            <wp:extent cx="5572125" cy="3945255"/>
            <wp:effectExtent l="0" t="0" r="9525" b="171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572125" cy="3945255"/>
                    </a:xfrm>
                    <a:prstGeom prst="rect">
                      <a:avLst/>
                    </a:prstGeom>
                    <a:noFill/>
                    <a:ln>
                      <a:noFill/>
                    </a:ln>
                  </pic:spPr>
                </pic:pic>
              </a:graphicData>
            </a:graphic>
          </wp:inline>
        </w:drawing>
      </w:r>
    </w:p>
    <w:p>
      <w:pPr>
        <w:pStyle w:val="170"/>
        <w:keepNext w:val="0"/>
        <w:keepLines w:val="0"/>
        <w:widowControl w:val="0"/>
        <w:numPr>
          <w:ilvl w:val="0"/>
          <w:numId w:val="0"/>
        </w:numPr>
        <w:shd w:val="clear" w:color="auto" w:fill="auto"/>
        <w:bidi w:val="0"/>
        <w:spacing w:before="0" w:after="0" w:line="360" w:lineRule="auto"/>
        <w:ind w:right="0" w:rightChars="0" w:firstLine="420" w:firstLineChars="200"/>
        <w:jc w:val="left"/>
        <w:rPr>
          <w:rFonts w:hint="eastAsia"/>
          <w:color w:val="000000"/>
          <w:spacing w:val="0"/>
          <w:w w:val="100"/>
          <w:position w:val="0"/>
          <w:sz w:val="21"/>
          <w:szCs w:val="21"/>
          <w:lang w:eastAsia="zh-CN"/>
        </w:rPr>
      </w:pPr>
      <w:r>
        <w:rPr>
          <w:rFonts w:hint="eastAsia" w:ascii="宋体" w:hAnsi="Courier New" w:eastAsia="宋体" w:cs="黑体"/>
          <w:color w:val="000000"/>
          <w:spacing w:val="0"/>
          <w:w w:val="100"/>
          <w:kern w:val="2"/>
          <w:position w:val="0"/>
          <w:sz w:val="21"/>
          <w:szCs w:val="21"/>
          <w:u w:val="none"/>
          <w:shd w:val="clear"/>
          <w:lang w:val="en-US" w:eastAsia="zh-CN" w:bidi="ar-SA"/>
        </w:rPr>
        <w:t>5.</w:t>
      </w:r>
      <w:r>
        <w:rPr>
          <w:color w:val="000000"/>
          <w:spacing w:val="0"/>
          <w:w w:val="100"/>
          <w:position w:val="0"/>
          <w:sz w:val="21"/>
          <w:szCs w:val="21"/>
        </w:rPr>
        <w:t>页面下拉，输入贷款金额、预计用款周期、可接受利率、贷款资金用途，点击保存</w:t>
      </w:r>
      <w:r>
        <w:rPr>
          <w:rFonts w:hint="eastAsia"/>
          <w:color w:val="000000"/>
          <w:spacing w:val="0"/>
          <w:w w:val="100"/>
          <w:position w:val="0"/>
          <w:sz w:val="21"/>
          <w:szCs w:val="21"/>
          <w:lang w:eastAsia="zh-CN"/>
        </w:rPr>
        <w:t>，</w:t>
      </w:r>
      <w:bookmarkStart w:id="31" w:name="bookmark22"/>
      <w:bookmarkStart w:id="32" w:name="bookmark23"/>
      <w:bookmarkStart w:id="33" w:name="bookmark21"/>
      <w:r>
        <w:rPr>
          <w:rFonts w:hint="eastAsia"/>
          <w:color w:val="000000"/>
          <w:spacing w:val="0"/>
          <w:w w:val="100"/>
          <w:position w:val="0"/>
          <w:sz w:val="21"/>
          <w:szCs w:val="21"/>
          <w:lang w:eastAsia="zh-CN"/>
        </w:rPr>
        <w:t>选择办理贷款机构所在地，例如：长安区韦曲街道，然</w:t>
      </w:r>
      <w:bookmarkEnd w:id="31"/>
      <w:bookmarkEnd w:id="32"/>
      <w:bookmarkEnd w:id="33"/>
      <w:r>
        <w:rPr>
          <w:color w:val="000000"/>
          <w:spacing w:val="0"/>
          <w:w w:val="100"/>
          <w:position w:val="0"/>
          <w:sz w:val="21"/>
          <w:szCs w:val="21"/>
        </w:rPr>
        <w:t>后点击下一步</w:t>
      </w:r>
      <w:r>
        <w:rPr>
          <w:rFonts w:hint="eastAsia"/>
          <w:color w:val="000000"/>
          <w:spacing w:val="0"/>
          <w:w w:val="100"/>
          <w:position w:val="0"/>
          <w:sz w:val="21"/>
          <w:szCs w:val="21"/>
          <w:lang w:eastAsia="zh-CN"/>
        </w:rPr>
        <w:t>。</w:t>
      </w:r>
    </w:p>
    <w:p>
      <w:pPr>
        <w:pStyle w:val="170"/>
        <w:keepNext w:val="0"/>
        <w:keepLines w:val="0"/>
        <w:widowControl w:val="0"/>
        <w:numPr>
          <w:ilvl w:val="0"/>
          <w:numId w:val="0"/>
        </w:numPr>
        <w:shd w:val="clear" w:color="auto" w:fill="auto"/>
        <w:bidi w:val="0"/>
        <w:spacing w:before="0" w:after="0" w:line="240" w:lineRule="auto"/>
        <w:ind w:right="0" w:rightChars="0"/>
        <w:jc w:val="left"/>
        <w:rPr>
          <w:rFonts w:hint="eastAsia"/>
          <w:color w:val="000000"/>
          <w:spacing w:val="0"/>
          <w:w w:val="100"/>
          <w:position w:val="0"/>
          <w:lang w:eastAsia="zh-CN"/>
        </w:rPr>
      </w:pPr>
      <w:r>
        <w:drawing>
          <wp:inline distT="0" distB="0" distL="114300" distR="114300">
            <wp:extent cx="5562600" cy="3819525"/>
            <wp:effectExtent l="0" t="0" r="0" b="952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7"/>
                    <a:stretch>
                      <a:fillRect/>
                    </a:stretch>
                  </pic:blipFill>
                  <pic:spPr>
                    <a:xfrm>
                      <a:off x="0" y="0"/>
                      <a:ext cx="5562600" cy="3819525"/>
                    </a:xfrm>
                    <a:prstGeom prst="rect">
                      <a:avLst/>
                    </a:prstGeom>
                    <a:noFill/>
                    <a:ln>
                      <a:noFill/>
                    </a:ln>
                  </pic:spPr>
                </pic:pic>
              </a:graphicData>
            </a:graphic>
          </wp:inline>
        </w:drawing>
      </w:r>
    </w:p>
    <w:p>
      <w:pPr>
        <w:pStyle w:val="170"/>
        <w:keepNext w:val="0"/>
        <w:keepLines w:val="0"/>
        <w:widowControl w:val="0"/>
        <w:numPr>
          <w:ilvl w:val="0"/>
          <w:numId w:val="0"/>
        </w:numPr>
        <w:shd w:val="clear" w:color="auto" w:fill="auto"/>
        <w:bidi w:val="0"/>
        <w:spacing w:before="0" w:after="0" w:line="240" w:lineRule="auto"/>
        <w:ind w:right="0" w:rightChars="0"/>
        <w:jc w:val="left"/>
        <w:rPr>
          <w:rFonts w:hint="eastAsia"/>
          <w:color w:val="000000"/>
          <w:spacing w:val="0"/>
          <w:w w:val="100"/>
          <w:position w:val="0"/>
          <w:lang w:val="en-US" w:eastAsia="zh-CN"/>
        </w:rPr>
      </w:pPr>
    </w:p>
    <w:p>
      <w:pPr>
        <w:pStyle w:val="170"/>
        <w:keepNext w:val="0"/>
        <w:keepLines w:val="0"/>
        <w:widowControl w:val="0"/>
        <w:numPr>
          <w:ilvl w:val="0"/>
          <w:numId w:val="0"/>
        </w:numPr>
        <w:shd w:val="clear" w:color="auto" w:fill="auto"/>
        <w:bidi w:val="0"/>
        <w:spacing w:before="0" w:after="0" w:line="240" w:lineRule="auto"/>
        <w:ind w:right="0" w:rightChars="0"/>
        <w:jc w:val="left"/>
        <w:rPr>
          <w:sz w:val="21"/>
          <w:szCs w:val="21"/>
        </w:rPr>
      </w:pPr>
      <w:r>
        <w:rPr>
          <w:rFonts w:hint="eastAsia" w:ascii="宋体" w:hAnsi="Courier New" w:eastAsia="宋体" w:cs="黑体"/>
          <w:color w:val="000000"/>
          <w:spacing w:val="0"/>
          <w:w w:val="100"/>
          <w:kern w:val="2"/>
          <w:position w:val="0"/>
          <w:sz w:val="21"/>
          <w:szCs w:val="21"/>
          <w:u w:val="none"/>
          <w:shd w:val="clear"/>
          <w:lang w:val="en-US" w:eastAsia="zh-CN" w:bidi="ar-SA"/>
        </w:rPr>
        <w:t>6.</w:t>
      </w:r>
      <w:r>
        <w:rPr>
          <w:color w:val="000000"/>
          <w:spacing w:val="0"/>
          <w:w w:val="100"/>
          <w:position w:val="0"/>
          <w:sz w:val="21"/>
          <w:szCs w:val="21"/>
        </w:rPr>
        <w:t>在意向银行列点击提交贷款意向并确定</w:t>
      </w:r>
    </w:p>
    <w:p>
      <w:pPr>
        <w:pStyle w:val="19"/>
      </w:pPr>
      <w:r>
        <w:drawing>
          <wp:inline distT="0" distB="0" distL="114300" distR="114300">
            <wp:extent cx="5534025" cy="3514725"/>
            <wp:effectExtent l="0" t="0" r="9525"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5534025" cy="3514725"/>
                    </a:xfrm>
                    <a:prstGeom prst="rect">
                      <a:avLst/>
                    </a:prstGeom>
                    <a:noFill/>
                    <a:ln>
                      <a:noFill/>
                    </a:ln>
                  </pic:spPr>
                </pic:pic>
              </a:graphicData>
            </a:graphic>
          </wp:inline>
        </w:drawing>
      </w:r>
    </w:p>
    <w:p>
      <w:pPr>
        <w:pStyle w:val="19"/>
        <w:numPr>
          <w:ilvl w:val="0"/>
          <w:numId w:val="0"/>
        </w:numPr>
        <w:rPr>
          <w:rFonts w:hint="eastAsia"/>
          <w:color w:val="000000"/>
          <w:spacing w:val="0"/>
          <w:w w:val="100"/>
          <w:position w:val="0"/>
          <w:lang w:val="en-US" w:eastAsia="zh-CN"/>
        </w:rPr>
      </w:pPr>
    </w:p>
    <w:p>
      <w:pPr>
        <w:pStyle w:val="19"/>
        <w:numPr>
          <w:ilvl w:val="0"/>
          <w:numId w:val="0"/>
        </w:numPr>
        <w:rPr>
          <w:color w:val="000000"/>
          <w:spacing w:val="0"/>
          <w:w w:val="100"/>
          <w:position w:val="0"/>
        </w:rPr>
      </w:pPr>
      <w:r>
        <w:rPr>
          <w:rFonts w:hint="eastAsia"/>
          <w:color w:val="000000"/>
          <w:spacing w:val="0"/>
          <w:w w:val="100"/>
          <w:position w:val="0"/>
          <w:lang w:val="en-US" w:eastAsia="zh-CN"/>
        </w:rPr>
        <w:t>7.</w:t>
      </w:r>
      <w:r>
        <w:rPr>
          <w:color w:val="000000"/>
          <w:spacing w:val="0"/>
          <w:w w:val="100"/>
          <w:position w:val="0"/>
        </w:rPr>
        <w:t>在申请进度栏即可查看本笔融资进度</w:t>
      </w:r>
    </w:p>
    <w:p>
      <w:pPr>
        <w:pStyle w:val="19"/>
        <w:numPr>
          <w:ilvl w:val="0"/>
          <w:numId w:val="0"/>
        </w:numPr>
        <w:rPr>
          <w:b/>
          <w:bCs/>
          <w:sz w:val="28"/>
          <w:szCs w:val="28"/>
        </w:rPr>
      </w:pPr>
      <w:r>
        <w:drawing>
          <wp:inline distT="0" distB="0" distL="114300" distR="114300">
            <wp:extent cx="5524500" cy="3152775"/>
            <wp:effectExtent l="0" t="0" r="0"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tretch>
                      <a:fillRect/>
                    </a:stretch>
                  </pic:blipFill>
                  <pic:spPr>
                    <a:xfrm>
                      <a:off x="0" y="0"/>
                      <a:ext cx="5524500" cy="3152775"/>
                    </a:xfrm>
                    <a:prstGeom prst="rect">
                      <a:avLst/>
                    </a:prstGeom>
                    <a:noFill/>
                    <a:ln>
                      <a:noFill/>
                    </a:ln>
                  </pic:spPr>
                </pic:pic>
              </a:graphicData>
            </a:graphic>
          </wp:inline>
        </w:drawing>
      </w:r>
      <w:bookmarkStart w:id="34" w:name="bookmark56"/>
      <w:bookmarkStart w:id="35" w:name="bookmark58"/>
      <w:bookmarkStart w:id="36" w:name="bookmark57"/>
    </w:p>
    <w:p>
      <w:pPr>
        <w:pStyle w:val="19"/>
        <w:numPr>
          <w:ilvl w:val="0"/>
          <w:numId w:val="0"/>
        </w:numPr>
        <w:jc w:val="both"/>
        <w:rPr>
          <w:b/>
          <w:bCs/>
          <w:sz w:val="28"/>
          <w:szCs w:val="28"/>
        </w:rPr>
      </w:pPr>
    </w:p>
    <w:p>
      <w:pPr>
        <w:pStyle w:val="19"/>
        <w:numPr>
          <w:ilvl w:val="0"/>
          <w:numId w:val="0"/>
        </w:numPr>
        <w:jc w:val="center"/>
        <w:rPr>
          <w:b/>
          <w:bCs/>
          <w:sz w:val="28"/>
          <w:szCs w:val="28"/>
        </w:rPr>
      </w:pPr>
      <w:r>
        <w:rPr>
          <w:b/>
          <w:bCs/>
          <w:sz w:val="28"/>
          <w:szCs w:val="28"/>
        </w:rPr>
        <w:t>长安区开展政采贷业务银行联系方式</w:t>
      </w:r>
      <w:bookmarkEnd w:id="34"/>
      <w:bookmarkEnd w:id="35"/>
      <w:bookmarkEnd w:id="36"/>
    </w:p>
    <w:tbl>
      <w:tblPr>
        <w:tblStyle w:val="37"/>
        <w:tblW w:w="0" w:type="auto"/>
        <w:jc w:val="center"/>
        <w:shd w:val="clear" w:color="auto" w:fill="auto"/>
        <w:tblLayout w:type="fixed"/>
        <w:tblCellMar>
          <w:top w:w="0" w:type="dxa"/>
          <w:left w:w="10" w:type="dxa"/>
          <w:bottom w:w="0" w:type="dxa"/>
          <w:right w:w="10" w:type="dxa"/>
        </w:tblCellMar>
      </w:tblPr>
      <w:tblGrid>
        <w:gridCol w:w="763"/>
        <w:gridCol w:w="4267"/>
        <w:gridCol w:w="1646"/>
        <w:gridCol w:w="2270"/>
      </w:tblGrid>
      <w:tr>
        <w:tblPrEx>
          <w:shd w:val="clear" w:color="auto" w:fill="auto"/>
          <w:tblCellMar>
            <w:top w:w="0" w:type="dxa"/>
            <w:left w:w="10" w:type="dxa"/>
            <w:bottom w:w="0" w:type="dxa"/>
            <w:right w:w="10" w:type="dxa"/>
          </w:tblCellMar>
        </w:tblPrEx>
        <w:trPr>
          <w:trHeight w:val="624" w:hRule="exact"/>
          <w:jc w:val="center"/>
        </w:trPr>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140"/>
              <w:jc w:val="left"/>
              <w:rPr>
                <w:sz w:val="22"/>
                <w:szCs w:val="22"/>
              </w:rPr>
            </w:pPr>
            <w:r>
              <w:rPr>
                <w:color w:val="000000"/>
                <w:spacing w:val="0"/>
                <w:w w:val="100"/>
                <w:position w:val="0"/>
                <w:sz w:val="22"/>
                <w:szCs w:val="22"/>
              </w:rPr>
              <w:t>序号</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银行名称</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联系人</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电话</w:t>
            </w:r>
          </w:p>
        </w:tc>
      </w:tr>
      <w:tr>
        <w:tblPrEx>
          <w:shd w:val="clear" w:color="auto" w:fill="auto"/>
          <w:tblCellMar>
            <w:top w:w="0" w:type="dxa"/>
            <w:left w:w="10" w:type="dxa"/>
            <w:bottom w:w="0" w:type="dxa"/>
            <w:right w:w="10" w:type="dxa"/>
          </w:tblCellMar>
        </w:tblPrEx>
        <w:trPr>
          <w:trHeight w:val="610" w:hRule="exact"/>
          <w:jc w:val="center"/>
        </w:trPr>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300"/>
              <w:jc w:val="left"/>
              <w:rPr>
                <w:sz w:val="22"/>
                <w:szCs w:val="22"/>
              </w:rPr>
            </w:pPr>
            <w:r>
              <w:rPr>
                <w:rFonts w:ascii="Times New Roman" w:hAnsi="Times New Roman" w:eastAsia="Times New Roman" w:cs="Times New Roman"/>
                <w:color w:val="000000"/>
                <w:spacing w:val="0"/>
                <w:w w:val="100"/>
                <w:position w:val="0"/>
                <w:sz w:val="22"/>
                <w:szCs w:val="22"/>
              </w:rPr>
              <w:t>1</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1620" w:right="0" w:firstLine="0"/>
              <w:jc w:val="both"/>
              <w:rPr>
                <w:sz w:val="22"/>
                <w:szCs w:val="22"/>
              </w:rPr>
            </w:pPr>
            <w:r>
              <w:rPr>
                <w:color w:val="000000"/>
                <w:spacing w:val="0"/>
                <w:w w:val="100"/>
                <w:position w:val="0"/>
                <w:sz w:val="22"/>
                <w:szCs w:val="22"/>
              </w:rPr>
              <w:t>中信银行</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张天宇</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80"/>
              <w:jc w:val="left"/>
              <w:rPr>
                <w:sz w:val="22"/>
                <w:szCs w:val="22"/>
              </w:rPr>
            </w:pPr>
            <w:r>
              <w:rPr>
                <w:rFonts w:ascii="Times New Roman" w:hAnsi="Times New Roman" w:eastAsia="Times New Roman" w:cs="Times New Roman"/>
                <w:color w:val="000000"/>
                <w:spacing w:val="0"/>
                <w:w w:val="100"/>
                <w:position w:val="0"/>
                <w:sz w:val="22"/>
                <w:szCs w:val="22"/>
              </w:rPr>
              <w:t>15102968497</w:t>
            </w:r>
          </w:p>
        </w:tc>
      </w:tr>
      <w:tr>
        <w:tblPrEx>
          <w:shd w:val="clear" w:color="auto" w:fill="auto"/>
          <w:tblCellMar>
            <w:top w:w="0" w:type="dxa"/>
            <w:left w:w="10" w:type="dxa"/>
            <w:bottom w:w="0" w:type="dxa"/>
            <w:right w:w="10" w:type="dxa"/>
          </w:tblCellMar>
        </w:tblPrEx>
        <w:trPr>
          <w:trHeight w:val="605" w:hRule="exact"/>
          <w:jc w:val="center"/>
        </w:trPr>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300"/>
              <w:jc w:val="left"/>
              <w:rPr>
                <w:sz w:val="22"/>
                <w:szCs w:val="22"/>
              </w:rPr>
            </w:pPr>
            <w:r>
              <w:rPr>
                <w:rFonts w:ascii="Times New Roman" w:hAnsi="Times New Roman" w:eastAsia="Times New Roman" w:cs="Times New Roman"/>
                <w:color w:val="000000"/>
                <w:spacing w:val="0"/>
                <w:w w:val="100"/>
                <w:position w:val="0"/>
                <w:sz w:val="22"/>
                <w:szCs w:val="22"/>
              </w:rPr>
              <w:t>2</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1620" w:right="0" w:firstLine="0"/>
              <w:jc w:val="both"/>
              <w:rPr>
                <w:sz w:val="22"/>
                <w:szCs w:val="22"/>
              </w:rPr>
            </w:pPr>
            <w:r>
              <w:rPr>
                <w:color w:val="000000"/>
                <w:spacing w:val="0"/>
                <w:w w:val="100"/>
                <w:position w:val="0"/>
                <w:sz w:val="22"/>
                <w:szCs w:val="22"/>
              </w:rPr>
              <w:t>中国银行</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王羡</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color w:val="000000"/>
                <w:spacing w:val="0"/>
                <w:w w:val="100"/>
                <w:position w:val="0"/>
                <w:sz w:val="22"/>
                <w:szCs w:val="22"/>
                <w:lang w:val="en-US" w:eastAsia="en-US" w:bidi="en-US"/>
              </w:rPr>
              <w:t>029-81563158</w:t>
            </w:r>
          </w:p>
        </w:tc>
      </w:tr>
      <w:tr>
        <w:tblPrEx>
          <w:shd w:val="clear" w:color="auto" w:fill="auto"/>
          <w:tblCellMar>
            <w:top w:w="0" w:type="dxa"/>
            <w:left w:w="10" w:type="dxa"/>
            <w:bottom w:w="0" w:type="dxa"/>
            <w:right w:w="10" w:type="dxa"/>
          </w:tblCellMar>
        </w:tblPrEx>
        <w:trPr>
          <w:trHeight w:val="614" w:hRule="exact"/>
          <w:jc w:val="center"/>
        </w:trPr>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300"/>
              <w:jc w:val="left"/>
              <w:rPr>
                <w:sz w:val="22"/>
                <w:szCs w:val="22"/>
              </w:rPr>
            </w:pPr>
            <w:r>
              <w:rPr>
                <w:rFonts w:ascii="Times New Roman" w:hAnsi="Times New Roman" w:eastAsia="Times New Roman" w:cs="Times New Roman"/>
                <w:color w:val="000000"/>
                <w:spacing w:val="0"/>
                <w:w w:val="100"/>
                <w:position w:val="0"/>
                <w:sz w:val="22"/>
                <w:szCs w:val="22"/>
              </w:rPr>
              <w:t>3</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西安市长安区农村信用合作联社</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高锋</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jc w:val="left"/>
              <w:rPr>
                <w:sz w:val="22"/>
                <w:szCs w:val="22"/>
              </w:rPr>
            </w:pPr>
            <w:r>
              <w:rPr>
                <w:rFonts w:ascii="Times New Roman" w:hAnsi="Times New Roman" w:eastAsia="Times New Roman" w:cs="Times New Roman"/>
                <w:color w:val="000000"/>
                <w:spacing w:val="0"/>
                <w:w w:val="100"/>
                <w:position w:val="0"/>
                <w:sz w:val="22"/>
                <w:szCs w:val="22"/>
                <w:lang w:val="en-US" w:eastAsia="en-US" w:bidi="en-US"/>
              </w:rPr>
              <w:t>029-89230551</w:t>
            </w:r>
          </w:p>
        </w:tc>
      </w:tr>
      <w:tr>
        <w:tblPrEx>
          <w:shd w:val="clear" w:color="auto" w:fill="auto"/>
          <w:tblCellMar>
            <w:top w:w="0" w:type="dxa"/>
            <w:left w:w="10" w:type="dxa"/>
            <w:bottom w:w="0" w:type="dxa"/>
            <w:right w:w="10" w:type="dxa"/>
          </w:tblCellMar>
        </w:tblPrEx>
        <w:trPr>
          <w:trHeight w:val="610" w:hRule="exact"/>
          <w:jc w:val="center"/>
        </w:trPr>
        <w:tc>
          <w:tcPr>
            <w:vMerge w:val="restart"/>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300"/>
              <w:jc w:val="left"/>
              <w:rPr>
                <w:sz w:val="22"/>
                <w:szCs w:val="22"/>
              </w:rPr>
            </w:pPr>
            <w:r>
              <w:rPr>
                <w:rFonts w:ascii="Times New Roman" w:hAnsi="Times New Roman" w:eastAsia="Times New Roman" w:cs="Times New Roman"/>
                <w:color w:val="000000"/>
                <w:spacing w:val="0"/>
                <w:w w:val="100"/>
                <w:position w:val="0"/>
                <w:sz w:val="22"/>
                <w:szCs w:val="22"/>
              </w:rPr>
              <w:t>4</w:t>
            </w:r>
          </w:p>
        </w:tc>
        <w:tc>
          <w:tcPr>
            <w:vMerge w:val="restart"/>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1620" w:right="0" w:firstLine="0"/>
              <w:jc w:val="both"/>
              <w:rPr>
                <w:sz w:val="22"/>
                <w:szCs w:val="22"/>
              </w:rPr>
            </w:pPr>
            <w:r>
              <w:rPr>
                <w:color w:val="000000"/>
                <w:spacing w:val="0"/>
                <w:w w:val="100"/>
                <w:position w:val="0"/>
                <w:sz w:val="22"/>
                <w:szCs w:val="22"/>
              </w:rPr>
              <w:t>浦发银行</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雷超</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80"/>
              <w:jc w:val="left"/>
              <w:rPr>
                <w:sz w:val="22"/>
                <w:szCs w:val="22"/>
              </w:rPr>
            </w:pPr>
            <w:r>
              <w:rPr>
                <w:rFonts w:ascii="Times New Roman" w:hAnsi="Times New Roman" w:eastAsia="Times New Roman" w:cs="Times New Roman"/>
                <w:color w:val="000000"/>
                <w:spacing w:val="0"/>
                <w:w w:val="100"/>
                <w:position w:val="0"/>
                <w:sz w:val="22"/>
                <w:szCs w:val="22"/>
              </w:rPr>
              <w:t>13992895375</w:t>
            </w:r>
          </w:p>
        </w:tc>
      </w:tr>
      <w:tr>
        <w:tblPrEx>
          <w:shd w:val="clear" w:color="auto" w:fill="auto"/>
          <w:tblCellMar>
            <w:top w:w="0" w:type="dxa"/>
            <w:left w:w="10" w:type="dxa"/>
            <w:bottom w:w="0" w:type="dxa"/>
            <w:right w:w="10" w:type="dxa"/>
          </w:tblCellMar>
        </w:tblPrEx>
        <w:trPr>
          <w:trHeight w:val="605" w:hRule="exact"/>
          <w:jc w:val="center"/>
        </w:trPr>
        <w:tc>
          <w:tcPr>
            <w:vMerge w:val="continue"/>
            <w:tcBorders>
              <w:left w:val="single" w:color="auto" w:sz="4" w:space="0"/>
            </w:tcBorders>
            <w:shd w:val="clear" w:color="auto" w:fill="auto"/>
            <w:vAlign w:val="center"/>
          </w:tcPr>
          <w:p/>
        </w:tc>
        <w:tc>
          <w:tcPr>
            <w:vMerge w:val="continue"/>
            <w:tcBorders>
              <w:left w:val="single" w:color="auto" w:sz="4" w:space="0"/>
            </w:tcBorders>
            <w:shd w:val="clear" w:color="auto" w:fill="auto"/>
            <w:vAlign w:val="center"/>
          </w:tcP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李昊</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color w:val="000000"/>
                <w:spacing w:val="0"/>
                <w:w w:val="100"/>
                <w:position w:val="0"/>
                <w:sz w:val="22"/>
                <w:szCs w:val="22"/>
              </w:rPr>
              <w:t>15209277417</w:t>
            </w:r>
          </w:p>
        </w:tc>
      </w:tr>
      <w:tr>
        <w:tblPrEx>
          <w:shd w:val="clear" w:color="auto" w:fill="auto"/>
          <w:tblCellMar>
            <w:top w:w="0" w:type="dxa"/>
            <w:left w:w="10" w:type="dxa"/>
            <w:bottom w:w="0" w:type="dxa"/>
            <w:right w:w="10" w:type="dxa"/>
          </w:tblCellMar>
        </w:tblPrEx>
        <w:trPr>
          <w:trHeight w:val="610" w:hRule="exact"/>
          <w:jc w:val="center"/>
        </w:trPr>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300"/>
              <w:jc w:val="left"/>
              <w:rPr>
                <w:sz w:val="22"/>
                <w:szCs w:val="22"/>
              </w:rPr>
            </w:pPr>
            <w:r>
              <w:rPr>
                <w:rFonts w:ascii="Times New Roman" w:hAnsi="Times New Roman" w:eastAsia="Times New Roman" w:cs="Times New Roman"/>
                <w:color w:val="000000"/>
                <w:spacing w:val="0"/>
                <w:w w:val="100"/>
                <w:position w:val="0"/>
                <w:sz w:val="22"/>
                <w:szCs w:val="22"/>
              </w:rPr>
              <w:t>5</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tabs>
                <w:tab w:val="left" w:pos="4068"/>
              </w:tabs>
              <w:bidi w:val="0"/>
              <w:spacing w:before="0" w:after="0" w:line="240" w:lineRule="auto"/>
              <w:ind w:left="1620" w:right="0" w:firstLine="0"/>
              <w:jc w:val="left"/>
              <w:rPr>
                <w:sz w:val="22"/>
                <w:szCs w:val="22"/>
              </w:rPr>
            </w:pPr>
            <w:r>
              <w:rPr>
                <w:color w:val="000000"/>
                <w:spacing w:val="0"/>
                <w:w w:val="100"/>
                <w:position w:val="0"/>
                <w:sz w:val="22"/>
                <w:szCs w:val="22"/>
              </w:rPr>
              <w:t>北京银行</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firstLineChars="200"/>
              <w:jc w:val="both"/>
              <w:rPr>
                <w:sz w:val="22"/>
                <w:szCs w:val="22"/>
              </w:rPr>
            </w:pPr>
            <w:r>
              <w:rPr>
                <w:color w:val="000000"/>
                <w:spacing w:val="0"/>
                <w:w w:val="100"/>
                <w:position w:val="0"/>
                <w:sz w:val="22"/>
                <w:szCs w:val="22"/>
              </w:rPr>
              <w:t>陈明</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color w:val="000000"/>
                <w:spacing w:val="0"/>
                <w:w w:val="100"/>
                <w:position w:val="0"/>
                <w:sz w:val="22"/>
                <w:szCs w:val="22"/>
              </w:rPr>
              <w:t>18149209660</w:t>
            </w:r>
          </w:p>
        </w:tc>
      </w:tr>
      <w:tr>
        <w:tblPrEx>
          <w:shd w:val="clear" w:color="auto" w:fill="auto"/>
          <w:tblCellMar>
            <w:top w:w="0" w:type="dxa"/>
            <w:left w:w="10" w:type="dxa"/>
            <w:bottom w:w="0" w:type="dxa"/>
            <w:right w:w="10" w:type="dxa"/>
          </w:tblCellMar>
        </w:tblPrEx>
        <w:trPr>
          <w:trHeight w:val="605" w:hRule="exact"/>
          <w:jc w:val="center"/>
        </w:trPr>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300"/>
              <w:jc w:val="left"/>
              <w:rPr>
                <w:sz w:val="22"/>
                <w:szCs w:val="22"/>
              </w:rPr>
            </w:pPr>
            <w:r>
              <w:rPr>
                <w:rFonts w:ascii="Times New Roman" w:hAnsi="Times New Roman" w:eastAsia="Times New Roman" w:cs="Times New Roman"/>
                <w:color w:val="000000"/>
                <w:spacing w:val="0"/>
                <w:w w:val="100"/>
                <w:position w:val="0"/>
                <w:sz w:val="22"/>
                <w:szCs w:val="22"/>
              </w:rPr>
              <w:t>6</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tabs>
                <w:tab w:val="left" w:pos="4092"/>
              </w:tabs>
              <w:bidi w:val="0"/>
              <w:spacing w:before="0" w:after="0" w:line="240" w:lineRule="auto"/>
              <w:ind w:left="1620" w:right="0" w:firstLine="0"/>
              <w:jc w:val="left"/>
              <w:rPr>
                <w:sz w:val="22"/>
                <w:szCs w:val="22"/>
              </w:rPr>
            </w:pPr>
            <w:r>
              <w:rPr>
                <w:color w:val="000000"/>
                <w:spacing w:val="0"/>
                <w:w w:val="100"/>
                <w:position w:val="0"/>
                <w:sz w:val="22"/>
                <w:szCs w:val="22"/>
              </w:rPr>
              <w:t>兴业银行</w:t>
            </w:r>
            <w:r>
              <w:rPr>
                <w:color w:val="000000"/>
                <w:spacing w:val="0"/>
                <w:w w:val="100"/>
                <w:position w:val="0"/>
                <w:sz w:val="22"/>
                <w:szCs w:val="22"/>
              </w:rPr>
              <w:tab/>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firstLineChars="200"/>
              <w:jc w:val="both"/>
              <w:rPr>
                <w:sz w:val="22"/>
                <w:szCs w:val="22"/>
              </w:rPr>
            </w:pPr>
            <w:r>
              <w:rPr>
                <w:color w:val="000000"/>
                <w:spacing w:val="0"/>
                <w:w w:val="100"/>
                <w:position w:val="0"/>
                <w:sz w:val="22"/>
                <w:szCs w:val="22"/>
              </w:rPr>
              <w:t>孙健</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color w:val="000000"/>
                <w:spacing w:val="0"/>
                <w:w w:val="100"/>
                <w:position w:val="0"/>
                <w:sz w:val="22"/>
                <w:szCs w:val="22"/>
              </w:rPr>
              <w:t>18591051627</w:t>
            </w:r>
          </w:p>
        </w:tc>
      </w:tr>
      <w:tr>
        <w:tblPrEx>
          <w:shd w:val="clear" w:color="auto" w:fill="auto"/>
          <w:tblCellMar>
            <w:top w:w="0" w:type="dxa"/>
            <w:left w:w="10" w:type="dxa"/>
            <w:bottom w:w="0" w:type="dxa"/>
            <w:right w:w="10" w:type="dxa"/>
          </w:tblCellMar>
        </w:tblPrEx>
        <w:trPr>
          <w:trHeight w:val="610" w:hRule="exact"/>
          <w:jc w:val="center"/>
        </w:trPr>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300"/>
              <w:jc w:val="left"/>
              <w:rPr>
                <w:sz w:val="22"/>
                <w:szCs w:val="22"/>
              </w:rPr>
            </w:pPr>
            <w:r>
              <w:rPr>
                <w:rFonts w:ascii="Times New Roman" w:hAnsi="Times New Roman" w:eastAsia="Times New Roman" w:cs="Times New Roman"/>
                <w:color w:val="000000"/>
                <w:spacing w:val="0"/>
                <w:w w:val="100"/>
                <w:position w:val="0"/>
                <w:sz w:val="22"/>
                <w:szCs w:val="22"/>
              </w:rPr>
              <w:t>7</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中国建设银行</w:t>
            </w:r>
          </w:p>
        </w:tc>
        <w:tc>
          <w:tcPr>
            <w:tcBorders>
              <w:top w:val="single" w:color="auto" w:sz="4" w:space="0"/>
              <w:lef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孙振荣</w:t>
            </w:r>
          </w:p>
        </w:tc>
        <w:tc>
          <w:tcPr>
            <w:tcBorders>
              <w:top w:val="single" w:color="auto" w:sz="4" w:space="0"/>
              <w:left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rFonts w:ascii="Times New Roman" w:hAnsi="Times New Roman" w:eastAsia="Times New Roman" w:cs="Times New Roman"/>
                <w:color w:val="000000"/>
                <w:spacing w:val="0"/>
                <w:w w:val="100"/>
                <w:position w:val="0"/>
                <w:sz w:val="22"/>
                <w:szCs w:val="22"/>
              </w:rPr>
              <w:t>18792546729</w:t>
            </w:r>
          </w:p>
        </w:tc>
      </w:tr>
      <w:tr>
        <w:tblPrEx>
          <w:tblCellMar>
            <w:top w:w="0" w:type="dxa"/>
            <w:left w:w="10" w:type="dxa"/>
            <w:bottom w:w="0" w:type="dxa"/>
            <w:right w:w="10" w:type="dxa"/>
          </w:tblCellMar>
        </w:tblPrEx>
        <w:trPr>
          <w:trHeight w:val="624" w:hRule="exact"/>
          <w:jc w:val="center"/>
        </w:trPr>
        <w:tc>
          <w:tcPr>
            <w:tcBorders>
              <w:top w:val="single" w:color="auto" w:sz="4" w:space="0"/>
              <w:left w:val="single" w:color="auto" w:sz="4" w:space="0"/>
              <w:bottom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300"/>
              <w:jc w:val="left"/>
              <w:rPr>
                <w:sz w:val="22"/>
                <w:szCs w:val="22"/>
              </w:rPr>
            </w:pPr>
            <w:r>
              <w:rPr>
                <w:rFonts w:ascii="Times New Roman" w:hAnsi="Times New Roman" w:eastAsia="Times New Roman" w:cs="Times New Roman"/>
                <w:color w:val="000000"/>
                <w:spacing w:val="0"/>
                <w:w w:val="100"/>
                <w:position w:val="0"/>
                <w:sz w:val="22"/>
                <w:szCs w:val="22"/>
              </w:rPr>
              <w:t>8</w:t>
            </w:r>
          </w:p>
        </w:tc>
        <w:tc>
          <w:tcPr>
            <w:tcBorders>
              <w:top w:val="single" w:color="auto" w:sz="4" w:space="0"/>
              <w:left w:val="single" w:color="auto" w:sz="4" w:space="0"/>
              <w:bottom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中国工商银行</w:t>
            </w:r>
          </w:p>
        </w:tc>
        <w:tc>
          <w:tcPr>
            <w:tcBorders>
              <w:top w:val="single" w:color="auto" w:sz="4" w:space="0"/>
              <w:left w:val="single" w:color="auto" w:sz="4" w:space="0"/>
              <w:bottom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40"/>
              <w:jc w:val="left"/>
              <w:rPr>
                <w:sz w:val="22"/>
                <w:szCs w:val="22"/>
              </w:rPr>
            </w:pPr>
            <w:r>
              <w:rPr>
                <w:color w:val="000000"/>
                <w:spacing w:val="0"/>
                <w:w w:val="100"/>
                <w:position w:val="0"/>
                <w:sz w:val="22"/>
                <w:szCs w:val="22"/>
              </w:rPr>
              <w:t>李碧莹</w:t>
            </w:r>
          </w:p>
        </w:tc>
        <w:tc>
          <w:tcPr>
            <w:tcBorders>
              <w:top w:val="single" w:color="auto" w:sz="4" w:space="0"/>
              <w:left w:val="single" w:color="auto" w:sz="4" w:space="0"/>
              <w:bottom w:val="single" w:color="auto" w:sz="4" w:space="0"/>
              <w:right w:val="single" w:color="auto" w:sz="4" w:space="0"/>
            </w:tcBorders>
            <w:shd w:val="clear" w:color="auto" w:fill="auto"/>
            <w:vAlign w:val="center"/>
          </w:tcPr>
          <w:p>
            <w:pPr>
              <w:pStyle w:val="147"/>
              <w:keepNext w:val="0"/>
              <w:keepLines w:val="0"/>
              <w:widowControl w:val="0"/>
              <w:shd w:val="clear" w:color="auto" w:fill="auto"/>
              <w:bidi w:val="0"/>
              <w:spacing w:before="0" w:after="0" w:line="240" w:lineRule="auto"/>
              <w:ind w:left="0" w:right="0" w:firstLine="480"/>
              <w:jc w:val="both"/>
              <w:rPr>
                <w:sz w:val="22"/>
                <w:szCs w:val="22"/>
              </w:rPr>
            </w:pPr>
            <w:r>
              <w:rPr>
                <w:rFonts w:ascii="Times New Roman" w:hAnsi="Times New Roman" w:eastAsia="Times New Roman" w:cs="Times New Roman"/>
                <w:color w:val="000000"/>
                <w:spacing w:val="0"/>
                <w:w w:val="100"/>
                <w:position w:val="0"/>
                <w:sz w:val="22"/>
                <w:szCs w:val="22"/>
              </w:rPr>
              <w:t>13809159860</w:t>
            </w:r>
          </w:p>
        </w:tc>
      </w:tr>
    </w:tbl>
    <w:p>
      <w:pPr>
        <w:pStyle w:val="19"/>
        <w:numPr>
          <w:ilvl w:val="0"/>
          <w:numId w:val="0"/>
        </w:numPr>
      </w:pPr>
    </w:p>
    <w:p>
      <w:pPr>
        <w:bidi w:val="0"/>
        <w:jc w:val="center"/>
        <w:rPr>
          <w:rFonts w:hint="eastAsia" w:ascii="宋体" w:hAnsi="宋体" w:eastAsia="宋体" w:cs="宋体"/>
          <w:b/>
          <w:bCs/>
          <w:highlight w:val="none"/>
        </w:rPr>
      </w:pPr>
      <w:r>
        <w:rPr>
          <w:rFonts w:ascii="宋体" w:hAnsi="宋体" w:eastAsia="宋体" w:cs="宋体"/>
          <w:color w:val="auto"/>
          <w:sz w:val="24"/>
          <w:highlight w:val="none"/>
        </w:rPr>
        <w:br w:type="page"/>
      </w:r>
      <w:r>
        <w:rPr>
          <w:rFonts w:hint="eastAsia" w:ascii="宋体" w:hAnsi="宋体" w:eastAsia="宋体" w:cs="宋体"/>
          <w:b/>
          <w:bCs/>
          <w:sz w:val="28"/>
          <w:szCs w:val="28"/>
          <w:highlight w:val="none"/>
        </w:rPr>
        <w:t>投标人须知</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2"/>
        <w:rPr>
          <w:rFonts w:hint="eastAsia" w:ascii="宋体" w:hAnsi="宋体" w:cs="宋体"/>
          <w:b/>
          <w:bCs/>
          <w:sz w:val="28"/>
          <w:highlight w:val="none"/>
        </w:rPr>
      </w:pPr>
      <w:r>
        <w:rPr>
          <w:rFonts w:hint="eastAsia" w:ascii="宋体" w:hAnsi="宋体" w:cs="宋体"/>
          <w:b/>
          <w:bCs/>
          <w:sz w:val="28"/>
          <w:highlight w:val="none"/>
        </w:rPr>
        <w:t>一、总则</w:t>
      </w:r>
    </w:p>
    <w:p>
      <w:pPr>
        <w:spacing w:before="240" w:after="120"/>
        <w:jc w:val="left"/>
        <w:outlineLvl w:val="2"/>
        <w:rPr>
          <w:rFonts w:hint="eastAsia" w:ascii="宋体" w:hAnsi="宋体" w:cs="宋体"/>
          <w:b/>
          <w:bCs/>
          <w:kern w:val="0"/>
          <w:sz w:val="24"/>
          <w:highlight w:val="none"/>
        </w:rPr>
      </w:pPr>
      <w:r>
        <w:rPr>
          <w:rFonts w:hint="eastAsia" w:ascii="宋体" w:hAnsi="宋体" w:cs="宋体"/>
          <w:b/>
          <w:bCs/>
          <w:kern w:val="0"/>
          <w:sz w:val="24"/>
          <w:highlight w:val="none"/>
        </w:rPr>
        <w:t>1、适用范围</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200"/>
        <w:jc w:val="both"/>
        <w:textAlignment w:val="auto"/>
        <w:outlineLvl w:val="9"/>
        <w:rPr>
          <w:rFonts w:hint="eastAsia"/>
          <w:highlight w:val="none"/>
        </w:rPr>
      </w:pPr>
      <w:r>
        <w:rPr>
          <w:rFonts w:hint="eastAsia"/>
          <w:highlight w:val="none"/>
        </w:rPr>
        <w:t>本招标文件仅适用于本次公开招标所叙述的服务项目采购活动。</w:t>
      </w:r>
    </w:p>
    <w:p>
      <w:pPr>
        <w:spacing w:before="240" w:after="120"/>
        <w:jc w:val="left"/>
        <w:outlineLvl w:val="2"/>
        <w:rPr>
          <w:rFonts w:hint="eastAsia" w:ascii="宋体" w:hAnsi="宋体" w:cs="宋体"/>
          <w:b/>
          <w:bCs/>
          <w:kern w:val="0"/>
          <w:sz w:val="24"/>
          <w:highlight w:val="none"/>
        </w:rPr>
      </w:pPr>
      <w:r>
        <w:rPr>
          <w:rFonts w:hint="eastAsia" w:ascii="宋体" w:hAnsi="宋体" w:cs="宋体"/>
          <w:b/>
          <w:bCs/>
          <w:kern w:val="0"/>
          <w:sz w:val="24"/>
          <w:highlight w:val="none"/>
        </w:rPr>
        <w:t>2、名词解释</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2.1</w:t>
      </w:r>
      <w:r>
        <w:rPr>
          <w:rFonts w:hint="eastAsia"/>
          <w:highlight w:val="none"/>
          <w:lang w:val="en-US" w:eastAsia="zh-CN"/>
        </w:rPr>
        <w:t xml:space="preserve">  </w:t>
      </w:r>
      <w:r>
        <w:rPr>
          <w:rFonts w:hint="eastAsia"/>
          <w:highlight w:val="none"/>
          <w:lang w:eastAsia="zh-CN"/>
        </w:rPr>
        <w:t>“</w:t>
      </w:r>
      <w:r>
        <w:rPr>
          <w:rFonts w:hint="eastAsia"/>
          <w:highlight w:val="none"/>
        </w:rPr>
        <w:t>采购人</w:t>
      </w:r>
      <w:r>
        <w:rPr>
          <w:rFonts w:hint="eastAsia"/>
          <w:highlight w:val="none"/>
          <w:lang w:eastAsia="zh-CN"/>
        </w:rPr>
        <w:t>”</w:t>
      </w:r>
      <w:r>
        <w:rPr>
          <w:rFonts w:hint="eastAsia"/>
          <w:highlight w:val="none"/>
        </w:rPr>
        <w:t>系指依法进行政府采购的国家机关、事业单位、团体组织。本次招标的采购人是</w:t>
      </w:r>
      <w:r>
        <w:rPr>
          <w:rFonts w:hint="eastAsia" w:cs="Times New Roman"/>
          <w:color w:val="auto"/>
          <w:sz w:val="21"/>
          <w:szCs w:val="21"/>
          <w:highlight w:val="none"/>
          <w:lang w:eastAsia="zh-CN"/>
        </w:rPr>
        <w:t>西安市长安区教育局</w:t>
      </w:r>
      <w:r>
        <w:rPr>
          <w:rFonts w:hint="eastAsia"/>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2.2</w:t>
      </w:r>
      <w:r>
        <w:rPr>
          <w:rFonts w:hint="eastAsia"/>
          <w:highlight w:val="none"/>
          <w:lang w:val="en-US" w:eastAsia="zh-CN"/>
        </w:rPr>
        <w:t xml:space="preserve">  </w:t>
      </w:r>
      <w:r>
        <w:rPr>
          <w:rFonts w:hint="eastAsia"/>
          <w:highlight w:val="none"/>
          <w:lang w:eastAsia="zh-CN"/>
        </w:rPr>
        <w:t>“</w:t>
      </w:r>
      <w:r>
        <w:rPr>
          <w:rFonts w:hint="eastAsia"/>
          <w:highlight w:val="none"/>
        </w:rPr>
        <w:t>采购代理机构</w:t>
      </w:r>
      <w:r>
        <w:rPr>
          <w:rFonts w:hint="eastAsia"/>
          <w:highlight w:val="none"/>
          <w:lang w:eastAsia="zh-CN"/>
        </w:rPr>
        <w:t>”</w:t>
      </w:r>
      <w:r>
        <w:rPr>
          <w:rFonts w:hint="eastAsia"/>
          <w:highlight w:val="none"/>
        </w:rPr>
        <w:t>系指根据采购人的委托依法办理招标事宜的</w:t>
      </w:r>
      <w:r>
        <w:rPr>
          <w:rFonts w:hint="eastAsia"/>
          <w:highlight w:val="none"/>
          <w:lang w:eastAsia="zh-CN"/>
        </w:rPr>
        <w:t>代理</w:t>
      </w:r>
      <w:r>
        <w:rPr>
          <w:rFonts w:hint="eastAsia"/>
          <w:highlight w:val="none"/>
        </w:rPr>
        <w:t>机构。本次招标的采购代理机构是陕西国信招标有限公司。</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default" w:eastAsia="宋体"/>
          <w:color w:val="auto"/>
          <w:highlight w:val="none"/>
          <w:lang w:val="en-US" w:eastAsia="zh-CN"/>
        </w:rPr>
      </w:pPr>
      <w:r>
        <w:rPr>
          <w:rFonts w:hint="eastAsia"/>
          <w:highlight w:val="none"/>
          <w:lang w:val="en-US" w:eastAsia="zh-CN"/>
        </w:rPr>
        <w:t xml:space="preserve">    </w:t>
      </w:r>
      <w:r>
        <w:rPr>
          <w:rFonts w:hint="eastAsia"/>
          <w:highlight w:val="none"/>
        </w:rPr>
        <w:t xml:space="preserve">2.3 </w:t>
      </w:r>
      <w:r>
        <w:rPr>
          <w:rFonts w:hint="eastAsia"/>
          <w:highlight w:val="none"/>
          <w:lang w:val="en-US" w:eastAsia="zh-CN"/>
        </w:rPr>
        <w:t xml:space="preserve"> </w:t>
      </w:r>
      <w:r>
        <w:rPr>
          <w:rFonts w:hint="eastAsia"/>
          <w:highlight w:val="none"/>
          <w:lang w:eastAsia="zh-CN"/>
        </w:rPr>
        <w:t>“</w:t>
      </w:r>
      <w:r>
        <w:rPr>
          <w:rFonts w:hint="eastAsia"/>
          <w:highlight w:val="none"/>
        </w:rPr>
        <w:t>投标人</w:t>
      </w:r>
      <w:r>
        <w:rPr>
          <w:rFonts w:hint="eastAsia"/>
          <w:highlight w:val="none"/>
          <w:lang w:eastAsia="zh-CN"/>
        </w:rPr>
        <w:t>”</w:t>
      </w:r>
      <w:r>
        <w:rPr>
          <w:rFonts w:hint="eastAsia"/>
          <w:highlight w:val="none"/>
        </w:rPr>
        <w:t>系指购买了招标文件拟参加投标和向采购人提供相应服务的投标单位。</w:t>
      </w:r>
    </w:p>
    <w:p>
      <w:pPr>
        <w:spacing w:before="240" w:after="120"/>
        <w:jc w:val="left"/>
        <w:outlineLvl w:val="2"/>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3、合格的投标人</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3.1</w:t>
      </w:r>
      <w:r>
        <w:rPr>
          <w:rFonts w:hint="eastAsia"/>
          <w:highlight w:val="none"/>
          <w:lang w:val="en-US" w:eastAsia="zh-CN"/>
        </w:rPr>
        <w:t xml:space="preserve">  </w:t>
      </w:r>
      <w:r>
        <w:rPr>
          <w:rFonts w:hint="eastAsia"/>
          <w:highlight w:val="none"/>
        </w:rPr>
        <w:t>合格的投标人应具备以下条件：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（1）具备且满足</w:t>
      </w:r>
      <w:r>
        <w:rPr>
          <w:rFonts w:hint="eastAsia"/>
          <w:highlight w:val="none"/>
          <w:lang w:eastAsia="zh-CN"/>
        </w:rPr>
        <w:t>“</w:t>
      </w:r>
      <w:r>
        <w:rPr>
          <w:rFonts w:hint="eastAsia"/>
          <w:highlight w:val="none"/>
        </w:rPr>
        <w:t>招标公告</w:t>
      </w:r>
      <w:r>
        <w:rPr>
          <w:rFonts w:hint="eastAsia"/>
          <w:highlight w:val="none"/>
          <w:lang w:eastAsia="zh-CN"/>
        </w:rPr>
        <w:t>”第二条的1、3条要求</w:t>
      </w:r>
      <w:r>
        <w:rPr>
          <w:rFonts w:hint="eastAsia"/>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w:t>
      </w:r>
      <w:r>
        <w:rPr>
          <w:rFonts w:hint="eastAsia"/>
          <w:highlight w:val="none"/>
          <w:lang w:val="en-US" w:eastAsia="zh-CN"/>
        </w:rPr>
        <w:t>获得</w:t>
      </w:r>
      <w:r>
        <w:rPr>
          <w:rFonts w:hint="eastAsia"/>
          <w:highlight w:val="none"/>
        </w:rPr>
        <w:t>了招标文件并登记备案；</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w:t>
      </w:r>
      <w:r>
        <w:rPr>
          <w:rFonts w:hint="eastAsia"/>
          <w:highlight w:val="none"/>
          <w:lang w:val="en-US" w:eastAsia="zh-CN"/>
        </w:rPr>
        <w:t>3</w:t>
      </w:r>
      <w:r>
        <w:rPr>
          <w:rFonts w:hint="eastAsia"/>
          <w:highlight w:val="none"/>
        </w:rPr>
        <w:t>）一个投标</w:t>
      </w:r>
      <w:r>
        <w:rPr>
          <w:rFonts w:hint="eastAsia"/>
          <w:highlight w:val="none"/>
          <w:lang w:eastAsia="zh-CN"/>
        </w:rPr>
        <w:t>人</w:t>
      </w:r>
      <w:r>
        <w:rPr>
          <w:rFonts w:hint="eastAsia"/>
          <w:highlight w:val="none"/>
        </w:rPr>
        <w:t>只能提交一个投标文件，法定代表人为同一人的两个及两个以上法人，不得同时参加本项目投标；</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w:t>
      </w:r>
      <w:r>
        <w:rPr>
          <w:rFonts w:hint="eastAsia"/>
          <w:highlight w:val="none"/>
          <w:lang w:val="en-US" w:eastAsia="zh-CN"/>
        </w:rPr>
        <w:t>4</w:t>
      </w:r>
      <w:r>
        <w:rPr>
          <w:rFonts w:hint="eastAsia"/>
          <w:highlight w:val="none"/>
        </w:rPr>
        <w:t>）有隶属关系的两个公司或有控股关系的两个公司不能同时参加同一项目的投标；</w:t>
      </w:r>
      <w:r>
        <w:rPr>
          <w:rFonts w:hint="eastAsia"/>
          <w:highlight w:val="none"/>
          <w:lang w:val="en-US" w:eastAsia="zh-CN"/>
        </w:rPr>
        <w:t xml:space="preserve"> </w:t>
      </w:r>
    </w:p>
    <w:p>
      <w:pPr>
        <w:pageBreakBefore w:val="0"/>
        <w:tabs>
          <w:tab w:val="left" w:pos="7665"/>
        </w:tabs>
        <w:kinsoku/>
        <w:wordWrap/>
        <w:overflowPunct/>
        <w:topLinePunct w:val="0"/>
        <w:bidi w:val="0"/>
        <w:snapToGrid/>
        <w:spacing w:line="500" w:lineRule="exact"/>
        <w:ind w:right="0" w:rightChars="0" w:firstLine="420" w:firstLineChars="200"/>
        <w:textAlignment w:val="auto"/>
        <w:rPr>
          <w:rFonts w:hint="eastAsia" w:ascii="宋体" w:hAnsi="宋体" w:eastAsia="宋体" w:cs="宋体"/>
          <w:color w:val="auto"/>
          <w:sz w:val="21"/>
          <w:szCs w:val="21"/>
          <w:highlight w:val="none"/>
          <w:lang w:eastAsia="zh-CN"/>
        </w:rPr>
      </w:pPr>
      <w:r>
        <w:rPr>
          <w:rFonts w:hint="eastAsia" w:eastAsia="宋体" w:cs="宋体"/>
          <w:color w:val="auto"/>
          <w:sz w:val="21"/>
          <w:szCs w:val="21"/>
          <w:highlight w:val="none"/>
          <w:lang w:eastAsia="zh-CN"/>
        </w:rPr>
        <w:t>（</w:t>
      </w:r>
      <w:r>
        <w:rPr>
          <w:rFonts w:hint="eastAsia" w:cs="宋体"/>
          <w:color w:val="auto"/>
          <w:sz w:val="21"/>
          <w:szCs w:val="21"/>
          <w:highlight w:val="none"/>
          <w:lang w:val="en-US" w:eastAsia="zh-CN"/>
        </w:rPr>
        <w:t>5</w:t>
      </w:r>
      <w:r>
        <w:rPr>
          <w:rFonts w:hint="eastAsia" w:eastAsia="宋体" w:cs="宋体"/>
          <w:color w:val="auto"/>
          <w:sz w:val="21"/>
          <w:szCs w:val="21"/>
          <w:highlight w:val="none"/>
          <w:lang w:eastAsia="zh-CN"/>
        </w:rPr>
        <w:t>）参加政府采购活动前三年内，在经营活动中没有重大违法纪录；</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200"/>
        <w:jc w:val="both"/>
        <w:textAlignment w:val="auto"/>
        <w:outlineLvl w:val="9"/>
        <w:rPr>
          <w:rFonts w:hint="eastAsia"/>
          <w:highlight w:val="none"/>
        </w:rPr>
      </w:pPr>
      <w:r>
        <w:rPr>
          <w:rFonts w:hint="eastAsia"/>
          <w:highlight w:val="none"/>
        </w:rPr>
        <w:t>（</w:t>
      </w:r>
      <w:r>
        <w:rPr>
          <w:rFonts w:hint="eastAsia"/>
          <w:highlight w:val="none"/>
          <w:lang w:val="en-US" w:eastAsia="zh-CN"/>
        </w:rPr>
        <w:t>6</w:t>
      </w:r>
      <w:r>
        <w:rPr>
          <w:rFonts w:hint="eastAsia"/>
          <w:highlight w:val="none"/>
        </w:rPr>
        <w:t>）中华人民共和国法律、行政法规规定的其他条件（见投标人须知前附表）；</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b w:val="0"/>
          <w:bCs w:val="0"/>
          <w:highlight w:val="none"/>
        </w:rPr>
      </w:pPr>
      <w:r>
        <w:rPr>
          <w:rFonts w:hint="eastAsia"/>
          <w:highlight w:val="none"/>
          <w:lang w:val="en-US" w:eastAsia="zh-CN"/>
        </w:rPr>
        <w:t xml:space="preserve">    </w:t>
      </w:r>
      <w:r>
        <w:rPr>
          <w:rFonts w:hint="eastAsia"/>
          <w:highlight w:val="none"/>
        </w:rPr>
        <w:t>（</w:t>
      </w:r>
      <w:r>
        <w:rPr>
          <w:rFonts w:hint="eastAsia"/>
          <w:highlight w:val="none"/>
          <w:lang w:val="en-US" w:eastAsia="zh-CN"/>
        </w:rPr>
        <w:t>7</w:t>
      </w:r>
      <w:r>
        <w:rPr>
          <w:rFonts w:hint="eastAsia"/>
          <w:highlight w:val="none"/>
        </w:rPr>
        <w:t>）招标文件和法律、行政法规规定的其他条件。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rPr>
        <w:t xml:space="preserve">    3.</w:t>
      </w:r>
      <w:r>
        <w:rPr>
          <w:rFonts w:hint="eastAsia"/>
          <w:highlight w:val="none"/>
          <w:lang w:val="en-US" w:eastAsia="zh-CN"/>
        </w:rPr>
        <w:t>2</w:t>
      </w:r>
      <w:r>
        <w:rPr>
          <w:rFonts w:hint="eastAsia"/>
          <w:highlight w:val="none"/>
        </w:rPr>
        <w:t xml:space="preserve"> </w:t>
      </w:r>
      <w:r>
        <w:rPr>
          <w:rFonts w:hint="eastAsia"/>
          <w:highlight w:val="none"/>
          <w:lang w:val="en-US" w:eastAsia="zh-CN"/>
        </w:rPr>
        <w:t xml:space="preserve"> </w:t>
      </w:r>
      <w:r>
        <w:rPr>
          <w:rFonts w:hint="eastAsia"/>
          <w:highlight w:val="none"/>
        </w:rPr>
        <w:t>单位负责人为同一人或者存在直接控股、管理关系的不同</w:t>
      </w:r>
      <w:r>
        <w:rPr>
          <w:rFonts w:hint="eastAsia"/>
          <w:highlight w:val="none"/>
          <w:lang w:eastAsia="zh-CN"/>
        </w:rPr>
        <w:t>投标人</w:t>
      </w:r>
      <w:r>
        <w:rPr>
          <w:rFonts w:hint="eastAsia"/>
          <w:highlight w:val="none"/>
        </w:rPr>
        <w:t>，不得参加本项目同一合同项下的投标。如果投标人在投标中隐瞒了上述关系，则该投标无效。</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rPr>
        <w:t xml:space="preserve">    3.</w:t>
      </w:r>
      <w:r>
        <w:rPr>
          <w:rFonts w:hint="eastAsia"/>
          <w:highlight w:val="none"/>
          <w:lang w:val="en-US" w:eastAsia="zh-CN"/>
        </w:rPr>
        <w:t>3</w:t>
      </w:r>
      <w:r>
        <w:rPr>
          <w:rFonts w:hint="eastAsia"/>
          <w:highlight w:val="none"/>
        </w:rPr>
        <w:t xml:space="preserve"> </w:t>
      </w:r>
      <w:r>
        <w:rPr>
          <w:rFonts w:hint="eastAsia"/>
          <w:highlight w:val="none"/>
          <w:lang w:val="en-US" w:eastAsia="zh-CN"/>
        </w:rPr>
        <w:t xml:space="preserve"> </w:t>
      </w:r>
      <w:r>
        <w:rPr>
          <w:rFonts w:hint="eastAsia"/>
          <w:highlight w:val="none"/>
        </w:rPr>
        <w:t>为本采购项目提供整体设计、规范编制或者项目管理、监理、检测等服务的</w:t>
      </w:r>
      <w:r>
        <w:rPr>
          <w:rFonts w:hint="eastAsia"/>
          <w:highlight w:val="none"/>
          <w:lang w:eastAsia="zh-CN"/>
        </w:rPr>
        <w:t>投标人</w:t>
      </w:r>
      <w:r>
        <w:rPr>
          <w:rFonts w:hint="eastAsia"/>
          <w:highlight w:val="none"/>
        </w:rPr>
        <w:t>，不得再参加本采购项目的投标。如果投标人在投标中隐瞒了上述事实，则该投标无效。</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rPr>
        <w:t xml:space="preserve">    3.</w:t>
      </w:r>
      <w:r>
        <w:rPr>
          <w:rFonts w:hint="eastAsia"/>
          <w:highlight w:val="none"/>
          <w:lang w:val="en-US" w:eastAsia="zh-CN"/>
        </w:rPr>
        <w:t>4</w:t>
      </w:r>
      <w:r>
        <w:rPr>
          <w:rFonts w:hint="eastAsia"/>
          <w:highlight w:val="none"/>
        </w:rPr>
        <w:t xml:space="preserve"> </w:t>
      </w:r>
      <w:r>
        <w:rPr>
          <w:rFonts w:hint="eastAsia"/>
          <w:highlight w:val="none"/>
          <w:lang w:val="en-US" w:eastAsia="zh-CN"/>
        </w:rPr>
        <w:t xml:space="preserve"> </w:t>
      </w:r>
      <w:r>
        <w:rPr>
          <w:rFonts w:hint="eastAsia"/>
          <w:highlight w:val="none"/>
        </w:rPr>
        <w:t>如果在招标文件中接受联合体投标（见投标人须知前附表），则两个以上</w:t>
      </w:r>
      <w:r>
        <w:rPr>
          <w:rFonts w:hint="eastAsia"/>
          <w:highlight w:val="none"/>
          <w:lang w:eastAsia="zh-CN"/>
        </w:rPr>
        <w:t>投标人</w:t>
      </w:r>
      <w:r>
        <w:rPr>
          <w:rFonts w:hint="eastAsia"/>
          <w:highlight w:val="none"/>
        </w:rPr>
        <w:t>可以组成一个投标联合体，以一个投标人的身份投标。以联合体形式参加投标的，联合体各方均应当符合政府采购法第二十二条第一款规定的条件。采购人根据采购项目的特殊要求规定投标人特定条件的，联合体各方中至少应当有一方符合采购人规定的特定条件。联合体中有同类资质的</w:t>
      </w:r>
      <w:r>
        <w:rPr>
          <w:rFonts w:hint="eastAsia"/>
          <w:highlight w:val="none"/>
          <w:lang w:eastAsia="zh-CN"/>
        </w:rPr>
        <w:t>投标人</w:t>
      </w:r>
      <w:r>
        <w:rPr>
          <w:rFonts w:hint="eastAsia"/>
          <w:highlight w:val="none"/>
        </w:rPr>
        <w:t>按照联合体分工承担相同工作的，按照资质等级较低的</w:t>
      </w:r>
      <w:r>
        <w:rPr>
          <w:rFonts w:hint="eastAsia"/>
          <w:highlight w:val="none"/>
          <w:lang w:eastAsia="zh-CN"/>
        </w:rPr>
        <w:t>投标人</w:t>
      </w:r>
      <w:r>
        <w:rPr>
          <w:rFonts w:hint="eastAsia"/>
          <w:highlight w:val="none"/>
        </w:rPr>
        <w:t>确定资质等级</w:t>
      </w:r>
      <w:r>
        <w:rPr>
          <w:rFonts w:hint="eastAsia"/>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lang w:eastAsia="zh-CN"/>
        </w:rPr>
      </w:pPr>
      <w:r>
        <w:rPr>
          <w:rFonts w:hint="eastAsia"/>
          <w:highlight w:val="none"/>
        </w:rPr>
        <w:t>联合体各方之间应当签订共同投标协议，明确约定联合体各方承担的工作和相应的责任，并将共同投标协议附在投标文件中一并提交。联合体各方签订共同投标协议后，不得再以自己名义单独在同一项目中投标，也不得组成新的联合体参加同一项目投标</w:t>
      </w:r>
      <w:r>
        <w:rPr>
          <w:rFonts w:hint="eastAsia"/>
          <w:highlight w:val="none"/>
          <w:lang w:eastAsia="zh-CN"/>
        </w:rPr>
        <w:t>，否则，其相关投标均为无效。</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color w:val="auto"/>
          <w:highlight w:val="none"/>
          <w:lang w:val="en-US" w:eastAsia="zh-CN"/>
        </w:rPr>
      </w:pPr>
      <w:r>
        <w:rPr>
          <w:rFonts w:hint="eastAsia"/>
          <w:color w:val="auto"/>
          <w:highlight w:val="none"/>
          <w:lang w:val="en-US" w:eastAsia="zh-CN"/>
        </w:rPr>
        <w:t>3.5 “信用中国”（www.creditchina.gov.cn）及“中国政府采购网”（www.ccgp.gov.cn）为投标人信用信息查询渠道，如果投标人被查实在投标截止日前已列入失信被执行人、政府采购严重违法失信行为记录名单，</w:t>
      </w:r>
      <w:r>
        <w:rPr>
          <w:rFonts w:hint="eastAsia"/>
          <w:b w:val="0"/>
          <w:bCs w:val="0"/>
          <w:color w:val="auto"/>
          <w:highlight w:val="none"/>
          <w:lang w:val="en-US" w:eastAsia="zh-CN"/>
        </w:rPr>
        <w:t>其投标为无效。</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ascii="宋体" w:hAnsi="宋体" w:cs="宋体"/>
          <w:b/>
          <w:bCs/>
          <w:kern w:val="0"/>
          <w:sz w:val="24"/>
          <w:highlight w:val="none"/>
        </w:rPr>
        <w:t>4、投标货物和服务的合格性和合法性</w:t>
      </w:r>
    </w:p>
    <w:p>
      <w:pPr>
        <w:autoSpaceDE w:val="0"/>
        <w:autoSpaceDN w:val="0"/>
        <w:adjustRightInd w:val="0"/>
        <w:spacing w:line="500" w:lineRule="exact"/>
        <w:ind w:right="6" w:firstLine="420"/>
        <w:rPr>
          <w:highlight w:val="none"/>
        </w:rPr>
      </w:pPr>
      <w:r>
        <w:rPr>
          <w:rFonts w:hint="eastAsia"/>
          <w:highlight w:val="none"/>
        </w:rPr>
        <w:t>4.1  投标货物和服务应满足招标文件的要求，并应符合国家法律法规、行业管理部门所要求的其他强制性标准。</w:t>
      </w:r>
    </w:p>
    <w:p>
      <w:pPr>
        <w:autoSpaceDE w:val="0"/>
        <w:autoSpaceDN w:val="0"/>
        <w:adjustRightInd w:val="0"/>
        <w:spacing w:line="500" w:lineRule="exact"/>
        <w:ind w:right="6" w:firstLine="420"/>
        <w:rPr>
          <w:highlight w:val="none"/>
        </w:rPr>
      </w:pPr>
      <w:r>
        <w:rPr>
          <w:rFonts w:hint="eastAsia"/>
          <w:highlight w:val="none"/>
        </w:rPr>
        <w:t>4.2 合同中提供的货物及其有关服务的原产地，均应来自国家有关政府采购规定的工程、货物和服务的合法来源国，本合同的支付也仅限于这些货物和服务；</w:t>
      </w:r>
    </w:p>
    <w:p>
      <w:pPr>
        <w:autoSpaceDE w:val="0"/>
        <w:autoSpaceDN w:val="0"/>
        <w:adjustRightInd w:val="0"/>
        <w:spacing w:line="500" w:lineRule="exact"/>
        <w:ind w:right="6" w:firstLine="420"/>
        <w:rPr>
          <w:highlight w:val="none"/>
        </w:rPr>
      </w:pPr>
      <w:r>
        <w:rPr>
          <w:rFonts w:hint="eastAsia"/>
          <w:highlight w:val="none"/>
        </w:rPr>
        <w:t>4.3 本款所述的“原产地”是指货物设计、生产和提供有关服务的来源地。所述的“货物”是指制造、加工或实质上装配了主要部件而形成的货物，商业上公认的产品是指在基本特征、性能或功能上与部件有着实质性区别的产品；</w:t>
      </w:r>
    </w:p>
    <w:p>
      <w:pPr>
        <w:autoSpaceDE w:val="0"/>
        <w:autoSpaceDN w:val="0"/>
        <w:adjustRightInd w:val="0"/>
        <w:spacing w:line="500" w:lineRule="exact"/>
        <w:ind w:right="6" w:firstLine="420"/>
        <w:rPr>
          <w:rFonts w:hint="eastAsia"/>
          <w:highlight w:val="none"/>
        </w:rPr>
      </w:pPr>
      <w:r>
        <w:rPr>
          <w:rFonts w:hint="eastAsia"/>
          <w:highlight w:val="none"/>
        </w:rPr>
        <w:t>4.4  通过签署投标文件，投标人应确认其为所供货物和服务的知识产权的合法所有人，或已经从其所有人那里得到了适当的授权。在此方面恶意地提供错误事实，将导致投标被拒绝。</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5、投标文件内容的真实性</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rPr>
        <w:t xml:space="preserve">    投标人应保证其投标文件中所提供的所有有关投标的资料、信息是真实的，并且来源于合法的渠道。因投标文件中所提供的有关投标的资料、信息不真实，或者其来源不合法而导致的所有法律责任，由投标人自行承担。</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6、招标过程的监督和管理</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同级人民政府财政部门及有关部门依法履行对招标过程的监督管理职责。</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7、费用</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rPr>
        <w:t xml:space="preserve">    7.1</w:t>
      </w:r>
      <w:r>
        <w:rPr>
          <w:rFonts w:hint="eastAsia"/>
          <w:highlight w:val="none"/>
          <w:lang w:val="en-US" w:eastAsia="zh-CN"/>
        </w:rPr>
        <w:t xml:space="preserve">  </w:t>
      </w:r>
      <w:r>
        <w:rPr>
          <w:rFonts w:hint="eastAsia"/>
          <w:highlight w:val="none"/>
        </w:rPr>
        <w:t>投标人应承担所有与编写和提交投标文件有关的费用，无论投标过程中的做法和结果如何，采购人和采购代理机构在任何情况下均无义务和责任承担这些费用。</w:t>
      </w:r>
    </w:p>
    <w:p>
      <w:pPr>
        <w:numPr>
          <w:ilvl w:val="0"/>
          <w:numId w:val="0"/>
        </w:numPr>
        <w:spacing w:before="240" w:after="120"/>
        <w:jc w:val="center"/>
        <w:outlineLvl w:val="2"/>
        <w:rPr>
          <w:rFonts w:hint="eastAsia" w:ascii="宋体" w:hAnsi="宋体" w:cs="宋体"/>
          <w:b/>
          <w:bCs/>
          <w:sz w:val="28"/>
          <w:highlight w:val="none"/>
        </w:rPr>
      </w:pPr>
      <w:r>
        <w:rPr>
          <w:rFonts w:hint="eastAsia" w:ascii="宋体" w:hAnsi="宋体" w:cs="宋体"/>
          <w:b/>
          <w:bCs/>
          <w:sz w:val="28"/>
          <w:highlight w:val="none"/>
        </w:rPr>
        <w:t>二、招标文件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lang w:val="en-US" w:eastAsia="zh-CN"/>
        </w:rPr>
        <w:t>8</w:t>
      </w:r>
      <w:r>
        <w:rPr>
          <w:rFonts w:hint="eastAsia" w:ascii="宋体" w:hAnsi="宋体" w:cs="宋体"/>
          <w:b/>
          <w:bCs/>
          <w:kern w:val="0"/>
          <w:sz w:val="24"/>
          <w:highlight w:val="none"/>
        </w:rPr>
        <w:t>、招标文件的构成</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lang w:val="en-US" w:eastAsia="zh-CN"/>
        </w:rPr>
        <w:t>8</w:t>
      </w:r>
      <w:r>
        <w:rPr>
          <w:rFonts w:hint="eastAsia"/>
          <w:highlight w:val="none"/>
        </w:rPr>
        <w:t>.1</w:t>
      </w:r>
      <w:r>
        <w:rPr>
          <w:rFonts w:hint="eastAsia"/>
          <w:highlight w:val="none"/>
          <w:lang w:val="en-US" w:eastAsia="zh-CN"/>
        </w:rPr>
        <w:t xml:space="preserve">  </w:t>
      </w:r>
      <w:r>
        <w:rPr>
          <w:rFonts w:hint="eastAsia"/>
          <w:highlight w:val="none"/>
        </w:rPr>
        <w:t>招标文件是投标人准备投标文件和参加开标会议的依据，同时也是评标的重要依据。招标文件用以阐明采购项目所需的资质、技术、服务及报价等要求、招标投标程序、评标办法与标准、有关规定和注意事项以及合同主要条款等。本招标文件包括以下内容：</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（1）招标公告；</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（2）投标人须知；</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（3）评标办法；</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（4）</w:t>
      </w:r>
      <w:r>
        <w:rPr>
          <w:rFonts w:hint="eastAsia"/>
          <w:highlight w:val="none"/>
          <w:lang w:val="en-US" w:eastAsia="zh-CN"/>
        </w:rPr>
        <w:t>采购</w:t>
      </w:r>
      <w:r>
        <w:rPr>
          <w:rFonts w:hint="eastAsia"/>
          <w:highlight w:val="none"/>
        </w:rPr>
        <w:t>内容及要求；</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（5）合同条款；</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（6）投标文件格式</w:t>
      </w:r>
      <w:r>
        <w:rPr>
          <w:rFonts w:hint="eastAsia"/>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lang w:val="en-US" w:eastAsia="zh-CN"/>
        </w:rPr>
        <w:t>8</w:t>
      </w:r>
      <w:r>
        <w:rPr>
          <w:rFonts w:hint="eastAsia"/>
          <w:highlight w:val="none"/>
        </w:rPr>
        <w:t>.2</w:t>
      </w:r>
      <w:r>
        <w:rPr>
          <w:rFonts w:hint="eastAsia"/>
          <w:highlight w:val="none"/>
          <w:lang w:val="en-US" w:eastAsia="zh-CN"/>
        </w:rPr>
        <w:t xml:space="preserve">  </w:t>
      </w:r>
      <w:r>
        <w:rPr>
          <w:rFonts w:hint="eastAsia"/>
          <w:highlight w:val="none"/>
        </w:rPr>
        <w:t>投标人应认真阅读和充分理解招标文件中所有的事项、格式条款和规范要求。如果投标人没有按照招标文件要求提交全部资料，或者投标文件没有对招标文件在各方面都做出实质性响应，由此带来的不利于投标人的评标结果，其风险由投标人承担。</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lang w:val="en-US" w:eastAsia="zh-CN"/>
        </w:rPr>
        <w:t xml:space="preserve">8.3  </w:t>
      </w:r>
      <w:r>
        <w:rPr>
          <w:rFonts w:hint="eastAsia"/>
          <w:highlight w:val="none"/>
        </w:rPr>
        <w:t>本招标文件的解释权归</w:t>
      </w:r>
      <w:r>
        <w:rPr>
          <w:rFonts w:hint="eastAsia"/>
          <w:color w:val="auto"/>
          <w:highlight w:val="none"/>
          <w:lang w:eastAsia="zh-CN"/>
        </w:rPr>
        <w:t>陕西国信</w:t>
      </w:r>
      <w:r>
        <w:rPr>
          <w:rFonts w:hint="eastAsia"/>
          <w:color w:val="auto"/>
          <w:highlight w:val="none"/>
        </w:rPr>
        <w:t>招标有限公司</w:t>
      </w:r>
      <w:r>
        <w:rPr>
          <w:rFonts w:hint="eastAsia"/>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lang w:val="en-US" w:eastAsia="zh-CN"/>
        </w:rPr>
        <w:t>9</w:t>
      </w:r>
      <w:r>
        <w:rPr>
          <w:rFonts w:hint="eastAsia" w:ascii="宋体" w:hAnsi="宋体" w:cs="宋体"/>
          <w:b/>
          <w:bCs/>
          <w:kern w:val="0"/>
          <w:sz w:val="24"/>
          <w:highlight w:val="none"/>
        </w:rPr>
        <w:t>、招标文件的澄清和修改</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9</w:t>
      </w:r>
      <w:r>
        <w:rPr>
          <w:rFonts w:hint="eastAsia"/>
          <w:highlight w:val="none"/>
        </w:rPr>
        <w:t xml:space="preserve">.1 </w:t>
      </w:r>
      <w:r>
        <w:rPr>
          <w:rFonts w:hint="eastAsia"/>
          <w:highlight w:val="none"/>
          <w:lang w:val="en-US" w:eastAsia="zh-CN"/>
        </w:rPr>
        <w:t xml:space="preserve"> </w:t>
      </w:r>
      <w:r>
        <w:rPr>
          <w:rFonts w:hint="eastAsia"/>
          <w:highlight w:val="none"/>
        </w:rPr>
        <w:t>在投标截止时间前，采购人或者采购代理机构无论出于何种原因，可以对招标文件进行澄清或者修改。</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lang w:val="en-US" w:eastAsia="zh-CN"/>
        </w:rPr>
        <w:t>9</w:t>
      </w:r>
      <w:r>
        <w:rPr>
          <w:rFonts w:hint="eastAsia"/>
          <w:highlight w:val="none"/>
        </w:rPr>
        <w:t xml:space="preserve">.2 </w:t>
      </w:r>
      <w:r>
        <w:rPr>
          <w:rFonts w:hint="eastAsia"/>
          <w:highlight w:val="none"/>
          <w:lang w:val="en-US" w:eastAsia="zh-CN"/>
        </w:rPr>
        <w:t xml:space="preserve"> </w:t>
      </w:r>
      <w:r>
        <w:rPr>
          <w:rFonts w:hint="eastAsia"/>
          <w:highlight w:val="none"/>
        </w:rPr>
        <w:t>采购人或者采购代理机构</w:t>
      </w:r>
      <w:r>
        <w:rPr>
          <w:rFonts w:hint="eastAsia"/>
          <w:highlight w:val="none"/>
          <w:lang w:eastAsia="zh-CN"/>
        </w:rPr>
        <w:t>如果</w:t>
      </w:r>
      <w:r>
        <w:rPr>
          <w:rFonts w:hint="eastAsia"/>
          <w:highlight w:val="none"/>
        </w:rPr>
        <w:t>对已发出的招标文件进行澄清或者修改，将在招标文件要求提交投标文件截止时间15日前，以书面形式将澄清或者修改的内容通知所有购买了招标文件的投标人，同时在原信息发布媒体上发布更正公告。该澄清或者修改的内容为招标文件的组成部分。投标人在收到上述通知后，应立即以书面形式（传真或邮件）向采购代理机构确认。</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9</w:t>
      </w:r>
      <w:r>
        <w:rPr>
          <w:rFonts w:hint="eastAsia"/>
          <w:highlight w:val="none"/>
        </w:rPr>
        <w:t>.</w:t>
      </w:r>
      <w:r>
        <w:rPr>
          <w:rFonts w:hint="eastAsia"/>
          <w:highlight w:val="none"/>
          <w:lang w:val="en-US" w:eastAsia="zh-CN"/>
        </w:rPr>
        <w:t xml:space="preserve">3  </w:t>
      </w:r>
      <w:r>
        <w:rPr>
          <w:rFonts w:hint="eastAsia"/>
          <w:highlight w:val="none"/>
        </w:rPr>
        <w:t>招标文件的澄清或修改内容均以书面形式明确的内容为准。当招标文件的澄清、修改、补充等在同一内容的表述上不一致时，以最后发出的书面文件为准。所有补充文件将作为招标文件的组成部分，对所有投标人具有约束力。</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lang w:val="en-US" w:eastAsia="zh-CN"/>
        </w:rPr>
        <w:t>9</w:t>
      </w:r>
      <w:r>
        <w:rPr>
          <w:rFonts w:hint="eastAsia"/>
          <w:highlight w:val="none"/>
        </w:rPr>
        <w:t>.</w:t>
      </w:r>
      <w:r>
        <w:rPr>
          <w:rFonts w:hint="eastAsia"/>
          <w:highlight w:val="none"/>
          <w:lang w:val="en-US" w:eastAsia="zh-CN"/>
        </w:rPr>
        <w:t>4</w:t>
      </w:r>
      <w:r>
        <w:rPr>
          <w:rFonts w:hint="eastAsia"/>
          <w:highlight w:val="none"/>
        </w:rPr>
        <w:t xml:space="preserve"> </w:t>
      </w:r>
      <w:r>
        <w:rPr>
          <w:rFonts w:hint="eastAsia"/>
          <w:highlight w:val="none"/>
          <w:lang w:val="en-US" w:eastAsia="zh-CN"/>
        </w:rPr>
        <w:t xml:space="preserve"> 投标截止时间和开标时间的延长：</w:t>
      </w:r>
      <w:r>
        <w:rPr>
          <w:rFonts w:hint="eastAsia"/>
          <w:highlight w:val="none"/>
        </w:rPr>
        <w:t>在投标截止时间</w:t>
      </w:r>
      <w:r>
        <w:rPr>
          <w:rFonts w:hint="eastAsia"/>
          <w:highlight w:val="none"/>
          <w:lang w:val="en-US" w:eastAsia="zh-CN"/>
        </w:rPr>
        <w:t>3</w:t>
      </w:r>
      <w:r>
        <w:rPr>
          <w:rFonts w:hint="eastAsia"/>
          <w:highlight w:val="none"/>
        </w:rPr>
        <w:t>日前，采购代理机构可以视采购具体情况，延长投标截止时间和开标时间。延长投标截止时间和开标时间将在财政部门指定的媒体上发布变更公告，同时将变更时间书面通知所有购买招标文件的单位。</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1</w:t>
      </w:r>
      <w:r>
        <w:rPr>
          <w:rFonts w:hint="eastAsia" w:ascii="宋体" w:hAnsi="宋体" w:cs="宋体"/>
          <w:b/>
          <w:bCs/>
          <w:kern w:val="0"/>
          <w:sz w:val="24"/>
          <w:highlight w:val="none"/>
          <w:lang w:val="en-US" w:eastAsia="zh-CN"/>
        </w:rPr>
        <w:t>0</w:t>
      </w:r>
      <w:r>
        <w:rPr>
          <w:rFonts w:hint="eastAsia" w:ascii="宋体" w:hAnsi="宋体" w:cs="宋体"/>
          <w:b/>
          <w:bCs/>
          <w:kern w:val="0"/>
          <w:sz w:val="24"/>
          <w:highlight w:val="none"/>
        </w:rPr>
        <w:t>、答疑会和现场考察（视项目具体情况而定）</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0</w:t>
      </w:r>
      <w:r>
        <w:rPr>
          <w:rFonts w:hint="eastAsia"/>
          <w:highlight w:val="none"/>
        </w:rPr>
        <w:t xml:space="preserve">.1 </w:t>
      </w:r>
      <w:r>
        <w:rPr>
          <w:rFonts w:hint="eastAsia"/>
          <w:highlight w:val="none"/>
          <w:lang w:val="en-US" w:eastAsia="zh-CN"/>
        </w:rPr>
        <w:t xml:space="preserve"> </w:t>
      </w:r>
      <w:r>
        <w:rPr>
          <w:rFonts w:hint="eastAsia"/>
          <w:highlight w:val="none"/>
        </w:rPr>
        <w:t>根据采购项目和具体情况，采购代理机构认为有必要，可以组织召开标前答疑会，或投标单位可根据自身情况及需要，自行组织踏勘。答疑会或进行现场踏勘的时间，采购人将以书面形式通知所有购买了招标文件的投标人。</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0</w:t>
      </w:r>
      <w:r>
        <w:rPr>
          <w:rFonts w:hint="eastAsia"/>
          <w:highlight w:val="none"/>
        </w:rPr>
        <w:t xml:space="preserve">.2 </w:t>
      </w:r>
      <w:r>
        <w:rPr>
          <w:rFonts w:hint="eastAsia"/>
          <w:highlight w:val="none"/>
          <w:lang w:val="en-US" w:eastAsia="zh-CN"/>
        </w:rPr>
        <w:t xml:space="preserve"> </w:t>
      </w:r>
      <w:r>
        <w:rPr>
          <w:rFonts w:hint="eastAsia"/>
          <w:highlight w:val="none"/>
        </w:rPr>
        <w:t>投标人踏勘现场所发生的一切费用由投标人自己承担。</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0</w:t>
      </w:r>
      <w:r>
        <w:rPr>
          <w:rFonts w:hint="eastAsia"/>
          <w:highlight w:val="none"/>
        </w:rPr>
        <w:t xml:space="preserve">.3 </w:t>
      </w:r>
      <w:r>
        <w:rPr>
          <w:rFonts w:hint="eastAsia"/>
          <w:highlight w:val="none"/>
          <w:lang w:val="en-US" w:eastAsia="zh-CN"/>
        </w:rPr>
        <w:t xml:space="preserve"> </w:t>
      </w:r>
      <w:r>
        <w:rPr>
          <w:rFonts w:hint="eastAsia"/>
          <w:highlight w:val="none"/>
        </w:rPr>
        <w:t>采购人向投标人提供的有关现场的数据和资料，是采购人现有的能被投标人利用的资料，采购人对投标人做出的任何推论、理解和结论均不负责任。一旦中标，中标</w:t>
      </w:r>
      <w:r>
        <w:rPr>
          <w:rFonts w:hint="eastAsia"/>
          <w:highlight w:val="none"/>
          <w:lang w:eastAsia="zh-CN"/>
        </w:rPr>
        <w:t>人</w:t>
      </w:r>
      <w:r>
        <w:rPr>
          <w:rFonts w:hint="eastAsia"/>
          <w:highlight w:val="none"/>
        </w:rPr>
        <w:t>不得以任何借口，提出额外补偿，或延长合同期限的要求。</w:t>
      </w:r>
    </w:p>
    <w:p>
      <w:pPr>
        <w:numPr>
          <w:ilvl w:val="0"/>
          <w:numId w:val="0"/>
        </w:numPr>
        <w:spacing w:before="240" w:after="120"/>
        <w:jc w:val="center"/>
        <w:outlineLvl w:val="2"/>
        <w:rPr>
          <w:rFonts w:hint="eastAsia" w:ascii="宋体" w:hAnsi="宋体" w:cs="宋体"/>
          <w:b/>
          <w:bCs/>
          <w:sz w:val="28"/>
          <w:highlight w:val="none"/>
        </w:rPr>
      </w:pPr>
      <w:r>
        <w:rPr>
          <w:rFonts w:hint="eastAsia" w:ascii="宋体" w:hAnsi="宋体" w:cs="宋体"/>
          <w:b/>
          <w:bCs/>
          <w:sz w:val="28"/>
          <w:highlight w:val="none"/>
        </w:rPr>
        <w:t>三、投标文件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1</w:t>
      </w:r>
      <w:r>
        <w:rPr>
          <w:rFonts w:hint="eastAsia" w:ascii="宋体" w:hAnsi="宋体" w:cs="宋体"/>
          <w:b/>
          <w:bCs/>
          <w:kern w:val="0"/>
          <w:sz w:val="24"/>
          <w:highlight w:val="none"/>
          <w:lang w:val="en-US" w:eastAsia="zh-CN"/>
        </w:rPr>
        <w:t>1</w:t>
      </w:r>
      <w:r>
        <w:rPr>
          <w:rFonts w:hint="eastAsia" w:ascii="宋体" w:hAnsi="宋体" w:cs="宋体"/>
          <w:b/>
          <w:bCs/>
          <w:kern w:val="0"/>
          <w:sz w:val="24"/>
          <w:highlight w:val="none"/>
        </w:rPr>
        <w:t>、投标文件编制的原则</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1</w:t>
      </w:r>
      <w:r>
        <w:rPr>
          <w:rFonts w:hint="eastAsia"/>
          <w:highlight w:val="none"/>
        </w:rPr>
        <w:t>.1</w:t>
      </w:r>
      <w:r>
        <w:rPr>
          <w:rFonts w:hint="eastAsia"/>
          <w:highlight w:val="none"/>
          <w:lang w:val="en-US" w:eastAsia="zh-CN"/>
        </w:rPr>
        <w:t xml:space="preserve">  </w:t>
      </w:r>
      <w:r>
        <w:rPr>
          <w:rFonts w:hint="eastAsia"/>
          <w:highlight w:val="none"/>
        </w:rPr>
        <w:t>投标人应在认真阅读招标文件所有内容的基础上，按照招标文件的要求编制完整的投标文件。</w:t>
      </w:r>
      <w:r>
        <w:rPr>
          <w:rFonts w:hint="eastAsia"/>
          <w:color w:val="000000"/>
          <w:highlight w:val="none"/>
        </w:rPr>
        <w:t>招标文件中</w:t>
      </w:r>
      <w:r>
        <w:rPr>
          <w:rFonts w:hint="eastAsia"/>
          <w:color w:val="000000"/>
          <w:highlight w:val="none"/>
          <w:lang w:eastAsia="zh-CN"/>
        </w:rPr>
        <w:t>除</w:t>
      </w:r>
      <w:r>
        <w:rPr>
          <w:rFonts w:hint="eastAsia"/>
          <w:color w:val="000000"/>
          <w:highlight w:val="none"/>
        </w:rPr>
        <w:t>对投标文件格式有要求的，</w:t>
      </w:r>
      <w:r>
        <w:rPr>
          <w:rFonts w:hint="eastAsia"/>
          <w:color w:val="000000"/>
          <w:highlight w:val="none"/>
          <w:lang w:eastAsia="zh-CN"/>
        </w:rPr>
        <w:t>其余内容均按招标文件要求填写</w:t>
      </w:r>
      <w:r>
        <w:rPr>
          <w:rFonts w:hint="eastAsia"/>
          <w:color w:val="000000"/>
          <w:highlight w:val="none"/>
        </w:rPr>
        <w:t>，无相应内容可填的项应填写</w:t>
      </w:r>
      <w:r>
        <w:rPr>
          <w:rFonts w:hint="eastAsia"/>
          <w:color w:val="000000"/>
          <w:highlight w:val="none"/>
          <w:lang w:eastAsia="zh-CN"/>
        </w:rPr>
        <w:t>“</w:t>
      </w:r>
      <w:r>
        <w:rPr>
          <w:rFonts w:hint="eastAsia"/>
          <w:color w:val="000000"/>
          <w:highlight w:val="none"/>
        </w:rPr>
        <w:t>无</w:t>
      </w:r>
      <w:r>
        <w:rPr>
          <w:rFonts w:hint="eastAsia"/>
          <w:color w:val="000000"/>
          <w:highlight w:val="none"/>
          <w:lang w:eastAsia="zh-CN"/>
        </w:rPr>
        <w:t>”</w:t>
      </w:r>
      <w:r>
        <w:rPr>
          <w:rFonts w:hint="eastAsia"/>
          <w:color w:val="000000"/>
          <w:highlight w:val="none"/>
        </w:rPr>
        <w:t>、</w:t>
      </w:r>
      <w:r>
        <w:rPr>
          <w:rFonts w:hint="eastAsia"/>
          <w:color w:val="000000"/>
          <w:highlight w:val="none"/>
          <w:lang w:eastAsia="zh-CN"/>
        </w:rPr>
        <w:t>“</w:t>
      </w:r>
      <w:r>
        <w:rPr>
          <w:rFonts w:hint="eastAsia"/>
          <w:color w:val="000000"/>
          <w:highlight w:val="none"/>
        </w:rPr>
        <w:t>没有相应指标</w:t>
      </w:r>
      <w:r>
        <w:rPr>
          <w:rFonts w:hint="eastAsia"/>
          <w:color w:val="000000"/>
          <w:highlight w:val="none"/>
          <w:lang w:eastAsia="zh-CN"/>
        </w:rPr>
        <w:t>”</w:t>
      </w:r>
      <w:r>
        <w:rPr>
          <w:rFonts w:hint="eastAsia"/>
          <w:color w:val="000000"/>
          <w:highlight w:val="none"/>
        </w:rPr>
        <w:t>等明确的回答文字。投标文件中</w:t>
      </w:r>
      <w:r>
        <w:rPr>
          <w:rFonts w:hint="eastAsia"/>
          <w:color w:val="000000"/>
          <w:highlight w:val="none"/>
          <w:lang w:eastAsia="zh-CN"/>
        </w:rPr>
        <w:t>未按招标文件要求</w:t>
      </w:r>
      <w:r>
        <w:rPr>
          <w:rFonts w:hint="eastAsia"/>
          <w:color w:val="000000"/>
          <w:highlight w:val="none"/>
        </w:rPr>
        <w:t>的，将被视为不完整响应的投标文件，其投标将有可能被拒绝。</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rPr>
        <w:t>1</w:t>
      </w:r>
      <w:r>
        <w:rPr>
          <w:rFonts w:hint="eastAsia"/>
          <w:highlight w:val="none"/>
          <w:lang w:val="en-US" w:eastAsia="zh-CN"/>
        </w:rPr>
        <w:t>1</w:t>
      </w:r>
      <w:r>
        <w:rPr>
          <w:rFonts w:hint="eastAsia"/>
          <w:highlight w:val="none"/>
        </w:rPr>
        <w:t>.2</w:t>
      </w:r>
      <w:r>
        <w:rPr>
          <w:rFonts w:hint="eastAsia"/>
          <w:highlight w:val="none"/>
          <w:lang w:val="en-US" w:eastAsia="zh-CN"/>
        </w:rPr>
        <w:t xml:space="preserve">  </w:t>
      </w:r>
      <w:r>
        <w:rPr>
          <w:rFonts w:hint="eastAsia"/>
          <w:highlight w:val="none"/>
        </w:rPr>
        <w:t>投标人必须保证投标文件所提供的全部资料真实可靠，并接受对其中任何资料进一步审查的要求。投标人在政府采购过程中提供不真实的材料，无论其材料是否重要，采购人均有权拒绝，并取消其投标资格，投标人需承担相应的后果及法律责任。</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1</w:t>
      </w:r>
      <w:r>
        <w:rPr>
          <w:rFonts w:hint="eastAsia"/>
          <w:highlight w:val="none"/>
        </w:rPr>
        <w:t>.3</w:t>
      </w:r>
      <w:r>
        <w:rPr>
          <w:rFonts w:hint="eastAsia"/>
          <w:highlight w:val="none"/>
          <w:lang w:val="en-US" w:eastAsia="zh-CN"/>
        </w:rPr>
        <w:t xml:space="preserve">  </w:t>
      </w:r>
      <w:r>
        <w:rPr>
          <w:rFonts w:hint="eastAsia"/>
          <w:highlight w:val="none"/>
        </w:rPr>
        <w:t>投标文件须对招标文件中的内容做出实质性和完整的响应，否则其投标将被拒绝。</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1</w:t>
      </w:r>
      <w:r>
        <w:rPr>
          <w:rFonts w:hint="eastAsia" w:ascii="宋体" w:hAnsi="宋体" w:cs="宋体"/>
          <w:b/>
          <w:bCs/>
          <w:kern w:val="0"/>
          <w:sz w:val="24"/>
          <w:highlight w:val="none"/>
          <w:lang w:val="en-US" w:eastAsia="zh-CN"/>
        </w:rPr>
        <w:t>2</w:t>
      </w:r>
      <w:r>
        <w:rPr>
          <w:rFonts w:hint="eastAsia" w:ascii="宋体" w:hAnsi="宋体" w:cs="宋体"/>
          <w:b/>
          <w:bCs/>
          <w:kern w:val="0"/>
          <w:sz w:val="24"/>
          <w:highlight w:val="none"/>
        </w:rPr>
        <w:t>、投标文件的语言</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2</w:t>
      </w:r>
      <w:r>
        <w:rPr>
          <w:rFonts w:hint="eastAsia"/>
          <w:highlight w:val="none"/>
        </w:rPr>
        <w:t xml:space="preserve">.1 </w:t>
      </w:r>
      <w:r>
        <w:rPr>
          <w:rFonts w:hint="eastAsia"/>
          <w:highlight w:val="none"/>
          <w:lang w:val="en-US" w:eastAsia="zh-CN"/>
        </w:rPr>
        <w:t xml:space="preserve"> </w:t>
      </w:r>
      <w:r>
        <w:rPr>
          <w:rFonts w:hint="eastAsia"/>
          <w:highlight w:val="none"/>
        </w:rPr>
        <w:t>投标人提交的投标文件和往来信件均须使用中文书写。投标文件中如附有外文资料，必须逐一对应翻译成中文并加盖投标人公章后附在相关外文资料后面，否则，投标人的投标文件将作为无效投标</w:t>
      </w:r>
      <w:r>
        <w:rPr>
          <w:rFonts w:hint="eastAsia"/>
          <w:highlight w:val="none"/>
          <w:lang w:eastAsia="zh-CN"/>
        </w:rPr>
        <w:t>文件</w:t>
      </w:r>
      <w:r>
        <w:rPr>
          <w:rFonts w:hint="eastAsia"/>
          <w:highlight w:val="none"/>
        </w:rPr>
        <w:t>处理。</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2</w:t>
      </w:r>
      <w:r>
        <w:rPr>
          <w:rFonts w:hint="eastAsia"/>
          <w:highlight w:val="none"/>
        </w:rPr>
        <w:t>.2</w:t>
      </w:r>
      <w:r>
        <w:rPr>
          <w:rFonts w:hint="eastAsia"/>
          <w:highlight w:val="none"/>
          <w:lang w:val="en-US" w:eastAsia="zh-CN"/>
        </w:rPr>
        <w:t xml:space="preserve"> </w:t>
      </w:r>
      <w:r>
        <w:rPr>
          <w:rFonts w:hint="eastAsia"/>
          <w:highlight w:val="none"/>
        </w:rPr>
        <w:t xml:space="preserve"> 翻译的中文资料与外文资料如果出现差异和矛盾时，以中文为准。但不能故意错误翻译，否则，投标人的投标文件将作为无效投标处理。必要时采购人可以要求投标人提供附有公证书的中文翻译文件或者与原版文件签章相一致的中文翻译文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1</w:t>
      </w:r>
      <w:r>
        <w:rPr>
          <w:rFonts w:hint="eastAsia" w:ascii="宋体" w:hAnsi="宋体" w:cs="宋体"/>
          <w:b/>
          <w:bCs/>
          <w:kern w:val="0"/>
          <w:sz w:val="24"/>
          <w:highlight w:val="none"/>
          <w:lang w:val="en-US" w:eastAsia="zh-CN"/>
        </w:rPr>
        <w:t>3</w:t>
      </w:r>
      <w:r>
        <w:rPr>
          <w:rFonts w:hint="eastAsia" w:ascii="宋体" w:hAnsi="宋体" w:cs="宋体"/>
          <w:b/>
          <w:bCs/>
          <w:kern w:val="0"/>
          <w:sz w:val="24"/>
          <w:highlight w:val="none"/>
        </w:rPr>
        <w:t>、计量单位</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除技术规格及要求中另有规定外，本</w:t>
      </w:r>
      <w:r>
        <w:rPr>
          <w:rFonts w:hint="eastAsia"/>
          <w:highlight w:val="none"/>
          <w:lang w:eastAsia="zh-CN"/>
        </w:rPr>
        <w:t>次</w:t>
      </w:r>
      <w:r>
        <w:rPr>
          <w:rFonts w:hint="eastAsia"/>
          <w:highlight w:val="none"/>
        </w:rPr>
        <w:t>采购项目下的投标均采用国家法定的计量单位。</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1</w:t>
      </w:r>
      <w:r>
        <w:rPr>
          <w:rFonts w:hint="eastAsia" w:ascii="宋体" w:hAnsi="宋体" w:cs="宋体"/>
          <w:b/>
          <w:bCs/>
          <w:kern w:val="0"/>
          <w:sz w:val="24"/>
          <w:highlight w:val="none"/>
          <w:lang w:val="en-US" w:eastAsia="zh-CN"/>
        </w:rPr>
        <w:t>4</w:t>
      </w:r>
      <w:r>
        <w:rPr>
          <w:rFonts w:hint="eastAsia" w:ascii="宋体" w:hAnsi="宋体" w:cs="宋体"/>
          <w:b/>
          <w:bCs/>
          <w:kern w:val="0"/>
          <w:sz w:val="24"/>
          <w:highlight w:val="none"/>
        </w:rPr>
        <w:t>、投标货币</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本次</w:t>
      </w:r>
      <w:r>
        <w:rPr>
          <w:rFonts w:hint="eastAsia"/>
          <w:highlight w:val="none"/>
          <w:lang w:eastAsia="zh-CN"/>
        </w:rPr>
        <w:t>采购</w:t>
      </w:r>
      <w:r>
        <w:rPr>
          <w:rFonts w:hint="eastAsia"/>
          <w:highlight w:val="none"/>
        </w:rPr>
        <w:t>项目的投标均以人民币报价，单位：元。任何包含非人民币报价的</w:t>
      </w:r>
      <w:r>
        <w:rPr>
          <w:rFonts w:hint="eastAsia"/>
          <w:highlight w:val="none"/>
          <w:lang w:eastAsia="zh-CN"/>
        </w:rPr>
        <w:t>投标</w:t>
      </w:r>
      <w:r>
        <w:rPr>
          <w:rFonts w:hint="eastAsia"/>
          <w:highlight w:val="none"/>
        </w:rPr>
        <w:t>文件均按无效处理。</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1</w:t>
      </w:r>
      <w:r>
        <w:rPr>
          <w:rFonts w:hint="eastAsia" w:ascii="宋体" w:hAnsi="宋体" w:cs="宋体"/>
          <w:b/>
          <w:bCs/>
          <w:kern w:val="0"/>
          <w:sz w:val="24"/>
          <w:highlight w:val="none"/>
          <w:lang w:val="en-US" w:eastAsia="zh-CN"/>
        </w:rPr>
        <w:t>5</w:t>
      </w:r>
      <w:r>
        <w:rPr>
          <w:rFonts w:hint="eastAsia" w:ascii="宋体" w:hAnsi="宋体" w:cs="宋体"/>
          <w:b/>
          <w:bCs/>
          <w:kern w:val="0"/>
          <w:sz w:val="24"/>
          <w:highlight w:val="none"/>
        </w:rPr>
        <w:t>、知识产权</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15</w:t>
      </w:r>
      <w:r>
        <w:rPr>
          <w:rFonts w:hint="eastAsia"/>
          <w:highlight w:val="none"/>
        </w:rPr>
        <w:t>.1</w:t>
      </w:r>
      <w:r>
        <w:rPr>
          <w:rFonts w:hint="eastAsia"/>
          <w:highlight w:val="none"/>
          <w:lang w:val="en-US" w:eastAsia="zh-CN"/>
        </w:rPr>
        <w:t xml:space="preserve">  </w:t>
      </w:r>
      <w:r>
        <w:rPr>
          <w:rFonts w:hint="eastAsia"/>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15</w:t>
      </w:r>
      <w:r>
        <w:rPr>
          <w:rFonts w:hint="eastAsia"/>
          <w:highlight w:val="none"/>
        </w:rPr>
        <w:t xml:space="preserve">.2 </w:t>
      </w:r>
      <w:r>
        <w:rPr>
          <w:rFonts w:hint="eastAsia"/>
          <w:highlight w:val="none"/>
          <w:lang w:val="en-US" w:eastAsia="zh-CN"/>
        </w:rPr>
        <w:t xml:space="preserve"> </w:t>
      </w:r>
      <w:r>
        <w:rPr>
          <w:rFonts w:hint="eastAsia"/>
          <w:highlight w:val="none"/>
        </w:rPr>
        <w:t>采购人享有本项目实施过程中产生的知识成果及知识产权。</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5</w:t>
      </w:r>
      <w:r>
        <w:rPr>
          <w:rFonts w:hint="eastAsia"/>
          <w:highlight w:val="none"/>
        </w:rPr>
        <w:t xml:space="preserve">.3 </w:t>
      </w:r>
      <w:r>
        <w:rPr>
          <w:rFonts w:hint="eastAsia"/>
          <w:highlight w:val="none"/>
          <w:lang w:val="en-US" w:eastAsia="zh-CN"/>
        </w:rPr>
        <w:t xml:space="preserve"> </w:t>
      </w:r>
      <w:r>
        <w:rPr>
          <w:rFonts w:hint="eastAsia"/>
          <w:highlight w:val="none"/>
        </w:rPr>
        <w:t>投标</w:t>
      </w:r>
      <w:r>
        <w:rPr>
          <w:rFonts w:hint="eastAsia"/>
          <w:highlight w:val="none"/>
          <w:lang w:eastAsia="zh-CN"/>
        </w:rPr>
        <w:t>人</w:t>
      </w:r>
      <w:r>
        <w:rPr>
          <w:rFonts w:hint="eastAsia"/>
          <w:highlight w:val="none"/>
        </w:rPr>
        <w:t>如欲在项目实施过程中采用自有知识成果，需在投标文件中声明，并提供相关知识产权证明文件。使用该知识成果后，投标</w:t>
      </w:r>
      <w:r>
        <w:rPr>
          <w:rFonts w:hint="eastAsia"/>
          <w:highlight w:val="none"/>
          <w:lang w:eastAsia="zh-CN"/>
        </w:rPr>
        <w:t>人</w:t>
      </w:r>
      <w:r>
        <w:rPr>
          <w:rFonts w:hint="eastAsia"/>
          <w:highlight w:val="none"/>
        </w:rPr>
        <w:t>需提供开发接口和开发手册等技术文档，并承诺提供无限期技术支持，采购人享有永久使用权。</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w:t>
      </w:r>
      <w:r>
        <w:rPr>
          <w:rFonts w:hint="eastAsia"/>
          <w:highlight w:val="none"/>
          <w:lang w:val="en-US" w:eastAsia="zh-CN"/>
        </w:rPr>
        <w:t>5</w:t>
      </w:r>
      <w:r>
        <w:rPr>
          <w:rFonts w:hint="eastAsia"/>
          <w:highlight w:val="none"/>
        </w:rPr>
        <w:t xml:space="preserve">.4 </w:t>
      </w:r>
      <w:r>
        <w:rPr>
          <w:rFonts w:hint="eastAsia"/>
          <w:highlight w:val="none"/>
          <w:lang w:val="en-US" w:eastAsia="zh-CN"/>
        </w:rPr>
        <w:t xml:space="preserve"> </w:t>
      </w:r>
      <w:r>
        <w:rPr>
          <w:rFonts w:hint="eastAsia"/>
          <w:highlight w:val="none"/>
        </w:rPr>
        <w:t>如采用投标</w:t>
      </w:r>
      <w:r>
        <w:rPr>
          <w:rFonts w:hint="eastAsia"/>
          <w:highlight w:val="none"/>
          <w:lang w:eastAsia="zh-CN"/>
        </w:rPr>
        <w:t>人</w:t>
      </w:r>
      <w:r>
        <w:rPr>
          <w:rFonts w:hint="eastAsia"/>
          <w:highlight w:val="none"/>
        </w:rPr>
        <w:t>所不拥有的知识产权，则在投标报价中必须包括合法获取该知识产权的相关费用。</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1</w:t>
      </w:r>
      <w:r>
        <w:rPr>
          <w:rFonts w:hint="eastAsia" w:ascii="宋体" w:hAnsi="宋体" w:cs="宋体"/>
          <w:b/>
          <w:bCs/>
          <w:color w:val="000000"/>
          <w:kern w:val="0"/>
          <w:sz w:val="24"/>
          <w:highlight w:val="none"/>
          <w:lang w:val="en-US" w:eastAsia="zh-CN"/>
        </w:rPr>
        <w:t>6</w:t>
      </w:r>
      <w:r>
        <w:rPr>
          <w:rFonts w:hint="eastAsia" w:ascii="宋体" w:hAnsi="宋体" w:cs="宋体"/>
          <w:b/>
          <w:bCs/>
          <w:color w:val="000000"/>
          <w:kern w:val="0"/>
          <w:sz w:val="24"/>
          <w:highlight w:val="none"/>
        </w:rPr>
        <w:t>、投标文件的组成</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rPr>
        <w:t>所有采购</w:t>
      </w:r>
      <w:r>
        <w:rPr>
          <w:rFonts w:hint="eastAsia"/>
          <w:highlight w:val="none"/>
          <w:lang w:eastAsia="zh-CN"/>
        </w:rPr>
        <w:t>服务</w:t>
      </w:r>
      <w:r>
        <w:rPr>
          <w:rFonts w:hint="eastAsia"/>
          <w:highlight w:val="none"/>
        </w:rPr>
        <w:t>只允许投标人有一个投标方案，不接受任何有选择的方案和报价（包括有条件的折扣）。投标人未按要求，提供了选择方案报价的，其投标将被拒绝。</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color w:val="auto"/>
          <w:highlight w:val="none"/>
        </w:rPr>
      </w:pPr>
      <w:r>
        <w:rPr>
          <w:rFonts w:hint="eastAsia"/>
          <w:color w:val="auto"/>
          <w:highlight w:val="none"/>
        </w:rPr>
        <w:t>1</w:t>
      </w:r>
      <w:r>
        <w:rPr>
          <w:rFonts w:hint="eastAsia"/>
          <w:color w:val="auto"/>
          <w:highlight w:val="none"/>
          <w:lang w:val="en-US" w:eastAsia="zh-CN"/>
        </w:rPr>
        <w:t>6</w:t>
      </w:r>
      <w:r>
        <w:rPr>
          <w:rFonts w:hint="eastAsia"/>
          <w:color w:val="auto"/>
          <w:highlight w:val="none"/>
        </w:rPr>
        <w:t>.1</w:t>
      </w:r>
      <w:r>
        <w:rPr>
          <w:rFonts w:hint="eastAsia"/>
          <w:color w:val="auto"/>
          <w:highlight w:val="none"/>
          <w:lang w:val="en-US" w:eastAsia="zh-CN"/>
        </w:rPr>
        <w:t xml:space="preserve">  </w:t>
      </w:r>
      <w:r>
        <w:rPr>
          <w:rFonts w:hint="eastAsia"/>
          <w:color w:val="auto"/>
          <w:highlight w:val="none"/>
        </w:rPr>
        <w:t>商务部分。投标人按照招标文件要求做出完全响应，提供的有关资质证明文件。包括以下内容：</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b/>
          <w:bCs/>
          <w:color w:val="auto"/>
          <w:highlight w:val="none"/>
        </w:rPr>
      </w:pPr>
      <w:r>
        <w:rPr>
          <w:rFonts w:hint="eastAsia"/>
          <w:color w:val="auto"/>
          <w:highlight w:val="none"/>
          <w:lang w:val="en-US" w:eastAsia="zh-CN"/>
        </w:rPr>
        <w:t xml:space="preserve">    </w:t>
      </w:r>
      <w:r>
        <w:rPr>
          <w:rFonts w:hint="eastAsia"/>
          <w:b/>
          <w:bCs/>
          <w:color w:val="auto"/>
          <w:highlight w:val="none"/>
        </w:rPr>
        <w:t>（1）投标函；</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b/>
          <w:bCs/>
          <w:color w:val="auto"/>
          <w:highlight w:val="none"/>
        </w:rPr>
      </w:pPr>
      <w:r>
        <w:rPr>
          <w:rFonts w:hint="eastAsia"/>
          <w:b/>
          <w:bCs/>
          <w:color w:val="auto"/>
          <w:highlight w:val="none"/>
        </w:rPr>
        <w:t xml:space="preserve">    （2）</w:t>
      </w:r>
      <w:r>
        <w:rPr>
          <w:rFonts w:hint="eastAsia"/>
          <w:b/>
          <w:bCs/>
          <w:color w:val="auto"/>
          <w:highlight w:val="none"/>
          <w:lang w:eastAsia="zh-CN"/>
        </w:rPr>
        <w:t>开标一览表</w:t>
      </w:r>
      <w:r>
        <w:rPr>
          <w:rFonts w:hint="eastAsia"/>
          <w:b/>
          <w:bCs/>
          <w:color w:val="auto"/>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2" w:firstLineChars="200"/>
        <w:jc w:val="both"/>
        <w:textAlignment w:val="auto"/>
        <w:outlineLvl w:val="9"/>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rPr>
        <w:t>（3）分项报价表</w:t>
      </w:r>
      <w:r>
        <w:rPr>
          <w:rFonts w:hint="eastAsia" w:ascii="Times New Roman" w:hAnsi="Times New Roman" w:eastAsia="宋体" w:cs="Times New Roman"/>
          <w:b/>
          <w:bCs/>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2" w:firstLineChars="200"/>
        <w:jc w:val="both"/>
        <w:textAlignment w:val="auto"/>
        <w:outlineLvl w:val="9"/>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4</w:t>
      </w:r>
      <w:r>
        <w:rPr>
          <w:rFonts w:hint="eastAsia" w:ascii="Times New Roman" w:hAnsi="Times New Roman" w:eastAsia="宋体" w:cs="Times New Roman"/>
          <w:b/>
          <w:bCs/>
          <w:color w:val="auto"/>
          <w:highlight w:val="none"/>
          <w:lang w:eastAsia="zh-CN"/>
        </w:rPr>
        <w:t>）选配件报价表（若有）</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2" w:firstLineChars="200"/>
        <w:jc w:val="both"/>
        <w:textAlignment w:val="auto"/>
        <w:outlineLvl w:val="9"/>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5</w:t>
      </w:r>
      <w:r>
        <w:rPr>
          <w:rFonts w:hint="eastAsia" w:ascii="Times New Roman" w:hAnsi="Times New Roman" w:eastAsia="宋体" w:cs="Times New Roman"/>
          <w:b/>
          <w:bCs/>
          <w:color w:val="auto"/>
          <w:highlight w:val="none"/>
          <w:lang w:eastAsia="zh-CN"/>
        </w:rPr>
        <w:t>）资格文件；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2" w:firstLineChars="200"/>
        <w:jc w:val="both"/>
        <w:textAlignment w:val="auto"/>
        <w:outlineLvl w:val="9"/>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6</w:t>
      </w:r>
      <w:r>
        <w:rPr>
          <w:rFonts w:hint="eastAsia" w:ascii="Times New Roman" w:hAnsi="Times New Roman" w:eastAsia="宋体" w:cs="Times New Roman"/>
          <w:b/>
          <w:bCs/>
          <w:color w:val="auto"/>
          <w:highlight w:val="none"/>
          <w:lang w:eastAsia="zh-CN"/>
        </w:rPr>
        <w:t>）投标方案说明书；</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2" w:firstLineChars="200"/>
        <w:jc w:val="both"/>
        <w:textAlignment w:val="auto"/>
        <w:outlineLvl w:val="9"/>
        <w:rPr>
          <w:rFonts w:hint="eastAsia"/>
          <w:b/>
          <w:bCs/>
          <w:color w:val="auto"/>
          <w:highlight w:val="none"/>
        </w:rPr>
      </w:pPr>
      <w:r>
        <w:rPr>
          <w:rFonts w:hint="eastAsia"/>
          <w:b/>
          <w:bCs/>
          <w:color w:val="auto"/>
          <w:highlight w:val="none"/>
        </w:rPr>
        <w:t>（</w:t>
      </w:r>
      <w:r>
        <w:rPr>
          <w:rFonts w:hint="eastAsia"/>
          <w:b/>
          <w:bCs/>
          <w:color w:val="auto"/>
          <w:highlight w:val="none"/>
          <w:lang w:val="en-US" w:eastAsia="zh-CN"/>
        </w:rPr>
        <w:t>7</w:t>
      </w:r>
      <w:r>
        <w:rPr>
          <w:rFonts w:hint="eastAsia"/>
          <w:b/>
          <w:bCs/>
          <w:color w:val="auto"/>
          <w:highlight w:val="none"/>
        </w:rPr>
        <w:t>）投标人认为有必要补充说明的事宜。</w:t>
      </w:r>
    </w:p>
    <w:p>
      <w:pPr>
        <w:pStyle w:val="36"/>
        <w:ind w:left="0" w:leftChars="0" w:firstLine="422" w:firstLineChars="200"/>
        <w:rPr>
          <w:rFonts w:hint="eastAsia"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（8）《拒绝政府采购领域商业贿赂承诺书》</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16.2  技术部分。投标人按照招标文件要求做出的技术应答，主要是针对招标项目的技术指标、参数和技术要求做出的实质性响应和满足。投标人的技术应答应包括并不限于下列内容：</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（1）技术方案、项目实施方案；</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（2）投标货物（产品）的品牌、型号、配置；</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（3）详细的技术指标和参数；</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（4）产品彩页资料；</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（5）产品工作环境条件；</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（6）产品验收标准和验收方法；</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（7）产品验收清单（注明各部件的品名、数量、价格、规格型号和原产地或生产厂家）；</w:t>
      </w:r>
    </w:p>
    <w:p>
      <w:pPr>
        <w:pStyle w:val="36"/>
        <w:ind w:left="0" w:leftChars="0" w:firstLine="420" w:firstLineChars="200"/>
        <w:rPr>
          <w:rFonts w:hint="eastAsia"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 xml:space="preserve">    （8）投标人认为需要提供的文件和资料。</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ascii="宋体" w:hAnsi="宋体" w:cs="宋体"/>
          <w:b/>
          <w:bCs/>
          <w:kern w:val="0"/>
          <w:sz w:val="24"/>
          <w:highlight w:val="none"/>
        </w:rPr>
        <w:t>1</w:t>
      </w:r>
      <w:r>
        <w:rPr>
          <w:rFonts w:hint="eastAsia" w:ascii="宋体" w:hAnsi="宋体" w:cs="宋体"/>
          <w:b/>
          <w:bCs/>
          <w:kern w:val="0"/>
          <w:sz w:val="24"/>
          <w:highlight w:val="none"/>
          <w:lang w:val="en-US" w:eastAsia="zh-CN"/>
        </w:rPr>
        <w:t>7</w:t>
      </w:r>
      <w:r>
        <w:rPr>
          <w:rFonts w:hint="eastAsia" w:ascii="宋体" w:hAnsi="宋体" w:cs="宋体"/>
          <w:b/>
          <w:bCs/>
          <w:kern w:val="0"/>
          <w:sz w:val="24"/>
          <w:highlight w:val="none"/>
        </w:rPr>
        <w:t>、投标报价</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color w:val="auto"/>
          <w:highlight w:val="none"/>
        </w:rPr>
      </w:pPr>
      <w:r>
        <w:rPr>
          <w:rFonts w:hint="eastAsia"/>
          <w:color w:val="auto"/>
          <w:highlight w:val="none"/>
          <w:lang w:val="en-US" w:eastAsia="zh-CN"/>
        </w:rPr>
        <w:t xml:space="preserve">17.1  </w:t>
      </w:r>
      <w:r>
        <w:rPr>
          <w:rFonts w:hint="eastAsia"/>
          <w:color w:val="auto"/>
          <w:highlight w:val="none"/>
        </w:rPr>
        <w:t>投标人应按照“投标人须知前附表”中的规定和要求报价，</w:t>
      </w:r>
      <w:r>
        <w:rPr>
          <w:rFonts w:hint="eastAsia" w:ascii="新宋体" w:hAnsi="新宋体" w:eastAsia="新宋体" w:cs="新宋体"/>
          <w:b/>
          <w:bCs/>
          <w:i w:val="0"/>
          <w:caps w:val="0"/>
          <w:color w:val="000000"/>
          <w:spacing w:val="0"/>
          <w:sz w:val="21"/>
          <w:szCs w:val="21"/>
          <w:highlight w:val="none"/>
          <w:shd w:val="clear" w:color="auto" w:fill="FFFFFF"/>
        </w:rPr>
        <w:t>报价超过招标文件中规定的预算金额或者最高限价的</w:t>
      </w:r>
      <w:r>
        <w:rPr>
          <w:rFonts w:hint="eastAsia"/>
          <w:b/>
          <w:bCs/>
          <w:color w:val="000000"/>
          <w:highlight w:val="none"/>
        </w:rPr>
        <w:t>将按照无效投标处理</w:t>
      </w:r>
      <w:r>
        <w:rPr>
          <w:rFonts w:hint="eastAsia"/>
          <w:b/>
          <w:bCs/>
          <w:color w:val="auto"/>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right="6" w:rightChars="0" w:firstLine="420" w:firstLineChars="200"/>
        <w:jc w:val="both"/>
        <w:textAlignment w:val="auto"/>
        <w:outlineLvl w:val="9"/>
        <w:rPr>
          <w:rFonts w:hint="eastAsia"/>
          <w:color w:val="auto"/>
          <w:highlight w:val="none"/>
          <w:lang w:val="en-US" w:eastAsia="zh-CN"/>
        </w:rPr>
      </w:pPr>
      <w:r>
        <w:rPr>
          <w:rFonts w:hint="eastAsia"/>
          <w:color w:val="auto"/>
          <w:highlight w:val="none"/>
          <w:lang w:val="en-US" w:eastAsia="zh-CN"/>
        </w:rPr>
        <w:t xml:space="preserve">17.2  </w:t>
      </w:r>
      <w:r>
        <w:rPr>
          <w:rFonts w:hint="eastAsia"/>
          <w:color w:val="auto"/>
          <w:highlight w:val="none"/>
        </w:rPr>
        <w:t>投标人应按照投标报价表的内容标明投标的所有单项价格和总价。投标报价是完成招标内容所需的全部费用</w:t>
      </w:r>
      <w:r>
        <w:rPr>
          <w:rFonts w:hint="eastAsia"/>
          <w:color w:val="auto"/>
          <w:highlight w:val="none"/>
          <w:lang w:eastAsia="zh-CN"/>
        </w:rPr>
        <w:t>。</w:t>
      </w:r>
      <w:r>
        <w:rPr>
          <w:rFonts w:hint="eastAsia"/>
          <w:color w:val="auto"/>
          <w:highlight w:val="none"/>
        </w:rPr>
        <w:t>投标报价表中标明的价格应为履行合同的固定价格，不得以任何理由予以变更。任何有选择的报价及以可调整价格提交的投标均按照无效投标处理。</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color w:val="auto"/>
          <w:highlight w:val="none"/>
        </w:rPr>
      </w:pPr>
      <w:r>
        <w:rPr>
          <w:rFonts w:hint="eastAsia"/>
          <w:color w:val="auto"/>
          <w:highlight w:val="none"/>
          <w:lang w:val="en-US" w:eastAsia="zh-CN"/>
        </w:rPr>
        <w:t xml:space="preserve">17.3  </w:t>
      </w:r>
      <w:r>
        <w:rPr>
          <w:rFonts w:hint="eastAsia"/>
          <w:color w:val="auto"/>
          <w:highlight w:val="none"/>
        </w:rPr>
        <w:t>如果在招标文件中没有允许提供备选方案，则每个投标人只允许提交一个投标方案，否则，其投标按照无效投标处理。如果允许提供备选方案，则按照评标方法中的规定对备选方案进行评审。</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color w:val="auto"/>
          <w:highlight w:val="none"/>
        </w:rPr>
      </w:pPr>
      <w:r>
        <w:rPr>
          <w:rFonts w:hint="eastAsia"/>
          <w:color w:val="auto"/>
          <w:highlight w:val="none"/>
          <w:lang w:val="en-US" w:eastAsia="zh-CN"/>
        </w:rPr>
        <w:t xml:space="preserve">17.4  </w:t>
      </w:r>
      <w:r>
        <w:rPr>
          <w:rFonts w:hint="eastAsia"/>
          <w:color w:val="auto"/>
          <w:highlight w:val="none"/>
        </w:rPr>
        <w:t>凡因投标人对招标文件阅读不深、理解不透、误解、疏漏、或因市场行情了解不清造成的后果和风险均由投标人自行负责。</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color w:val="auto"/>
          <w:highlight w:val="none"/>
        </w:rPr>
      </w:pPr>
      <w:r>
        <w:rPr>
          <w:rFonts w:hint="eastAsia"/>
          <w:color w:val="auto"/>
          <w:highlight w:val="none"/>
          <w:lang w:val="en-US" w:eastAsia="zh-CN"/>
        </w:rPr>
        <w:t xml:space="preserve">17.5  </w:t>
      </w:r>
      <w:r>
        <w:rPr>
          <w:rFonts w:hint="eastAsia"/>
          <w:color w:val="auto"/>
          <w:highlight w:val="none"/>
        </w:rPr>
        <w:t>投标过程中所产生的一切费用由投标人自行承担。</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1</w:t>
      </w:r>
      <w:r>
        <w:rPr>
          <w:rFonts w:hint="eastAsia" w:ascii="宋体" w:hAnsi="宋体" w:cs="宋体"/>
          <w:b/>
          <w:bCs/>
          <w:kern w:val="0"/>
          <w:sz w:val="24"/>
          <w:highlight w:val="none"/>
          <w:lang w:val="en-US" w:eastAsia="zh-CN"/>
        </w:rPr>
        <w:t>8</w:t>
      </w:r>
      <w:r>
        <w:rPr>
          <w:rFonts w:hint="eastAsia" w:ascii="宋体" w:hAnsi="宋体" w:cs="宋体"/>
          <w:b/>
          <w:bCs/>
          <w:kern w:val="0"/>
          <w:sz w:val="24"/>
          <w:highlight w:val="none"/>
        </w:rPr>
        <w:t>、证明投标人资格的证明文件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eastAsia="宋体"/>
          <w:color w:val="FF0000"/>
          <w:highlight w:val="none"/>
          <w:lang w:eastAsia="zh-CN"/>
        </w:rPr>
      </w:pPr>
      <w:r>
        <w:rPr>
          <w:rFonts w:hint="eastAsia"/>
          <w:highlight w:val="none"/>
        </w:rPr>
        <w:t>1</w:t>
      </w:r>
      <w:r>
        <w:rPr>
          <w:rFonts w:hint="eastAsia"/>
          <w:highlight w:val="none"/>
          <w:lang w:val="en-US" w:eastAsia="zh-CN"/>
        </w:rPr>
        <w:t>8</w:t>
      </w:r>
      <w:r>
        <w:rPr>
          <w:rFonts w:hint="eastAsia"/>
          <w:highlight w:val="none"/>
        </w:rPr>
        <w:t>.1</w:t>
      </w:r>
      <w:r>
        <w:rPr>
          <w:rFonts w:hint="eastAsia"/>
          <w:highlight w:val="none"/>
          <w:lang w:val="en-US" w:eastAsia="zh-CN"/>
        </w:rPr>
        <w:t xml:space="preserve"> </w:t>
      </w:r>
      <w:r>
        <w:rPr>
          <w:rFonts w:hint="eastAsia"/>
          <w:highlight w:val="none"/>
        </w:rPr>
        <w:t>投标人须按招标文件</w:t>
      </w:r>
      <w:r>
        <w:rPr>
          <w:rFonts w:hint="eastAsia"/>
          <w:highlight w:val="none"/>
          <w:lang w:eastAsia="zh-CN"/>
        </w:rPr>
        <w:t>“投标人须知前附表”</w:t>
      </w:r>
      <w:r>
        <w:rPr>
          <w:rFonts w:hint="eastAsia"/>
          <w:highlight w:val="none"/>
        </w:rPr>
        <w:t>的要求，提交证明文件（在投标文件中提交合格的资格证明文件加盖公章的复印件），以证明其有资格参加投标和中标后有履行合同的能力，并作为其投标文件的一部分。如果资格证明文件不全或不合格的，其投标将按无效投标</w:t>
      </w:r>
      <w:r>
        <w:rPr>
          <w:rFonts w:hint="eastAsia"/>
          <w:highlight w:val="none"/>
          <w:lang w:eastAsia="zh-CN"/>
        </w:rPr>
        <w:t>文件</w:t>
      </w:r>
      <w:r>
        <w:rPr>
          <w:rFonts w:hint="eastAsia"/>
          <w:highlight w:val="none"/>
        </w:rPr>
        <w:t>处理</w:t>
      </w:r>
      <w:r>
        <w:rPr>
          <w:rFonts w:hint="eastAsia"/>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lang w:eastAsia="zh-CN"/>
        </w:rPr>
      </w:pPr>
      <w:r>
        <w:rPr>
          <w:rFonts w:hint="eastAsia"/>
          <w:highlight w:val="none"/>
        </w:rPr>
        <w:t>1</w:t>
      </w:r>
      <w:r>
        <w:rPr>
          <w:rFonts w:hint="eastAsia"/>
          <w:highlight w:val="none"/>
          <w:lang w:val="en-US" w:eastAsia="zh-CN"/>
        </w:rPr>
        <w:t>8</w:t>
      </w:r>
      <w:r>
        <w:rPr>
          <w:rFonts w:hint="eastAsia"/>
          <w:highlight w:val="none"/>
        </w:rPr>
        <w:t>.2</w:t>
      </w:r>
      <w:r>
        <w:rPr>
          <w:rFonts w:hint="eastAsia"/>
          <w:highlight w:val="none"/>
          <w:lang w:val="en-US" w:eastAsia="zh-CN"/>
        </w:rPr>
        <w:t xml:space="preserve"> </w:t>
      </w:r>
      <w:r>
        <w:rPr>
          <w:rFonts w:hint="eastAsia"/>
          <w:highlight w:val="none"/>
        </w:rPr>
        <w:t>投标人还应按照招标文件的要求，提交其他的证明其实力、信誉、业绩等的证明文件。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rPr>
        <w:t>1</w:t>
      </w:r>
      <w:r>
        <w:rPr>
          <w:rFonts w:hint="eastAsia"/>
          <w:highlight w:val="none"/>
          <w:lang w:val="en-US" w:eastAsia="zh-CN"/>
        </w:rPr>
        <w:t>8</w:t>
      </w:r>
      <w:r>
        <w:rPr>
          <w:rFonts w:hint="eastAsia"/>
          <w:highlight w:val="none"/>
        </w:rPr>
        <w:t>.3</w:t>
      </w:r>
      <w:r>
        <w:rPr>
          <w:rFonts w:hint="eastAsia"/>
          <w:highlight w:val="none"/>
          <w:lang w:val="en-US" w:eastAsia="zh-CN"/>
        </w:rPr>
        <w:t xml:space="preserve"> </w:t>
      </w:r>
      <w:r>
        <w:rPr>
          <w:rFonts w:hint="eastAsia"/>
          <w:highlight w:val="none"/>
        </w:rPr>
        <w:t>如果“投标人须知前附表”有要求，投标人还应按照要求提交资格或其他证明文件的原件。如果未能提供原件或者提供原件不全的，其投标按照无效投标处理。</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lang w:val="en-US" w:eastAsia="zh-CN"/>
        </w:rPr>
        <w:t>19</w:t>
      </w:r>
      <w:r>
        <w:rPr>
          <w:rFonts w:hint="eastAsia" w:ascii="宋体" w:hAnsi="宋体" w:cs="宋体"/>
          <w:b/>
          <w:bCs/>
          <w:kern w:val="0"/>
          <w:sz w:val="24"/>
          <w:highlight w:val="none"/>
        </w:rPr>
        <w:t>、证明</w:t>
      </w:r>
      <w:r>
        <w:rPr>
          <w:rFonts w:hint="eastAsia" w:ascii="宋体" w:hAnsi="宋体" w:cs="宋体"/>
          <w:b/>
          <w:bCs/>
          <w:kern w:val="0"/>
          <w:sz w:val="24"/>
          <w:highlight w:val="none"/>
          <w:lang w:val="en-US" w:eastAsia="zh-CN"/>
        </w:rPr>
        <w:t>服务</w:t>
      </w:r>
      <w:r>
        <w:rPr>
          <w:rFonts w:hint="eastAsia" w:ascii="宋体" w:hAnsi="宋体" w:cs="宋体"/>
          <w:b/>
          <w:bCs/>
          <w:kern w:val="0"/>
          <w:sz w:val="24"/>
          <w:highlight w:val="none"/>
        </w:rPr>
        <w:t>的合格性和符合招标文件规定的文件</w:t>
      </w:r>
    </w:p>
    <w:p>
      <w:pPr>
        <w:autoSpaceDE w:val="0"/>
        <w:autoSpaceDN w:val="0"/>
        <w:adjustRightInd w:val="0"/>
        <w:spacing w:line="500" w:lineRule="exact"/>
        <w:ind w:right="6"/>
        <w:rPr>
          <w:rFonts w:hint="eastAsia" w:ascii="宋体" w:hAnsi="宋体" w:eastAsia="宋体" w:cs="宋体"/>
          <w:highlight w:val="none"/>
        </w:rPr>
      </w:pPr>
      <w:r>
        <w:rPr>
          <w:rFonts w:hint="eastAsia"/>
          <w:highlight w:val="none"/>
          <w:lang w:val="en-US" w:eastAsia="zh-CN"/>
        </w:rPr>
        <w:t xml:space="preserve">    </w:t>
      </w:r>
      <w:r>
        <w:rPr>
          <w:rFonts w:hint="eastAsia" w:ascii="宋体" w:hAnsi="宋体" w:eastAsia="宋体" w:cs="宋体"/>
          <w:highlight w:val="none"/>
        </w:rPr>
        <w:t xml:space="preserve"> </w:t>
      </w:r>
      <w:r>
        <w:rPr>
          <w:rFonts w:hint="eastAsia" w:ascii="宋体" w:hAnsi="宋体" w:cs="宋体"/>
          <w:highlight w:val="none"/>
          <w:lang w:val="en-US" w:eastAsia="zh-CN"/>
        </w:rPr>
        <w:t>19</w:t>
      </w:r>
      <w:r>
        <w:rPr>
          <w:rFonts w:hint="eastAsia" w:ascii="宋体" w:hAnsi="宋体" w:eastAsia="宋体" w:cs="宋体"/>
          <w:highlight w:val="none"/>
        </w:rPr>
        <w:t>.1 投标人应在投标文件中提交所提供服务满足招标文件要求并符合国家法律法规、行业管理部门要求的其他强制性标准的证明文件。缺少证明文件或证明文件不合格的响应文件，与招标文件要求有重大偏离的投标文件，不符合国家法律法规、行业管理部门要求的其他强制性标准的投标文件将按照无效处理。</w:t>
      </w:r>
    </w:p>
    <w:p>
      <w:pPr>
        <w:autoSpaceDE w:val="0"/>
        <w:autoSpaceDN w:val="0"/>
        <w:adjustRightInd w:val="0"/>
        <w:spacing w:line="500" w:lineRule="exact"/>
        <w:ind w:right="6" w:firstLine="420"/>
        <w:rPr>
          <w:rFonts w:hint="eastAsia" w:ascii="宋体" w:hAnsi="宋体" w:eastAsia="宋体" w:cs="宋体"/>
          <w:highlight w:val="none"/>
        </w:rPr>
      </w:pPr>
      <w:r>
        <w:rPr>
          <w:rFonts w:hint="eastAsia" w:ascii="宋体" w:hAnsi="宋体" w:cs="宋体"/>
          <w:highlight w:val="none"/>
          <w:lang w:val="en-US" w:eastAsia="zh-CN"/>
        </w:rPr>
        <w:t>19</w:t>
      </w:r>
      <w:r>
        <w:rPr>
          <w:rFonts w:hint="eastAsia" w:ascii="宋体" w:hAnsi="宋体" w:eastAsia="宋体" w:cs="宋体"/>
          <w:highlight w:val="none"/>
        </w:rPr>
        <w:t>.2 证明服务与招标文件的要求相一致的文件，它可以是文字资料、图表、数据、证书、业主证明等（支撑材料应能令</w:t>
      </w:r>
      <w:r>
        <w:rPr>
          <w:rFonts w:hint="eastAsia" w:ascii="宋体" w:hAnsi="宋体" w:cs="宋体"/>
          <w:highlight w:val="none"/>
          <w:lang w:val="en-US" w:eastAsia="zh-CN"/>
        </w:rPr>
        <w:t>采购</w:t>
      </w:r>
      <w:r>
        <w:rPr>
          <w:rFonts w:hint="eastAsia" w:ascii="宋体" w:hAnsi="宋体" w:eastAsia="宋体" w:cs="宋体"/>
          <w:highlight w:val="none"/>
        </w:rPr>
        <w:t>人相信投标产品或服务是全新未经使用且属于常规提供的，不是为了满足投标而临时定制的产品或服务），包括：</w:t>
      </w:r>
    </w:p>
    <w:p>
      <w:pPr>
        <w:autoSpaceDE w:val="0"/>
        <w:autoSpaceDN w:val="0"/>
        <w:adjustRightInd w:val="0"/>
        <w:spacing w:line="500" w:lineRule="exact"/>
        <w:ind w:right="6"/>
        <w:rPr>
          <w:rFonts w:hint="eastAsia" w:ascii="宋体" w:hAnsi="宋体" w:eastAsia="宋体" w:cs="宋体"/>
          <w:highlight w:val="none"/>
        </w:rPr>
      </w:pPr>
      <w:r>
        <w:rPr>
          <w:rFonts w:hint="eastAsia" w:ascii="宋体" w:hAnsi="宋体" w:eastAsia="宋体" w:cs="宋体"/>
          <w:highlight w:val="none"/>
        </w:rPr>
        <w:t xml:space="preserve">    （1） 逐条对招标文件提出的技术要求和商务要求进行应答，说明所提供的服务对投标要求的技术和商务要求是否做出了实质性响应并提供支持文件；</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eastAsia="宋体"/>
          <w:highlight w:val="none"/>
          <w:lang w:val="en-US" w:eastAsia="zh-CN"/>
        </w:rPr>
      </w:pPr>
      <w:r>
        <w:rPr>
          <w:rFonts w:hint="eastAsia" w:ascii="宋体" w:hAnsi="宋体" w:eastAsia="宋体" w:cs="宋体"/>
          <w:highlight w:val="none"/>
        </w:rPr>
        <w:t>（2） 服务内容、服务程序设计和实施方案的详细说明。</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ascii="宋体" w:hAnsi="宋体" w:cs="宋体"/>
          <w:b/>
          <w:bCs/>
          <w:color w:val="auto"/>
          <w:kern w:val="0"/>
          <w:sz w:val="24"/>
          <w:highlight w:val="none"/>
        </w:rPr>
        <w:t>2</w:t>
      </w:r>
      <w:r>
        <w:rPr>
          <w:rFonts w:hint="eastAsia" w:ascii="宋体" w:hAnsi="宋体" w:cs="宋体"/>
          <w:b/>
          <w:bCs/>
          <w:color w:val="auto"/>
          <w:kern w:val="0"/>
          <w:sz w:val="24"/>
          <w:highlight w:val="none"/>
          <w:lang w:val="en-US" w:eastAsia="zh-CN"/>
        </w:rPr>
        <w:t>0</w:t>
      </w:r>
      <w:r>
        <w:rPr>
          <w:rFonts w:hint="eastAsia" w:ascii="宋体" w:hAnsi="宋体" w:cs="宋体"/>
          <w:b/>
          <w:bCs/>
          <w:color w:val="auto"/>
          <w:kern w:val="0"/>
          <w:sz w:val="24"/>
          <w:highlight w:val="none"/>
        </w:rPr>
        <w:t>、投标保证金（本项目不收取投标保证金）</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2</w:t>
      </w:r>
      <w:r>
        <w:rPr>
          <w:rFonts w:hint="eastAsia" w:ascii="宋体" w:hAnsi="宋体" w:cs="宋体"/>
          <w:b/>
          <w:bCs/>
          <w:kern w:val="0"/>
          <w:sz w:val="24"/>
          <w:highlight w:val="none"/>
          <w:lang w:val="en-US" w:eastAsia="zh-CN"/>
        </w:rPr>
        <w:t>1</w:t>
      </w:r>
      <w:r>
        <w:rPr>
          <w:rFonts w:hint="eastAsia" w:ascii="宋体" w:hAnsi="宋体" w:cs="宋体"/>
          <w:b/>
          <w:bCs/>
          <w:kern w:val="0"/>
          <w:sz w:val="24"/>
          <w:highlight w:val="none"/>
        </w:rPr>
        <w:t>、投标有效期</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w:t>
      </w:r>
      <w:r>
        <w:rPr>
          <w:rFonts w:hint="eastAsia"/>
          <w:highlight w:val="none"/>
          <w:lang w:val="en-US" w:eastAsia="zh-CN"/>
        </w:rPr>
        <w:t>1</w:t>
      </w:r>
      <w:r>
        <w:rPr>
          <w:rFonts w:hint="eastAsia"/>
          <w:highlight w:val="none"/>
        </w:rPr>
        <w:t xml:space="preserve">.1 </w:t>
      </w:r>
      <w:r>
        <w:rPr>
          <w:rFonts w:hint="eastAsia"/>
          <w:highlight w:val="none"/>
          <w:lang w:val="en-US" w:eastAsia="zh-CN"/>
        </w:rPr>
        <w:t xml:space="preserve"> </w:t>
      </w:r>
      <w:r>
        <w:rPr>
          <w:rFonts w:hint="eastAsia"/>
          <w:highlight w:val="none"/>
        </w:rPr>
        <w:t>投标有效期见投标人须知前附表。投标有效期短于此规定期限的投标，将被拒绝。在有效期内投标文件对投标人具有法律约束力，以保证采购人完成评标、定标以及合同签订事项。中标</w:t>
      </w:r>
      <w:r>
        <w:rPr>
          <w:rFonts w:hint="eastAsia"/>
          <w:highlight w:val="none"/>
          <w:lang w:eastAsia="zh-CN"/>
        </w:rPr>
        <w:t>单位</w:t>
      </w:r>
      <w:r>
        <w:rPr>
          <w:rFonts w:hint="eastAsia"/>
          <w:highlight w:val="none"/>
        </w:rPr>
        <w:t>的投标文件有效期自动延长至合同执行完毕。</w:t>
      </w:r>
    </w:p>
    <w:p>
      <w:pPr>
        <w:spacing w:before="240" w:after="120"/>
        <w:jc w:val="left"/>
        <w:outlineLvl w:val="2"/>
        <w:rPr>
          <w:rFonts w:hint="eastAsia" w:ascii="宋体" w:hAnsi="宋体" w:eastAsia="宋体" w:cs="宋体"/>
          <w:b/>
          <w:bCs/>
          <w:kern w:val="0"/>
          <w:sz w:val="24"/>
          <w:highlight w:val="none"/>
          <w:lang w:val="en-US" w:eastAsia="zh-CN"/>
        </w:rPr>
      </w:pPr>
      <w:r>
        <w:rPr>
          <w:rFonts w:hint="eastAsia" w:ascii="宋体" w:hAnsi="宋体" w:eastAsia="宋体" w:cs="宋体"/>
          <w:b/>
          <w:bCs/>
          <w:kern w:val="0"/>
          <w:sz w:val="24"/>
          <w:highlight w:val="none"/>
          <w:lang w:val="en-US" w:eastAsia="zh-CN"/>
        </w:rPr>
        <w:t>2</w:t>
      </w:r>
      <w:r>
        <w:rPr>
          <w:rFonts w:hint="eastAsia" w:ascii="宋体" w:hAnsi="宋体" w:cs="宋体"/>
          <w:b/>
          <w:bCs/>
          <w:kern w:val="0"/>
          <w:sz w:val="24"/>
          <w:highlight w:val="none"/>
          <w:lang w:val="en-US" w:eastAsia="zh-CN"/>
        </w:rPr>
        <w:t>2</w:t>
      </w:r>
      <w:r>
        <w:rPr>
          <w:rFonts w:hint="eastAsia" w:ascii="宋体" w:hAnsi="宋体" w:eastAsia="宋体" w:cs="宋体"/>
          <w:b/>
          <w:bCs/>
          <w:kern w:val="0"/>
          <w:sz w:val="24"/>
          <w:highlight w:val="none"/>
          <w:lang w:val="en-US" w:eastAsia="zh-CN"/>
        </w:rPr>
        <w:t>、投标文件的编制要求</w:t>
      </w:r>
    </w:p>
    <w:p>
      <w:pPr>
        <w:autoSpaceDE w:val="0"/>
        <w:autoSpaceDN w:val="0"/>
        <w:adjustRightInd w:val="0"/>
        <w:spacing w:line="500" w:lineRule="exact"/>
        <w:ind w:right="6" w:firstLine="420"/>
        <w:rPr>
          <w:rFonts w:hint="eastAsia" w:ascii="宋体" w:hAnsi="宋体" w:cs="宋体"/>
          <w:highlight w:val="none"/>
          <w:lang w:val="en-US" w:eastAsia="zh-CN"/>
        </w:rPr>
      </w:pPr>
      <w:r>
        <w:rPr>
          <w:rFonts w:hint="eastAsia" w:ascii="宋体" w:hAnsi="宋体" w:eastAsia="宋体" w:cs="宋体"/>
          <w:highlight w:val="none"/>
        </w:rPr>
        <w:t>2</w:t>
      </w:r>
      <w:r>
        <w:rPr>
          <w:rFonts w:hint="eastAsia" w:ascii="宋体" w:hAnsi="宋体" w:cs="宋体"/>
          <w:highlight w:val="none"/>
          <w:lang w:val="en-US" w:eastAsia="zh-CN"/>
        </w:rPr>
        <w:t>2</w:t>
      </w:r>
      <w:r>
        <w:rPr>
          <w:rFonts w:hint="eastAsia" w:ascii="宋体" w:hAnsi="宋体" w:eastAsia="宋体" w:cs="宋体"/>
          <w:highlight w:val="none"/>
        </w:rPr>
        <w:t>.1 电子投标文件（*.SXSTF）需要使用专用制作软件进行编制。软件下载地址及操作手册：见全国公共资源交易平台（陕西省·</w:t>
      </w:r>
      <w:r>
        <w:rPr>
          <w:rFonts w:hint="eastAsia" w:ascii="宋体" w:hAnsi="宋体" w:cs="宋体"/>
          <w:highlight w:val="none"/>
          <w:lang w:val="en-US" w:eastAsia="zh-CN"/>
        </w:rPr>
        <w:t>西安市</w:t>
      </w:r>
      <w:r>
        <w:rPr>
          <w:rFonts w:hint="eastAsia" w:ascii="宋体" w:hAnsi="宋体" w:eastAsia="宋体" w:cs="宋体"/>
          <w:highlight w:val="none"/>
        </w:rPr>
        <w:t>）〖首页〉服务指南〉下载专区〗</w:t>
      </w:r>
      <w:r>
        <w:rPr>
          <w:rFonts w:hint="eastAsia" w:ascii="宋体" w:hAnsi="宋体" w:cs="宋体"/>
          <w:highlight w:val="none"/>
          <w:lang w:val="en-US" w:eastAsia="zh-CN"/>
        </w:rPr>
        <w:t>。</w:t>
      </w:r>
    </w:p>
    <w:p>
      <w:pPr>
        <w:autoSpaceDE w:val="0"/>
        <w:autoSpaceDN w:val="0"/>
        <w:adjustRightInd w:val="0"/>
        <w:spacing w:line="500" w:lineRule="exact"/>
        <w:ind w:right="6" w:firstLine="420"/>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2</w:t>
      </w:r>
      <w:r>
        <w:rPr>
          <w:rFonts w:hint="eastAsia" w:ascii="宋体" w:hAnsi="宋体" w:eastAsia="宋体" w:cs="宋体"/>
          <w:highlight w:val="none"/>
          <w:lang w:val="en-US" w:eastAsia="zh-CN"/>
        </w:rPr>
        <w:t xml:space="preserve">.2 </w:t>
      </w:r>
      <w:r>
        <w:rPr>
          <w:rFonts w:hint="eastAsia" w:ascii="宋体" w:hAnsi="宋体" w:eastAsia="宋体" w:cs="宋体"/>
          <w:highlight w:val="none"/>
        </w:rPr>
        <w:t>编制电子投标文件前，务必先做好电子招标文件的备份工作。 然后按操作手册中给出的方法将电子招标文件（*.SXSZF）或答疑文件 （*.SXSCF，即更新后的电子招标文件）导入制作软件，最后按照章节分别编制投标文件各个部分</w:t>
      </w:r>
      <w:r>
        <w:rPr>
          <w:rFonts w:hint="eastAsia" w:ascii="宋体" w:hAnsi="宋体" w:eastAsia="宋体" w:cs="宋体"/>
          <w:highlight w:val="none"/>
          <w:lang w:eastAsia="zh-CN"/>
        </w:rPr>
        <w:t>。</w:t>
      </w:r>
    </w:p>
    <w:p>
      <w:pPr>
        <w:autoSpaceDE w:val="0"/>
        <w:autoSpaceDN w:val="0"/>
        <w:adjustRightInd w:val="0"/>
        <w:spacing w:line="500" w:lineRule="exact"/>
        <w:ind w:right="6" w:firstLine="420"/>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2</w:t>
      </w:r>
      <w:r>
        <w:rPr>
          <w:rFonts w:hint="eastAsia" w:ascii="宋体" w:hAnsi="宋体" w:eastAsia="宋体" w:cs="宋体"/>
          <w:highlight w:val="none"/>
          <w:lang w:val="en-US" w:eastAsia="zh-CN"/>
        </w:rPr>
        <w:t>.3 再次提醒：提交投标文件截止时间前，投标人应随时留意信息发布媒体上可能发布的变更公告。若变更公告中明确注明本项目伴有变更文件的，投标人应登录企业端后，从〖项目流程·〉 项目管理·〉答疑文件下载〗获取更新后的电子招标文件（*.SXSCF）， 使用旧版电子招标文件制作的电子投标文件（*.SXSTF），系统将拒绝接收。</w:t>
      </w:r>
    </w:p>
    <w:p>
      <w:pPr>
        <w:autoSpaceDE w:val="0"/>
        <w:autoSpaceDN w:val="0"/>
        <w:adjustRightInd w:val="0"/>
        <w:spacing w:line="500" w:lineRule="exact"/>
        <w:ind w:right="6" w:firstLine="420"/>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2</w:t>
      </w:r>
      <w:r>
        <w:rPr>
          <w:rFonts w:hint="eastAsia" w:ascii="宋体" w:hAnsi="宋体" w:eastAsia="宋体" w:cs="宋体"/>
          <w:highlight w:val="none"/>
          <w:lang w:val="en-US" w:eastAsia="zh-CN"/>
        </w:rPr>
        <w:t>.4 电子投标文件制作过程中，需要法定代表人签字或盖章的地方，请使用“法人 CA 锁”进行签章；需要加盖</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公章的地方，请使用“企业 CA 锁”进行签章。若导出的 PDF 文件里看不到签章，请尝试使用专用制作软件中的“查看投标文件工具”打开未加密的电子投标文件重新导出。在制作过程中，如有其他技术性问题，请先翻阅操作手册，或致电软件开发商。</w:t>
      </w:r>
    </w:p>
    <w:p>
      <w:pPr>
        <w:autoSpaceDE w:val="0"/>
        <w:autoSpaceDN w:val="0"/>
        <w:adjustRightInd w:val="0"/>
        <w:spacing w:line="500" w:lineRule="exact"/>
        <w:ind w:right="6" w:firstLine="420"/>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2</w:t>
      </w:r>
      <w:r>
        <w:rPr>
          <w:rFonts w:hint="eastAsia" w:ascii="宋体" w:hAnsi="宋体" w:eastAsia="宋体" w:cs="宋体"/>
          <w:highlight w:val="none"/>
          <w:lang w:val="en-US" w:eastAsia="zh-CN"/>
        </w:rPr>
        <w:t>.5 投标人必须按招标文件的“第六章 投标文件格式”编写投标文件。</w:t>
      </w:r>
    </w:p>
    <w:p>
      <w:pPr>
        <w:autoSpaceDE w:val="0"/>
        <w:autoSpaceDN w:val="0"/>
        <w:adjustRightInd w:val="0"/>
        <w:spacing w:line="500" w:lineRule="exact"/>
        <w:ind w:right="6" w:firstLine="420"/>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2</w:t>
      </w:r>
      <w:r>
        <w:rPr>
          <w:rFonts w:hint="eastAsia" w:ascii="宋体" w:hAnsi="宋体" w:eastAsia="宋体" w:cs="宋体"/>
          <w:highlight w:val="none"/>
          <w:lang w:val="en-US" w:eastAsia="zh-CN"/>
        </w:rPr>
        <w:t>.6 投标人应保证所提供的投标文件和所有资料的真实性、准确性和完整性。投标人在政府采购过程中提供不真实的材料，无论其材料是否重要，采购人均有权拒绝，并取消其投标资格，投标人需承担相应的后果及法律责任。</w:t>
      </w:r>
    </w:p>
    <w:p>
      <w:pPr>
        <w:numPr>
          <w:ilvl w:val="0"/>
          <w:numId w:val="0"/>
        </w:numPr>
        <w:spacing w:before="240" w:after="120"/>
        <w:jc w:val="center"/>
        <w:outlineLvl w:val="2"/>
        <w:rPr>
          <w:rFonts w:hint="eastAsia" w:ascii="宋体" w:hAnsi="宋体" w:cs="宋体"/>
          <w:b/>
          <w:bCs/>
          <w:sz w:val="28"/>
          <w:highlight w:val="none"/>
        </w:rPr>
      </w:pPr>
      <w:r>
        <w:rPr>
          <w:rFonts w:hint="eastAsia" w:ascii="宋体" w:hAnsi="宋体" w:cs="宋体"/>
          <w:b/>
          <w:bCs/>
          <w:sz w:val="28"/>
          <w:highlight w:val="none"/>
        </w:rPr>
        <w:t>四、投标</w:t>
      </w:r>
    </w:p>
    <w:p>
      <w:pPr>
        <w:spacing w:before="240" w:after="120"/>
        <w:jc w:val="left"/>
        <w:outlineLvl w:val="2"/>
        <w:rPr>
          <w:rFonts w:hint="eastAsia" w:ascii="宋体" w:hAnsi="宋体" w:eastAsia="宋体" w:cs="宋体"/>
          <w:b/>
          <w:bCs/>
          <w:kern w:val="0"/>
          <w:sz w:val="24"/>
          <w:highlight w:val="none"/>
          <w:lang w:val="en-US" w:eastAsia="zh-CN"/>
        </w:rPr>
      </w:pPr>
      <w:r>
        <w:rPr>
          <w:rFonts w:hint="eastAsia" w:ascii="宋体" w:hAnsi="宋体" w:eastAsia="宋体" w:cs="宋体"/>
          <w:b/>
          <w:bCs/>
          <w:kern w:val="0"/>
          <w:sz w:val="24"/>
          <w:highlight w:val="none"/>
          <w:lang w:val="en-US" w:eastAsia="zh-CN"/>
        </w:rPr>
        <w:t>2</w:t>
      </w:r>
      <w:r>
        <w:rPr>
          <w:rFonts w:hint="eastAsia" w:ascii="宋体" w:hAnsi="宋体" w:cs="宋体"/>
          <w:b/>
          <w:bCs/>
          <w:kern w:val="0"/>
          <w:sz w:val="24"/>
          <w:highlight w:val="none"/>
          <w:lang w:val="en-US" w:eastAsia="zh-CN"/>
        </w:rPr>
        <w:t>3</w:t>
      </w:r>
      <w:r>
        <w:rPr>
          <w:rFonts w:hint="eastAsia" w:ascii="宋体" w:hAnsi="宋体" w:eastAsia="宋体" w:cs="宋体"/>
          <w:b/>
          <w:bCs/>
          <w:kern w:val="0"/>
          <w:sz w:val="24"/>
          <w:highlight w:val="none"/>
          <w:lang w:val="en-US" w:eastAsia="zh-CN"/>
        </w:rPr>
        <w:t xml:space="preserve">、投标文件的加密和提交 </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cs="宋体"/>
          <w:highlight w:val="none"/>
          <w:lang w:val="en-US" w:eastAsia="zh-CN"/>
        </w:rPr>
        <w:t>3</w:t>
      </w:r>
      <w:r>
        <w:rPr>
          <w:rFonts w:hint="eastAsia" w:ascii="宋体" w:hAnsi="宋体" w:eastAsia="宋体" w:cs="宋体"/>
          <w:highlight w:val="none"/>
        </w:rPr>
        <w:t>.1 在生成电子投标文件时，需要使用CA锁对投标文件进行加密。</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rPr>
        <w:t>注意：加密投标文件和开标时解密投标文件应当使用同一CA，否则将会导致解密失败。</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3</w:t>
      </w:r>
      <w:r>
        <w:rPr>
          <w:rFonts w:hint="eastAsia" w:ascii="宋体" w:hAnsi="宋体" w:eastAsia="宋体" w:cs="宋体"/>
          <w:highlight w:val="none"/>
          <w:lang w:val="en-US" w:eastAsia="zh-CN"/>
        </w:rPr>
        <w:t xml:space="preserve">.2 </w:t>
      </w:r>
      <w:r>
        <w:rPr>
          <w:rFonts w:hint="eastAsia" w:ascii="宋体" w:hAnsi="宋体" w:eastAsia="宋体" w:cs="宋体"/>
          <w:highlight w:val="none"/>
        </w:rPr>
        <w:t>电子投标文件可于提交投标文件截止时间前任意时段，登录全国公共资源交易平台（陕西省·</w:t>
      </w:r>
      <w:r>
        <w:rPr>
          <w:rFonts w:hint="eastAsia" w:ascii="宋体" w:hAnsi="宋体" w:cs="宋体"/>
          <w:highlight w:val="none"/>
          <w:lang w:val="en-US" w:eastAsia="zh-CN"/>
        </w:rPr>
        <w:t>西安市</w:t>
      </w:r>
      <w:r>
        <w:rPr>
          <w:rFonts w:hint="eastAsia" w:ascii="宋体" w:hAnsi="宋体" w:eastAsia="宋体" w:cs="宋体"/>
          <w:highlight w:val="none"/>
        </w:rPr>
        <w:t>）〖首页·〉电子交易平台·〉〗，登录后切换到〖我的项目〗模块下，依次点选〖项 目流程·〉项目管理·〉上传响应文件〗，上传加密后的电子投标文件（*.SXSTF）。上传成功后，全国公共资源交易平台（陕西省·</w:t>
      </w:r>
      <w:r>
        <w:rPr>
          <w:rFonts w:hint="eastAsia" w:ascii="宋体" w:hAnsi="宋体" w:cs="宋体"/>
          <w:highlight w:val="none"/>
          <w:lang w:val="en-US" w:eastAsia="zh-CN"/>
        </w:rPr>
        <w:t>西安市</w:t>
      </w:r>
      <w:r>
        <w:rPr>
          <w:rFonts w:hint="eastAsia" w:ascii="宋体" w:hAnsi="宋体" w:eastAsia="宋体" w:cs="宋体"/>
          <w:highlight w:val="none"/>
        </w:rPr>
        <w:t xml:space="preserve">）系统将予以记录。 </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3</w:t>
      </w:r>
      <w:r>
        <w:rPr>
          <w:rFonts w:hint="eastAsia" w:ascii="宋体" w:hAnsi="宋体" w:eastAsia="宋体" w:cs="宋体"/>
          <w:highlight w:val="none"/>
          <w:lang w:val="en-US" w:eastAsia="zh-CN"/>
        </w:rPr>
        <w:t xml:space="preserve">.3 </w:t>
      </w:r>
      <w:r>
        <w:rPr>
          <w:rFonts w:hint="eastAsia" w:ascii="宋体" w:hAnsi="宋体" w:eastAsia="宋体" w:cs="宋体"/>
          <w:highlight w:val="none"/>
        </w:rPr>
        <w:t xml:space="preserve">上传文件有误或需要重新提交的，可先撤销已经上传的文件，然后重新上传新文件。 </w:t>
      </w:r>
    </w:p>
    <w:p>
      <w:pPr>
        <w:autoSpaceDE w:val="0"/>
        <w:autoSpaceDN w:val="0"/>
        <w:adjustRightInd w:val="0"/>
        <w:spacing w:line="500" w:lineRule="exact"/>
        <w:ind w:right="6" w:firstLine="420" w:firstLineChars="200"/>
        <w:rPr>
          <w:rFonts w:hint="eastAsia" w:ascii="宋体" w:hAnsi="宋体" w:eastAsia="宋体" w:cs="宋体"/>
          <w:highlight w:val="none"/>
          <w:lang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3</w:t>
      </w:r>
      <w:r>
        <w:rPr>
          <w:rFonts w:hint="eastAsia" w:ascii="宋体" w:hAnsi="宋体" w:eastAsia="宋体" w:cs="宋体"/>
          <w:highlight w:val="none"/>
          <w:lang w:val="en-US" w:eastAsia="zh-CN"/>
        </w:rPr>
        <w:t xml:space="preserve">.4 </w:t>
      </w:r>
      <w:r>
        <w:rPr>
          <w:rFonts w:hint="eastAsia" w:ascii="宋体" w:hAnsi="宋体" w:eastAsia="宋体" w:cs="宋体"/>
          <w:highlight w:val="none"/>
        </w:rPr>
        <w:t>投标人编制投标文件时，涉及的有关原件应在投标文件中提供电子版</w:t>
      </w:r>
      <w:r>
        <w:rPr>
          <w:rFonts w:hint="eastAsia" w:ascii="宋体" w:hAnsi="宋体" w:eastAsia="宋体" w:cs="宋体"/>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3</w:t>
      </w:r>
      <w:r>
        <w:rPr>
          <w:rFonts w:hint="eastAsia" w:ascii="宋体" w:hAnsi="宋体" w:eastAsia="宋体" w:cs="宋体"/>
          <w:highlight w:val="none"/>
          <w:lang w:val="en-US" w:eastAsia="zh-CN"/>
        </w:rPr>
        <w:t xml:space="preserve">.5 </w:t>
      </w:r>
      <w:r>
        <w:rPr>
          <w:rFonts w:hint="eastAsia" w:ascii="宋体" w:hAnsi="宋体" w:eastAsia="宋体" w:cs="宋体"/>
          <w:highlight w:val="none"/>
          <w:lang w:eastAsia="zh-CN"/>
        </w:rPr>
        <w:t>如因投标人自身原因造成无法解密投标文件，按无效投标对待。</w:t>
      </w:r>
    </w:p>
    <w:p>
      <w:pPr>
        <w:spacing w:before="240" w:after="120"/>
        <w:jc w:val="left"/>
        <w:outlineLvl w:val="2"/>
        <w:rPr>
          <w:rFonts w:hint="eastAsia" w:ascii="宋体" w:hAnsi="宋体" w:eastAsia="宋体" w:cs="宋体"/>
          <w:b/>
          <w:bCs/>
          <w:kern w:val="0"/>
          <w:sz w:val="24"/>
          <w:highlight w:val="none"/>
          <w:lang w:val="en-US" w:eastAsia="zh-CN"/>
        </w:rPr>
      </w:pPr>
      <w:r>
        <w:rPr>
          <w:rFonts w:hint="eastAsia" w:ascii="宋体" w:hAnsi="宋体" w:eastAsia="宋体" w:cs="宋体"/>
          <w:b/>
          <w:bCs/>
          <w:kern w:val="0"/>
          <w:sz w:val="24"/>
          <w:highlight w:val="none"/>
          <w:lang w:val="en-US" w:eastAsia="zh-CN"/>
        </w:rPr>
        <w:t>24、投标文件的补充、修改和撤回</w:t>
      </w:r>
    </w:p>
    <w:p>
      <w:pPr>
        <w:keepNext w:val="0"/>
        <w:keepLines w:val="0"/>
        <w:pageBreakBefore w:val="0"/>
        <w:widowControl w:val="0"/>
        <w:kinsoku/>
        <w:wordWrap/>
        <w:overflowPunct/>
        <w:topLinePunct w:val="0"/>
        <w:autoSpaceDE w:val="0"/>
        <w:autoSpaceDN w:val="0"/>
        <w:bidi w:val="0"/>
        <w:adjustRightInd w:val="0"/>
        <w:snapToGrid/>
        <w:spacing w:line="500" w:lineRule="exact"/>
        <w:ind w:right="6" w:rightChars="0" w:firstLine="420" w:firstLineChars="200"/>
        <w:jc w:val="both"/>
        <w:textAlignment w:val="auto"/>
        <w:outlineLvl w:val="9"/>
        <w:rPr>
          <w:rFonts w:hint="eastAsia"/>
          <w:lang w:val="en-US" w:eastAsia="zh-CN"/>
        </w:rPr>
      </w:pPr>
      <w:r>
        <w:rPr>
          <w:rFonts w:hint="eastAsia"/>
          <w:highlight w:val="none"/>
          <w:lang w:val="en-US" w:eastAsia="zh-CN"/>
        </w:rPr>
        <w:t>24.1投标人在递交投标文件后，且在提交</w:t>
      </w:r>
      <w:r>
        <w:rPr>
          <w:rFonts w:hint="eastAsia"/>
          <w:lang w:val="en-US" w:eastAsia="zh-CN"/>
        </w:rPr>
        <w:t xml:space="preserve">投标文件截止时间前，可以对所提交的电子投标文件进行补充、修改或撤回。 </w:t>
      </w:r>
    </w:p>
    <w:p>
      <w:pPr>
        <w:keepNext w:val="0"/>
        <w:keepLines w:val="0"/>
        <w:pageBreakBefore w:val="0"/>
        <w:widowControl w:val="0"/>
        <w:kinsoku/>
        <w:wordWrap/>
        <w:overflowPunct/>
        <w:topLinePunct w:val="0"/>
        <w:autoSpaceDE w:val="0"/>
        <w:autoSpaceDN w:val="0"/>
        <w:bidi w:val="0"/>
        <w:adjustRightInd w:val="0"/>
        <w:snapToGrid/>
        <w:spacing w:line="500" w:lineRule="exact"/>
        <w:ind w:right="6" w:rightChars="0" w:firstLine="420" w:firstLineChars="200"/>
        <w:jc w:val="both"/>
        <w:textAlignment w:val="auto"/>
        <w:outlineLvl w:val="9"/>
        <w:rPr>
          <w:rFonts w:hint="eastAsia"/>
          <w:lang w:val="en-US" w:eastAsia="zh-CN"/>
        </w:rPr>
      </w:pPr>
      <w:r>
        <w:rPr>
          <w:rFonts w:hint="eastAsia"/>
          <w:lang w:val="en-US" w:eastAsia="zh-CN"/>
        </w:rPr>
        <w:t>24.2 对电子投标文件进行补充、修改的，应先从电子交易平台上撤回旧版，再重新提交新版。</w:t>
      </w:r>
    </w:p>
    <w:p>
      <w:pPr>
        <w:keepNext w:val="0"/>
        <w:keepLines w:val="0"/>
        <w:pageBreakBefore w:val="0"/>
        <w:widowControl w:val="0"/>
        <w:kinsoku/>
        <w:wordWrap/>
        <w:overflowPunct/>
        <w:topLinePunct w:val="0"/>
        <w:autoSpaceDE w:val="0"/>
        <w:autoSpaceDN w:val="0"/>
        <w:bidi w:val="0"/>
        <w:adjustRightInd w:val="0"/>
        <w:snapToGrid/>
        <w:spacing w:line="500" w:lineRule="exact"/>
        <w:ind w:right="6" w:rightChars="0" w:firstLine="420" w:firstLineChars="200"/>
        <w:jc w:val="both"/>
        <w:textAlignment w:val="auto"/>
        <w:outlineLvl w:val="9"/>
        <w:rPr>
          <w:rFonts w:hint="eastAsia"/>
          <w:lang w:val="en-US" w:eastAsia="zh-CN"/>
        </w:rPr>
      </w:pPr>
      <w:r>
        <w:rPr>
          <w:rFonts w:hint="eastAsia"/>
          <w:lang w:val="en-US" w:eastAsia="zh-CN"/>
        </w:rPr>
        <w:t xml:space="preserve">24.3 电子投标文件提交截止时间后，投标人不得对其电子投标文件做任何修改。 </w:t>
      </w:r>
    </w:p>
    <w:p>
      <w:pPr>
        <w:keepNext w:val="0"/>
        <w:keepLines w:val="0"/>
        <w:pageBreakBefore w:val="0"/>
        <w:widowControl w:val="0"/>
        <w:kinsoku/>
        <w:wordWrap/>
        <w:overflowPunct/>
        <w:topLinePunct w:val="0"/>
        <w:autoSpaceDE w:val="0"/>
        <w:autoSpaceDN w:val="0"/>
        <w:bidi w:val="0"/>
        <w:adjustRightInd w:val="0"/>
        <w:snapToGrid/>
        <w:spacing w:line="500" w:lineRule="exact"/>
        <w:ind w:right="6" w:rightChars="0" w:firstLine="420" w:firstLineChars="200"/>
        <w:jc w:val="both"/>
        <w:textAlignment w:val="auto"/>
        <w:outlineLvl w:val="9"/>
        <w:rPr>
          <w:rFonts w:hint="eastAsia"/>
          <w:lang w:eastAsia="zh-CN"/>
        </w:rPr>
      </w:pPr>
      <w:r>
        <w:rPr>
          <w:rFonts w:hint="eastAsia"/>
          <w:lang w:val="en-US" w:eastAsia="zh-CN"/>
        </w:rPr>
        <w:t>24.4 投标人在提交电子投标文件截止时间后撤回电子投标文件的，采购人有权将此情况如实反映财政部门，由财政部门予以记录并纳入供应商失信行为名单。</w:t>
      </w:r>
    </w:p>
    <w:p>
      <w:pPr>
        <w:spacing w:before="240" w:after="120"/>
        <w:jc w:val="left"/>
        <w:outlineLvl w:val="2"/>
        <w:rPr>
          <w:rFonts w:hint="eastAsia" w:ascii="宋体" w:hAnsi="宋体" w:eastAsia="宋体" w:cs="宋体"/>
          <w:b/>
          <w:bCs/>
          <w:kern w:val="0"/>
          <w:sz w:val="24"/>
          <w:highlight w:val="none"/>
          <w:lang w:val="en-US" w:eastAsia="zh-CN"/>
        </w:rPr>
      </w:pPr>
      <w:r>
        <w:rPr>
          <w:rFonts w:hint="eastAsia" w:ascii="宋体" w:hAnsi="宋体" w:eastAsia="宋体" w:cs="宋体"/>
          <w:b/>
          <w:bCs/>
          <w:kern w:val="0"/>
          <w:sz w:val="24"/>
          <w:highlight w:val="none"/>
          <w:lang w:val="en-US" w:eastAsia="zh-CN"/>
        </w:rPr>
        <w:t>2</w:t>
      </w:r>
      <w:r>
        <w:rPr>
          <w:rFonts w:hint="eastAsia" w:ascii="宋体" w:hAnsi="宋体" w:cs="宋体"/>
          <w:b/>
          <w:bCs/>
          <w:kern w:val="0"/>
          <w:sz w:val="24"/>
          <w:highlight w:val="none"/>
          <w:lang w:val="en-US" w:eastAsia="zh-CN"/>
        </w:rPr>
        <w:t>5</w:t>
      </w:r>
      <w:r>
        <w:rPr>
          <w:rFonts w:hint="eastAsia" w:ascii="宋体" w:hAnsi="宋体" w:eastAsia="宋体" w:cs="宋体"/>
          <w:b/>
          <w:bCs/>
          <w:kern w:val="0"/>
          <w:sz w:val="24"/>
          <w:highlight w:val="none"/>
          <w:lang w:val="en-US" w:eastAsia="zh-CN"/>
        </w:rPr>
        <w:t xml:space="preserve">、投标文件被拒绝接收的情形 </w:t>
      </w:r>
    </w:p>
    <w:p>
      <w:pPr>
        <w:autoSpaceDE w:val="0"/>
        <w:autoSpaceDN w:val="0"/>
        <w:adjustRightInd w:val="0"/>
        <w:spacing w:line="500" w:lineRule="exact"/>
        <w:ind w:right="6"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（1）误投的或采用旧版电子招标文件制作的； </w:t>
      </w:r>
    </w:p>
    <w:p>
      <w:pPr>
        <w:autoSpaceDE w:val="0"/>
        <w:autoSpaceDN w:val="0"/>
        <w:adjustRightInd w:val="0"/>
        <w:spacing w:line="500" w:lineRule="exact"/>
        <w:ind w:right="6" w:firstLine="420" w:firstLineChars="200"/>
        <w:rPr>
          <w:rFonts w:hint="default" w:ascii="宋体" w:hAnsi="宋体" w:eastAsia="宋体" w:cs="宋体"/>
          <w:highlight w:val="none"/>
          <w:lang w:val="en-US" w:eastAsia="zh-CN"/>
        </w:rPr>
      </w:pPr>
      <w:r>
        <w:rPr>
          <w:rFonts w:hint="eastAsia" w:ascii="宋体" w:hAnsi="宋体" w:eastAsia="宋体" w:cs="宋体"/>
          <w:highlight w:val="none"/>
          <w:lang w:val="en-US" w:eastAsia="zh-CN"/>
        </w:rPr>
        <w:t>（2）逾期提交电子投标文件的。</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2</w:t>
      </w:r>
      <w:r>
        <w:rPr>
          <w:rFonts w:hint="eastAsia" w:ascii="宋体" w:hAnsi="宋体" w:cs="宋体"/>
          <w:b/>
          <w:bCs/>
          <w:kern w:val="0"/>
          <w:sz w:val="24"/>
          <w:highlight w:val="none"/>
          <w:lang w:val="en-US" w:eastAsia="zh-CN"/>
        </w:rPr>
        <w:t>6</w:t>
      </w:r>
      <w:r>
        <w:rPr>
          <w:rFonts w:hint="eastAsia" w:ascii="宋体" w:hAnsi="宋体" w:cs="宋体"/>
          <w:b/>
          <w:bCs/>
          <w:kern w:val="0"/>
          <w:sz w:val="24"/>
          <w:highlight w:val="none"/>
        </w:rPr>
        <w:t>、投标纪律要求</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w:t>
      </w:r>
      <w:r>
        <w:rPr>
          <w:rFonts w:hint="eastAsia"/>
          <w:highlight w:val="none"/>
          <w:lang w:val="en-US" w:eastAsia="zh-CN"/>
        </w:rPr>
        <w:t>6</w:t>
      </w:r>
      <w:r>
        <w:rPr>
          <w:rFonts w:hint="eastAsia"/>
          <w:highlight w:val="none"/>
        </w:rPr>
        <w:t>.1</w:t>
      </w:r>
      <w:r>
        <w:rPr>
          <w:rFonts w:hint="eastAsia"/>
          <w:highlight w:val="none"/>
          <w:lang w:val="en-US" w:eastAsia="zh-CN"/>
        </w:rPr>
        <w:t xml:space="preserve">  </w:t>
      </w:r>
      <w:r>
        <w:rPr>
          <w:rFonts w:hint="eastAsia"/>
          <w:highlight w:val="none"/>
        </w:rPr>
        <w:t>投标人参加投标不得有下列情形：</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（1）提供虚假材料谋取中标；</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（2）采取不正当手段诋毁、排挤其他投标人；</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（3）与采购单位、其他投标人恶意串通；</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（4）向采购人、采购代理机构单位、评标委员会成员行贿或者提供其他不正当利益；</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（5）在采购过程中与采购单位进行协商谈判；</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（6）拒绝有关部门的监督检查或者向监督检查部门提供虚假情况。</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有上述情形之一的投标人，属于不合格投标人，其投标或中标资格将被取消。</w:t>
      </w:r>
    </w:p>
    <w:p>
      <w:pPr>
        <w:numPr>
          <w:ilvl w:val="0"/>
          <w:numId w:val="0"/>
        </w:numPr>
        <w:spacing w:before="240" w:after="120"/>
        <w:jc w:val="center"/>
        <w:outlineLvl w:val="2"/>
        <w:rPr>
          <w:rFonts w:hint="eastAsia" w:ascii="宋体" w:hAnsi="宋体" w:cs="宋体"/>
          <w:b/>
          <w:bCs/>
          <w:sz w:val="28"/>
          <w:highlight w:val="none"/>
        </w:rPr>
      </w:pPr>
      <w:r>
        <w:rPr>
          <w:rFonts w:hint="eastAsia" w:ascii="宋体" w:hAnsi="宋体" w:cs="宋体"/>
          <w:b/>
          <w:bCs/>
          <w:sz w:val="28"/>
          <w:highlight w:val="none"/>
        </w:rPr>
        <w:t>五、开标</w:t>
      </w:r>
    </w:p>
    <w:p>
      <w:pPr>
        <w:spacing w:before="240" w:after="120"/>
        <w:jc w:val="left"/>
        <w:outlineLvl w:val="2"/>
        <w:rPr>
          <w:rFonts w:hint="eastAsia" w:ascii="宋体" w:hAnsi="宋体" w:eastAsia="宋体" w:cs="宋体"/>
          <w:b/>
          <w:bCs/>
          <w:kern w:val="0"/>
          <w:sz w:val="24"/>
          <w:highlight w:val="none"/>
          <w:lang w:val="en-US" w:eastAsia="zh-CN"/>
        </w:rPr>
      </w:pPr>
      <w:r>
        <w:rPr>
          <w:rFonts w:hint="eastAsia" w:ascii="宋体" w:hAnsi="宋体" w:eastAsia="宋体" w:cs="宋体"/>
          <w:b/>
          <w:bCs/>
          <w:kern w:val="0"/>
          <w:sz w:val="24"/>
          <w:highlight w:val="none"/>
          <w:lang w:val="en-US" w:eastAsia="zh-CN"/>
        </w:rPr>
        <w:t>2</w:t>
      </w:r>
      <w:r>
        <w:rPr>
          <w:rFonts w:hint="eastAsia" w:ascii="宋体" w:hAnsi="宋体" w:cs="宋体"/>
          <w:b/>
          <w:bCs/>
          <w:kern w:val="0"/>
          <w:sz w:val="24"/>
          <w:highlight w:val="none"/>
          <w:lang w:val="en-US" w:eastAsia="zh-CN"/>
        </w:rPr>
        <w:t>7</w:t>
      </w:r>
      <w:r>
        <w:rPr>
          <w:rFonts w:hint="eastAsia" w:ascii="宋体" w:hAnsi="宋体" w:eastAsia="宋体" w:cs="宋体"/>
          <w:b/>
          <w:bCs/>
          <w:kern w:val="0"/>
          <w:sz w:val="24"/>
          <w:highlight w:val="none"/>
          <w:lang w:val="en-US" w:eastAsia="zh-CN"/>
        </w:rPr>
        <w:t>、开标</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cs="宋体"/>
          <w:highlight w:val="none"/>
          <w:lang w:val="en-US" w:eastAsia="zh-CN"/>
        </w:rPr>
        <w:t>7</w:t>
      </w:r>
      <w:r>
        <w:rPr>
          <w:rFonts w:hint="eastAsia" w:ascii="宋体" w:hAnsi="宋体" w:eastAsia="宋体" w:cs="宋体"/>
          <w:highlight w:val="none"/>
        </w:rPr>
        <w:t xml:space="preserve">.1 代理机构按招标文件规定的时间在规定的时间和地点组织开标活动。 </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cs="宋体"/>
          <w:highlight w:val="none"/>
          <w:lang w:val="en-US" w:eastAsia="zh-CN"/>
        </w:rPr>
        <w:t>7</w:t>
      </w:r>
      <w:r>
        <w:rPr>
          <w:rFonts w:hint="eastAsia" w:ascii="宋体" w:hAnsi="宋体" w:eastAsia="宋体" w:cs="宋体"/>
          <w:highlight w:val="none"/>
        </w:rPr>
        <w:t>.</w:t>
      </w:r>
      <w:r>
        <w:rPr>
          <w:rFonts w:hint="eastAsia" w:ascii="宋体" w:hAnsi="宋体" w:eastAsia="宋体" w:cs="宋体"/>
          <w:highlight w:val="none"/>
          <w:lang w:val="en-US" w:eastAsia="zh-CN"/>
        </w:rPr>
        <w:t xml:space="preserve">2 </w:t>
      </w:r>
      <w:r>
        <w:rPr>
          <w:rFonts w:hint="eastAsia" w:ascii="宋体" w:hAnsi="宋体" w:eastAsia="宋体" w:cs="宋体"/>
          <w:highlight w:val="none"/>
        </w:rPr>
        <w:t>开标由代理机构主持，</w:t>
      </w:r>
      <w:r>
        <w:rPr>
          <w:rFonts w:hint="eastAsia" w:ascii="宋体" w:hAnsi="宋体" w:eastAsia="宋体" w:cs="宋体"/>
          <w:highlight w:val="none"/>
          <w:lang w:val="en-US" w:eastAsia="zh-CN"/>
        </w:rPr>
        <w:t>招标</w:t>
      </w:r>
      <w:r>
        <w:rPr>
          <w:rFonts w:hint="eastAsia" w:ascii="宋体" w:hAnsi="宋体" w:eastAsia="宋体" w:cs="宋体"/>
          <w:highlight w:val="none"/>
        </w:rPr>
        <w:t xml:space="preserve">人、投标人（线上）和有关方面代表参加。开标截止时间后投标人不足 3 家的，不进行开标。 </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.3 </w:t>
      </w:r>
      <w:r>
        <w:rPr>
          <w:rFonts w:hint="eastAsia" w:ascii="宋体" w:hAnsi="宋体" w:eastAsia="宋体" w:cs="宋体"/>
          <w:highlight w:val="none"/>
        </w:rPr>
        <w:t>开标程序</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.3.</w:t>
      </w:r>
      <w:r>
        <w:rPr>
          <w:rFonts w:hint="eastAsia" w:ascii="宋体" w:hAnsi="宋体" w:eastAsia="宋体" w:cs="宋体"/>
          <w:highlight w:val="none"/>
        </w:rPr>
        <w:t>1</w:t>
      </w:r>
      <w:r>
        <w:rPr>
          <w:rFonts w:hint="eastAsia" w:ascii="宋体" w:hAnsi="宋体" w:eastAsia="宋体" w:cs="宋体"/>
          <w:highlight w:val="none"/>
          <w:lang w:val="en-US" w:eastAsia="zh-CN"/>
        </w:rPr>
        <w:t xml:space="preserve"> </w:t>
      </w:r>
      <w:r>
        <w:rPr>
          <w:rFonts w:hint="eastAsia" w:ascii="宋体" w:hAnsi="宋体" w:eastAsia="宋体" w:cs="宋体"/>
          <w:highlight w:val="none"/>
        </w:rPr>
        <w:t>投标人登录：开标前，请各投标人至少提前半小时登录全国公共资源交易平台（陕西省·</w:t>
      </w:r>
      <w:r>
        <w:rPr>
          <w:rFonts w:hint="eastAsia" w:ascii="宋体" w:hAnsi="宋体" w:cs="宋体"/>
          <w:highlight w:val="none"/>
          <w:lang w:val="en-US" w:eastAsia="zh-CN"/>
        </w:rPr>
        <w:t>西安市</w:t>
      </w:r>
      <w:r>
        <w:rPr>
          <w:rFonts w:hint="eastAsia" w:ascii="宋体" w:hAnsi="宋体" w:eastAsia="宋体" w:cs="宋体"/>
          <w:highlight w:val="none"/>
        </w:rPr>
        <w:t>）〖首页·〉不见面开标〗系统。</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.3.2 </w:t>
      </w:r>
      <w:r>
        <w:rPr>
          <w:rFonts w:hint="eastAsia" w:ascii="宋体" w:hAnsi="宋体" w:eastAsia="宋体" w:cs="宋体"/>
          <w:highlight w:val="none"/>
        </w:rPr>
        <w:t>主持人宣布开标：提交投标文件截止时间过后，系统将不再接收任何投标文件。</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.3.3 </w:t>
      </w:r>
      <w:r>
        <w:rPr>
          <w:rFonts w:hint="eastAsia" w:ascii="宋体" w:hAnsi="宋体" w:eastAsia="宋体" w:cs="宋体"/>
          <w:highlight w:val="none"/>
        </w:rPr>
        <w:t>解密投标文件：投标人在收到主持人“开始解密”指令后，应使用“加密该投标文件的 CA 锁（必须是同一把锁）”在线完成投标文件解密。除因【</w:t>
      </w:r>
      <w:r>
        <w:rPr>
          <w:rFonts w:hint="eastAsia" w:ascii="宋体" w:hAnsi="宋体" w:cs="宋体"/>
          <w:highlight w:val="none"/>
          <w:lang w:val="en-US" w:eastAsia="zh-CN"/>
        </w:rPr>
        <w:t>西安市</w:t>
      </w:r>
      <w:r>
        <w:rPr>
          <w:rFonts w:hint="eastAsia" w:ascii="宋体" w:hAnsi="宋体" w:eastAsia="宋体" w:cs="宋体"/>
          <w:highlight w:val="none"/>
        </w:rPr>
        <w:t xml:space="preserve">公共资源交易中心】断电、断网、系统故障及其他不可抗力等因素，导致“不见面开标”系统无法正常运行外，投标人应在规定的解密时间内完成解密。 </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.3.4 </w:t>
      </w:r>
      <w:r>
        <w:rPr>
          <w:rFonts w:hint="eastAsia" w:ascii="宋体" w:hAnsi="宋体" w:eastAsia="宋体" w:cs="宋体"/>
          <w:highlight w:val="none"/>
        </w:rPr>
        <w:t>唱标：对于公开招标项目，“不见面开标”系统将自动展示</w:t>
      </w:r>
      <w:r>
        <w:rPr>
          <w:rFonts w:hint="eastAsia" w:ascii="宋体" w:hAnsi="宋体" w:eastAsia="宋体" w:cs="宋体"/>
          <w:highlight w:val="none"/>
          <w:lang w:val="en-US" w:eastAsia="zh-CN"/>
        </w:rPr>
        <w:t>投标人</w:t>
      </w:r>
      <w:r>
        <w:rPr>
          <w:rFonts w:hint="eastAsia" w:ascii="宋体" w:hAnsi="宋体" w:eastAsia="宋体" w:cs="宋体"/>
          <w:highlight w:val="none"/>
        </w:rPr>
        <w:t xml:space="preserve">名单及其投标报价。 </w:t>
      </w:r>
    </w:p>
    <w:p>
      <w:pPr>
        <w:autoSpaceDE w:val="0"/>
        <w:autoSpaceDN w:val="0"/>
        <w:adjustRightInd w:val="0"/>
        <w:spacing w:line="500" w:lineRule="exact"/>
        <w:ind w:right="6"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.3.5 </w:t>
      </w:r>
      <w:r>
        <w:rPr>
          <w:rFonts w:hint="eastAsia" w:ascii="宋体" w:hAnsi="宋体" w:eastAsia="宋体" w:cs="宋体"/>
          <w:highlight w:val="none"/>
        </w:rPr>
        <w:t>开标结束：进入评审环节。</w:t>
      </w:r>
      <w:r>
        <w:rPr>
          <w:rFonts w:hint="eastAsia" w:ascii="宋体" w:hAnsi="宋体" w:eastAsia="宋体" w:cs="宋体"/>
          <w:highlight w:val="none"/>
          <w:lang w:val="en-US" w:eastAsia="zh-CN"/>
        </w:rPr>
        <w:t>投标人</w:t>
      </w:r>
      <w:r>
        <w:rPr>
          <w:rFonts w:hint="eastAsia" w:ascii="宋体" w:hAnsi="宋体" w:eastAsia="宋体" w:cs="宋体"/>
          <w:highlight w:val="none"/>
        </w:rPr>
        <w:t>请保持在线，评审期间评标委员会可能会要求</w:t>
      </w:r>
      <w:r>
        <w:rPr>
          <w:rFonts w:hint="eastAsia" w:ascii="宋体" w:hAnsi="宋体" w:eastAsia="宋体" w:cs="宋体"/>
          <w:highlight w:val="none"/>
          <w:lang w:val="en-US" w:eastAsia="zh-CN"/>
        </w:rPr>
        <w:t>投标人</w:t>
      </w:r>
      <w:r>
        <w:rPr>
          <w:rFonts w:hint="eastAsia" w:ascii="宋体" w:hAnsi="宋体" w:eastAsia="宋体" w:cs="宋体"/>
          <w:highlight w:val="none"/>
        </w:rPr>
        <w:t>做相</w:t>
      </w:r>
      <w:r>
        <w:rPr>
          <w:rFonts w:hint="eastAsia" w:ascii="宋体" w:hAnsi="宋体" w:eastAsia="宋体" w:cs="宋体"/>
          <w:highlight w:val="none"/>
          <w:lang w:val="en-US" w:eastAsia="zh-CN"/>
        </w:rPr>
        <w:t>应的澄清。因</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擅自离席造成的不利后果，由投标人自行承担。</w:t>
      </w:r>
    </w:p>
    <w:p>
      <w:pPr>
        <w:autoSpaceDE w:val="0"/>
        <w:autoSpaceDN w:val="0"/>
        <w:adjustRightInd w:val="0"/>
        <w:spacing w:line="500" w:lineRule="exact"/>
        <w:ind w:right="6"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“不见面开标”系统操作说明：详见全国公共资源交易平台（陕西省·</w:t>
      </w:r>
      <w:r>
        <w:rPr>
          <w:rFonts w:hint="eastAsia" w:ascii="宋体" w:hAnsi="宋体" w:cs="宋体"/>
          <w:highlight w:val="none"/>
          <w:lang w:val="en-US" w:eastAsia="zh-CN"/>
        </w:rPr>
        <w:t>西安市</w:t>
      </w:r>
      <w:r>
        <w:rPr>
          <w:rFonts w:hint="eastAsia" w:ascii="宋体" w:hAnsi="宋体" w:eastAsia="宋体" w:cs="宋体"/>
          <w:highlight w:val="none"/>
          <w:lang w:val="en-US" w:eastAsia="zh-CN"/>
        </w:rPr>
        <w:t>）〖首页·〉服务指南·〉下载专区〗中的《政府采购不见面开标大厅</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操作手册》。</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rPr>
        <w:t xml:space="preserve">未按规定程序操作导致的一切后果由投标人自行承担。 </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.3.6 </w:t>
      </w:r>
      <w:r>
        <w:rPr>
          <w:rFonts w:hint="eastAsia" w:ascii="宋体" w:hAnsi="宋体" w:eastAsia="宋体" w:cs="宋体"/>
          <w:highlight w:val="none"/>
        </w:rPr>
        <w:t>投标人代表对开标过程和开标记录有疑义，以及认为</w:t>
      </w:r>
      <w:r>
        <w:rPr>
          <w:rFonts w:hint="eastAsia" w:ascii="宋体" w:hAnsi="宋体" w:eastAsia="宋体" w:cs="宋体"/>
          <w:highlight w:val="none"/>
          <w:lang w:val="en-US" w:eastAsia="zh-CN"/>
        </w:rPr>
        <w:t>招标</w:t>
      </w:r>
      <w:r>
        <w:rPr>
          <w:rFonts w:hint="eastAsia" w:ascii="宋体" w:hAnsi="宋体" w:eastAsia="宋体" w:cs="宋体"/>
          <w:highlight w:val="none"/>
        </w:rPr>
        <w:t>人、代理机构相关工作人员有需要回避的情形的，应当场提出询问或者回避申请。代理机构对投标人代表提出的询问或者回避申请应当及时处理。</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.3.7 </w:t>
      </w:r>
      <w:r>
        <w:rPr>
          <w:rFonts w:hint="eastAsia" w:ascii="宋体" w:hAnsi="宋体" w:eastAsia="宋体" w:cs="宋体"/>
          <w:highlight w:val="none"/>
        </w:rPr>
        <w:t xml:space="preserve">各投标人需实时在线观看音视频直播并及时互动，未按时加入系统或未在线参与互动的，视为放弃标书解密和对开评标全过程质疑、澄清、答辩的权利，并承担由此产生的响应后果。 </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.3.8 </w:t>
      </w:r>
      <w:r>
        <w:rPr>
          <w:rFonts w:hint="eastAsia" w:ascii="宋体" w:hAnsi="宋体" w:eastAsia="宋体" w:cs="宋体"/>
          <w:highlight w:val="none"/>
        </w:rPr>
        <w:t>注意事项</w:t>
      </w:r>
    </w:p>
    <w:p>
      <w:pPr>
        <w:autoSpaceDE w:val="0"/>
        <w:autoSpaceDN w:val="0"/>
        <w:adjustRightInd w:val="0"/>
        <w:spacing w:line="500" w:lineRule="exact"/>
        <w:ind w:right="6" w:firstLine="420" w:firstLineChars="200"/>
        <w:rPr>
          <w:rFonts w:hint="eastAsia" w:ascii="宋体" w:hAnsi="宋体" w:eastAsia="宋体" w:cs="宋体"/>
          <w:highlight w:val="none"/>
          <w:lang w:eastAsia="zh-CN"/>
        </w:rPr>
      </w:pPr>
      <w:r>
        <w:rPr>
          <w:rFonts w:hint="eastAsia" w:ascii="宋体" w:hAnsi="宋体" w:eastAsia="宋体" w:cs="宋体"/>
          <w:highlight w:val="none"/>
        </w:rPr>
        <w:t>1、投标人参与不见面开标的电脑应安装有清晰可用的摄像头、音响和麦克风设备</w:t>
      </w:r>
      <w:r>
        <w:rPr>
          <w:rFonts w:hint="eastAsia" w:ascii="宋体" w:hAnsi="宋体" w:eastAsia="宋体" w:cs="宋体"/>
          <w:highlight w:val="none"/>
          <w:lang w:eastAsia="zh-CN"/>
        </w:rPr>
        <w:t>；</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rPr>
        <w:t>2、投标人参与不见面开标的电脑须安装正确驱动，可在不见面开标系统登录界面的驱动下载页面进行下载及后续安装。</w:t>
      </w:r>
    </w:p>
    <w:p>
      <w:pPr>
        <w:autoSpaceDE w:val="0"/>
        <w:autoSpaceDN w:val="0"/>
        <w:adjustRightInd w:val="0"/>
        <w:spacing w:line="500" w:lineRule="exact"/>
        <w:ind w:right="6" w:firstLine="420" w:firstLineChars="200"/>
        <w:rPr>
          <w:rFonts w:hint="eastAsia" w:ascii="宋体" w:hAnsi="宋体" w:eastAsia="宋体" w:cs="宋体"/>
          <w:highlight w:val="none"/>
          <w:lang w:eastAsia="zh-CN"/>
        </w:rPr>
      </w:pPr>
      <w:r>
        <w:rPr>
          <w:rFonts w:hint="eastAsia" w:ascii="宋体" w:hAnsi="宋体" w:eastAsia="宋体" w:cs="宋体"/>
          <w:highlight w:val="none"/>
        </w:rPr>
        <w:t>3、为更好实时查看不见面开标室现场，推荐使用 50M 及以上网络宽带</w:t>
      </w:r>
      <w:r>
        <w:rPr>
          <w:rFonts w:hint="eastAsia" w:ascii="宋体" w:hAnsi="宋体" w:eastAsia="宋体" w:cs="宋体"/>
          <w:highlight w:val="none"/>
          <w:lang w:eastAsia="zh-CN"/>
        </w:rPr>
        <w:t>。</w:t>
      </w:r>
    </w:p>
    <w:p>
      <w:pPr>
        <w:autoSpaceDE w:val="0"/>
        <w:autoSpaceDN w:val="0"/>
        <w:adjustRightInd w:val="0"/>
        <w:spacing w:line="500" w:lineRule="exact"/>
        <w:ind w:right="6" w:firstLine="420" w:firstLineChars="200"/>
        <w:rPr>
          <w:rFonts w:hint="eastAsia"/>
          <w:highlight w:val="none"/>
        </w:rPr>
      </w:pPr>
      <w:r>
        <w:rPr>
          <w:rFonts w:hint="eastAsia" w:ascii="宋体" w:hAnsi="宋体" w:eastAsia="宋体" w:cs="宋体"/>
          <w:highlight w:val="none"/>
        </w:rPr>
        <w:t>4.开标、评标过程中，参与远程互动的各投标人应为同一个人，投标人一端参与互动的人员只能是投标人的法定代表人或授权代表。</w:t>
      </w:r>
    </w:p>
    <w:p>
      <w:pPr>
        <w:numPr>
          <w:ilvl w:val="0"/>
          <w:numId w:val="0"/>
        </w:numPr>
        <w:spacing w:before="240" w:after="120"/>
        <w:jc w:val="center"/>
        <w:outlineLvl w:val="2"/>
        <w:rPr>
          <w:rFonts w:hint="eastAsia" w:ascii="宋体" w:hAnsi="宋体" w:eastAsia="宋体" w:cs="宋体"/>
          <w:b/>
          <w:bCs/>
          <w:kern w:val="0"/>
          <w:sz w:val="24"/>
          <w:highlight w:val="none"/>
          <w:lang w:val="en-US" w:eastAsia="zh-CN"/>
        </w:rPr>
      </w:pPr>
      <w:r>
        <w:rPr>
          <w:rFonts w:hint="eastAsia" w:ascii="宋体" w:hAnsi="宋体" w:cs="宋体"/>
          <w:b/>
          <w:bCs/>
          <w:sz w:val="28"/>
          <w:highlight w:val="none"/>
        </w:rPr>
        <w:t>六、评标</w:t>
      </w:r>
    </w:p>
    <w:p>
      <w:pPr>
        <w:spacing w:before="240" w:after="120"/>
        <w:jc w:val="left"/>
        <w:outlineLvl w:val="2"/>
        <w:rPr>
          <w:rFonts w:hint="eastAsia" w:ascii="宋体" w:hAnsi="宋体" w:eastAsia="宋体" w:cs="宋体"/>
          <w:b/>
          <w:bCs/>
          <w:kern w:val="0"/>
          <w:sz w:val="24"/>
          <w:highlight w:val="none"/>
          <w:lang w:val="en-US" w:eastAsia="zh-CN"/>
        </w:rPr>
      </w:pPr>
      <w:r>
        <w:rPr>
          <w:rFonts w:hint="eastAsia" w:ascii="宋体" w:hAnsi="宋体" w:eastAsia="宋体" w:cs="宋体"/>
          <w:b/>
          <w:bCs/>
          <w:kern w:val="0"/>
          <w:sz w:val="24"/>
          <w:highlight w:val="none"/>
          <w:lang w:val="en-US" w:eastAsia="zh-CN"/>
        </w:rPr>
        <w:t>2</w:t>
      </w:r>
      <w:r>
        <w:rPr>
          <w:rFonts w:hint="eastAsia" w:ascii="宋体" w:hAnsi="宋体" w:cs="宋体"/>
          <w:b/>
          <w:bCs/>
          <w:kern w:val="0"/>
          <w:sz w:val="24"/>
          <w:highlight w:val="none"/>
          <w:lang w:val="en-US" w:eastAsia="zh-CN"/>
        </w:rPr>
        <w:t>8</w:t>
      </w:r>
      <w:r>
        <w:rPr>
          <w:rFonts w:hint="eastAsia" w:ascii="宋体" w:hAnsi="宋体" w:eastAsia="宋体" w:cs="宋体"/>
          <w:b/>
          <w:bCs/>
          <w:kern w:val="0"/>
          <w:sz w:val="24"/>
          <w:highlight w:val="none"/>
          <w:lang w:val="en-US" w:eastAsia="zh-CN"/>
        </w:rPr>
        <w:t>、评标委员会</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8</w:t>
      </w:r>
      <w:r>
        <w:rPr>
          <w:rFonts w:hint="eastAsia" w:ascii="宋体" w:hAnsi="宋体" w:eastAsia="宋体" w:cs="宋体"/>
          <w:highlight w:val="none"/>
        </w:rPr>
        <w:t>.1 评标由依法组建的评标委员会进行。</w:t>
      </w:r>
    </w:p>
    <w:p>
      <w:pPr>
        <w:autoSpaceDE w:val="0"/>
        <w:autoSpaceDN w:val="0"/>
        <w:adjustRightInd w:val="0"/>
        <w:spacing w:line="500" w:lineRule="exact"/>
        <w:ind w:right="6"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8</w:t>
      </w:r>
      <w:r>
        <w:rPr>
          <w:rFonts w:hint="eastAsia" w:ascii="宋体" w:hAnsi="宋体" w:eastAsia="宋体" w:cs="宋体"/>
          <w:highlight w:val="none"/>
        </w:rPr>
        <w:t>.2 评标期间，任何单位和个人不得非法干预或影响评标的过程和结果。</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ascii="宋体" w:hAnsi="宋体" w:eastAsia="宋体" w:cs="宋体"/>
          <w:highlight w:val="none"/>
          <w:lang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8</w:t>
      </w:r>
      <w:r>
        <w:rPr>
          <w:rFonts w:hint="eastAsia" w:ascii="宋体" w:hAnsi="宋体" w:eastAsia="宋体" w:cs="宋体"/>
          <w:highlight w:val="none"/>
        </w:rPr>
        <w:t>.3 评标委员会成员名单在中标结果确定前保密。</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lang w:val="en-US" w:eastAsia="zh-CN"/>
        </w:rPr>
        <w:t xml:space="preserve">28.4 </w:t>
      </w:r>
      <w:r>
        <w:rPr>
          <w:rFonts w:hint="eastAsia"/>
          <w:highlight w:val="none"/>
          <w:lang w:eastAsia="zh-CN"/>
        </w:rPr>
        <w:t>采购人员会</w:t>
      </w:r>
      <w:r>
        <w:rPr>
          <w:rFonts w:hint="eastAsia"/>
          <w:highlight w:val="none"/>
        </w:rPr>
        <w:t>将根据本次采购项目的特点，参照《中华人民共和国政府采购法》、中华人民共和国2015年第658号国务院令--《中华人民共和国政府采购法实施条例》和中华人民共和国财政部20</w:t>
      </w:r>
      <w:r>
        <w:rPr>
          <w:rFonts w:hint="eastAsia"/>
          <w:highlight w:val="none"/>
          <w:lang w:val="en-US" w:eastAsia="zh-CN"/>
        </w:rPr>
        <w:t>17</w:t>
      </w:r>
      <w:r>
        <w:rPr>
          <w:rFonts w:hint="eastAsia"/>
          <w:color w:val="auto"/>
          <w:highlight w:val="none"/>
        </w:rPr>
        <w:t>年第</w:t>
      </w:r>
      <w:r>
        <w:rPr>
          <w:rFonts w:hint="eastAsia"/>
          <w:color w:val="auto"/>
          <w:highlight w:val="none"/>
          <w:lang w:val="en-US" w:eastAsia="zh-CN"/>
        </w:rPr>
        <w:t>87</w:t>
      </w:r>
      <w:r>
        <w:rPr>
          <w:rFonts w:hint="eastAsia"/>
          <w:color w:val="auto"/>
          <w:highlight w:val="none"/>
        </w:rPr>
        <w:t>号部长</w:t>
      </w:r>
      <w:r>
        <w:rPr>
          <w:rFonts w:hint="eastAsia"/>
          <w:highlight w:val="none"/>
        </w:rPr>
        <w:t>令--《政府采购货物和服务招标投标管理办法》</w:t>
      </w:r>
      <w:r>
        <w:rPr>
          <w:rFonts w:hint="eastAsia"/>
          <w:highlight w:val="none"/>
          <w:lang w:eastAsia="zh-CN"/>
        </w:rPr>
        <w:t>等政策法规</w:t>
      </w:r>
      <w:r>
        <w:rPr>
          <w:rFonts w:hint="eastAsia"/>
          <w:highlight w:val="none"/>
        </w:rPr>
        <w:t>的规定，依法组建评标委员会。评标委员会按照招标文件规定的评标方法独立进行评标工作。</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lang w:val="en-US" w:eastAsia="zh-CN"/>
        </w:rPr>
        <w:t xml:space="preserve">28.5 </w:t>
      </w:r>
      <w:r>
        <w:rPr>
          <w:rFonts w:hint="eastAsia"/>
          <w:highlight w:val="none"/>
        </w:rPr>
        <w:t>评委会成员到位后，推荐一名评审专家担任评审组长，并由评审组长牵头组织该项目评审工作，采购人授权的评审专家，不得担任评审组长。</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28.6 </w:t>
      </w:r>
      <w:r>
        <w:rPr>
          <w:rFonts w:hint="eastAsia"/>
          <w:highlight w:val="none"/>
        </w:rPr>
        <w:t>评标委员会成员有下列情形之一的，应当回避：</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（1）采购人或投标人的主要负责人的近亲属；</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（2）项目主管部门或者行政监督部门的人员；</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（3）与投标人有经济利益关系，可能影响对投标公正评审的；</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（4）曾因在招标、评标以及其他与招标投标有关活动中从事违法行为而受过行政处罚或刑事处罚的。</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28.7 </w:t>
      </w:r>
      <w:r>
        <w:rPr>
          <w:rFonts w:hint="eastAsia"/>
          <w:highlight w:val="none"/>
        </w:rPr>
        <w:t>招标文件和投标文件是评标的依据。在评标中，不得改变招标文件中规定的评标标准、方法和中标条件。投标人不得在开标后使用任何方式对投标文件的实质性内容做任何更改。</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eastAsia="宋体" w:cs="宋体"/>
          <w:b/>
          <w:bCs/>
          <w:kern w:val="0"/>
          <w:sz w:val="24"/>
          <w:highlight w:val="none"/>
        </w:rPr>
      </w:pPr>
      <w:r>
        <w:rPr>
          <w:rFonts w:hint="eastAsia"/>
          <w:highlight w:val="none"/>
          <w:lang w:val="en-US" w:eastAsia="zh-CN"/>
        </w:rPr>
        <w:t xml:space="preserve">    28.8 </w:t>
      </w:r>
      <w:r>
        <w:rPr>
          <w:rFonts w:hint="eastAsia"/>
          <w:highlight w:val="none"/>
        </w:rPr>
        <w:t>评标委员会成员对各投标人投标文件进行审查、质疑、评估和比较，并推荐出3名中标候选人。</w:t>
      </w:r>
    </w:p>
    <w:p>
      <w:pPr>
        <w:autoSpaceDE w:val="0"/>
        <w:autoSpaceDN w:val="0"/>
        <w:adjustRightInd w:val="0"/>
        <w:spacing w:line="500" w:lineRule="exact"/>
        <w:ind w:right="6"/>
        <w:rPr>
          <w:rFonts w:hint="eastAsia" w:ascii="宋体" w:hAnsi="宋体" w:eastAsia="宋体" w:cs="宋体"/>
          <w:b/>
          <w:bCs/>
          <w:kern w:val="0"/>
          <w:sz w:val="24"/>
          <w:highlight w:val="none"/>
        </w:rPr>
      </w:pPr>
      <w:r>
        <w:rPr>
          <w:rFonts w:hint="eastAsia" w:ascii="宋体" w:hAnsi="宋体" w:cs="宋体"/>
          <w:b/>
          <w:bCs/>
          <w:kern w:val="0"/>
          <w:sz w:val="24"/>
          <w:highlight w:val="none"/>
          <w:lang w:val="en-US" w:eastAsia="zh-CN"/>
        </w:rPr>
        <w:t>29</w:t>
      </w:r>
      <w:r>
        <w:rPr>
          <w:rFonts w:hint="eastAsia" w:ascii="宋体" w:hAnsi="宋体" w:eastAsia="宋体" w:cs="宋体"/>
          <w:b/>
          <w:bCs/>
          <w:kern w:val="0"/>
          <w:sz w:val="24"/>
          <w:highlight w:val="none"/>
          <w:lang w:val="en-US" w:eastAsia="zh-CN"/>
        </w:rPr>
        <w:t xml:space="preserve">、评标原则  </w:t>
      </w:r>
      <w:r>
        <w:rPr>
          <w:rFonts w:hint="eastAsia" w:ascii="宋体" w:hAnsi="宋体" w:eastAsia="宋体" w:cs="宋体"/>
          <w:b/>
          <w:bCs/>
          <w:kern w:val="0"/>
          <w:sz w:val="24"/>
          <w:highlight w:val="none"/>
        </w:rPr>
        <w:t xml:space="preserve"> </w:t>
      </w:r>
    </w:p>
    <w:p>
      <w:pPr>
        <w:autoSpaceDE w:val="0"/>
        <w:autoSpaceDN w:val="0"/>
        <w:adjustRightInd w:val="0"/>
        <w:spacing w:line="500" w:lineRule="exact"/>
        <w:ind w:right="6"/>
        <w:rPr>
          <w:rFonts w:hint="eastAsia" w:ascii="宋体" w:hAnsi="宋体" w:eastAsia="宋体" w:cs="宋体"/>
          <w:highlight w:val="none"/>
        </w:rPr>
      </w:pPr>
      <w:r>
        <w:rPr>
          <w:rFonts w:hint="eastAsia" w:ascii="宋体" w:hAnsi="宋体" w:eastAsia="宋体" w:cs="宋体"/>
          <w:highlight w:val="none"/>
        </w:rPr>
        <w:t xml:space="preserve">    评标原则应遵循公平、公正、科学和择优的原则，并以相同的评标程序和标准对待所有的投标人。</w:t>
      </w:r>
    </w:p>
    <w:p>
      <w:pPr>
        <w:autoSpaceDE w:val="0"/>
        <w:autoSpaceDN w:val="0"/>
        <w:adjustRightInd w:val="0"/>
        <w:spacing w:line="500" w:lineRule="exact"/>
        <w:ind w:right="6"/>
        <w:rPr>
          <w:rFonts w:hint="eastAsia" w:ascii="宋体" w:hAnsi="宋体" w:eastAsia="宋体" w:cs="宋体"/>
          <w:b/>
          <w:bCs/>
          <w:kern w:val="0"/>
          <w:sz w:val="24"/>
          <w:highlight w:val="none"/>
          <w:lang w:val="en-US" w:eastAsia="zh-CN"/>
        </w:rPr>
      </w:pPr>
      <w:r>
        <w:rPr>
          <w:rFonts w:hint="eastAsia" w:ascii="宋体" w:hAnsi="宋体" w:eastAsia="宋体" w:cs="宋体"/>
          <w:b/>
          <w:bCs/>
          <w:kern w:val="0"/>
          <w:sz w:val="24"/>
          <w:highlight w:val="none"/>
          <w:lang w:val="en-US" w:eastAsia="zh-CN"/>
        </w:rPr>
        <w:t>3</w:t>
      </w:r>
      <w:r>
        <w:rPr>
          <w:rFonts w:hint="eastAsia" w:ascii="宋体" w:hAnsi="宋体" w:cs="宋体"/>
          <w:b/>
          <w:bCs/>
          <w:kern w:val="0"/>
          <w:sz w:val="24"/>
          <w:highlight w:val="none"/>
          <w:lang w:val="en-US" w:eastAsia="zh-CN"/>
        </w:rPr>
        <w:t>0</w:t>
      </w:r>
      <w:r>
        <w:rPr>
          <w:rFonts w:hint="eastAsia" w:ascii="宋体" w:hAnsi="宋体" w:eastAsia="宋体" w:cs="宋体"/>
          <w:b/>
          <w:bCs/>
          <w:kern w:val="0"/>
          <w:sz w:val="24"/>
          <w:highlight w:val="none"/>
          <w:lang w:val="en-US" w:eastAsia="zh-CN"/>
        </w:rPr>
        <w:t>、评标</w:t>
      </w:r>
    </w:p>
    <w:p>
      <w:pPr>
        <w:spacing w:line="500" w:lineRule="exact"/>
        <w:ind w:left="105" w:leftChars="50" w:firstLine="420" w:firstLineChars="200"/>
        <w:rPr>
          <w:rFonts w:hint="eastAsia" w:ascii="宋体" w:hAnsi="宋体" w:eastAsia="宋体" w:cs="宋体"/>
          <w:szCs w:val="21"/>
          <w:highlight w:val="none"/>
          <w:lang w:eastAsia="zh-CN"/>
        </w:rPr>
      </w:pPr>
      <w:r>
        <w:rPr>
          <w:rFonts w:hint="eastAsia" w:ascii="宋体" w:hAnsi="宋体" w:eastAsia="宋体" w:cs="宋体"/>
          <w:szCs w:val="21"/>
          <w:highlight w:val="none"/>
        </w:rPr>
        <w:t>评标过程中对投标文件的判定，只依据开标截止时间前全国公共资源交易平台（陕西省·</w:t>
      </w:r>
      <w:r>
        <w:rPr>
          <w:rFonts w:hint="eastAsia" w:ascii="宋体" w:hAnsi="宋体" w:cs="宋体"/>
          <w:szCs w:val="21"/>
          <w:highlight w:val="none"/>
          <w:lang w:val="en-US" w:eastAsia="zh-CN"/>
        </w:rPr>
        <w:t>西安市</w:t>
      </w:r>
      <w:r>
        <w:rPr>
          <w:rFonts w:hint="eastAsia" w:ascii="宋体" w:hAnsi="宋体" w:eastAsia="宋体" w:cs="宋体"/>
          <w:szCs w:val="21"/>
          <w:highlight w:val="none"/>
        </w:rPr>
        <w:t>）递交的电子投标文件内容本身，不依据任何外来证明</w:t>
      </w:r>
      <w:r>
        <w:rPr>
          <w:rFonts w:hint="eastAsia" w:ascii="宋体" w:hAnsi="宋体" w:eastAsia="宋体" w:cs="宋体"/>
          <w:szCs w:val="21"/>
          <w:highlight w:val="none"/>
          <w:lang w:eastAsia="zh-CN"/>
        </w:rPr>
        <w:t>。</w:t>
      </w:r>
    </w:p>
    <w:p>
      <w:pPr>
        <w:numPr>
          <w:ilvl w:val="0"/>
          <w:numId w:val="0"/>
        </w:numPr>
        <w:spacing w:line="500" w:lineRule="exact"/>
        <w:ind w:firstLine="210" w:firstLineChars="100"/>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一</w:t>
      </w:r>
      <w:r>
        <w:rPr>
          <w:rFonts w:hint="eastAsia" w:ascii="宋体" w:hAnsi="宋体" w:eastAsia="宋体" w:cs="宋体"/>
          <w:szCs w:val="21"/>
          <w:highlight w:val="none"/>
          <w:lang w:eastAsia="zh-CN"/>
        </w:rPr>
        <w:t>）</w:t>
      </w:r>
      <w:r>
        <w:rPr>
          <w:rFonts w:hint="eastAsia" w:ascii="宋体" w:hAnsi="宋体" w:eastAsia="宋体" w:cs="宋体"/>
          <w:szCs w:val="21"/>
          <w:highlight w:val="none"/>
        </w:rPr>
        <w:t xml:space="preserve">资格审查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开标结束后，采购人或采购代理机构依据法律法规和招标文件中规定的内容，对投标人的投标文件中的资格证明文件进行资格审查，未通过资格审查的投标人不进入下一步评审。</w:t>
      </w:r>
    </w:p>
    <w:p>
      <w:pPr>
        <w:numPr>
          <w:ilvl w:val="0"/>
          <w:numId w:val="0"/>
        </w:numPr>
        <w:spacing w:line="500" w:lineRule="exact"/>
        <w:ind w:firstLine="210" w:firstLineChars="100"/>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二</w:t>
      </w:r>
      <w:r>
        <w:rPr>
          <w:rFonts w:hint="eastAsia" w:ascii="宋体" w:hAnsi="宋体" w:eastAsia="宋体" w:cs="宋体"/>
          <w:szCs w:val="21"/>
          <w:highlight w:val="none"/>
          <w:lang w:eastAsia="zh-CN"/>
        </w:rPr>
        <w:t>）</w:t>
      </w:r>
      <w:r>
        <w:rPr>
          <w:rFonts w:hint="eastAsia" w:ascii="宋体" w:hAnsi="宋体" w:eastAsia="宋体" w:cs="宋体"/>
          <w:szCs w:val="21"/>
          <w:highlight w:val="none"/>
        </w:rPr>
        <w:t xml:space="preserve">符合性审查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依法组建评标委员会，评标委员会依据招标文件的规定，进行符合性审查，以确定其是否满足招标文件的实质性要求，未通过符合性审查的投标人不再进入下一步评审。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10" w:firstLineChars="100"/>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三</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进入评分阶段。</w:t>
      </w:r>
    </w:p>
    <w:p>
      <w:pPr>
        <w:spacing w:line="500" w:lineRule="exact"/>
        <w:ind w:firstLine="210" w:firstLineChars="100"/>
        <w:rPr>
          <w:rFonts w:hint="eastAsia" w:ascii="宋体" w:hAnsi="宋体" w:eastAsia="宋体" w:cs="宋体"/>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四</w:t>
      </w:r>
      <w:r>
        <w:rPr>
          <w:rFonts w:hint="eastAsia" w:ascii="宋体" w:hAnsi="宋体" w:eastAsia="宋体" w:cs="宋体"/>
          <w:szCs w:val="21"/>
          <w:highlight w:val="none"/>
          <w:lang w:eastAsia="zh-CN"/>
        </w:rPr>
        <w:t>）</w:t>
      </w:r>
      <w:r>
        <w:rPr>
          <w:rFonts w:hint="eastAsia" w:ascii="宋体" w:hAnsi="宋体" w:eastAsia="宋体" w:cs="宋体"/>
          <w:szCs w:val="21"/>
          <w:highlight w:val="none"/>
        </w:rPr>
        <w:t>评标过程严格保密</w:t>
      </w:r>
    </w:p>
    <w:p>
      <w:pPr>
        <w:spacing w:line="5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（1）开标后，直至授予中标人合同为止，凡属于对投标文件的审查、澄清、评价和比较的有关资料以及中标候选人的推荐情况，与评标有关的其他任何情况均严格保密；</w:t>
      </w:r>
    </w:p>
    <w:p>
      <w:pPr>
        <w:spacing w:line="5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（2）投标人对评标委员会的评标过程或合同授予决定施加影响的任何行为都可能导致其投标被拒绝；</w:t>
      </w:r>
    </w:p>
    <w:p>
      <w:pPr>
        <w:spacing w:line="5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（3）中标人确定后，招标人和代理机构不对未中标人就评标过程以及未能中标原因作出任何解释。未中标人不得向评标委员会组成人员或其他有关人员索问评标过程的情况和材料。</w:t>
      </w:r>
    </w:p>
    <w:p>
      <w:pPr>
        <w:numPr>
          <w:ilvl w:val="0"/>
          <w:numId w:val="0"/>
        </w:numPr>
        <w:spacing w:before="240" w:after="120"/>
        <w:jc w:val="center"/>
        <w:outlineLvl w:val="2"/>
        <w:rPr>
          <w:rFonts w:hint="eastAsia" w:ascii="宋体" w:hAnsi="宋体" w:cs="宋体"/>
          <w:b/>
          <w:bCs/>
          <w:sz w:val="28"/>
          <w:highlight w:val="none"/>
        </w:rPr>
      </w:pPr>
      <w:r>
        <w:rPr>
          <w:rFonts w:hint="eastAsia" w:ascii="宋体" w:hAnsi="宋体" w:cs="宋体"/>
          <w:b/>
          <w:bCs/>
          <w:sz w:val="28"/>
          <w:highlight w:val="none"/>
        </w:rPr>
        <w:t>七、定标</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3</w:t>
      </w:r>
      <w:r>
        <w:rPr>
          <w:rFonts w:hint="eastAsia" w:ascii="宋体" w:hAnsi="宋体" w:cs="宋体"/>
          <w:b/>
          <w:bCs/>
          <w:kern w:val="0"/>
          <w:sz w:val="24"/>
          <w:highlight w:val="none"/>
          <w:lang w:val="en-US" w:eastAsia="zh-CN"/>
        </w:rPr>
        <w:t>1</w:t>
      </w:r>
      <w:r>
        <w:rPr>
          <w:rFonts w:hint="eastAsia" w:ascii="宋体" w:hAnsi="宋体" w:cs="宋体"/>
          <w:b/>
          <w:bCs/>
          <w:kern w:val="0"/>
          <w:sz w:val="24"/>
          <w:highlight w:val="none"/>
        </w:rPr>
        <w:t>、定标原则</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rPr>
        <w:t>采购人根据评标委员会推荐的中标候选人名单，按顺序确定中标人。</w:t>
      </w:r>
    </w:p>
    <w:p>
      <w:pPr>
        <w:keepNext w:val="0"/>
        <w:keepLines w:val="0"/>
        <w:pageBreakBefore w:val="0"/>
        <w:widowControl w:val="0"/>
        <w:kinsoku/>
        <w:wordWrap/>
        <w:overflowPunct/>
        <w:topLinePunct w:val="0"/>
        <w:autoSpaceDE w:val="0"/>
        <w:autoSpaceDN w:val="0"/>
        <w:bidi w:val="0"/>
        <w:adjustRightInd w:val="0"/>
        <w:snapToGrid/>
        <w:spacing w:line="500" w:lineRule="exact"/>
        <w:ind w:right="6" w:right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3</w:t>
      </w:r>
      <w:r>
        <w:rPr>
          <w:rFonts w:hint="eastAsia" w:ascii="宋体" w:hAnsi="宋体" w:cs="宋体"/>
          <w:b/>
          <w:bCs/>
          <w:kern w:val="0"/>
          <w:sz w:val="24"/>
          <w:highlight w:val="none"/>
          <w:lang w:val="en-US" w:eastAsia="zh-CN"/>
        </w:rPr>
        <w:t>2</w:t>
      </w:r>
      <w:r>
        <w:rPr>
          <w:rFonts w:hint="eastAsia" w:ascii="宋体" w:hAnsi="宋体" w:cs="宋体"/>
          <w:b/>
          <w:bCs/>
          <w:kern w:val="0"/>
          <w:sz w:val="24"/>
          <w:highlight w:val="none"/>
        </w:rPr>
        <w:t>、定标程序</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32</w:t>
      </w:r>
      <w:r>
        <w:rPr>
          <w:rFonts w:hint="eastAsia"/>
          <w:highlight w:val="none"/>
        </w:rPr>
        <w:t>.1</w:t>
      </w:r>
      <w:r>
        <w:rPr>
          <w:rFonts w:hint="eastAsia"/>
          <w:highlight w:val="none"/>
          <w:lang w:val="en-US" w:eastAsia="zh-CN"/>
        </w:rPr>
        <w:t xml:space="preserve"> </w:t>
      </w:r>
      <w:r>
        <w:rPr>
          <w:rFonts w:hint="eastAsia"/>
          <w:highlight w:val="none"/>
        </w:rPr>
        <w:t>评标委员会根据第一包、第二包的顺序依次进行评审，根据评标情况写出书面报告，每包推荐3个中标候选人，并按照综合得分高低标明排列顺序。得分相同的，按投标报价由低到高顺序排列:得分且投标报价相同的</w:t>
      </w:r>
      <w:r>
        <w:rPr>
          <w:rFonts w:hint="eastAsia"/>
          <w:highlight w:val="none"/>
          <w:lang w:eastAsia="zh-CN"/>
        </w:rPr>
        <w:t>，</w:t>
      </w:r>
      <w:r>
        <w:rPr>
          <w:rFonts w:hint="eastAsia" w:ascii="Times New Roman" w:hAnsi="Times New Roman" w:eastAsia="宋体" w:cs="Times New Roman"/>
          <w:b w:val="0"/>
          <w:bCs w:val="0"/>
          <w:sz w:val="21"/>
          <w:szCs w:val="21"/>
          <w:highlight w:val="none"/>
        </w:rPr>
        <w:t>比较技术得分，此技术得分高者排在前</w:t>
      </w:r>
      <w:r>
        <w:rPr>
          <w:rFonts w:hint="eastAsia"/>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rPr>
        <w:t xml:space="preserve"> </w:t>
      </w:r>
      <w:r>
        <w:rPr>
          <w:rFonts w:hint="eastAsia"/>
          <w:highlight w:val="none"/>
          <w:lang w:val="en-US" w:eastAsia="zh-CN"/>
        </w:rPr>
        <w:t xml:space="preserve">   </w:t>
      </w:r>
      <w:r>
        <w:rPr>
          <w:rFonts w:hint="eastAsia"/>
          <w:highlight w:val="none"/>
        </w:rPr>
        <w:t>3</w:t>
      </w:r>
      <w:r>
        <w:rPr>
          <w:rFonts w:hint="eastAsia"/>
          <w:highlight w:val="none"/>
          <w:lang w:val="en-US" w:eastAsia="zh-CN"/>
        </w:rPr>
        <w:t>2</w:t>
      </w:r>
      <w:r>
        <w:rPr>
          <w:rFonts w:hint="eastAsia"/>
          <w:highlight w:val="none"/>
        </w:rPr>
        <w:t>.2</w:t>
      </w:r>
      <w:r>
        <w:rPr>
          <w:rFonts w:hint="eastAsia"/>
          <w:highlight w:val="none"/>
          <w:lang w:val="en-US" w:eastAsia="zh-CN"/>
        </w:rPr>
        <w:t xml:space="preserve"> </w:t>
      </w:r>
      <w:r>
        <w:rPr>
          <w:rFonts w:hint="eastAsia"/>
          <w:highlight w:val="none"/>
        </w:rPr>
        <w:t>在评审过程中，第一包的第一名中标候选人，不作为第二包中标候选人推荐。评标办法的规定对投标人进行评审排序，推荐一个以上三个以下中标候选人，</w:t>
      </w:r>
      <w:r>
        <w:rPr>
          <w:rFonts w:hint="eastAsia"/>
          <w:highlight w:val="none"/>
          <w:lang w:eastAsia="zh-CN"/>
        </w:rPr>
        <w:t>形成评标报告，评审报告由评标委员会全体成员签字确认。</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rPr>
        <w:t>3</w:t>
      </w:r>
      <w:r>
        <w:rPr>
          <w:rFonts w:hint="eastAsia"/>
          <w:highlight w:val="none"/>
          <w:lang w:val="en-US" w:eastAsia="zh-CN"/>
        </w:rPr>
        <w:t>2</w:t>
      </w:r>
      <w:r>
        <w:rPr>
          <w:rFonts w:hint="eastAsia"/>
          <w:highlight w:val="none"/>
        </w:rPr>
        <w:t>.</w:t>
      </w:r>
      <w:r>
        <w:rPr>
          <w:rFonts w:hint="eastAsia"/>
          <w:highlight w:val="none"/>
          <w:lang w:val="en-US" w:eastAsia="zh-CN"/>
        </w:rPr>
        <w:t xml:space="preserve">3 </w:t>
      </w:r>
      <w:r>
        <w:rPr>
          <w:rFonts w:hint="eastAsia"/>
          <w:highlight w:val="none"/>
        </w:rPr>
        <w:t>采购代理机构应在评标结束后</w:t>
      </w:r>
      <w:r>
        <w:rPr>
          <w:rFonts w:hint="eastAsia"/>
          <w:highlight w:val="none"/>
          <w:lang w:val="en-US" w:eastAsia="zh-CN"/>
        </w:rPr>
        <w:t>1</w:t>
      </w:r>
      <w:r>
        <w:rPr>
          <w:rFonts w:hint="eastAsia"/>
          <w:highlight w:val="none"/>
        </w:rPr>
        <w:t>个工作日内，将评标报告送采购人定标。</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rPr>
        <w:t>3</w:t>
      </w:r>
      <w:r>
        <w:rPr>
          <w:rFonts w:hint="eastAsia"/>
          <w:highlight w:val="none"/>
          <w:lang w:val="en-US" w:eastAsia="zh-CN"/>
        </w:rPr>
        <w:t>2</w:t>
      </w:r>
      <w:r>
        <w:rPr>
          <w:rFonts w:hint="eastAsia"/>
          <w:highlight w:val="none"/>
        </w:rPr>
        <w:t>.</w:t>
      </w:r>
      <w:r>
        <w:rPr>
          <w:rFonts w:hint="eastAsia"/>
          <w:highlight w:val="none"/>
          <w:lang w:val="en-US" w:eastAsia="zh-CN"/>
        </w:rPr>
        <w:t>4</w:t>
      </w:r>
      <w:r>
        <w:rPr>
          <w:rFonts w:hint="eastAsia"/>
          <w:highlight w:val="none"/>
        </w:rPr>
        <w:t xml:space="preserve"> 采购人在收到评</w:t>
      </w:r>
      <w:r>
        <w:rPr>
          <w:rFonts w:hint="eastAsia"/>
          <w:highlight w:val="none"/>
          <w:lang w:eastAsia="zh-CN"/>
        </w:rPr>
        <w:t>标</w:t>
      </w:r>
      <w:r>
        <w:rPr>
          <w:rFonts w:hint="eastAsia"/>
          <w:highlight w:val="none"/>
        </w:rPr>
        <w:t>报告后</w:t>
      </w:r>
      <w:r>
        <w:rPr>
          <w:rFonts w:hint="eastAsia"/>
          <w:highlight w:val="none"/>
          <w:lang w:val="en-US" w:eastAsia="zh-CN"/>
        </w:rPr>
        <w:t>4</w:t>
      </w:r>
      <w:r>
        <w:rPr>
          <w:rFonts w:hint="eastAsia"/>
          <w:highlight w:val="none"/>
        </w:rPr>
        <w:t>个工作日内，根据评标报告中推荐的中标候选人排列顺序，确定排名第一的为中标人，也可以书面授权</w:t>
      </w:r>
      <w:r>
        <w:rPr>
          <w:rFonts w:hint="eastAsia"/>
          <w:highlight w:val="none"/>
          <w:lang w:eastAsia="zh-CN"/>
        </w:rPr>
        <w:t>评标委员会评标后</w:t>
      </w:r>
      <w:r>
        <w:rPr>
          <w:rFonts w:hint="eastAsia"/>
          <w:highlight w:val="none"/>
        </w:rPr>
        <w:t>直接确定</w:t>
      </w:r>
      <w:r>
        <w:rPr>
          <w:rFonts w:hint="eastAsia"/>
          <w:highlight w:val="none"/>
          <w:lang w:eastAsia="zh-CN"/>
        </w:rPr>
        <w:t>中标人</w:t>
      </w:r>
      <w:r>
        <w:rPr>
          <w:rFonts w:hint="eastAsia"/>
          <w:highlight w:val="none"/>
        </w:rPr>
        <w:t>，同时复函采购代理机构。</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w:t>
      </w:r>
      <w:r>
        <w:rPr>
          <w:rFonts w:hint="eastAsia"/>
          <w:highlight w:val="none"/>
          <w:lang w:val="en-US" w:eastAsia="zh-CN"/>
        </w:rPr>
        <w:t>2</w:t>
      </w:r>
      <w:r>
        <w:rPr>
          <w:rFonts w:hint="eastAsia"/>
          <w:highlight w:val="none"/>
        </w:rPr>
        <w:t>.</w:t>
      </w:r>
      <w:r>
        <w:rPr>
          <w:rFonts w:hint="eastAsia"/>
          <w:highlight w:val="none"/>
          <w:lang w:val="en-US" w:eastAsia="zh-CN"/>
        </w:rPr>
        <w:t>5</w:t>
      </w:r>
      <w:r>
        <w:rPr>
          <w:rFonts w:hint="eastAsia"/>
          <w:highlight w:val="none"/>
        </w:rPr>
        <w:t xml:space="preserve"> 采购代理机构在接到采购人的定标复函之日起</w:t>
      </w:r>
      <w:r>
        <w:rPr>
          <w:rFonts w:hint="eastAsia"/>
          <w:highlight w:val="none"/>
          <w:lang w:val="en-US" w:eastAsia="zh-CN"/>
        </w:rPr>
        <w:t>1</w:t>
      </w:r>
      <w:r>
        <w:rPr>
          <w:rFonts w:hint="eastAsia"/>
          <w:highlight w:val="none"/>
        </w:rPr>
        <w:t>个工作日内，根据采购人确定的</w:t>
      </w:r>
      <w:r>
        <w:rPr>
          <w:rFonts w:hint="eastAsia"/>
          <w:highlight w:val="none"/>
          <w:lang w:eastAsia="zh-CN"/>
        </w:rPr>
        <w:t>中标</w:t>
      </w:r>
      <w:r>
        <w:rPr>
          <w:rFonts w:hint="eastAsia"/>
          <w:highlight w:val="none"/>
        </w:rPr>
        <w:t>人，在财政部门指定的政府采购信息发布媒体上公告</w:t>
      </w:r>
      <w:r>
        <w:rPr>
          <w:rFonts w:hint="eastAsia"/>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w:t>
      </w:r>
      <w:r>
        <w:rPr>
          <w:rFonts w:hint="eastAsia"/>
          <w:highlight w:val="none"/>
          <w:lang w:val="en-US" w:eastAsia="zh-CN"/>
        </w:rPr>
        <w:t>2</w:t>
      </w:r>
      <w:r>
        <w:rPr>
          <w:rFonts w:hint="eastAsia"/>
          <w:highlight w:val="none"/>
        </w:rPr>
        <w:t>.</w:t>
      </w:r>
      <w:r>
        <w:rPr>
          <w:rFonts w:hint="eastAsia"/>
          <w:highlight w:val="none"/>
          <w:lang w:val="en-US" w:eastAsia="zh-CN"/>
        </w:rPr>
        <w:t>6</w:t>
      </w:r>
      <w:r>
        <w:rPr>
          <w:rFonts w:hint="eastAsia"/>
          <w:highlight w:val="none"/>
        </w:rPr>
        <w:t xml:space="preserve"> </w:t>
      </w:r>
      <w:r>
        <w:rPr>
          <w:rFonts w:hint="eastAsia"/>
          <w:highlight w:val="none"/>
          <w:lang w:val="en-US" w:eastAsia="zh-CN"/>
        </w:rPr>
        <w:t xml:space="preserve"> </w:t>
      </w:r>
      <w:r>
        <w:rPr>
          <w:rFonts w:hint="eastAsia"/>
          <w:highlight w:val="none"/>
        </w:rPr>
        <w:t>采购单位不解释中标或落标原因，未中标人不得向评标委员会组成人员或其他有关人员索问评标过程的情况和材料。</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lang w:eastAsia="zh-CN"/>
        </w:rPr>
      </w:pPr>
      <w:r>
        <w:rPr>
          <w:rFonts w:hint="eastAsia"/>
          <w:highlight w:val="none"/>
        </w:rPr>
        <w:t>3</w:t>
      </w:r>
      <w:r>
        <w:rPr>
          <w:rFonts w:hint="eastAsia"/>
          <w:highlight w:val="none"/>
          <w:lang w:val="en-US" w:eastAsia="zh-CN"/>
        </w:rPr>
        <w:t>2</w:t>
      </w:r>
      <w:r>
        <w:rPr>
          <w:rFonts w:hint="eastAsia"/>
          <w:highlight w:val="none"/>
        </w:rPr>
        <w:t>.</w:t>
      </w:r>
      <w:r>
        <w:rPr>
          <w:rFonts w:hint="eastAsia"/>
          <w:highlight w:val="none"/>
          <w:lang w:val="en-US" w:eastAsia="zh-CN"/>
        </w:rPr>
        <w:t>7</w:t>
      </w:r>
      <w:r>
        <w:rPr>
          <w:rFonts w:hint="eastAsia"/>
          <w:highlight w:val="none"/>
        </w:rPr>
        <w:t xml:space="preserve"> </w:t>
      </w:r>
      <w:r>
        <w:rPr>
          <w:rFonts w:hint="eastAsia"/>
          <w:highlight w:val="none"/>
          <w:lang w:val="en-US" w:eastAsia="zh-CN"/>
        </w:rPr>
        <w:t xml:space="preserve"> </w:t>
      </w:r>
      <w:r>
        <w:rPr>
          <w:rFonts w:hint="eastAsia"/>
          <w:highlight w:val="none"/>
        </w:rPr>
        <w:t>投标人对中标公告有异议的，按照《中华人民共和国政府采购法》第五十二条之规定执行。提出质疑的投标人应当有明确的请求和必要的证明材料，应保证提出的质疑内容及相应证明材料的真实性及来源的合法性，并承担相应的法律责任</w:t>
      </w:r>
      <w:r>
        <w:rPr>
          <w:rFonts w:hint="eastAsia"/>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lang w:val="en-US" w:eastAsia="zh-CN"/>
        </w:rPr>
      </w:pPr>
      <w:r>
        <w:rPr>
          <w:rFonts w:hint="eastAsia"/>
          <w:highlight w:val="none"/>
          <w:lang w:val="en-US" w:eastAsia="zh-CN"/>
        </w:rPr>
        <w:t>32.8  中标人拒绝与采购人签订合同的，采购人可以按照评审报告推荐的中标候选人名单排序，确定下一候选人为中标人，也可以重新开展政府采购活动。</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3</w:t>
      </w:r>
      <w:r>
        <w:rPr>
          <w:rFonts w:hint="eastAsia" w:ascii="宋体" w:hAnsi="宋体" w:cs="宋体"/>
          <w:b/>
          <w:bCs/>
          <w:kern w:val="0"/>
          <w:sz w:val="24"/>
          <w:highlight w:val="none"/>
          <w:lang w:val="en-US" w:eastAsia="zh-CN"/>
        </w:rPr>
        <w:t>3</w:t>
      </w:r>
      <w:r>
        <w:rPr>
          <w:rFonts w:hint="eastAsia" w:ascii="宋体" w:hAnsi="宋体" w:cs="宋体"/>
          <w:b/>
          <w:bCs/>
          <w:kern w:val="0"/>
          <w:sz w:val="24"/>
          <w:highlight w:val="none"/>
        </w:rPr>
        <w:t>、中标通知书</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w:t>
      </w:r>
      <w:r>
        <w:rPr>
          <w:rFonts w:hint="eastAsia"/>
          <w:highlight w:val="none"/>
          <w:lang w:val="en-US" w:eastAsia="zh-CN"/>
        </w:rPr>
        <w:t>3</w:t>
      </w:r>
      <w:r>
        <w:rPr>
          <w:rFonts w:hint="eastAsia"/>
          <w:highlight w:val="none"/>
        </w:rPr>
        <w:t>.1</w:t>
      </w:r>
      <w:r>
        <w:rPr>
          <w:rFonts w:hint="eastAsia"/>
          <w:highlight w:val="none"/>
          <w:lang w:val="en-US" w:eastAsia="zh-CN"/>
        </w:rPr>
        <w:t xml:space="preserve">  </w:t>
      </w:r>
      <w:r>
        <w:rPr>
          <w:rFonts w:hint="eastAsia"/>
          <w:highlight w:val="none"/>
        </w:rPr>
        <w:t>中标</w:t>
      </w:r>
      <w:r>
        <w:rPr>
          <w:rFonts w:hint="eastAsia"/>
          <w:highlight w:val="none"/>
          <w:lang w:eastAsia="zh-CN"/>
        </w:rPr>
        <w:t>人</w:t>
      </w:r>
      <w:r>
        <w:rPr>
          <w:rFonts w:hint="eastAsia"/>
          <w:highlight w:val="none"/>
        </w:rPr>
        <w:t>确定之后，</w:t>
      </w:r>
      <w:r>
        <w:rPr>
          <w:rFonts w:hint="eastAsia"/>
          <w:highlight w:val="none"/>
          <w:lang w:eastAsia="zh-CN"/>
        </w:rPr>
        <w:t>陕西国信</w:t>
      </w:r>
      <w:r>
        <w:rPr>
          <w:rFonts w:hint="eastAsia"/>
          <w:highlight w:val="none"/>
        </w:rPr>
        <w:t>招标有限公司将发出《中标通知书》。</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w:t>
      </w:r>
      <w:r>
        <w:rPr>
          <w:rFonts w:hint="eastAsia"/>
          <w:highlight w:val="none"/>
          <w:lang w:val="en-US" w:eastAsia="zh-CN"/>
        </w:rPr>
        <w:t>3</w:t>
      </w:r>
      <w:r>
        <w:rPr>
          <w:rFonts w:hint="eastAsia"/>
          <w:highlight w:val="none"/>
        </w:rPr>
        <w:t xml:space="preserve">.2 </w:t>
      </w:r>
      <w:r>
        <w:rPr>
          <w:rFonts w:hint="eastAsia"/>
          <w:highlight w:val="none"/>
          <w:lang w:val="en-US" w:eastAsia="zh-CN"/>
        </w:rPr>
        <w:t xml:space="preserve"> </w:t>
      </w:r>
      <w:r>
        <w:rPr>
          <w:rFonts w:hint="eastAsia"/>
          <w:highlight w:val="none"/>
        </w:rPr>
        <w:t>中标通知书为签订政府采购合同的依据，是合同的重要组成部分。</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w:t>
      </w:r>
      <w:r>
        <w:rPr>
          <w:rFonts w:hint="eastAsia"/>
          <w:highlight w:val="none"/>
          <w:lang w:val="en-US" w:eastAsia="zh-CN"/>
        </w:rPr>
        <w:t>3</w:t>
      </w:r>
      <w:r>
        <w:rPr>
          <w:rFonts w:hint="eastAsia"/>
          <w:highlight w:val="none"/>
        </w:rPr>
        <w:t xml:space="preserve">.3 </w:t>
      </w:r>
      <w:r>
        <w:rPr>
          <w:rFonts w:hint="eastAsia"/>
          <w:highlight w:val="none"/>
          <w:lang w:val="en-US" w:eastAsia="zh-CN"/>
        </w:rPr>
        <w:t xml:space="preserve"> </w:t>
      </w:r>
      <w:r>
        <w:rPr>
          <w:rFonts w:hint="eastAsia"/>
          <w:highlight w:val="none"/>
        </w:rPr>
        <w:t>中标通知书对采购人和中标人均具有法律效力。中标通知书发出后，采购人改变中标结果，或者中标人无正当理由放弃中标的，应当承担相应的法律责任。</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w:t>
      </w:r>
      <w:r>
        <w:rPr>
          <w:rFonts w:hint="eastAsia"/>
          <w:highlight w:val="none"/>
          <w:lang w:val="en-US" w:eastAsia="zh-CN"/>
        </w:rPr>
        <w:t>3</w:t>
      </w:r>
      <w:r>
        <w:rPr>
          <w:rFonts w:hint="eastAsia"/>
          <w:highlight w:val="none"/>
        </w:rPr>
        <w:t xml:space="preserve">.4 </w:t>
      </w:r>
      <w:r>
        <w:rPr>
          <w:rFonts w:hint="eastAsia"/>
          <w:highlight w:val="none"/>
          <w:lang w:val="en-US" w:eastAsia="zh-CN"/>
        </w:rPr>
        <w:t xml:space="preserve"> </w:t>
      </w:r>
      <w:r>
        <w:rPr>
          <w:rFonts w:hint="eastAsia"/>
          <w:highlight w:val="none"/>
        </w:rPr>
        <w:t>中标人在接到采购代理机构通知之日起</w:t>
      </w:r>
      <w:r>
        <w:rPr>
          <w:rFonts w:hint="eastAsia"/>
          <w:highlight w:val="none"/>
          <w:lang w:val="en-US" w:eastAsia="zh-CN"/>
        </w:rPr>
        <w:t>7</w:t>
      </w:r>
      <w:r>
        <w:rPr>
          <w:rFonts w:hint="eastAsia"/>
          <w:highlight w:val="none"/>
        </w:rPr>
        <w:t>日内领取《中标通知书》。如果已中标的投标人不能按投标文件，包括补充文件（如澄清、承诺等）中承诺的条件履行签约行为，采购人有权取消其中标资格，并扣除其投标保证金。</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w:t>
      </w:r>
      <w:r>
        <w:rPr>
          <w:rFonts w:hint="eastAsia"/>
          <w:highlight w:val="none"/>
          <w:lang w:val="en-US" w:eastAsia="zh-CN"/>
        </w:rPr>
        <w:t>3</w:t>
      </w:r>
      <w:r>
        <w:rPr>
          <w:rFonts w:hint="eastAsia"/>
          <w:highlight w:val="none"/>
        </w:rPr>
        <w:t xml:space="preserve">.5 </w:t>
      </w:r>
      <w:r>
        <w:rPr>
          <w:rFonts w:hint="eastAsia"/>
          <w:highlight w:val="none"/>
          <w:lang w:val="en-US" w:eastAsia="zh-CN"/>
        </w:rPr>
        <w:t xml:space="preserve"> </w:t>
      </w:r>
      <w:r>
        <w:rPr>
          <w:rFonts w:hint="eastAsia"/>
          <w:highlight w:val="none"/>
        </w:rPr>
        <w:t>在《中标通知书》发出后，发现中标人有政府采购法律法规规章制度规定的中标无效情形的，采购代理机构在取得监督管理机构的认定以后，应当宣布发出的《中标通知书》无效，并收回发出的《中标通知书》（中标人也应当缴回），依法重新确定中标人或者重新开展采购活动。</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w:t>
      </w:r>
      <w:r>
        <w:rPr>
          <w:rFonts w:hint="eastAsia"/>
          <w:highlight w:val="none"/>
          <w:lang w:val="en-US" w:eastAsia="zh-CN"/>
        </w:rPr>
        <w:t>3</w:t>
      </w:r>
      <w:r>
        <w:rPr>
          <w:rFonts w:hint="eastAsia"/>
          <w:highlight w:val="none"/>
        </w:rPr>
        <w:t xml:space="preserve">.6 </w:t>
      </w:r>
      <w:r>
        <w:rPr>
          <w:rFonts w:hint="eastAsia"/>
          <w:highlight w:val="none"/>
          <w:lang w:val="en-US" w:eastAsia="zh-CN"/>
        </w:rPr>
        <w:t xml:space="preserve"> </w:t>
      </w:r>
      <w:r>
        <w:rPr>
          <w:rFonts w:hint="eastAsia"/>
          <w:color w:val="000000"/>
          <w:highlight w:val="none"/>
          <w:lang w:eastAsia="zh-CN"/>
        </w:rPr>
        <w:t>若</w:t>
      </w:r>
      <w:r>
        <w:rPr>
          <w:rFonts w:hint="eastAsia"/>
          <w:color w:val="000000"/>
          <w:highlight w:val="none"/>
        </w:rPr>
        <w:t>排名第一的中标候选人放弃中标、因不可抗力不能履行合同、或者被查实存在影响中标结果的违法行为等情形，不符合中标条件的，</w:t>
      </w:r>
      <w:r>
        <w:rPr>
          <w:rFonts w:hint="eastAsia"/>
          <w:color w:val="000000"/>
          <w:highlight w:val="none"/>
          <w:lang w:eastAsia="zh-CN"/>
        </w:rPr>
        <w:t>采购</w:t>
      </w:r>
      <w:r>
        <w:rPr>
          <w:rFonts w:hint="eastAsia"/>
          <w:color w:val="000000"/>
          <w:highlight w:val="none"/>
        </w:rPr>
        <w:t>人可以按照</w:t>
      </w:r>
      <w:r>
        <w:rPr>
          <w:rFonts w:hint="eastAsia"/>
          <w:color w:val="000000"/>
          <w:highlight w:val="none"/>
          <w:lang w:eastAsia="zh-CN"/>
        </w:rPr>
        <w:t>评标委员会</w:t>
      </w:r>
      <w:r>
        <w:rPr>
          <w:rFonts w:hint="eastAsia"/>
          <w:color w:val="000000"/>
          <w:highlight w:val="none"/>
        </w:rPr>
        <w:t>提出的中标候选人名单排序依次确定其他中标候选人为中标人，也可以重新招标。</w:t>
      </w:r>
    </w:p>
    <w:p>
      <w:pPr>
        <w:numPr>
          <w:ilvl w:val="0"/>
          <w:numId w:val="0"/>
        </w:numPr>
        <w:spacing w:before="240" w:after="120"/>
        <w:jc w:val="center"/>
        <w:outlineLvl w:val="2"/>
        <w:rPr>
          <w:rFonts w:hint="eastAsia" w:ascii="宋体" w:hAnsi="宋体" w:cs="宋体"/>
          <w:b/>
          <w:bCs/>
          <w:sz w:val="28"/>
          <w:highlight w:val="none"/>
        </w:rPr>
      </w:pPr>
      <w:r>
        <w:rPr>
          <w:rFonts w:hint="eastAsia" w:ascii="宋体" w:hAnsi="宋体" w:cs="宋体"/>
          <w:b/>
          <w:bCs/>
          <w:sz w:val="28"/>
          <w:highlight w:val="none"/>
        </w:rPr>
        <w:t>八、废标</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eastAsia="宋体" w:cs="宋体"/>
          <w:b/>
          <w:bCs/>
          <w:kern w:val="0"/>
          <w:sz w:val="24"/>
          <w:highlight w:val="none"/>
          <w:lang w:val="en-US" w:eastAsia="zh-CN"/>
        </w:rPr>
      </w:pPr>
      <w:r>
        <w:rPr>
          <w:rFonts w:hint="eastAsia" w:ascii="宋体" w:hAnsi="宋体" w:cs="宋体"/>
          <w:b/>
          <w:bCs/>
          <w:kern w:val="0"/>
          <w:sz w:val="24"/>
          <w:highlight w:val="none"/>
        </w:rPr>
        <w:t>3</w:t>
      </w:r>
      <w:r>
        <w:rPr>
          <w:rFonts w:hint="eastAsia" w:ascii="宋体" w:hAnsi="宋体" w:cs="宋体"/>
          <w:b/>
          <w:bCs/>
          <w:kern w:val="0"/>
          <w:sz w:val="24"/>
          <w:highlight w:val="none"/>
          <w:lang w:val="en-US" w:eastAsia="zh-CN"/>
        </w:rPr>
        <w:t>4</w:t>
      </w:r>
      <w:r>
        <w:rPr>
          <w:rFonts w:hint="eastAsia" w:ascii="宋体" w:hAnsi="宋体" w:cs="宋体"/>
          <w:b/>
          <w:bCs/>
          <w:kern w:val="0"/>
          <w:sz w:val="24"/>
          <w:highlight w:val="none"/>
        </w:rPr>
        <w:t>、废标的情形</w:t>
      </w:r>
      <w:r>
        <w:rPr>
          <w:rFonts w:hint="eastAsia" w:ascii="宋体" w:hAnsi="宋体" w:cs="宋体"/>
          <w:b/>
          <w:bCs/>
          <w:kern w:val="0"/>
          <w:sz w:val="24"/>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rPr>
        <w:t xml:space="preserve">    招标采购中，出现下列情形之一的，予以废标：</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（1）出现影响采购公正的违法、违规行为的；</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（2）投标人的</w:t>
      </w:r>
      <w:r>
        <w:rPr>
          <w:rFonts w:hint="eastAsia"/>
          <w:highlight w:val="none"/>
          <w:lang w:eastAsia="zh-CN"/>
        </w:rPr>
        <w:t>投标</w:t>
      </w:r>
      <w:r>
        <w:rPr>
          <w:rFonts w:hint="eastAsia"/>
          <w:highlight w:val="none"/>
        </w:rPr>
        <w:t>报价均超过了采购预算</w:t>
      </w:r>
      <w:r>
        <w:rPr>
          <w:rFonts w:hint="eastAsia"/>
          <w:highlight w:val="none"/>
          <w:lang w:val="en-US" w:eastAsia="zh-CN"/>
        </w:rPr>
        <w:t>或最高限价</w:t>
      </w:r>
      <w:r>
        <w:rPr>
          <w:rFonts w:hint="eastAsia"/>
          <w:highlight w:val="none"/>
        </w:rPr>
        <w:t>，采购人不能支付的；</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（3）评标委员会三分之二以上的评委认定所有投标报价存在价格不实的现象；</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color w:val="auto"/>
          <w:highlight w:val="none"/>
        </w:rPr>
      </w:pPr>
      <w:r>
        <w:rPr>
          <w:rFonts w:hint="eastAsia"/>
          <w:color w:val="auto"/>
          <w:highlight w:val="none"/>
        </w:rPr>
        <w:t>（4）有证据证明有围标现象的发生；</w:t>
      </w:r>
    </w:p>
    <w:p>
      <w:pPr>
        <w:autoSpaceDE w:val="0"/>
        <w:autoSpaceDN w:val="0"/>
        <w:adjustRightInd w:val="0"/>
        <w:spacing w:line="500" w:lineRule="exact"/>
        <w:ind w:right="6" w:firstLine="420"/>
        <w:rPr>
          <w:rFonts w:hint="eastAsia"/>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w:t>
      </w:r>
      <w:r>
        <w:rPr>
          <w:rFonts w:hint="eastAsia" w:ascii="宋体" w:hAnsi="宋体" w:cs="宋体"/>
          <w:color w:val="auto"/>
          <w:highlight w:val="none"/>
          <w:lang w:eastAsia="zh-CN"/>
        </w:rPr>
        <w:t>有证据证明有《中华人民共和国财政部令第</w:t>
      </w:r>
      <w:r>
        <w:rPr>
          <w:rFonts w:hint="eastAsia" w:ascii="宋体" w:hAnsi="宋体" w:cs="宋体"/>
          <w:color w:val="auto"/>
          <w:highlight w:val="none"/>
          <w:lang w:val="en-US" w:eastAsia="zh-CN"/>
        </w:rPr>
        <w:t>87号》第37条串标情形的；</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w:t>
      </w:r>
      <w:r>
        <w:rPr>
          <w:rFonts w:hint="eastAsia"/>
          <w:highlight w:val="none"/>
          <w:lang w:val="en-US" w:eastAsia="zh-CN"/>
        </w:rPr>
        <w:t>6</w:t>
      </w:r>
      <w:r>
        <w:rPr>
          <w:rFonts w:hint="eastAsia"/>
          <w:highlight w:val="none"/>
        </w:rPr>
        <w:t>）因重大变故，采购任务取消的。</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废标后，采购代理机构应在财政部门指定采购网上公告，并公告废标的详细理由。</w:t>
      </w:r>
    </w:p>
    <w:p>
      <w:pPr>
        <w:numPr>
          <w:ilvl w:val="0"/>
          <w:numId w:val="0"/>
        </w:numPr>
        <w:spacing w:before="240" w:after="120"/>
        <w:jc w:val="center"/>
        <w:outlineLvl w:val="2"/>
        <w:rPr>
          <w:rFonts w:hint="eastAsia" w:ascii="宋体" w:hAnsi="宋体" w:cs="宋体"/>
          <w:b/>
          <w:bCs/>
          <w:sz w:val="28"/>
          <w:highlight w:val="none"/>
        </w:rPr>
      </w:pPr>
      <w:r>
        <w:rPr>
          <w:rFonts w:hint="eastAsia" w:ascii="宋体" w:hAnsi="宋体" w:cs="宋体"/>
          <w:b/>
          <w:bCs/>
          <w:sz w:val="28"/>
          <w:highlight w:val="none"/>
        </w:rPr>
        <w:t>九、合同授予</w:t>
      </w:r>
    </w:p>
    <w:p>
      <w:pPr>
        <w:autoSpaceDE w:val="0"/>
        <w:autoSpaceDN w:val="0"/>
        <w:adjustRightInd w:val="0"/>
        <w:spacing w:line="500" w:lineRule="exact"/>
        <w:ind w:right="6"/>
        <w:rPr>
          <w:rFonts w:hint="eastAsia" w:ascii="宋体" w:hAnsi="宋体" w:eastAsia="宋体" w:cs="宋体"/>
          <w:b/>
          <w:bCs/>
          <w:color w:val="auto"/>
          <w:kern w:val="0"/>
          <w:sz w:val="24"/>
          <w:highlight w:val="none"/>
          <w:lang w:eastAsia="zh-CN"/>
        </w:rPr>
      </w:pPr>
      <w:r>
        <w:rPr>
          <w:rFonts w:hint="eastAsia" w:ascii="宋体" w:hAnsi="宋体" w:cs="宋体"/>
          <w:b/>
          <w:bCs/>
          <w:color w:val="auto"/>
          <w:kern w:val="0"/>
          <w:sz w:val="24"/>
          <w:highlight w:val="none"/>
          <w:lang w:val="en-US" w:eastAsia="zh-CN"/>
        </w:rPr>
        <w:t>35、</w:t>
      </w:r>
      <w:r>
        <w:rPr>
          <w:rFonts w:hint="eastAsia" w:ascii="宋体" w:hAnsi="宋体" w:eastAsia="宋体" w:cs="宋体"/>
          <w:b/>
          <w:bCs/>
          <w:color w:val="auto"/>
          <w:kern w:val="0"/>
          <w:sz w:val="24"/>
          <w:highlight w:val="none"/>
        </w:rPr>
        <w:t>履约担保</w:t>
      </w:r>
      <w:r>
        <w:rPr>
          <w:rFonts w:hint="eastAsia" w:ascii="宋体" w:hAnsi="宋体" w:eastAsia="宋体" w:cs="宋体"/>
          <w:b/>
          <w:bCs/>
          <w:color w:val="auto"/>
          <w:kern w:val="0"/>
          <w:sz w:val="24"/>
          <w:highlight w:val="none"/>
          <w:lang w:eastAsia="zh-CN"/>
        </w:rPr>
        <w:t>（若有）</w:t>
      </w:r>
    </w:p>
    <w:p>
      <w:pPr>
        <w:autoSpaceDE w:val="0"/>
        <w:autoSpaceDN w:val="0"/>
        <w:adjustRightInd w:val="0"/>
        <w:spacing w:line="500" w:lineRule="exact"/>
        <w:ind w:right="6"/>
        <w:rPr>
          <w:rFonts w:hint="eastAsia" w:ascii="宋体" w:hAnsi="宋体" w:eastAsia="宋体" w:cs="宋体"/>
          <w:color w:val="000000"/>
          <w:highlight w:val="none"/>
        </w:rPr>
      </w:pPr>
      <w:r>
        <w:rPr>
          <w:rFonts w:hint="eastAsia" w:ascii="宋体" w:hAnsi="宋体" w:eastAsia="宋体" w:cs="宋体"/>
          <w:color w:val="000000"/>
          <w:highlight w:val="none"/>
        </w:rPr>
        <w:t xml:space="preserve">    3</w:t>
      </w:r>
      <w:r>
        <w:rPr>
          <w:rFonts w:hint="eastAsia" w:ascii="宋体" w:hAnsi="宋体" w:cs="宋体"/>
          <w:color w:val="000000"/>
          <w:highlight w:val="none"/>
          <w:lang w:val="en-US" w:eastAsia="zh-CN"/>
        </w:rPr>
        <w:t>5</w:t>
      </w:r>
      <w:r>
        <w:rPr>
          <w:rFonts w:hint="eastAsia" w:ascii="宋体" w:hAnsi="宋体" w:eastAsia="宋体" w:cs="宋体"/>
          <w:color w:val="000000"/>
          <w:highlight w:val="none"/>
        </w:rPr>
        <w:t>.1 在签订合同前，</w:t>
      </w:r>
      <w:r>
        <w:rPr>
          <w:rFonts w:hint="eastAsia" w:ascii="宋体" w:hAnsi="宋体" w:cs="宋体"/>
          <w:color w:val="000000"/>
          <w:highlight w:val="none"/>
          <w:lang w:eastAsia="zh-CN"/>
        </w:rPr>
        <w:t>中标人</w:t>
      </w:r>
      <w:r>
        <w:rPr>
          <w:rFonts w:hint="eastAsia" w:ascii="宋体" w:hAnsi="宋体" w:eastAsia="宋体" w:cs="宋体"/>
          <w:color w:val="000000"/>
          <w:highlight w:val="none"/>
        </w:rPr>
        <w:t>应按</w:t>
      </w:r>
      <w:r>
        <w:rPr>
          <w:rFonts w:hint="eastAsia" w:ascii="宋体" w:hAnsi="宋体" w:eastAsia="宋体" w:cs="宋体"/>
          <w:color w:val="000000"/>
          <w:highlight w:val="none"/>
          <w:lang w:eastAsia="zh-CN"/>
        </w:rPr>
        <w:t>投标人</w:t>
      </w:r>
      <w:r>
        <w:rPr>
          <w:rFonts w:hint="eastAsia" w:ascii="宋体" w:hAnsi="宋体" w:eastAsia="宋体" w:cs="宋体"/>
          <w:color w:val="000000"/>
          <w:highlight w:val="none"/>
        </w:rPr>
        <w:t>须知前附表规定的金额、担保形式和</w:t>
      </w:r>
      <w:r>
        <w:rPr>
          <w:rFonts w:hint="eastAsia" w:ascii="宋体" w:hAnsi="宋体" w:eastAsia="宋体" w:cs="宋体"/>
          <w:color w:val="000000"/>
          <w:highlight w:val="none"/>
          <w:lang w:eastAsia="zh-CN"/>
        </w:rPr>
        <w:t>招标</w:t>
      </w:r>
      <w:r>
        <w:rPr>
          <w:rFonts w:hint="eastAsia" w:ascii="宋体" w:hAnsi="宋体" w:eastAsia="宋体" w:cs="宋体"/>
          <w:color w:val="000000"/>
          <w:highlight w:val="none"/>
        </w:rPr>
        <w:t>文件规定的履约担保格式向采购人提交履约担保。</w:t>
      </w:r>
    </w:p>
    <w:p>
      <w:pPr>
        <w:autoSpaceDE w:val="0"/>
        <w:autoSpaceDN w:val="0"/>
        <w:adjustRightInd w:val="0"/>
        <w:spacing w:line="500" w:lineRule="exact"/>
        <w:ind w:right="6"/>
        <w:rPr>
          <w:rFonts w:hint="eastAsia" w:ascii="宋体" w:hAnsi="宋体" w:eastAsia="宋体" w:cs="宋体"/>
          <w:color w:val="000000"/>
          <w:highlight w:val="none"/>
        </w:rPr>
      </w:pPr>
      <w:r>
        <w:rPr>
          <w:rFonts w:hint="eastAsia" w:ascii="宋体" w:hAnsi="宋体" w:eastAsia="宋体" w:cs="宋体"/>
          <w:color w:val="000000"/>
          <w:highlight w:val="none"/>
        </w:rPr>
        <w:t xml:space="preserve">    3</w:t>
      </w:r>
      <w:r>
        <w:rPr>
          <w:rFonts w:hint="eastAsia" w:ascii="宋体" w:hAnsi="宋体" w:cs="宋体"/>
          <w:color w:val="000000"/>
          <w:highlight w:val="none"/>
          <w:lang w:val="en-US" w:eastAsia="zh-CN"/>
        </w:rPr>
        <w:t>5</w:t>
      </w:r>
      <w:r>
        <w:rPr>
          <w:rFonts w:hint="eastAsia" w:ascii="宋体" w:hAnsi="宋体" w:eastAsia="宋体" w:cs="宋体"/>
          <w:color w:val="000000"/>
          <w:highlight w:val="none"/>
        </w:rPr>
        <w:t>.2 采用银行保函时，出具银行保函的银行级别在</w:t>
      </w:r>
      <w:r>
        <w:rPr>
          <w:rFonts w:hint="eastAsia" w:ascii="宋体" w:hAnsi="宋体" w:eastAsia="宋体" w:cs="宋体"/>
          <w:color w:val="000000"/>
          <w:highlight w:val="none"/>
          <w:lang w:eastAsia="zh-CN"/>
        </w:rPr>
        <w:t>投标人</w:t>
      </w:r>
      <w:r>
        <w:rPr>
          <w:rFonts w:hint="eastAsia" w:ascii="宋体" w:hAnsi="宋体" w:eastAsia="宋体" w:cs="宋体"/>
          <w:color w:val="000000"/>
          <w:highlight w:val="none"/>
        </w:rPr>
        <w:t>须知前附表中说明，所需的费用由</w:t>
      </w:r>
      <w:r>
        <w:rPr>
          <w:rFonts w:hint="eastAsia" w:ascii="宋体" w:hAnsi="宋体" w:eastAsia="宋体" w:cs="宋体"/>
          <w:color w:val="000000"/>
          <w:highlight w:val="none"/>
          <w:lang w:eastAsia="zh-CN"/>
        </w:rPr>
        <w:t>中标人</w:t>
      </w:r>
      <w:r>
        <w:rPr>
          <w:rFonts w:hint="eastAsia" w:ascii="宋体" w:hAnsi="宋体" w:eastAsia="宋体" w:cs="宋体"/>
          <w:color w:val="000000"/>
          <w:highlight w:val="none"/>
        </w:rPr>
        <w:t>承担，</w:t>
      </w:r>
      <w:r>
        <w:rPr>
          <w:rFonts w:hint="eastAsia" w:ascii="宋体" w:hAnsi="宋体" w:cs="宋体"/>
          <w:color w:val="000000"/>
          <w:highlight w:val="none"/>
          <w:lang w:eastAsia="zh-CN"/>
        </w:rPr>
        <w:t>中标人</w:t>
      </w:r>
      <w:r>
        <w:rPr>
          <w:rFonts w:hint="eastAsia" w:ascii="宋体" w:hAnsi="宋体" w:eastAsia="宋体" w:cs="宋体"/>
          <w:color w:val="000000"/>
          <w:highlight w:val="none"/>
        </w:rPr>
        <w:t>应保证银行保函有效。</w:t>
      </w:r>
    </w:p>
    <w:p>
      <w:pPr>
        <w:autoSpaceDE w:val="0"/>
        <w:autoSpaceDN w:val="0"/>
        <w:adjustRightInd w:val="0"/>
        <w:spacing w:line="500" w:lineRule="exact"/>
        <w:ind w:right="6"/>
        <w:rPr>
          <w:rFonts w:hint="eastAsia" w:ascii="宋体" w:hAnsi="宋体" w:eastAsia="宋体" w:cs="宋体"/>
          <w:color w:val="000000"/>
          <w:highlight w:val="none"/>
        </w:rPr>
      </w:pPr>
      <w:r>
        <w:rPr>
          <w:rFonts w:hint="eastAsia" w:ascii="宋体" w:hAnsi="宋体" w:eastAsia="宋体" w:cs="宋体"/>
          <w:color w:val="000000"/>
          <w:highlight w:val="none"/>
        </w:rPr>
        <w:t xml:space="preserve">    3</w:t>
      </w:r>
      <w:r>
        <w:rPr>
          <w:rFonts w:hint="eastAsia" w:ascii="宋体" w:hAnsi="宋体" w:cs="宋体"/>
          <w:color w:val="000000"/>
          <w:highlight w:val="none"/>
          <w:lang w:val="en-US" w:eastAsia="zh-CN"/>
        </w:rPr>
        <w:t>5</w:t>
      </w:r>
      <w:r>
        <w:rPr>
          <w:rFonts w:hint="eastAsia" w:ascii="宋体" w:hAnsi="宋体" w:eastAsia="宋体" w:cs="宋体"/>
          <w:color w:val="000000"/>
          <w:highlight w:val="none"/>
        </w:rPr>
        <w:t>.3 履约保证金用于补偿采购人因</w:t>
      </w:r>
      <w:r>
        <w:rPr>
          <w:rFonts w:hint="eastAsia" w:ascii="宋体" w:hAnsi="宋体" w:cs="宋体"/>
          <w:color w:val="000000"/>
          <w:highlight w:val="none"/>
          <w:lang w:eastAsia="zh-CN"/>
        </w:rPr>
        <w:t>中标人</w:t>
      </w:r>
      <w:r>
        <w:rPr>
          <w:rFonts w:hint="eastAsia" w:ascii="宋体" w:hAnsi="宋体" w:eastAsia="宋体" w:cs="宋体"/>
          <w:color w:val="000000"/>
          <w:highlight w:val="none"/>
        </w:rPr>
        <w:t>不能完成其合同义务而蒙受的损失。</w:t>
      </w:r>
    </w:p>
    <w:p>
      <w:pPr>
        <w:autoSpaceDE w:val="0"/>
        <w:autoSpaceDN w:val="0"/>
        <w:adjustRightInd w:val="0"/>
        <w:spacing w:line="500" w:lineRule="exact"/>
        <w:ind w:right="6"/>
        <w:rPr>
          <w:rFonts w:hint="eastAsia" w:ascii="宋体" w:hAnsi="宋体" w:eastAsia="宋体" w:cs="宋体"/>
          <w:color w:val="000000"/>
          <w:highlight w:val="none"/>
        </w:rPr>
      </w:pPr>
      <w:r>
        <w:rPr>
          <w:rFonts w:hint="eastAsia" w:ascii="宋体" w:hAnsi="宋体" w:eastAsia="宋体" w:cs="宋体"/>
          <w:color w:val="000000"/>
          <w:highlight w:val="none"/>
        </w:rPr>
        <w:t xml:space="preserve">    3</w:t>
      </w:r>
      <w:r>
        <w:rPr>
          <w:rFonts w:hint="eastAsia" w:ascii="宋体" w:hAnsi="宋体" w:cs="宋体"/>
          <w:color w:val="000000"/>
          <w:highlight w:val="none"/>
          <w:lang w:val="en-US" w:eastAsia="zh-CN"/>
        </w:rPr>
        <w:t>5</w:t>
      </w:r>
      <w:r>
        <w:rPr>
          <w:rFonts w:hint="eastAsia" w:ascii="宋体" w:hAnsi="宋体" w:eastAsia="宋体" w:cs="宋体"/>
          <w:color w:val="000000"/>
          <w:highlight w:val="none"/>
        </w:rPr>
        <w:t>.4 若</w:t>
      </w:r>
      <w:r>
        <w:rPr>
          <w:rFonts w:hint="eastAsia" w:ascii="宋体" w:hAnsi="宋体" w:cs="宋体"/>
          <w:color w:val="000000"/>
          <w:highlight w:val="none"/>
          <w:lang w:eastAsia="zh-CN"/>
        </w:rPr>
        <w:t>中标人</w:t>
      </w:r>
      <w:r>
        <w:rPr>
          <w:rFonts w:hint="eastAsia" w:ascii="宋体" w:hAnsi="宋体" w:eastAsia="宋体" w:cs="宋体"/>
          <w:color w:val="000000"/>
          <w:highlight w:val="none"/>
        </w:rPr>
        <w:t>不能按本须知规定交纳履约保证金的，视为放弃</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，给采购人造成的损失超过</w:t>
      </w:r>
      <w:r>
        <w:rPr>
          <w:rFonts w:hint="eastAsia" w:ascii="宋体" w:hAnsi="宋体" w:eastAsia="宋体" w:cs="宋体"/>
          <w:color w:val="000000"/>
          <w:highlight w:val="none"/>
          <w:lang w:eastAsia="zh-CN"/>
        </w:rPr>
        <w:t>投标</w:t>
      </w:r>
      <w:r>
        <w:rPr>
          <w:rFonts w:hint="eastAsia" w:ascii="宋体" w:hAnsi="宋体" w:eastAsia="宋体" w:cs="宋体"/>
          <w:color w:val="000000"/>
          <w:highlight w:val="none"/>
        </w:rPr>
        <w:t>保证金数额的，</w:t>
      </w:r>
      <w:r>
        <w:rPr>
          <w:rFonts w:hint="eastAsia" w:ascii="宋体" w:hAnsi="宋体" w:cs="宋体"/>
          <w:color w:val="000000"/>
          <w:highlight w:val="none"/>
          <w:lang w:eastAsia="zh-CN"/>
        </w:rPr>
        <w:t>中标人</w:t>
      </w:r>
      <w:r>
        <w:rPr>
          <w:rFonts w:hint="eastAsia" w:ascii="宋体" w:hAnsi="宋体" w:eastAsia="宋体" w:cs="宋体"/>
          <w:color w:val="000000"/>
          <w:highlight w:val="none"/>
        </w:rPr>
        <w:t>还应当对超过部分予以赔偿。</w:t>
      </w:r>
    </w:p>
    <w:p>
      <w:pPr>
        <w:autoSpaceDE w:val="0"/>
        <w:autoSpaceDN w:val="0"/>
        <w:adjustRightInd w:val="0"/>
        <w:spacing w:line="500" w:lineRule="exact"/>
        <w:ind w:right="6"/>
        <w:rPr>
          <w:rFonts w:hint="eastAsia" w:ascii="宋体" w:hAnsi="宋体" w:eastAsia="宋体" w:cs="宋体"/>
          <w:color w:val="000000"/>
          <w:highlight w:val="none"/>
        </w:rPr>
      </w:pPr>
      <w:r>
        <w:rPr>
          <w:rFonts w:hint="eastAsia" w:ascii="宋体" w:hAnsi="宋体" w:eastAsia="宋体" w:cs="宋体"/>
          <w:color w:val="000000"/>
          <w:highlight w:val="none"/>
        </w:rPr>
        <w:t xml:space="preserve">    3</w:t>
      </w:r>
      <w:r>
        <w:rPr>
          <w:rFonts w:hint="eastAsia" w:ascii="宋体" w:hAnsi="宋体" w:cs="宋体"/>
          <w:color w:val="000000"/>
          <w:highlight w:val="none"/>
          <w:lang w:val="en-US" w:eastAsia="zh-CN"/>
        </w:rPr>
        <w:t>5</w:t>
      </w:r>
      <w:r>
        <w:rPr>
          <w:rFonts w:hint="eastAsia" w:ascii="宋体" w:hAnsi="宋体" w:eastAsia="宋体" w:cs="宋体"/>
          <w:color w:val="000000"/>
          <w:highlight w:val="none"/>
        </w:rPr>
        <w:t>.5 若</w:t>
      </w:r>
      <w:r>
        <w:rPr>
          <w:rFonts w:hint="eastAsia" w:ascii="宋体" w:hAnsi="宋体" w:cs="宋体"/>
          <w:color w:val="000000"/>
          <w:highlight w:val="none"/>
          <w:lang w:eastAsia="zh-CN"/>
        </w:rPr>
        <w:t>中标人</w:t>
      </w:r>
      <w:r>
        <w:rPr>
          <w:rFonts w:hint="eastAsia" w:ascii="宋体" w:hAnsi="宋体" w:eastAsia="宋体" w:cs="宋体"/>
          <w:color w:val="000000"/>
          <w:highlight w:val="none"/>
        </w:rPr>
        <w:t>未能履行合同规定的义务，采购人有权没收履约保证金取得补偿，因此给采购人造成的损失超过</w:t>
      </w:r>
      <w:r>
        <w:rPr>
          <w:rFonts w:hint="eastAsia" w:ascii="宋体" w:hAnsi="宋体" w:eastAsia="宋体" w:cs="宋体"/>
          <w:color w:val="000000"/>
          <w:highlight w:val="none"/>
          <w:lang w:eastAsia="zh-CN"/>
        </w:rPr>
        <w:t>投标</w:t>
      </w:r>
      <w:r>
        <w:rPr>
          <w:rFonts w:hint="eastAsia" w:ascii="宋体" w:hAnsi="宋体" w:eastAsia="宋体" w:cs="宋体"/>
          <w:color w:val="000000"/>
          <w:highlight w:val="none"/>
        </w:rPr>
        <w:t>担保数额的，还应当对超过部分予以赔偿。</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200"/>
        <w:jc w:val="both"/>
        <w:textAlignment w:val="auto"/>
        <w:outlineLvl w:val="9"/>
        <w:rPr>
          <w:rFonts w:hint="eastAsia" w:ascii="宋体" w:hAnsi="宋体" w:cs="宋体"/>
          <w:b/>
          <w:bCs/>
          <w:kern w:val="0"/>
          <w:sz w:val="24"/>
          <w:highlight w:val="none"/>
        </w:rPr>
      </w:pPr>
      <w:r>
        <w:rPr>
          <w:rFonts w:hint="eastAsia" w:ascii="宋体" w:hAnsi="宋体" w:eastAsia="宋体" w:cs="宋体"/>
          <w:color w:val="000000"/>
          <w:highlight w:val="none"/>
        </w:rPr>
        <w:t>3</w:t>
      </w:r>
      <w:r>
        <w:rPr>
          <w:rFonts w:hint="eastAsia" w:ascii="宋体" w:hAnsi="宋体" w:cs="宋体"/>
          <w:color w:val="000000"/>
          <w:highlight w:val="none"/>
          <w:lang w:val="en-US" w:eastAsia="zh-CN"/>
        </w:rPr>
        <w:t>5</w:t>
      </w:r>
      <w:r>
        <w:rPr>
          <w:rFonts w:hint="eastAsia" w:ascii="宋体" w:hAnsi="宋体" w:eastAsia="宋体" w:cs="宋体"/>
          <w:color w:val="000000"/>
          <w:highlight w:val="none"/>
        </w:rPr>
        <w:t xml:space="preserve">.6 </w:t>
      </w:r>
      <w:r>
        <w:rPr>
          <w:rFonts w:hint="eastAsia" w:ascii="宋体" w:hAnsi="宋体" w:cs="宋体"/>
          <w:color w:val="000000"/>
          <w:highlight w:val="none"/>
          <w:lang w:eastAsia="zh-CN"/>
        </w:rPr>
        <w:t>中标人</w:t>
      </w:r>
      <w:r>
        <w:rPr>
          <w:rFonts w:hint="eastAsia" w:ascii="宋体" w:hAnsi="宋体" w:eastAsia="宋体" w:cs="宋体"/>
          <w:color w:val="000000"/>
          <w:highlight w:val="none"/>
        </w:rPr>
        <w:t>履约担保有效期为本项目合同终止之日，采购人应当在</w:t>
      </w:r>
      <w:r>
        <w:rPr>
          <w:rFonts w:hint="eastAsia" w:ascii="宋体" w:hAnsi="宋体" w:cs="宋体"/>
          <w:color w:val="000000"/>
          <w:highlight w:val="none"/>
          <w:lang w:eastAsia="zh-CN"/>
        </w:rPr>
        <w:t>中标人</w:t>
      </w:r>
      <w:r>
        <w:rPr>
          <w:rFonts w:hint="eastAsia" w:ascii="宋体" w:hAnsi="宋体" w:eastAsia="宋体" w:cs="宋体"/>
          <w:color w:val="000000"/>
          <w:highlight w:val="none"/>
        </w:rPr>
        <w:t>履约担保有效期截止后，</w:t>
      </w:r>
      <w:r>
        <w:rPr>
          <w:rFonts w:hint="eastAsia" w:ascii="宋体" w:hAnsi="宋体" w:eastAsia="宋体" w:cs="宋体"/>
          <w:color w:val="000000"/>
          <w:highlight w:val="none"/>
          <w:lang w:eastAsia="zh-CN"/>
        </w:rPr>
        <w:t>向</w:t>
      </w:r>
      <w:r>
        <w:rPr>
          <w:rFonts w:hint="eastAsia" w:ascii="宋体" w:hAnsi="宋体" w:eastAsia="宋体" w:cs="宋体"/>
          <w:color w:val="000000"/>
          <w:highlight w:val="none"/>
        </w:rPr>
        <w:t>财务部门</w:t>
      </w:r>
      <w:r>
        <w:rPr>
          <w:rFonts w:hint="eastAsia" w:ascii="宋体" w:hAnsi="宋体" w:eastAsia="宋体" w:cs="宋体"/>
          <w:color w:val="000000"/>
          <w:highlight w:val="none"/>
          <w:lang w:eastAsia="zh-CN"/>
        </w:rPr>
        <w:t>出具</w:t>
      </w:r>
      <w:r>
        <w:rPr>
          <w:rFonts w:hint="eastAsia" w:ascii="宋体" w:hAnsi="宋体" w:eastAsia="宋体" w:cs="宋体"/>
          <w:color w:val="000000"/>
          <w:highlight w:val="none"/>
        </w:rPr>
        <w:t>确认</w:t>
      </w:r>
      <w:r>
        <w:rPr>
          <w:rFonts w:hint="eastAsia" w:ascii="宋体" w:hAnsi="宋体" w:eastAsia="宋体" w:cs="宋体"/>
          <w:color w:val="000000"/>
          <w:highlight w:val="none"/>
          <w:lang w:eastAsia="zh-CN"/>
        </w:rPr>
        <w:t>投标人履行完毕</w:t>
      </w:r>
      <w:r>
        <w:rPr>
          <w:rFonts w:hint="eastAsia" w:ascii="宋体" w:hAnsi="宋体" w:eastAsia="宋体" w:cs="宋体"/>
          <w:color w:val="000000"/>
          <w:highlight w:val="none"/>
        </w:rPr>
        <w:t>本合同</w:t>
      </w:r>
      <w:r>
        <w:rPr>
          <w:rFonts w:hint="eastAsia" w:ascii="宋体" w:hAnsi="宋体" w:eastAsia="宋体" w:cs="宋体"/>
          <w:color w:val="000000"/>
          <w:highlight w:val="none"/>
          <w:lang w:eastAsia="zh-CN"/>
        </w:rPr>
        <w:t>相关</w:t>
      </w:r>
      <w:r>
        <w:rPr>
          <w:rFonts w:hint="eastAsia" w:ascii="宋体" w:hAnsi="宋体" w:eastAsia="宋体" w:cs="宋体"/>
          <w:color w:val="000000"/>
          <w:highlight w:val="none"/>
        </w:rPr>
        <w:t>约定事项的正式书面文件，</w:t>
      </w:r>
      <w:r>
        <w:rPr>
          <w:rFonts w:hint="eastAsia" w:ascii="宋体" w:hAnsi="宋体" w:eastAsia="宋体" w:cs="宋体"/>
          <w:color w:val="000000"/>
          <w:highlight w:val="none"/>
          <w:lang w:eastAsia="zh-CN"/>
        </w:rPr>
        <w:t>财务部门方可退还</w:t>
      </w:r>
      <w:r>
        <w:rPr>
          <w:rFonts w:hint="eastAsia" w:ascii="宋体" w:hAnsi="宋体" w:cs="宋体"/>
          <w:color w:val="000000"/>
          <w:highlight w:val="none"/>
          <w:lang w:eastAsia="zh-CN"/>
        </w:rPr>
        <w:t>中标人</w:t>
      </w:r>
      <w:r>
        <w:rPr>
          <w:rFonts w:hint="eastAsia" w:ascii="宋体" w:hAnsi="宋体" w:eastAsia="宋体" w:cs="宋体"/>
          <w:color w:val="000000"/>
          <w:highlight w:val="none"/>
        </w:rPr>
        <w:t>履约保证金</w:t>
      </w:r>
      <w:r>
        <w:rPr>
          <w:rFonts w:hint="eastAsia" w:ascii="宋体" w:hAnsi="宋体" w:eastAsia="宋体" w:cs="宋体"/>
          <w:color w:val="000000"/>
          <w:highlight w:val="none"/>
          <w:lang w:eastAsia="zh-CN"/>
        </w:rPr>
        <w:t>（视项目情况而定）</w:t>
      </w:r>
      <w:r>
        <w:rPr>
          <w:rFonts w:hint="eastAsia" w:ascii="宋体" w:hAnsi="宋体" w:eastAsia="宋体" w:cs="宋体"/>
          <w:color w:val="000000"/>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rPr>
        <w:t>3</w:t>
      </w:r>
      <w:r>
        <w:rPr>
          <w:rFonts w:hint="eastAsia" w:ascii="宋体" w:hAnsi="宋体" w:cs="宋体"/>
          <w:b/>
          <w:bCs/>
          <w:kern w:val="0"/>
          <w:sz w:val="24"/>
          <w:highlight w:val="none"/>
          <w:lang w:val="en-US" w:eastAsia="zh-CN"/>
        </w:rPr>
        <w:t>6</w:t>
      </w:r>
      <w:r>
        <w:rPr>
          <w:rFonts w:hint="eastAsia" w:ascii="宋体" w:hAnsi="宋体" w:cs="宋体"/>
          <w:b/>
          <w:bCs/>
          <w:kern w:val="0"/>
          <w:sz w:val="24"/>
          <w:highlight w:val="none"/>
        </w:rPr>
        <w:t>、签订合同</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lang w:val="en-US" w:eastAsia="zh-CN"/>
        </w:rPr>
        <w:t>36</w:t>
      </w:r>
      <w:r>
        <w:rPr>
          <w:rFonts w:hint="eastAsia"/>
          <w:highlight w:val="none"/>
        </w:rPr>
        <w:t>.1</w:t>
      </w:r>
      <w:r>
        <w:rPr>
          <w:rFonts w:hint="eastAsia"/>
          <w:highlight w:val="none"/>
          <w:lang w:val="en-US" w:eastAsia="zh-CN"/>
        </w:rPr>
        <w:t xml:space="preserve">  </w:t>
      </w:r>
      <w:r>
        <w:rPr>
          <w:rFonts w:hint="eastAsia"/>
          <w:highlight w:val="none"/>
          <w:lang w:eastAsia="zh-CN"/>
        </w:rPr>
        <w:t>采购</w:t>
      </w:r>
      <w:r>
        <w:rPr>
          <w:rFonts w:hint="eastAsia"/>
          <w:highlight w:val="none"/>
        </w:rPr>
        <w:t>人应</w:t>
      </w:r>
      <w:r>
        <w:rPr>
          <w:rFonts w:hint="eastAsia"/>
          <w:highlight w:val="none"/>
          <w:lang w:eastAsia="zh-CN"/>
        </w:rPr>
        <w:t>当自</w:t>
      </w:r>
      <w:r>
        <w:rPr>
          <w:rFonts w:hint="eastAsia"/>
          <w:highlight w:val="none"/>
        </w:rPr>
        <w:t>《中标通知书》发出之日起</w:t>
      </w:r>
      <w:r>
        <w:rPr>
          <w:rFonts w:hint="eastAsia"/>
          <w:highlight w:val="none"/>
          <w:lang w:val="en-US" w:eastAsia="zh-CN"/>
        </w:rPr>
        <w:t>25</w:t>
      </w:r>
      <w:r>
        <w:rPr>
          <w:rFonts w:hint="eastAsia"/>
          <w:highlight w:val="none"/>
        </w:rPr>
        <w:t>日内</w:t>
      </w:r>
      <w:r>
        <w:rPr>
          <w:rFonts w:hint="eastAsia"/>
          <w:highlight w:val="none"/>
          <w:lang w:eastAsia="zh-CN"/>
        </w:rPr>
        <w:t>，</w:t>
      </w:r>
      <w:r>
        <w:rPr>
          <w:rFonts w:hint="eastAsia"/>
          <w:highlight w:val="none"/>
        </w:rPr>
        <w:t>按照招标文件和中标</w:t>
      </w:r>
      <w:r>
        <w:rPr>
          <w:rFonts w:hint="eastAsia"/>
          <w:highlight w:val="none"/>
          <w:lang w:eastAsia="zh-CN"/>
        </w:rPr>
        <w:t>人</w:t>
      </w:r>
      <w:r>
        <w:rPr>
          <w:rFonts w:hint="eastAsia"/>
          <w:highlight w:val="none"/>
        </w:rPr>
        <w:t>投标文件（包括评标中形成的澄清文件）的约定，与中标</w:t>
      </w:r>
      <w:r>
        <w:rPr>
          <w:rFonts w:hint="eastAsia"/>
          <w:highlight w:val="none"/>
          <w:lang w:eastAsia="zh-CN"/>
        </w:rPr>
        <w:t>人</w:t>
      </w:r>
      <w:r>
        <w:rPr>
          <w:rFonts w:hint="eastAsia"/>
          <w:highlight w:val="none"/>
        </w:rPr>
        <w:t>签订书面合同。所签订的合同不得对招标文件和中标</w:t>
      </w:r>
      <w:r>
        <w:rPr>
          <w:rFonts w:hint="eastAsia"/>
          <w:highlight w:val="none"/>
          <w:lang w:eastAsia="zh-CN"/>
        </w:rPr>
        <w:t>人</w:t>
      </w:r>
      <w:r>
        <w:rPr>
          <w:rFonts w:hint="eastAsia"/>
          <w:highlight w:val="none"/>
        </w:rPr>
        <w:t>的投标文件（包括评标中形成的澄清文件）作实质性修改。</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420" w:firstLineChars="0"/>
        <w:jc w:val="both"/>
        <w:textAlignment w:val="auto"/>
        <w:outlineLvl w:val="9"/>
        <w:rPr>
          <w:rFonts w:hint="eastAsia"/>
          <w:highlight w:val="none"/>
        </w:rPr>
      </w:pPr>
      <w:r>
        <w:rPr>
          <w:rFonts w:hint="eastAsia"/>
          <w:highlight w:val="none"/>
        </w:rPr>
        <w:t>3</w:t>
      </w:r>
      <w:r>
        <w:rPr>
          <w:rFonts w:hint="eastAsia"/>
          <w:highlight w:val="none"/>
          <w:lang w:val="en-US" w:eastAsia="zh-CN"/>
        </w:rPr>
        <w:t>6</w:t>
      </w:r>
      <w:r>
        <w:rPr>
          <w:rFonts w:hint="eastAsia"/>
          <w:highlight w:val="none"/>
        </w:rPr>
        <w:t>.</w:t>
      </w:r>
      <w:r>
        <w:rPr>
          <w:rFonts w:hint="eastAsia"/>
          <w:highlight w:val="none"/>
          <w:lang w:val="en-US" w:eastAsia="zh-CN"/>
        </w:rPr>
        <w:t>2</w:t>
      </w:r>
      <w:r>
        <w:rPr>
          <w:rFonts w:hint="eastAsia"/>
          <w:highlight w:val="none"/>
        </w:rPr>
        <w:t xml:space="preserve"> </w:t>
      </w:r>
      <w:r>
        <w:rPr>
          <w:rFonts w:hint="eastAsia"/>
          <w:highlight w:val="none"/>
          <w:lang w:val="en-US" w:eastAsia="zh-CN"/>
        </w:rPr>
        <w:t xml:space="preserve"> </w:t>
      </w:r>
      <w:r>
        <w:rPr>
          <w:rFonts w:hint="eastAsia"/>
          <w:highlight w:val="none"/>
        </w:rPr>
        <w:t>中标人因不可抗力</w:t>
      </w:r>
      <w:r>
        <w:rPr>
          <w:rFonts w:hint="eastAsia"/>
          <w:highlight w:val="none"/>
          <w:lang w:eastAsia="zh-CN"/>
        </w:rPr>
        <w:t>或者自身</w:t>
      </w:r>
      <w:r>
        <w:rPr>
          <w:rFonts w:hint="eastAsia"/>
          <w:highlight w:val="none"/>
        </w:rPr>
        <w:t>原因不能履行采购合同或放弃中标的，采购人可以与排在中标人之后第一位的中标候选人签订</w:t>
      </w:r>
      <w:r>
        <w:rPr>
          <w:rFonts w:hint="eastAsia"/>
          <w:highlight w:val="none"/>
          <w:lang w:eastAsia="zh-CN"/>
        </w:rPr>
        <w:t>政府</w:t>
      </w:r>
      <w:r>
        <w:rPr>
          <w:rFonts w:hint="eastAsia"/>
          <w:highlight w:val="none"/>
        </w:rPr>
        <w:t>采购合同，以此类推。</w:t>
      </w:r>
    </w:p>
    <w:p>
      <w:pPr>
        <w:spacing w:line="500" w:lineRule="exact"/>
        <w:ind w:left="105" w:leftChars="50" w:firstLine="420" w:firstLineChars="200"/>
        <w:rPr>
          <w:rFonts w:hint="eastAsia" w:eastAsia="宋体"/>
          <w:highlight w:val="none"/>
          <w:lang w:eastAsia="zh-CN"/>
        </w:rPr>
      </w:pPr>
      <w:r>
        <w:rPr>
          <w:rFonts w:hint="eastAsia"/>
          <w:highlight w:val="none"/>
        </w:rPr>
        <w:t>3</w:t>
      </w:r>
      <w:r>
        <w:rPr>
          <w:rFonts w:hint="eastAsia"/>
          <w:highlight w:val="none"/>
          <w:lang w:val="en-US" w:eastAsia="zh-CN"/>
        </w:rPr>
        <w:t>6</w:t>
      </w:r>
      <w:r>
        <w:rPr>
          <w:rFonts w:hint="eastAsia"/>
          <w:highlight w:val="none"/>
        </w:rPr>
        <w:t>.</w:t>
      </w:r>
      <w:r>
        <w:rPr>
          <w:rFonts w:hint="eastAsia"/>
          <w:highlight w:val="none"/>
          <w:lang w:val="en-US" w:eastAsia="zh-CN"/>
        </w:rPr>
        <w:t>3</w:t>
      </w:r>
      <w:r>
        <w:rPr>
          <w:rFonts w:hint="eastAsia"/>
          <w:highlight w:val="none"/>
        </w:rPr>
        <w:t xml:space="preserve"> </w:t>
      </w:r>
      <w:r>
        <w:rPr>
          <w:rFonts w:hint="eastAsia"/>
          <w:highlight w:val="none"/>
          <w:lang w:val="en-US" w:eastAsia="zh-CN"/>
        </w:rPr>
        <w:t xml:space="preserve"> </w:t>
      </w:r>
      <w:r>
        <w:rPr>
          <w:rFonts w:hint="eastAsia"/>
          <w:highlight w:val="none"/>
        </w:rPr>
        <w:t>采购人自政府采购合同签订之日起</w:t>
      </w:r>
      <w:r>
        <w:rPr>
          <w:rFonts w:hint="eastAsia"/>
          <w:highlight w:val="none"/>
          <w:lang w:val="en-US" w:eastAsia="zh-CN"/>
        </w:rPr>
        <w:t>2</w:t>
      </w:r>
      <w:r>
        <w:rPr>
          <w:rFonts w:hint="eastAsia"/>
          <w:highlight w:val="none"/>
        </w:rPr>
        <w:t>个工作日内，将政府采购合同在省级以上人民政府财政部门指定的媒体上公告，但政府采购合同中涉及国家秘密、商业秘密的内容除外。</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lang w:val="en-US" w:eastAsia="zh-CN"/>
        </w:rPr>
        <w:t>37</w:t>
      </w:r>
      <w:r>
        <w:rPr>
          <w:rFonts w:hint="eastAsia" w:ascii="宋体" w:hAnsi="宋体" w:cs="宋体"/>
          <w:b/>
          <w:bCs/>
          <w:kern w:val="0"/>
          <w:sz w:val="24"/>
          <w:highlight w:val="none"/>
        </w:rPr>
        <w:t>、合同实施</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37.</w:t>
      </w:r>
      <w:r>
        <w:rPr>
          <w:rFonts w:hint="eastAsia"/>
          <w:highlight w:val="none"/>
        </w:rPr>
        <w:t>1</w:t>
      </w:r>
      <w:r>
        <w:rPr>
          <w:rFonts w:hint="eastAsia"/>
          <w:highlight w:val="none"/>
          <w:lang w:val="en-US" w:eastAsia="zh-CN"/>
        </w:rPr>
        <w:t xml:space="preserve">  </w:t>
      </w:r>
      <w:r>
        <w:rPr>
          <w:rFonts w:hint="eastAsia"/>
          <w:highlight w:val="none"/>
        </w:rPr>
        <w:t>中标人应在合同签订后7个日历日内安排人员与使用单位就</w:t>
      </w:r>
      <w:r>
        <w:rPr>
          <w:rFonts w:hint="eastAsia"/>
          <w:highlight w:val="none"/>
          <w:lang w:val="en-US" w:eastAsia="zh-CN"/>
        </w:rPr>
        <w:t>项目</w:t>
      </w:r>
      <w:r>
        <w:rPr>
          <w:rFonts w:hint="eastAsia"/>
          <w:highlight w:val="none"/>
        </w:rPr>
        <w:t>工作进行安排、部署。</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37.</w:t>
      </w:r>
      <w:r>
        <w:rPr>
          <w:rFonts w:hint="eastAsia"/>
          <w:highlight w:val="none"/>
        </w:rPr>
        <w:t xml:space="preserve">2 </w:t>
      </w:r>
      <w:r>
        <w:rPr>
          <w:rFonts w:hint="eastAsia"/>
          <w:highlight w:val="none"/>
          <w:lang w:val="en-US" w:eastAsia="zh-CN"/>
        </w:rPr>
        <w:t xml:space="preserve"> </w:t>
      </w:r>
      <w:r>
        <w:rPr>
          <w:rFonts w:hint="eastAsia"/>
          <w:highlight w:val="none"/>
        </w:rPr>
        <w:t>若未能在</w:t>
      </w:r>
      <w:r>
        <w:rPr>
          <w:rFonts w:hint="eastAsia"/>
          <w:highlight w:val="none"/>
          <w:lang w:val="en-US" w:eastAsia="zh-CN"/>
        </w:rPr>
        <w:t>服务</w:t>
      </w:r>
      <w:r>
        <w:rPr>
          <w:rFonts w:hint="eastAsia"/>
          <w:highlight w:val="none"/>
        </w:rPr>
        <w:t>期内完成合同规定的义务，由此对采购人造成的延误和一切损失，由中标人承担和赔偿。</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37</w:t>
      </w:r>
      <w:r>
        <w:rPr>
          <w:rFonts w:hint="eastAsia"/>
          <w:highlight w:val="none"/>
        </w:rPr>
        <w:t xml:space="preserve">.3 </w:t>
      </w:r>
      <w:r>
        <w:rPr>
          <w:rFonts w:hint="eastAsia"/>
          <w:highlight w:val="none"/>
          <w:lang w:val="en-US" w:eastAsia="zh-CN"/>
        </w:rPr>
        <w:t xml:space="preserve"> </w:t>
      </w:r>
      <w:r>
        <w:rPr>
          <w:rFonts w:hint="eastAsia"/>
          <w:highlight w:val="none"/>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37.</w:t>
      </w:r>
      <w:r>
        <w:rPr>
          <w:rFonts w:hint="eastAsia"/>
          <w:highlight w:val="none"/>
        </w:rPr>
        <w:t xml:space="preserve">4 </w:t>
      </w:r>
      <w:r>
        <w:rPr>
          <w:rFonts w:hint="eastAsia"/>
          <w:highlight w:val="none"/>
          <w:lang w:val="en-US" w:eastAsia="zh-CN"/>
        </w:rPr>
        <w:t xml:space="preserve"> </w:t>
      </w:r>
      <w:r>
        <w:rPr>
          <w:rFonts w:hint="eastAsia"/>
          <w:highlight w:val="none"/>
        </w:rPr>
        <w:t>政府采购合同履行中，采购人需追加与合同标的相同的货物的，在不改变合同其他条款的前提下，可以与</w:t>
      </w:r>
      <w:r>
        <w:rPr>
          <w:rFonts w:hint="eastAsia"/>
          <w:highlight w:val="none"/>
          <w:lang w:eastAsia="zh-CN"/>
        </w:rPr>
        <w:t>投标人</w:t>
      </w:r>
      <w:r>
        <w:rPr>
          <w:rFonts w:hint="eastAsia"/>
          <w:highlight w:val="none"/>
        </w:rPr>
        <w:t>签订补充合同，但所补充合同的采购金额不得超过原合同采购金额的百分之十。签订补充合同的应按规定备案。</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ascii="宋体" w:hAnsi="宋体" w:cs="宋体"/>
          <w:b/>
          <w:bCs/>
          <w:color w:val="000000"/>
          <w:kern w:val="0"/>
          <w:sz w:val="24"/>
          <w:highlight w:val="none"/>
        </w:rPr>
      </w:pPr>
      <w:r>
        <w:rPr>
          <w:rFonts w:hint="eastAsia" w:ascii="宋体" w:hAnsi="宋体" w:cs="宋体"/>
          <w:b/>
          <w:bCs/>
          <w:color w:val="000000"/>
          <w:kern w:val="0"/>
          <w:sz w:val="24"/>
          <w:highlight w:val="none"/>
          <w:lang w:val="en-US" w:eastAsia="zh-CN"/>
        </w:rPr>
        <w:t>38</w:t>
      </w:r>
      <w:r>
        <w:rPr>
          <w:rFonts w:hint="eastAsia" w:ascii="宋体" w:hAnsi="宋体" w:cs="宋体"/>
          <w:b/>
          <w:bCs/>
          <w:color w:val="000000"/>
          <w:kern w:val="0"/>
          <w:sz w:val="24"/>
          <w:highlight w:val="none"/>
        </w:rPr>
        <w:t>、转包与分包</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38</w:t>
      </w:r>
      <w:r>
        <w:rPr>
          <w:rFonts w:hint="eastAsia"/>
          <w:highlight w:val="none"/>
        </w:rPr>
        <w:t xml:space="preserve">.1 </w:t>
      </w:r>
      <w:r>
        <w:rPr>
          <w:rFonts w:hint="eastAsia"/>
          <w:highlight w:val="none"/>
          <w:lang w:val="en-US" w:eastAsia="zh-CN"/>
        </w:rPr>
        <w:t xml:space="preserve"> </w:t>
      </w:r>
      <w:r>
        <w:rPr>
          <w:rFonts w:hint="eastAsia"/>
          <w:color w:val="auto"/>
          <w:highlight w:val="none"/>
        </w:rPr>
        <w:t>本项目不允许采取转包方式履行合同</w:t>
      </w:r>
      <w:r>
        <w:rPr>
          <w:rFonts w:hint="eastAsia"/>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38</w:t>
      </w:r>
      <w:r>
        <w:rPr>
          <w:rFonts w:hint="eastAsia"/>
          <w:highlight w:val="none"/>
        </w:rPr>
        <w:t xml:space="preserve">.2 </w:t>
      </w:r>
      <w:r>
        <w:rPr>
          <w:rFonts w:hint="eastAsia"/>
          <w:highlight w:val="none"/>
          <w:lang w:val="en-US" w:eastAsia="zh-CN"/>
        </w:rPr>
        <w:t xml:space="preserve"> </w:t>
      </w:r>
      <w:r>
        <w:rPr>
          <w:rFonts w:hint="eastAsia"/>
          <w:highlight w:val="none"/>
        </w:rPr>
        <w:t>本项目经采购人同意，可以将中标项目的部分非主体、非关键性工作分包给他人完成，本项目</w:t>
      </w:r>
      <w:r>
        <w:rPr>
          <w:rFonts w:hint="eastAsia"/>
          <w:highlight w:val="none"/>
          <w:lang w:eastAsia="zh-CN"/>
        </w:rPr>
        <w:t>“</w:t>
      </w:r>
      <w:r>
        <w:rPr>
          <w:rFonts w:hint="eastAsia"/>
          <w:highlight w:val="none"/>
        </w:rPr>
        <w:t>主体和关键性工作</w:t>
      </w:r>
      <w:r>
        <w:rPr>
          <w:rFonts w:hint="eastAsia"/>
          <w:highlight w:val="none"/>
          <w:lang w:eastAsia="zh-CN"/>
        </w:rPr>
        <w:t>”</w:t>
      </w:r>
      <w:r>
        <w:rPr>
          <w:rFonts w:hint="eastAsia"/>
          <w:highlight w:val="none"/>
        </w:rPr>
        <w:t>是指：</w:t>
      </w:r>
      <w:r>
        <w:rPr>
          <w:rFonts w:hint="eastAsia"/>
          <w:highlight w:val="none"/>
          <w:u w:val="single"/>
        </w:rPr>
        <w:t xml:space="preserve">           </w:t>
      </w:r>
      <w:r>
        <w:rPr>
          <w:rFonts w:hint="eastAsia"/>
          <w:highlight w:val="none"/>
        </w:rPr>
        <w:t xml:space="preserve"> </w:t>
      </w:r>
      <w:r>
        <w:rPr>
          <w:rFonts w:hint="eastAsia"/>
          <w:highlight w:val="none"/>
          <w:lang w:eastAsia="zh-CN"/>
        </w:rPr>
        <w:t>【</w:t>
      </w:r>
      <w:r>
        <w:rPr>
          <w:rFonts w:hint="eastAsia"/>
          <w:highlight w:val="none"/>
        </w:rPr>
        <w:t>根据项目具体情况确定</w:t>
      </w:r>
      <w:r>
        <w:rPr>
          <w:rFonts w:hint="eastAsia"/>
          <w:highlight w:val="none"/>
          <w:lang w:eastAsia="zh-CN"/>
        </w:rPr>
        <w:t>】</w:t>
      </w:r>
      <w:r>
        <w:rPr>
          <w:rFonts w:hint="eastAsia"/>
          <w:highlight w:val="none"/>
        </w:rPr>
        <w:t>。接受分包的</w:t>
      </w:r>
      <w:r>
        <w:rPr>
          <w:rFonts w:hint="eastAsia"/>
          <w:highlight w:val="none"/>
          <w:lang w:eastAsia="zh-CN"/>
        </w:rPr>
        <w:t>投标人</w:t>
      </w:r>
      <w:r>
        <w:rPr>
          <w:rFonts w:hint="eastAsia"/>
          <w:highlight w:val="none"/>
        </w:rPr>
        <w:t>应当具备相应的资格条件，并不得再次分包。</w:t>
      </w:r>
    </w:p>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38</w:t>
      </w:r>
      <w:r>
        <w:rPr>
          <w:rFonts w:hint="eastAsia"/>
          <w:highlight w:val="none"/>
        </w:rPr>
        <w:t xml:space="preserve">.3 </w:t>
      </w:r>
      <w:r>
        <w:rPr>
          <w:rFonts w:hint="eastAsia"/>
          <w:highlight w:val="none"/>
          <w:lang w:val="en-US" w:eastAsia="zh-CN"/>
        </w:rPr>
        <w:t xml:space="preserve"> </w:t>
      </w:r>
      <w:r>
        <w:rPr>
          <w:rFonts w:hint="eastAsia"/>
          <w:highlight w:val="none"/>
        </w:rPr>
        <w:t>采购合同实行分包履行的，中标</w:t>
      </w:r>
      <w:r>
        <w:rPr>
          <w:rFonts w:hint="eastAsia"/>
          <w:highlight w:val="none"/>
          <w:lang w:eastAsia="zh-CN"/>
        </w:rPr>
        <w:t>人</w:t>
      </w:r>
      <w:r>
        <w:rPr>
          <w:rFonts w:hint="eastAsia"/>
          <w:highlight w:val="none"/>
        </w:rPr>
        <w:t>就采购项目和分包项目向采购人负责，分包</w:t>
      </w:r>
      <w:r>
        <w:rPr>
          <w:rFonts w:hint="eastAsia"/>
          <w:highlight w:val="none"/>
          <w:lang w:eastAsia="zh-CN"/>
        </w:rPr>
        <w:t>投标人</w:t>
      </w:r>
      <w:r>
        <w:rPr>
          <w:rFonts w:hint="eastAsia"/>
          <w:highlight w:val="none"/>
        </w:rPr>
        <w:t>就分包项目承担责任。</w:t>
      </w:r>
    </w:p>
    <w:p>
      <w:pPr>
        <w:numPr>
          <w:ilvl w:val="0"/>
          <w:numId w:val="0"/>
        </w:numPr>
        <w:spacing w:before="240" w:after="120"/>
        <w:jc w:val="center"/>
        <w:outlineLvl w:val="2"/>
        <w:rPr>
          <w:rFonts w:hint="eastAsia" w:ascii="宋体" w:hAnsi="宋体" w:cs="宋体"/>
          <w:b/>
          <w:bCs/>
          <w:sz w:val="28"/>
          <w:highlight w:val="none"/>
        </w:rPr>
      </w:pPr>
      <w:r>
        <w:rPr>
          <w:rFonts w:hint="eastAsia" w:ascii="宋体" w:hAnsi="宋体" w:cs="宋体"/>
          <w:b/>
          <w:bCs/>
          <w:sz w:val="28"/>
          <w:highlight w:val="none"/>
        </w:rPr>
        <w:t>十、其他</w:t>
      </w:r>
    </w:p>
    <w:p>
      <w:pPr>
        <w:keepNext w:val="0"/>
        <w:keepLines w:val="0"/>
        <w:pageBreakBefore w:val="0"/>
        <w:widowControl w:val="0"/>
        <w:kinsoku/>
        <w:wordWrap/>
        <w:overflowPunct/>
        <w:topLinePunct w:val="0"/>
        <w:autoSpaceDE w:val="0"/>
        <w:autoSpaceDN w:val="0"/>
        <w:bidi w:val="0"/>
        <w:adjustRightInd w:val="0"/>
        <w:snapToGrid/>
        <w:spacing w:line="460" w:lineRule="exact"/>
        <w:ind w:left="0" w:leftChars="0" w:right="6" w:rightChars="0" w:firstLine="0" w:firstLine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lang w:val="en-US" w:eastAsia="zh-CN"/>
        </w:rPr>
        <w:t>39</w:t>
      </w:r>
      <w:r>
        <w:rPr>
          <w:rFonts w:hint="eastAsia" w:ascii="宋体" w:hAnsi="宋体" w:cs="宋体"/>
          <w:b/>
          <w:bCs/>
          <w:kern w:val="0"/>
          <w:sz w:val="24"/>
          <w:highlight w:val="none"/>
        </w:rPr>
        <w:t>、</w:t>
      </w:r>
      <w:r>
        <w:rPr>
          <w:rFonts w:hint="eastAsia" w:ascii="宋体" w:hAnsi="宋体" w:cs="宋体"/>
          <w:b/>
          <w:bCs/>
          <w:kern w:val="0"/>
          <w:sz w:val="24"/>
          <w:highlight w:val="none"/>
          <w:lang w:eastAsia="zh-CN"/>
        </w:rPr>
        <w:t>采购</w:t>
      </w:r>
      <w:r>
        <w:rPr>
          <w:rFonts w:hint="eastAsia" w:ascii="宋体" w:hAnsi="宋体" w:cs="宋体"/>
          <w:b/>
          <w:bCs/>
          <w:kern w:val="0"/>
          <w:sz w:val="24"/>
          <w:highlight w:val="none"/>
        </w:rPr>
        <w:t>代理服务费</w:t>
      </w:r>
    </w:p>
    <w:p>
      <w:pPr>
        <w:keepNext w:val="0"/>
        <w:keepLines w:val="0"/>
        <w:pageBreakBefore w:val="0"/>
        <w:widowControl w:val="0"/>
        <w:kinsoku/>
        <w:wordWrap/>
        <w:overflowPunct/>
        <w:topLinePunct w:val="0"/>
        <w:autoSpaceDE w:val="0"/>
        <w:autoSpaceDN w:val="0"/>
        <w:bidi w:val="0"/>
        <w:adjustRightInd w:val="0"/>
        <w:snapToGrid/>
        <w:spacing w:line="460" w:lineRule="exact"/>
        <w:ind w:left="0" w:leftChars="0" w:right="6" w:rightChars="0" w:firstLine="0" w:firstLineChars="0"/>
        <w:jc w:val="both"/>
        <w:textAlignment w:val="auto"/>
        <w:outlineLvl w:val="9"/>
        <w:rPr>
          <w:rFonts w:hint="eastAsia"/>
          <w:highlight w:val="none"/>
        </w:rPr>
      </w:pPr>
      <w:r>
        <w:rPr>
          <w:rFonts w:hint="eastAsia"/>
          <w:highlight w:val="none"/>
        </w:rPr>
        <w:t xml:space="preserve">    </w:t>
      </w:r>
      <w:r>
        <w:rPr>
          <w:rFonts w:hint="eastAsia"/>
          <w:highlight w:val="none"/>
          <w:lang w:val="en-US" w:eastAsia="zh-CN"/>
        </w:rPr>
        <w:t>39</w:t>
      </w:r>
      <w:r>
        <w:rPr>
          <w:rFonts w:hint="eastAsia"/>
          <w:highlight w:val="none"/>
        </w:rPr>
        <w:t>.1</w:t>
      </w:r>
      <w:r>
        <w:rPr>
          <w:rFonts w:hint="eastAsia"/>
          <w:highlight w:val="none"/>
          <w:lang w:val="en-US" w:eastAsia="zh-CN"/>
        </w:rPr>
        <w:t xml:space="preserve">  </w:t>
      </w:r>
      <w:r>
        <w:rPr>
          <w:rFonts w:hint="eastAsia"/>
          <w:highlight w:val="none"/>
        </w:rPr>
        <w:t>不论投标结果如何，投标人应承担其参加本招标活动自身所发生的全部费用。</w:t>
      </w:r>
    </w:p>
    <w:p>
      <w:pPr>
        <w:keepNext w:val="0"/>
        <w:keepLines w:val="0"/>
        <w:pageBreakBefore w:val="0"/>
        <w:widowControl w:val="0"/>
        <w:kinsoku/>
        <w:wordWrap/>
        <w:overflowPunct/>
        <w:topLinePunct w:val="0"/>
        <w:autoSpaceDE w:val="0"/>
        <w:autoSpaceDN w:val="0"/>
        <w:bidi w:val="0"/>
        <w:adjustRightInd w:val="0"/>
        <w:snapToGrid/>
        <w:spacing w:line="460" w:lineRule="exact"/>
        <w:ind w:left="0" w:leftChars="0" w:right="6" w:rightChars="0" w:firstLine="0" w:firstLineChars="0"/>
        <w:jc w:val="both"/>
        <w:textAlignment w:val="auto"/>
        <w:outlineLvl w:val="9"/>
        <w:rPr>
          <w:rFonts w:hint="eastAsia"/>
          <w:highlight w:val="none"/>
        </w:rPr>
      </w:pPr>
      <w:r>
        <w:rPr>
          <w:rFonts w:hint="eastAsia"/>
          <w:highlight w:val="none"/>
        </w:rPr>
        <w:t xml:space="preserve">    </w:t>
      </w:r>
      <w:r>
        <w:rPr>
          <w:rFonts w:hint="eastAsia"/>
          <w:highlight w:val="none"/>
          <w:lang w:val="en-US" w:eastAsia="zh-CN"/>
        </w:rPr>
        <w:t>39</w:t>
      </w:r>
      <w:r>
        <w:rPr>
          <w:rFonts w:hint="eastAsia"/>
          <w:highlight w:val="none"/>
        </w:rPr>
        <w:t xml:space="preserve">.2 </w:t>
      </w:r>
      <w:r>
        <w:rPr>
          <w:rFonts w:hint="eastAsia"/>
          <w:highlight w:val="none"/>
          <w:lang w:val="en-US" w:eastAsia="zh-CN"/>
        </w:rPr>
        <w:t xml:space="preserve"> </w:t>
      </w:r>
      <w:r>
        <w:rPr>
          <w:rFonts w:hint="eastAsia"/>
          <w:highlight w:val="none"/>
        </w:rPr>
        <w:t>中标人应向采购代理机构交纳</w:t>
      </w:r>
      <w:r>
        <w:rPr>
          <w:rFonts w:hint="eastAsia"/>
          <w:highlight w:val="none"/>
          <w:lang w:eastAsia="zh-CN"/>
        </w:rPr>
        <w:t>采购</w:t>
      </w:r>
      <w:r>
        <w:rPr>
          <w:rFonts w:hint="eastAsia"/>
          <w:highlight w:val="none"/>
        </w:rPr>
        <w:t>代理服务费。此服务费应计入投标报价中，但不需要单独开列。</w:t>
      </w:r>
    </w:p>
    <w:p>
      <w:pPr>
        <w:autoSpaceDE w:val="0"/>
        <w:autoSpaceDN w:val="0"/>
        <w:adjustRightInd w:val="0"/>
        <w:spacing w:line="500" w:lineRule="exact"/>
        <w:ind w:right="6" w:firstLine="420"/>
        <w:rPr>
          <w:rFonts w:hint="eastAsia"/>
          <w:highlight w:val="none"/>
        </w:rPr>
      </w:pPr>
      <w:r>
        <w:rPr>
          <w:rFonts w:hint="eastAsia"/>
          <w:highlight w:val="none"/>
          <w:lang w:val="en-US" w:eastAsia="zh-CN"/>
        </w:rPr>
        <w:t>39</w:t>
      </w:r>
      <w:r>
        <w:rPr>
          <w:rFonts w:hint="eastAsia"/>
          <w:highlight w:val="none"/>
        </w:rPr>
        <w:t xml:space="preserve">.3 </w:t>
      </w:r>
      <w:r>
        <w:rPr>
          <w:rFonts w:hint="eastAsia"/>
          <w:highlight w:val="none"/>
          <w:lang w:val="en-US" w:eastAsia="zh-CN"/>
        </w:rPr>
        <w:t xml:space="preserve"> </w:t>
      </w:r>
      <w:r>
        <w:rPr>
          <w:rFonts w:hint="eastAsia"/>
          <w:highlight w:val="none"/>
          <w:lang w:eastAsia="zh-CN"/>
        </w:rPr>
        <w:t>采购</w:t>
      </w:r>
      <w:r>
        <w:rPr>
          <w:rFonts w:hint="eastAsia"/>
          <w:highlight w:val="none"/>
        </w:rPr>
        <w:t>代理服务费的交纳方式：中标人在领取《中标通知书》前，须向采购代理机构交纳</w:t>
      </w:r>
      <w:r>
        <w:rPr>
          <w:rFonts w:hint="eastAsia"/>
          <w:highlight w:val="none"/>
          <w:lang w:eastAsia="zh-CN"/>
        </w:rPr>
        <w:t>采购</w:t>
      </w:r>
      <w:r>
        <w:rPr>
          <w:rFonts w:hint="eastAsia"/>
          <w:highlight w:val="none"/>
        </w:rPr>
        <w:t>代理服务费，采用现金、银行转账方式一次性交纳</w:t>
      </w:r>
      <w:r>
        <w:rPr>
          <w:rFonts w:hint="eastAsia" w:ascii="宋体" w:hAnsi="宋体" w:eastAsia="宋体" w:cs="宋体"/>
          <w:highlight w:val="none"/>
          <w:lang w:eastAsia="zh-CN"/>
        </w:rPr>
        <w:t>；</w:t>
      </w:r>
      <w:r>
        <w:rPr>
          <w:rFonts w:hint="eastAsia" w:ascii="宋体" w:hAnsi="宋体" w:eastAsia="宋体" w:cs="宋体"/>
          <w:b/>
          <w:bCs/>
          <w:highlight w:val="none"/>
          <w:lang w:eastAsia="zh-CN"/>
        </w:rPr>
        <w:t>领取中标通知书时向代理机构提供纸质版投标文件</w:t>
      </w:r>
      <w:r>
        <w:rPr>
          <w:rFonts w:hint="eastAsia" w:ascii="宋体" w:hAnsi="宋体" w:cs="宋体"/>
          <w:b/>
          <w:bCs/>
          <w:highlight w:val="none"/>
          <w:lang w:val="en-US" w:eastAsia="zh-CN"/>
        </w:rPr>
        <w:t>1正2副</w:t>
      </w:r>
      <w:r>
        <w:rPr>
          <w:rFonts w:hint="eastAsia" w:ascii="宋体" w:hAnsi="宋体" w:eastAsia="宋体" w:cs="宋体"/>
          <w:b/>
          <w:bCs/>
          <w:highlight w:val="none"/>
          <w:lang w:eastAsia="zh-CN"/>
        </w:rPr>
        <w:t>和电子版投标文件</w:t>
      </w:r>
      <w:r>
        <w:rPr>
          <w:rFonts w:hint="eastAsia" w:ascii="宋体" w:hAnsi="宋体" w:cs="宋体"/>
          <w:b/>
          <w:bCs/>
          <w:highlight w:val="none"/>
          <w:lang w:val="en-US" w:eastAsia="zh-CN"/>
        </w:rPr>
        <w:t>1</w:t>
      </w:r>
      <w:r>
        <w:rPr>
          <w:rFonts w:hint="eastAsia" w:ascii="宋体" w:hAnsi="宋体" w:eastAsia="宋体" w:cs="宋体"/>
          <w:b/>
          <w:bCs/>
          <w:highlight w:val="none"/>
          <w:lang w:eastAsia="zh-CN"/>
        </w:rPr>
        <w:t>份（U盘存储），纸质版投标文件必须装订成册签字盖章且连续编码。</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6" w:rightChars="0" w:firstLine="420" w:firstLineChars="0"/>
        <w:jc w:val="both"/>
        <w:textAlignment w:val="auto"/>
        <w:outlineLvl w:val="9"/>
        <w:rPr>
          <w:rFonts w:hint="eastAsia"/>
          <w:color w:val="FF0000"/>
          <w:highlight w:val="none"/>
        </w:rPr>
      </w:pPr>
      <w:r>
        <w:rPr>
          <w:rFonts w:hint="eastAsia"/>
          <w:highlight w:val="none"/>
          <w:lang w:val="en-US" w:eastAsia="zh-CN"/>
        </w:rPr>
        <w:t>39</w:t>
      </w:r>
      <w:r>
        <w:rPr>
          <w:rFonts w:hint="eastAsia"/>
          <w:highlight w:val="none"/>
        </w:rPr>
        <w:t xml:space="preserve">.4 </w:t>
      </w:r>
      <w:r>
        <w:rPr>
          <w:rFonts w:hint="eastAsia"/>
          <w:color w:val="auto"/>
          <w:highlight w:val="none"/>
          <w:lang w:val="en-US" w:eastAsia="zh-CN"/>
        </w:rPr>
        <w:t xml:space="preserve"> </w:t>
      </w:r>
      <w:r>
        <w:rPr>
          <w:rFonts w:hint="eastAsia" w:ascii="宋体" w:hAnsi="宋体" w:eastAsia="宋体" w:cs="宋体"/>
          <w:sz w:val="21"/>
          <w:szCs w:val="21"/>
          <w:highlight w:val="none"/>
        </w:rPr>
        <w:t>招标代理服务费计取：参照《国家计委</w:t>
      </w:r>
      <w:r>
        <w:rPr>
          <w:rFonts w:hint="eastAsia" w:ascii="宋体" w:hAnsi="宋体" w:eastAsia="宋体" w:cs="宋体"/>
          <w:color w:val="auto"/>
          <w:sz w:val="21"/>
          <w:szCs w:val="21"/>
          <w:highlight w:val="none"/>
          <w:u w:val="none"/>
        </w:rPr>
        <w:t>关于印发&lt;招标代理服务收费管理暂行办法&gt;的通知》（计价格[2002]1980号）和国家发改委办公厅颁发的《关于招标代理服务收费有关问题的通知》（发改办价格【2003】857号）、《国家发展改革委关于降低部分建设项目收费标准规范收费行为等有关问题的通知》（发改价格[2011]534号）的有关规定收取。由中标单位在领取中标通知书前一次性向</w:t>
      </w:r>
      <w:r>
        <w:rPr>
          <w:rFonts w:hint="eastAsia" w:ascii="宋体" w:hAnsi="宋体" w:cs="宋体"/>
          <w:color w:val="auto"/>
          <w:sz w:val="21"/>
          <w:szCs w:val="21"/>
          <w:highlight w:val="none"/>
          <w:u w:val="none"/>
          <w:lang w:val="en-US" w:eastAsia="zh-CN"/>
        </w:rPr>
        <w:t>代理机构付清</w:t>
      </w:r>
      <w:r>
        <w:rPr>
          <w:rFonts w:hint="eastAsia" w:ascii="宋体" w:hAnsi="宋体" w:eastAsia="宋体" w:cs="宋体"/>
          <w:color w:val="auto"/>
          <w:sz w:val="21"/>
          <w:szCs w:val="21"/>
          <w:highlight w:val="none"/>
          <w:u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right="6" w:rightChars="0"/>
        <w:jc w:val="both"/>
        <w:textAlignment w:val="auto"/>
        <w:outlineLvl w:val="9"/>
        <w:rPr>
          <w:rFonts w:hint="eastAsia" w:ascii="宋体" w:hAnsi="宋体" w:cs="宋体"/>
          <w:b/>
          <w:bCs/>
          <w:kern w:val="0"/>
          <w:sz w:val="24"/>
          <w:highlight w:val="none"/>
        </w:rPr>
      </w:pPr>
      <w:r>
        <w:rPr>
          <w:rFonts w:hint="eastAsia" w:ascii="宋体" w:hAnsi="宋体" w:cs="宋体"/>
          <w:b/>
          <w:bCs/>
          <w:kern w:val="0"/>
          <w:sz w:val="24"/>
          <w:highlight w:val="none"/>
          <w:lang w:val="en-US" w:eastAsia="zh-CN"/>
        </w:rPr>
        <w:t>40</w:t>
      </w:r>
      <w:r>
        <w:rPr>
          <w:rFonts w:hint="eastAsia" w:ascii="宋体" w:hAnsi="宋体" w:cs="宋体"/>
          <w:b/>
          <w:bCs/>
          <w:kern w:val="0"/>
          <w:sz w:val="24"/>
          <w:highlight w:val="none"/>
        </w:rPr>
        <w:t>、重新招标或者变更采购方式</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6" w:rightChars="0" w:firstLine="0" w:firstLineChars="0"/>
        <w:jc w:val="both"/>
        <w:textAlignment w:val="auto"/>
        <w:outlineLvl w:val="9"/>
        <w:rPr>
          <w:rFonts w:hint="eastAsia"/>
          <w:highlight w:val="none"/>
        </w:rPr>
      </w:pPr>
      <w:r>
        <w:rPr>
          <w:rFonts w:hint="eastAsia"/>
          <w:highlight w:val="none"/>
          <w:lang w:val="en-US" w:eastAsia="zh-CN"/>
        </w:rPr>
        <w:t xml:space="preserve">    </w:t>
      </w:r>
      <w:r>
        <w:rPr>
          <w:rFonts w:hint="eastAsia"/>
          <w:highlight w:val="none"/>
        </w:rPr>
        <w:t>4</w:t>
      </w:r>
      <w:r>
        <w:rPr>
          <w:rFonts w:hint="eastAsia"/>
          <w:highlight w:val="none"/>
          <w:lang w:val="en-US" w:eastAsia="zh-CN"/>
        </w:rPr>
        <w:t>0.</w:t>
      </w:r>
      <w:r>
        <w:rPr>
          <w:rFonts w:hint="eastAsia"/>
          <w:highlight w:val="none"/>
        </w:rPr>
        <w:t>1</w:t>
      </w:r>
      <w:r>
        <w:rPr>
          <w:rFonts w:hint="eastAsia"/>
          <w:highlight w:val="none"/>
          <w:lang w:val="en-US" w:eastAsia="zh-CN"/>
        </w:rPr>
        <w:t xml:space="preserve">  </w:t>
      </w:r>
      <w:r>
        <w:rPr>
          <w:rFonts w:hint="eastAsia"/>
          <w:highlight w:val="none"/>
        </w:rPr>
        <w:t>投标截止时间结束后，参加投标的</w:t>
      </w:r>
      <w:r>
        <w:rPr>
          <w:rFonts w:hint="eastAsia"/>
          <w:highlight w:val="none"/>
          <w:lang w:eastAsia="zh-CN"/>
        </w:rPr>
        <w:t>投标人</w:t>
      </w:r>
      <w:r>
        <w:rPr>
          <w:rFonts w:hint="eastAsia"/>
          <w:highlight w:val="none"/>
        </w:rPr>
        <w:t>不足三家或在评标期间，出现符合专业条件的</w:t>
      </w:r>
      <w:r>
        <w:rPr>
          <w:rFonts w:hint="eastAsia"/>
          <w:highlight w:val="none"/>
          <w:lang w:eastAsia="zh-CN"/>
        </w:rPr>
        <w:t>投标人</w:t>
      </w:r>
      <w:r>
        <w:rPr>
          <w:rFonts w:hint="eastAsia"/>
          <w:highlight w:val="none"/>
        </w:rPr>
        <w:t>不足三家或对招标文件实质响应的</w:t>
      </w:r>
      <w:r>
        <w:rPr>
          <w:rFonts w:hint="eastAsia"/>
          <w:highlight w:val="none"/>
          <w:lang w:eastAsia="zh-CN"/>
        </w:rPr>
        <w:t>投标人</w:t>
      </w:r>
      <w:r>
        <w:rPr>
          <w:rFonts w:hint="eastAsia"/>
          <w:highlight w:val="none"/>
        </w:rPr>
        <w:t>不足三家，</w:t>
      </w:r>
      <w:r>
        <w:rPr>
          <w:rFonts w:hint="eastAsia"/>
          <w:color w:val="auto"/>
          <w:highlight w:val="none"/>
        </w:rPr>
        <w:t>按《政府采购货物和服务招标投标管理办法》（第</w:t>
      </w:r>
      <w:r>
        <w:rPr>
          <w:rFonts w:hint="eastAsia"/>
          <w:color w:val="auto"/>
          <w:highlight w:val="none"/>
          <w:lang w:eastAsia="zh-CN"/>
        </w:rPr>
        <w:t>87号令</w:t>
      </w:r>
      <w:r>
        <w:rPr>
          <w:rFonts w:hint="eastAsia"/>
          <w:color w:val="auto"/>
          <w:highlight w:val="none"/>
        </w:rPr>
        <w:t>）</w:t>
      </w:r>
      <w:r>
        <w:rPr>
          <w:rFonts w:hint="eastAsia"/>
          <w:highlight w:val="none"/>
        </w:rPr>
        <w:t>第四十三条规定的相关原则处理。</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6" w:rightChars="0" w:firstLine="420" w:firstLineChars="0"/>
        <w:jc w:val="both"/>
        <w:textAlignment w:val="auto"/>
        <w:outlineLvl w:val="9"/>
        <w:rPr>
          <w:rFonts w:hint="eastAsia"/>
          <w:highlight w:val="none"/>
        </w:rPr>
      </w:pPr>
      <w:r>
        <w:rPr>
          <w:rFonts w:hint="eastAsia"/>
          <w:highlight w:val="none"/>
        </w:rPr>
        <w:t>4</w:t>
      </w:r>
      <w:r>
        <w:rPr>
          <w:rFonts w:hint="eastAsia"/>
          <w:highlight w:val="none"/>
          <w:lang w:val="en-US" w:eastAsia="zh-CN"/>
        </w:rPr>
        <w:t>0.</w:t>
      </w:r>
      <w:r>
        <w:rPr>
          <w:rFonts w:hint="eastAsia"/>
          <w:highlight w:val="none"/>
        </w:rPr>
        <w:t xml:space="preserve">2 </w:t>
      </w:r>
      <w:r>
        <w:rPr>
          <w:rFonts w:hint="eastAsia"/>
          <w:highlight w:val="none"/>
          <w:lang w:val="en-US" w:eastAsia="zh-CN"/>
        </w:rPr>
        <w:t xml:space="preserve"> </w:t>
      </w:r>
      <w:r>
        <w:rPr>
          <w:rFonts w:hint="eastAsia"/>
          <w:highlight w:val="none"/>
          <w:lang w:eastAsia="zh-CN"/>
        </w:rPr>
        <w:t>投标人</w:t>
      </w:r>
      <w:r>
        <w:rPr>
          <w:rFonts w:hint="eastAsia"/>
          <w:highlight w:val="none"/>
        </w:rPr>
        <w:t>的投标报价超过财政限额，根据</w:t>
      </w:r>
      <w:r>
        <w:rPr>
          <w:rFonts w:hint="eastAsia"/>
          <w:highlight w:val="none"/>
          <w:lang w:eastAsia="zh-CN"/>
        </w:rPr>
        <w:t>“</w:t>
      </w:r>
      <w:r>
        <w:rPr>
          <w:rFonts w:hint="eastAsia"/>
          <w:highlight w:val="none"/>
        </w:rPr>
        <w:t>政府采购法</w:t>
      </w:r>
      <w:r>
        <w:rPr>
          <w:rFonts w:hint="eastAsia"/>
          <w:highlight w:val="none"/>
          <w:lang w:eastAsia="zh-CN"/>
        </w:rPr>
        <w:t>”</w:t>
      </w:r>
      <w:r>
        <w:rPr>
          <w:rFonts w:hint="eastAsia"/>
          <w:highlight w:val="none"/>
        </w:rPr>
        <w:t>的有关规定，报监督机构批准，进行重新招标。</w:t>
      </w:r>
    </w:p>
    <w:p>
      <w:pPr>
        <w:keepNext w:val="0"/>
        <w:keepLines w:val="0"/>
        <w:pageBreakBefore w:val="0"/>
        <w:widowControl w:val="0"/>
        <w:kinsoku/>
        <w:wordWrap/>
        <w:overflowPunct/>
        <w:topLinePunct w:val="0"/>
        <w:autoSpaceDE w:val="0"/>
        <w:autoSpaceDN w:val="0"/>
        <w:bidi w:val="0"/>
        <w:adjustRightInd w:val="0"/>
        <w:snapToGrid/>
        <w:spacing w:line="360" w:lineRule="auto"/>
        <w:ind w:right="6"/>
        <w:textAlignment w:val="auto"/>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4</w:t>
      </w:r>
      <w:r>
        <w:rPr>
          <w:rFonts w:hint="eastAsia" w:ascii="宋体" w:hAnsi="宋体" w:cs="宋体"/>
          <w:b/>
          <w:bCs/>
          <w:color w:val="auto"/>
          <w:kern w:val="0"/>
          <w:sz w:val="24"/>
          <w:highlight w:val="none"/>
          <w:lang w:val="en-US" w:eastAsia="zh-CN"/>
        </w:rPr>
        <w:t>1</w:t>
      </w:r>
      <w:r>
        <w:rPr>
          <w:rFonts w:hint="eastAsia" w:ascii="宋体" w:hAnsi="宋体" w:cs="宋体"/>
          <w:b/>
          <w:bCs/>
          <w:color w:val="auto"/>
          <w:kern w:val="0"/>
          <w:sz w:val="24"/>
          <w:highlight w:val="none"/>
        </w:rPr>
        <w:t xml:space="preserve">、质疑和投诉 </w:t>
      </w:r>
    </w:p>
    <w:p>
      <w:pPr>
        <w:keepNext w:val="0"/>
        <w:keepLines w:val="0"/>
        <w:pageBreakBefore w:val="0"/>
        <w:widowControl w:val="0"/>
        <w:kinsoku/>
        <w:wordWrap/>
        <w:overflowPunct/>
        <w:topLinePunct w:val="0"/>
        <w:autoSpaceDE w:val="0"/>
        <w:autoSpaceDN w:val="0"/>
        <w:bidi w:val="0"/>
        <w:adjustRightInd w:val="0"/>
        <w:snapToGrid/>
        <w:spacing w:line="360" w:lineRule="auto"/>
        <w:ind w:right="6" w:firstLine="420" w:firstLineChars="200"/>
        <w:textAlignment w:val="auto"/>
        <w:rPr>
          <w:rFonts w:hint="eastAsia" w:ascii="宋体" w:hAnsi="宋体" w:cs="宋体"/>
          <w:color w:val="000000"/>
          <w:highlight w:val="none"/>
        </w:rPr>
      </w:pPr>
      <w:r>
        <w:rPr>
          <w:rFonts w:hint="eastAsia" w:ascii="宋体" w:hAnsi="宋体" w:cs="宋体"/>
          <w:color w:val="000000"/>
          <w:highlight w:val="none"/>
        </w:rPr>
        <w:t>4</w:t>
      </w:r>
      <w:r>
        <w:rPr>
          <w:rFonts w:hint="eastAsia" w:ascii="宋体" w:hAnsi="宋体" w:cs="宋体"/>
          <w:color w:val="000000"/>
          <w:highlight w:val="none"/>
          <w:lang w:val="en-US" w:eastAsia="zh-CN"/>
        </w:rPr>
        <w:t>1</w:t>
      </w:r>
      <w:r>
        <w:rPr>
          <w:rFonts w:hint="eastAsia" w:ascii="宋体" w:hAnsi="宋体" w:cs="宋体"/>
          <w:color w:val="000000"/>
          <w:highlight w:val="none"/>
        </w:rPr>
        <w:t>.1</w:t>
      </w:r>
      <w:r>
        <w:rPr>
          <w:rFonts w:hint="eastAsia" w:ascii="宋体" w:hAnsi="宋体" w:cs="宋体"/>
          <w:color w:val="000000"/>
          <w:highlight w:val="none"/>
          <w:lang w:val="en-US" w:eastAsia="zh-CN"/>
        </w:rPr>
        <w:t xml:space="preserve"> </w:t>
      </w:r>
      <w:r>
        <w:rPr>
          <w:rFonts w:hint="eastAsia" w:ascii="宋体" w:hAnsi="宋体" w:cs="宋体"/>
          <w:color w:val="000000"/>
          <w:highlight w:val="none"/>
        </w:rPr>
        <w:t>质疑。供应商认为采购文件、采购过程和中标、</w:t>
      </w:r>
      <w:r>
        <w:rPr>
          <w:rFonts w:hint="eastAsia" w:ascii="宋体" w:hAnsi="宋体" w:cs="宋体"/>
          <w:color w:val="000000"/>
          <w:highlight w:val="none"/>
          <w:lang w:eastAsia="zh-CN"/>
        </w:rPr>
        <w:t>中标</w:t>
      </w:r>
      <w:r>
        <w:rPr>
          <w:rFonts w:hint="eastAsia" w:ascii="宋体" w:hAnsi="宋体" w:cs="宋体"/>
          <w:color w:val="000000"/>
          <w:highlight w:val="none"/>
        </w:rPr>
        <w:t>结果使自己的权益受到损害的，可以在知道或者应知其权益受到损害之日起七个工作日内，</w:t>
      </w:r>
      <w:r>
        <w:rPr>
          <w:rFonts w:hint="eastAsia" w:ascii="宋体" w:hAnsi="宋体" w:cs="宋体"/>
          <w:color w:val="000000"/>
          <w:highlight w:val="none"/>
          <w:lang w:eastAsia="zh-CN"/>
        </w:rPr>
        <w:t>按照《政府采购质疑和投诉办法》</w:t>
      </w:r>
      <w:r>
        <w:rPr>
          <w:rFonts w:hint="eastAsia" w:ascii="宋体" w:hAnsi="宋体" w:cs="宋体"/>
          <w:color w:val="000000"/>
          <w:highlight w:val="none"/>
        </w:rPr>
        <w:t>以书面形式</w:t>
      </w:r>
      <w:r>
        <w:rPr>
          <w:rFonts w:hint="eastAsia" w:ascii="宋体" w:hAnsi="宋体" w:cs="宋体"/>
          <w:color w:val="000000"/>
          <w:highlight w:val="none"/>
          <w:lang w:eastAsia="zh-CN"/>
        </w:rPr>
        <w:t>一次性</w:t>
      </w:r>
      <w:r>
        <w:rPr>
          <w:rFonts w:hint="eastAsia" w:ascii="宋体" w:hAnsi="宋体" w:cs="宋体"/>
          <w:color w:val="000000"/>
          <w:highlight w:val="none"/>
        </w:rPr>
        <w:t xml:space="preserve">向采购人提出质疑。采购人委托采购代理机构采购的，供应商可以向采购代理机构提出询问或者质疑。 </w:t>
      </w:r>
    </w:p>
    <w:p>
      <w:pPr>
        <w:keepNext w:val="0"/>
        <w:keepLines w:val="0"/>
        <w:pageBreakBefore w:val="0"/>
        <w:widowControl w:val="0"/>
        <w:kinsoku/>
        <w:wordWrap/>
        <w:overflowPunct/>
        <w:topLinePunct w:val="0"/>
        <w:autoSpaceDE w:val="0"/>
        <w:autoSpaceDN w:val="0"/>
        <w:bidi w:val="0"/>
        <w:adjustRightInd w:val="0"/>
        <w:snapToGrid/>
        <w:spacing w:line="360" w:lineRule="auto"/>
        <w:ind w:right="6" w:firstLine="420" w:firstLineChars="200"/>
        <w:textAlignment w:val="auto"/>
        <w:rPr>
          <w:rFonts w:hint="eastAsia" w:ascii="宋体" w:hAnsi="宋体" w:cs="宋体"/>
          <w:color w:val="auto"/>
          <w:highlight w:val="none"/>
        </w:rPr>
      </w:pPr>
      <w:r>
        <w:rPr>
          <w:rFonts w:hint="eastAsia" w:ascii="宋体" w:hAnsi="宋体" w:cs="宋体"/>
          <w:color w:val="auto"/>
          <w:highlight w:val="none"/>
        </w:rPr>
        <w:t>质疑函接收人：</w:t>
      </w:r>
      <w:r>
        <w:rPr>
          <w:rFonts w:hint="eastAsia" w:ascii="宋体" w:hAnsi="宋体" w:cs="宋体"/>
          <w:color w:val="auto"/>
          <w:highlight w:val="none"/>
          <w:lang w:val="en-US" w:eastAsia="zh-CN"/>
        </w:rPr>
        <w:t>孙翠</w:t>
      </w:r>
      <w:r>
        <w:rPr>
          <w:rFonts w:hint="eastAsia" w:ascii="宋体" w:hAnsi="宋体" w:cs="宋体"/>
          <w:color w:val="auto"/>
          <w:highlight w:val="none"/>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right="6" w:firstLine="420" w:firstLineChars="200"/>
        <w:textAlignment w:val="auto"/>
        <w:rPr>
          <w:rFonts w:hint="eastAsia" w:ascii="宋体" w:hAnsi="宋体" w:cs="宋体"/>
          <w:color w:val="000000"/>
          <w:highlight w:val="none"/>
        </w:rPr>
      </w:pPr>
      <w:r>
        <w:rPr>
          <w:rFonts w:hint="eastAsia" w:ascii="宋体" w:hAnsi="宋体" w:cs="宋体"/>
          <w:color w:val="000000"/>
          <w:highlight w:val="none"/>
        </w:rPr>
        <w:t>电话：</w:t>
      </w:r>
      <w:r>
        <w:rPr>
          <w:rFonts w:hint="eastAsia" w:ascii="宋体" w:hAnsi="宋体" w:cs="宋体"/>
          <w:color w:val="000000"/>
          <w:highlight w:val="none"/>
          <w:lang w:eastAsia="zh-CN"/>
        </w:rPr>
        <w:t>029-82680977</w:t>
      </w:r>
      <w:r>
        <w:rPr>
          <w:rFonts w:hint="eastAsia" w:ascii="宋体" w:hAnsi="宋体" w:cs="宋体"/>
          <w:color w:val="000000"/>
          <w:highlight w:val="none"/>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right="6" w:firstLine="420" w:firstLineChars="200"/>
        <w:textAlignment w:val="auto"/>
        <w:rPr>
          <w:rFonts w:hint="eastAsia" w:ascii="宋体" w:hAnsi="宋体" w:cs="宋体"/>
          <w:color w:val="000000"/>
          <w:highlight w:val="none"/>
        </w:rPr>
      </w:pPr>
      <w:r>
        <w:rPr>
          <w:rFonts w:hint="eastAsia" w:ascii="宋体" w:hAnsi="宋体" w:cs="宋体"/>
          <w:color w:val="000000"/>
          <w:highlight w:val="none"/>
        </w:rPr>
        <w:t>地址：西安市</w:t>
      </w:r>
      <w:r>
        <w:rPr>
          <w:rFonts w:hint="eastAsia" w:ascii="宋体" w:hAnsi="宋体" w:cs="宋体"/>
          <w:color w:val="000000"/>
          <w:highlight w:val="none"/>
          <w:lang w:eastAsia="zh-CN"/>
        </w:rPr>
        <w:t>曲江新区旺座曲江</w:t>
      </w:r>
      <w:r>
        <w:rPr>
          <w:rFonts w:hint="eastAsia" w:ascii="宋体" w:hAnsi="宋体" w:cs="宋体"/>
          <w:color w:val="000000"/>
          <w:highlight w:val="none"/>
          <w:lang w:val="en-US" w:eastAsia="zh-CN"/>
        </w:rPr>
        <w:t>B座3105</w:t>
      </w:r>
      <w:r>
        <w:rPr>
          <w:rFonts w:hint="eastAsia" w:ascii="宋体" w:hAnsi="宋体" w:cs="宋体"/>
          <w:color w:val="000000"/>
          <w:highlight w:val="none"/>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right="6" w:firstLine="420" w:firstLineChars="200"/>
        <w:textAlignment w:val="auto"/>
        <w:rPr>
          <w:rFonts w:hint="eastAsia" w:ascii="宋体" w:hAnsi="宋体" w:cs="宋体"/>
          <w:color w:val="000000"/>
          <w:highlight w:val="none"/>
        </w:rPr>
      </w:pPr>
      <w:r>
        <w:rPr>
          <w:rFonts w:hint="eastAsia" w:ascii="宋体" w:hAnsi="宋体" w:cs="宋体"/>
          <w:color w:val="000000"/>
          <w:highlight w:val="none"/>
        </w:rPr>
        <w:t>4</w:t>
      </w:r>
      <w:r>
        <w:rPr>
          <w:rFonts w:hint="eastAsia" w:ascii="宋体" w:hAnsi="宋体" w:cs="宋体"/>
          <w:color w:val="000000"/>
          <w:highlight w:val="none"/>
          <w:lang w:val="en-US" w:eastAsia="zh-CN"/>
        </w:rPr>
        <w:t>1</w:t>
      </w:r>
      <w:r>
        <w:rPr>
          <w:rFonts w:hint="eastAsia" w:ascii="宋体" w:hAnsi="宋体" w:cs="宋体"/>
          <w:color w:val="000000"/>
          <w:highlight w:val="none"/>
        </w:rPr>
        <w:t>.2</w:t>
      </w:r>
      <w:r>
        <w:rPr>
          <w:rFonts w:hint="eastAsia" w:ascii="宋体" w:hAnsi="宋体" w:cs="宋体"/>
          <w:color w:val="000000"/>
          <w:highlight w:val="none"/>
          <w:lang w:val="en-US" w:eastAsia="zh-CN"/>
        </w:rPr>
        <w:t xml:space="preserve"> </w:t>
      </w:r>
      <w:r>
        <w:rPr>
          <w:rFonts w:hint="eastAsia" w:ascii="宋体" w:hAnsi="宋体" w:cs="宋体"/>
          <w:color w:val="000000"/>
          <w:highlight w:val="none"/>
        </w:rPr>
        <w:t>投诉。质疑供应商对采购人、采购代理机构的答复不满意或者采购人、采购代理机构未在规定的时间内作出答复的，可以在答复期满后十五个工作日内</w:t>
      </w:r>
      <w:r>
        <w:rPr>
          <w:rFonts w:hint="eastAsia" w:ascii="宋体" w:hAnsi="宋体" w:cs="宋体"/>
          <w:color w:val="000000"/>
          <w:highlight w:val="none"/>
          <w:lang w:eastAsia="zh-CN"/>
        </w:rPr>
        <w:t>按照《政府采购质疑和投诉办法》</w:t>
      </w:r>
      <w:r>
        <w:rPr>
          <w:rFonts w:hint="eastAsia" w:ascii="宋体" w:hAnsi="宋体" w:cs="宋体"/>
          <w:color w:val="000000"/>
          <w:highlight w:val="none"/>
        </w:rPr>
        <w:t>以书面形式向同级政府采购监督管理部门投诉。</w:t>
      </w:r>
    </w:p>
    <w:p>
      <w:pPr>
        <w:spacing w:line="360" w:lineRule="auto"/>
        <w:rPr>
          <w:rFonts w:hint="eastAsia" w:ascii="宋体" w:hAnsi="宋体" w:eastAsia="宋体" w:cs="宋体"/>
          <w:b/>
          <w:bCs/>
          <w:sz w:val="36"/>
          <w:szCs w:val="36"/>
          <w:highlight w:val="none"/>
          <w:lang w:eastAsia="zh-CN"/>
        </w:rPr>
      </w:pPr>
      <w:r>
        <w:rPr>
          <w:rFonts w:hint="eastAsia" w:ascii="宋体" w:hAnsi="宋体" w:eastAsia="宋体" w:cs="宋体"/>
          <w:b/>
          <w:bCs/>
          <w:sz w:val="36"/>
          <w:szCs w:val="36"/>
          <w:highlight w:val="none"/>
          <w:lang w:eastAsia="zh-CN"/>
        </w:rPr>
        <w:br w:type="page"/>
      </w: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rPr>
          <w:rFonts w:hint="eastAsia" w:ascii="宋体" w:hAnsi="宋体" w:eastAsia="宋体" w:cs="宋体"/>
          <w:b/>
          <w:bCs/>
          <w:sz w:val="36"/>
          <w:szCs w:val="36"/>
          <w:highlight w:val="none"/>
          <w:lang w:eastAsia="zh-CN"/>
        </w:rPr>
      </w:pPr>
    </w:p>
    <w:p>
      <w:pPr>
        <w:pStyle w:val="2"/>
        <w:rPr>
          <w:rFonts w:hint="eastAsia"/>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sz w:val="36"/>
          <w:szCs w:val="36"/>
          <w:highlight w:val="none"/>
        </w:rPr>
      </w:pPr>
      <w:bookmarkStart w:id="37" w:name="_Toc15503"/>
      <w:r>
        <w:rPr>
          <w:rFonts w:hint="eastAsia" w:ascii="宋体" w:hAnsi="宋体" w:eastAsia="宋体" w:cs="宋体"/>
          <w:b/>
          <w:bCs/>
          <w:sz w:val="36"/>
          <w:szCs w:val="36"/>
          <w:highlight w:val="none"/>
          <w:lang w:eastAsia="zh-CN"/>
        </w:rPr>
        <w:t>第三章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评标办法</w:t>
      </w:r>
      <w:bookmarkEnd w:id="37"/>
    </w:p>
    <w:p>
      <w:pPr>
        <w:rPr>
          <w:rFonts w:hint="eastAsia" w:ascii="宋体" w:hAnsi="宋体" w:eastAsia="宋体" w:cs="宋体"/>
          <w:b w:val="0"/>
          <w:bCs w:val="0"/>
          <w:sz w:val="21"/>
          <w:szCs w:val="21"/>
          <w:highlight w:val="none"/>
        </w:rPr>
      </w:pPr>
      <w:bookmarkStart w:id="38" w:name="_Toc222740127"/>
      <w:r>
        <w:rPr>
          <w:rFonts w:hint="eastAsia" w:ascii="宋体" w:hAnsi="宋体" w:eastAsia="宋体" w:cs="宋体"/>
          <w:b w:val="0"/>
          <w:bCs w:val="0"/>
          <w:sz w:val="21"/>
          <w:szCs w:val="21"/>
          <w:highlight w:val="none"/>
        </w:rPr>
        <w:br w:type="page"/>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根据《中华人民共和国政府采购法》、中华人民共和国2015年第658号国务院令--《中华人民共和国政府采购法实施条例》和中华人民共和国财政部20</w:t>
      </w:r>
      <w:r>
        <w:rPr>
          <w:rFonts w:hint="eastAsia" w:ascii="宋体" w:hAnsi="宋体" w:cs="宋体"/>
          <w:b w:val="0"/>
          <w:bCs w:val="0"/>
          <w:sz w:val="21"/>
          <w:szCs w:val="21"/>
          <w:highlight w:val="none"/>
          <w:lang w:val="en-US" w:eastAsia="zh-CN"/>
        </w:rPr>
        <w:t>17</w:t>
      </w:r>
      <w:r>
        <w:rPr>
          <w:rFonts w:hint="eastAsia" w:ascii="宋体" w:hAnsi="宋体" w:eastAsia="宋体" w:cs="宋体"/>
          <w:b w:val="0"/>
          <w:bCs w:val="0"/>
          <w:sz w:val="21"/>
          <w:szCs w:val="21"/>
          <w:highlight w:val="none"/>
        </w:rPr>
        <w:t>年</w:t>
      </w:r>
      <w:r>
        <w:rPr>
          <w:rFonts w:hint="eastAsia" w:ascii="宋体" w:hAnsi="宋体" w:eastAsia="宋体" w:cs="宋体"/>
          <w:b w:val="0"/>
          <w:bCs w:val="0"/>
          <w:color w:val="auto"/>
          <w:sz w:val="21"/>
          <w:szCs w:val="21"/>
          <w:highlight w:val="none"/>
        </w:rPr>
        <w:t>第</w:t>
      </w:r>
      <w:r>
        <w:rPr>
          <w:rFonts w:hint="eastAsia" w:ascii="宋体" w:hAnsi="宋体" w:cs="宋体"/>
          <w:b w:val="0"/>
          <w:bCs w:val="0"/>
          <w:color w:val="auto"/>
          <w:sz w:val="21"/>
          <w:szCs w:val="21"/>
          <w:highlight w:val="none"/>
          <w:lang w:val="en-US" w:eastAsia="zh-CN"/>
        </w:rPr>
        <w:t>87</w:t>
      </w:r>
      <w:r>
        <w:rPr>
          <w:rFonts w:hint="eastAsia" w:ascii="宋体" w:hAnsi="宋体" w:eastAsia="宋体" w:cs="宋体"/>
          <w:b w:val="0"/>
          <w:bCs w:val="0"/>
          <w:color w:val="auto"/>
          <w:sz w:val="21"/>
          <w:szCs w:val="21"/>
          <w:highlight w:val="none"/>
        </w:rPr>
        <w:t>号令</w:t>
      </w:r>
      <w:r>
        <w:rPr>
          <w:rFonts w:hint="eastAsia" w:ascii="宋体" w:hAnsi="宋体" w:eastAsia="宋体" w:cs="宋体"/>
          <w:b w:val="0"/>
          <w:bCs w:val="0"/>
          <w:sz w:val="21"/>
          <w:szCs w:val="21"/>
          <w:highlight w:val="none"/>
        </w:rPr>
        <w:t>--《政府采购货物和服务招标投标管理办法》的规定，结合采购项目特点制定本评标办法。</w:t>
      </w:r>
    </w:p>
    <w:p>
      <w:pPr>
        <w:spacing w:before="240" w:after="120"/>
        <w:jc w:val="left"/>
        <w:outlineLvl w:val="2"/>
        <w:rPr>
          <w:rFonts w:hint="eastAsia" w:ascii="宋体" w:hAnsi="宋体" w:cs="宋体"/>
          <w:b/>
          <w:bCs/>
          <w:sz w:val="28"/>
          <w:highlight w:val="none"/>
        </w:rPr>
      </w:pPr>
      <w:r>
        <w:rPr>
          <w:rFonts w:hint="eastAsia" w:ascii="宋体" w:hAnsi="宋体" w:cs="宋体"/>
          <w:b/>
          <w:bCs/>
          <w:sz w:val="28"/>
          <w:highlight w:val="none"/>
          <w:lang w:val="en-US" w:eastAsia="zh-CN"/>
        </w:rPr>
        <w:t>1、</w:t>
      </w:r>
      <w:r>
        <w:rPr>
          <w:rFonts w:hint="eastAsia" w:ascii="宋体" w:hAnsi="宋体" w:cs="宋体"/>
          <w:b/>
          <w:bCs/>
          <w:sz w:val="28"/>
          <w:highlight w:val="none"/>
        </w:rPr>
        <w:t>评标程序</w:t>
      </w:r>
    </w:p>
    <w:p>
      <w:pPr>
        <w:spacing w:before="240" w:after="120"/>
        <w:jc w:val="left"/>
        <w:outlineLvl w:val="2"/>
        <w:rPr>
          <w:rFonts w:hint="eastAsia" w:ascii="宋体" w:hAnsi="宋体" w:cs="宋体"/>
          <w:b/>
          <w:bCs/>
          <w:kern w:val="0"/>
          <w:sz w:val="24"/>
          <w:highlight w:val="none"/>
        </w:rPr>
      </w:pPr>
      <w:r>
        <w:rPr>
          <w:rFonts w:hint="eastAsia" w:ascii="宋体" w:hAnsi="宋体" w:cs="宋体"/>
          <w:b/>
          <w:bCs/>
          <w:kern w:val="0"/>
          <w:sz w:val="24"/>
          <w:highlight w:val="none"/>
          <w:lang w:val="en-US" w:eastAsia="zh-CN"/>
        </w:rPr>
        <w:t xml:space="preserve">1.1  </w:t>
      </w:r>
      <w:r>
        <w:rPr>
          <w:rFonts w:hint="eastAsia" w:ascii="宋体" w:hAnsi="宋体" w:cs="宋体"/>
          <w:b/>
          <w:bCs/>
          <w:kern w:val="0"/>
          <w:sz w:val="24"/>
          <w:highlight w:val="none"/>
        </w:rPr>
        <w:t>本采购项目评标按照下列工作程序进行：</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 xml:space="preserve">    </w:t>
      </w:r>
      <w:r>
        <w:rPr>
          <w:rFonts w:hint="default" w:ascii="Times New Roman" w:hAnsi="Times New Roman" w:eastAsia="宋体" w:cs="Times New Roman"/>
          <w:b w:val="0"/>
          <w:bCs w:val="0"/>
          <w:sz w:val="21"/>
          <w:szCs w:val="21"/>
          <w:highlight w:val="none"/>
          <w:lang w:val="en-US" w:eastAsia="zh-CN"/>
        </w:rPr>
        <w:t>1.</w:t>
      </w:r>
      <w:r>
        <w:rPr>
          <w:rFonts w:hint="default" w:ascii="Times New Roman" w:hAnsi="Times New Roman" w:eastAsia="宋体" w:cs="Times New Roman"/>
          <w:b w:val="0"/>
          <w:bCs w:val="0"/>
          <w:sz w:val="21"/>
          <w:szCs w:val="21"/>
          <w:highlight w:val="none"/>
        </w:rPr>
        <w:t>1.1 投标文件</w:t>
      </w:r>
      <w:r>
        <w:rPr>
          <w:rFonts w:hint="eastAsia" w:ascii="Times New Roman" w:hAnsi="Times New Roman" w:eastAsia="宋体" w:cs="Times New Roman"/>
          <w:b w:val="0"/>
          <w:bCs w:val="0"/>
          <w:sz w:val="21"/>
          <w:szCs w:val="21"/>
          <w:highlight w:val="none"/>
          <w:lang w:eastAsia="zh-CN"/>
        </w:rPr>
        <w:t>初审</w:t>
      </w:r>
      <w:r>
        <w:rPr>
          <w:rFonts w:hint="default" w:ascii="Times New Roman" w:hAnsi="Times New Roman" w:eastAsia="宋体" w:cs="Times New Roman"/>
          <w:b w:val="0"/>
          <w:bCs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1.</w:t>
      </w:r>
      <w:r>
        <w:rPr>
          <w:rFonts w:hint="default" w:ascii="Times New Roman" w:hAnsi="Times New Roman" w:eastAsia="宋体" w:cs="Times New Roman"/>
          <w:b w:val="0"/>
          <w:bCs w:val="0"/>
          <w:sz w:val="21"/>
          <w:szCs w:val="21"/>
          <w:highlight w:val="none"/>
        </w:rPr>
        <w:t>1.2 澄清有关问题；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1.</w:t>
      </w:r>
      <w:r>
        <w:rPr>
          <w:rFonts w:hint="default" w:ascii="Times New Roman" w:hAnsi="Times New Roman" w:eastAsia="宋体" w:cs="Times New Roman"/>
          <w:b w:val="0"/>
          <w:bCs w:val="0"/>
          <w:sz w:val="21"/>
          <w:szCs w:val="21"/>
          <w:highlight w:val="none"/>
        </w:rPr>
        <w:t>1.3 比较与评价；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1.</w:t>
      </w:r>
      <w:r>
        <w:rPr>
          <w:rFonts w:hint="default" w:ascii="Times New Roman" w:hAnsi="Times New Roman" w:eastAsia="宋体" w:cs="Times New Roman"/>
          <w:b w:val="0"/>
          <w:bCs w:val="0"/>
          <w:sz w:val="21"/>
          <w:szCs w:val="21"/>
          <w:highlight w:val="none"/>
        </w:rPr>
        <w:t>1.4 推荐中标</w:t>
      </w:r>
      <w:r>
        <w:rPr>
          <w:rFonts w:hint="eastAsia" w:ascii="Times New Roman" w:hAnsi="Times New Roman" w:eastAsia="宋体" w:cs="Times New Roman"/>
          <w:b w:val="0"/>
          <w:bCs w:val="0"/>
          <w:sz w:val="21"/>
          <w:szCs w:val="21"/>
          <w:highlight w:val="none"/>
          <w:lang w:eastAsia="zh-CN"/>
        </w:rPr>
        <w:t>人</w:t>
      </w:r>
      <w:r>
        <w:rPr>
          <w:rFonts w:hint="default" w:ascii="Times New Roman" w:hAnsi="Times New Roman" w:eastAsia="宋体" w:cs="Times New Roman"/>
          <w:b w:val="0"/>
          <w:bCs w:val="0"/>
          <w:sz w:val="21"/>
          <w:szCs w:val="21"/>
          <w:highlight w:val="none"/>
        </w:rPr>
        <w:t>名单；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1.</w:t>
      </w:r>
      <w:r>
        <w:rPr>
          <w:rFonts w:hint="default" w:ascii="Times New Roman" w:hAnsi="Times New Roman" w:eastAsia="宋体" w:cs="Times New Roman"/>
          <w:b w:val="0"/>
          <w:bCs w:val="0"/>
          <w:sz w:val="21"/>
          <w:szCs w:val="21"/>
          <w:highlight w:val="none"/>
        </w:rPr>
        <w:t>1.5 编写评标报告。</w:t>
      </w:r>
    </w:p>
    <w:p>
      <w:pPr>
        <w:spacing w:before="240" w:after="120"/>
        <w:jc w:val="left"/>
        <w:outlineLvl w:val="2"/>
        <w:rPr>
          <w:rFonts w:hint="eastAsia" w:ascii="宋体" w:hAnsi="宋体" w:cs="宋体"/>
          <w:b/>
          <w:bCs/>
          <w:kern w:val="0"/>
          <w:sz w:val="24"/>
          <w:highlight w:val="none"/>
          <w:lang w:eastAsia="zh-CN"/>
        </w:rPr>
      </w:pPr>
      <w:r>
        <w:rPr>
          <w:rFonts w:hint="eastAsia" w:ascii="宋体" w:hAnsi="宋体" w:cs="宋体"/>
          <w:b/>
          <w:bCs/>
          <w:kern w:val="0"/>
          <w:sz w:val="24"/>
          <w:highlight w:val="none"/>
          <w:lang w:val="en-US" w:eastAsia="zh-CN"/>
        </w:rPr>
        <w:t>1.</w:t>
      </w:r>
      <w:r>
        <w:rPr>
          <w:rFonts w:hint="eastAsia" w:ascii="宋体" w:hAnsi="宋体" w:cs="宋体"/>
          <w:b/>
          <w:bCs/>
          <w:kern w:val="0"/>
          <w:sz w:val="24"/>
          <w:highlight w:val="none"/>
        </w:rPr>
        <w:t>2</w:t>
      </w:r>
      <w:r>
        <w:rPr>
          <w:rFonts w:hint="eastAsia" w:ascii="宋体" w:hAnsi="宋体" w:cs="宋体"/>
          <w:b/>
          <w:bCs/>
          <w:kern w:val="0"/>
          <w:sz w:val="24"/>
          <w:highlight w:val="none"/>
          <w:lang w:val="en-US" w:eastAsia="zh-CN"/>
        </w:rPr>
        <w:t xml:space="preserve">  </w:t>
      </w:r>
      <w:r>
        <w:rPr>
          <w:rFonts w:hint="eastAsia" w:ascii="宋体" w:hAnsi="宋体" w:cs="宋体"/>
          <w:b/>
          <w:bCs/>
          <w:kern w:val="0"/>
          <w:sz w:val="24"/>
          <w:highlight w:val="none"/>
        </w:rPr>
        <w:t>投标文件</w:t>
      </w:r>
      <w:r>
        <w:rPr>
          <w:rFonts w:hint="eastAsia" w:ascii="宋体" w:hAnsi="宋体" w:cs="宋体"/>
          <w:b/>
          <w:bCs/>
          <w:kern w:val="0"/>
          <w:sz w:val="24"/>
          <w:highlight w:val="none"/>
          <w:lang w:eastAsia="zh-CN"/>
        </w:rPr>
        <w:t>的初审</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Times New Roman" w:hAnsi="Times New Roman" w:eastAsia="宋体" w:cs="Times New Roman"/>
          <w:b w:val="0"/>
          <w:bCs w:val="0"/>
          <w:sz w:val="21"/>
          <w:szCs w:val="21"/>
          <w:highlight w:val="none"/>
          <w:lang w:eastAsia="zh-CN"/>
        </w:rPr>
      </w:pPr>
      <w:r>
        <w:rPr>
          <w:rFonts w:hint="eastAsia" w:ascii="Times New Roman" w:hAnsi="Times New Roman" w:eastAsia="宋体" w:cs="Times New Roman"/>
          <w:b w:val="0"/>
          <w:bCs w:val="0"/>
          <w:sz w:val="21"/>
          <w:szCs w:val="21"/>
          <w:highlight w:val="none"/>
          <w:lang w:eastAsia="zh-CN"/>
        </w:rPr>
        <w:t>初审分为资格性检查和符合性检查。分别按照以下内容对投标文件进行检查，一项不合格即按照无效投标处理。</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 xml:space="preserve">    1.</w:t>
      </w:r>
      <w:r>
        <w:rPr>
          <w:rFonts w:hint="default" w:ascii="Times New Roman" w:hAnsi="Times New Roman" w:eastAsia="宋体" w:cs="Times New Roman"/>
          <w:b w:val="0"/>
          <w:bCs w:val="0"/>
          <w:sz w:val="21"/>
          <w:szCs w:val="21"/>
          <w:highlight w:val="none"/>
        </w:rPr>
        <w:t>2.1 投标文件的资格性审查：</w:t>
      </w:r>
      <w:r>
        <w:rPr>
          <w:rFonts w:hint="eastAsia" w:ascii="宋体" w:hAnsi="宋体" w:cs="宋体"/>
          <w:color w:val="000000"/>
          <w:szCs w:val="21"/>
          <w:highlight w:val="none"/>
        </w:rPr>
        <w:t>按照本章附件一资格审查内容；</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宋体" w:hAnsi="宋体" w:cs="宋体"/>
          <w:szCs w:val="21"/>
          <w:highlight w:val="none"/>
        </w:rPr>
      </w:pPr>
      <w:r>
        <w:rPr>
          <w:rFonts w:hint="eastAsia" w:ascii="Times New Roman" w:hAnsi="Times New Roman" w:eastAsia="宋体" w:cs="Times New Roman"/>
          <w:b w:val="0"/>
          <w:bCs w:val="0"/>
          <w:sz w:val="21"/>
          <w:szCs w:val="21"/>
          <w:highlight w:val="none"/>
          <w:lang w:val="en-US" w:eastAsia="zh-CN"/>
        </w:rPr>
        <w:t>1.</w:t>
      </w:r>
      <w:r>
        <w:rPr>
          <w:rFonts w:hint="default" w:ascii="Times New Roman" w:hAnsi="Times New Roman" w:eastAsia="宋体" w:cs="Times New Roman"/>
          <w:b w:val="0"/>
          <w:bCs w:val="0"/>
          <w:sz w:val="21"/>
          <w:szCs w:val="21"/>
          <w:highlight w:val="none"/>
        </w:rPr>
        <w:t>2.2 投标文件的符合性审查：</w:t>
      </w:r>
      <w:r>
        <w:rPr>
          <w:rFonts w:hint="eastAsia" w:ascii="宋体" w:hAnsi="宋体" w:cs="宋体"/>
          <w:szCs w:val="21"/>
          <w:highlight w:val="none"/>
        </w:rPr>
        <w:t>按照本章附件二符合审查内容；</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default"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1.2.3</w:t>
      </w:r>
      <w:r>
        <w:rPr>
          <w:rFonts w:hint="default" w:ascii="Times New Roman" w:hAnsi="Times New Roman" w:eastAsia="宋体" w:cs="Times New Roman"/>
          <w:b w:val="0"/>
          <w:bCs w:val="0"/>
          <w:sz w:val="21"/>
          <w:szCs w:val="21"/>
          <w:highlight w:val="none"/>
        </w:rPr>
        <w:t xml:space="preserve"> 经过对投标人及投标文件的资格性和符合性审查，出现下列情况者（但不限于），按无效投标处理。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1、投标人没有经过正常渠道获取招标文件或投标人的名称与在全国公共资源交易平台（陕西省·</w:t>
      </w:r>
      <w:r>
        <w:rPr>
          <w:rFonts w:hint="eastAsia" w:ascii="宋体" w:hAnsi="宋体" w:cs="宋体"/>
          <w:szCs w:val="21"/>
          <w:highlight w:val="none"/>
          <w:lang w:val="en-US" w:eastAsia="zh-CN"/>
        </w:rPr>
        <w:t>西安市</w:t>
      </w:r>
      <w:r>
        <w:rPr>
          <w:rFonts w:hint="eastAsia" w:ascii="宋体" w:hAnsi="宋体" w:eastAsia="宋体" w:cs="宋体"/>
          <w:szCs w:val="21"/>
          <w:highlight w:val="none"/>
        </w:rPr>
        <w:t xml:space="preserve">）报名的单位名称不符；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2、投标人放弃或拒绝对电子投标文件进行解密的；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3、因投标人自身原因，导致未在规定的解密时限内完整解密的，如忘带CA锁、或携带的CA锁与加密文件的CA锁不同、或使用旧版招标 文件编制投标文件等情形；</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4、上传的电子投标文件无法正常打开的；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5、投标文件中提供的投标人资格要求证明文件不符合招标文件规定；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6、投标文件中出现备选方案或投标文件中出现选择性报价的；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7、投标报价超过了本项目采购预算或最高限价的；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8、投标文件未按照招标文件要求签署、盖章的；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9、投标文件的关键内容字迹模糊和无法辨认的；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10、投标文件未按照招标文件规定的格式要求编制的；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11、投标文件中无投标有效期或投标有效期达不到招标文件要求的；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12、未响应合同条款或响应的合同条款中附有采购人不能接受的附加条件的；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13、投标报价与市场价格偏离较大、低于成本、形成不正当竞争的；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14、与本采购项目其他投标人单位负责人为同一人或者存在控股、管理关系的；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15、为本项目提供整体设计、规范编制或者项目管理、监理、检测、咨询服务的；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16、投标人有串通投标、弄虚作假（包括但不限于虚假资质、虚假证明、虚假应答等）、行贿等违法行为的；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17、法律、法规和招标文件规定的其他无效情形的。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1.2.4提供相同品牌产品且通过资格审查、符合性审查的不同投标人参加同一合同项下投标的，按一家投标人计算，评审后得分最高的同品牌投标人获得中标人推荐资格；评审得分相同的，由报价最低的投标人获得中标人推荐资格；其它同品牌投标人不作为中标候选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30" w:firstLineChars="300"/>
        <w:textAlignment w:val="auto"/>
        <w:rPr>
          <w:rFonts w:hint="default" w:ascii="宋体" w:hAnsi="宋体" w:eastAsia="宋体" w:cs="宋体"/>
          <w:szCs w:val="21"/>
          <w:highlight w:val="none"/>
        </w:rPr>
      </w:pPr>
      <w:r>
        <w:rPr>
          <w:rFonts w:hint="eastAsia" w:ascii="宋体" w:hAnsi="宋体" w:eastAsia="宋体" w:cs="宋体"/>
          <w:szCs w:val="21"/>
          <w:highlight w:val="none"/>
          <w:lang w:val="en-US" w:eastAsia="zh-CN"/>
        </w:rPr>
        <w:t>1.</w:t>
      </w:r>
      <w:r>
        <w:rPr>
          <w:rFonts w:hint="default" w:ascii="宋体" w:hAnsi="宋体" w:eastAsia="宋体" w:cs="宋体"/>
          <w:szCs w:val="21"/>
          <w:highlight w:val="none"/>
        </w:rPr>
        <w:t>2.</w:t>
      </w:r>
      <w:r>
        <w:rPr>
          <w:rFonts w:hint="eastAsia" w:ascii="宋体" w:hAnsi="宋体" w:eastAsia="宋体" w:cs="宋体"/>
          <w:szCs w:val="21"/>
          <w:highlight w:val="none"/>
          <w:lang w:val="en-US" w:eastAsia="zh-CN"/>
        </w:rPr>
        <w:t>5</w:t>
      </w:r>
      <w:r>
        <w:rPr>
          <w:rFonts w:hint="default" w:ascii="宋体" w:hAnsi="宋体" w:eastAsia="宋体" w:cs="宋体"/>
          <w:szCs w:val="21"/>
          <w:highlight w:val="none"/>
        </w:rPr>
        <w:t xml:space="preserve"> 在投标文件初审过程中，如果出现评标委员会成员意见不一致的情况，按照少数服从多数的原则确定。</w:t>
      </w:r>
    </w:p>
    <w:p>
      <w:pPr>
        <w:spacing w:before="240" w:after="120"/>
        <w:jc w:val="left"/>
        <w:outlineLvl w:val="2"/>
        <w:rPr>
          <w:rFonts w:hint="default" w:ascii="Times New Roman" w:hAnsi="Times New Roman" w:eastAsia="宋体" w:cs="Times New Roman"/>
          <w:b w:val="0"/>
          <w:bCs w:val="0"/>
          <w:sz w:val="21"/>
          <w:szCs w:val="21"/>
          <w:highlight w:val="none"/>
        </w:rPr>
      </w:pPr>
      <w:r>
        <w:rPr>
          <w:rFonts w:hint="eastAsia" w:ascii="宋体" w:hAnsi="宋体" w:cs="宋体"/>
          <w:b/>
          <w:bCs/>
          <w:kern w:val="0"/>
          <w:sz w:val="24"/>
          <w:highlight w:val="none"/>
          <w:lang w:val="en-US" w:eastAsia="zh-CN"/>
        </w:rPr>
        <w:t>1.</w:t>
      </w:r>
      <w:r>
        <w:rPr>
          <w:rFonts w:hint="default" w:ascii="宋体" w:hAnsi="宋体" w:cs="宋体"/>
          <w:b/>
          <w:bCs/>
          <w:kern w:val="0"/>
          <w:sz w:val="24"/>
          <w:highlight w:val="none"/>
        </w:rPr>
        <w:t>3</w:t>
      </w:r>
      <w:r>
        <w:rPr>
          <w:rFonts w:hint="eastAsia" w:ascii="宋体" w:hAnsi="宋体" w:cs="宋体"/>
          <w:b/>
          <w:bCs/>
          <w:kern w:val="0"/>
          <w:sz w:val="24"/>
          <w:highlight w:val="none"/>
          <w:lang w:val="en-US" w:eastAsia="zh-CN"/>
        </w:rPr>
        <w:t xml:space="preserve">  </w:t>
      </w:r>
      <w:r>
        <w:rPr>
          <w:rFonts w:hint="default" w:ascii="宋体" w:hAnsi="宋体" w:cs="宋体"/>
          <w:b/>
          <w:bCs/>
          <w:kern w:val="0"/>
          <w:sz w:val="24"/>
          <w:highlight w:val="none"/>
        </w:rPr>
        <w:t>投标文件的澄清</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 xml:space="preserve"> </w:t>
      </w:r>
      <w:r>
        <w:rPr>
          <w:rFonts w:hint="eastAsia" w:cs="Times New Roman"/>
          <w:b w:val="0"/>
          <w:bCs w:val="0"/>
          <w:sz w:val="21"/>
          <w:szCs w:val="21"/>
          <w:highlight w:val="none"/>
          <w:lang w:val="en-US" w:eastAsia="zh-CN"/>
        </w:rPr>
        <w:t xml:space="preserve">   </w:t>
      </w:r>
      <w:r>
        <w:rPr>
          <w:rFonts w:hint="default" w:ascii="Times New Roman" w:hAnsi="Times New Roman" w:eastAsia="宋体" w:cs="Times New Roman"/>
          <w:b w:val="0"/>
          <w:bCs w:val="0"/>
          <w:sz w:val="21"/>
          <w:szCs w:val="21"/>
          <w:highlight w:val="none"/>
        </w:rPr>
        <w:t>对于投标文件中的非重大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pPr>
        <w:spacing w:before="240" w:after="120"/>
        <w:jc w:val="left"/>
        <w:outlineLvl w:val="2"/>
        <w:rPr>
          <w:rFonts w:hint="default" w:ascii="宋体" w:hAnsi="宋体" w:cs="宋体"/>
          <w:b/>
          <w:bCs/>
          <w:kern w:val="0"/>
          <w:sz w:val="24"/>
          <w:highlight w:val="none"/>
        </w:rPr>
      </w:pPr>
      <w:r>
        <w:rPr>
          <w:rFonts w:hint="eastAsia" w:ascii="宋体" w:hAnsi="宋体" w:cs="宋体"/>
          <w:b/>
          <w:bCs/>
          <w:kern w:val="0"/>
          <w:sz w:val="24"/>
          <w:highlight w:val="none"/>
          <w:lang w:val="en-US" w:eastAsia="zh-CN"/>
        </w:rPr>
        <w:t>1.</w:t>
      </w:r>
      <w:r>
        <w:rPr>
          <w:rFonts w:hint="default" w:ascii="宋体" w:hAnsi="宋体" w:cs="宋体"/>
          <w:b/>
          <w:bCs/>
          <w:kern w:val="0"/>
          <w:sz w:val="24"/>
          <w:highlight w:val="none"/>
        </w:rPr>
        <w:t>4</w:t>
      </w:r>
      <w:r>
        <w:rPr>
          <w:rFonts w:hint="eastAsia" w:ascii="宋体" w:hAnsi="宋体" w:cs="宋体"/>
          <w:b/>
          <w:bCs/>
          <w:kern w:val="0"/>
          <w:sz w:val="24"/>
          <w:highlight w:val="none"/>
          <w:lang w:val="en-US" w:eastAsia="zh-CN"/>
        </w:rPr>
        <w:t xml:space="preserve">  </w:t>
      </w:r>
      <w:r>
        <w:rPr>
          <w:rFonts w:hint="default" w:ascii="宋体" w:hAnsi="宋体" w:cs="宋体"/>
          <w:b/>
          <w:bCs/>
          <w:kern w:val="0"/>
          <w:sz w:val="24"/>
          <w:highlight w:val="none"/>
        </w:rPr>
        <w:t>投标文件的比较和评价</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 xml:space="preserve">    1.</w:t>
      </w:r>
      <w:r>
        <w:rPr>
          <w:rFonts w:hint="default" w:ascii="Times New Roman" w:hAnsi="Times New Roman" w:eastAsia="宋体" w:cs="Times New Roman"/>
          <w:b w:val="0"/>
          <w:bCs w:val="0"/>
          <w:sz w:val="21"/>
          <w:szCs w:val="21"/>
          <w:highlight w:val="none"/>
        </w:rPr>
        <w:t>4.1 评委会应按照招标文件中规定的评标方法和标准，对资格性检查和符合性检查合格的投标文件进行商务和技术评估，综合比较与评价。最低报价不做为中标的唯一条件。</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 xml:space="preserve">    1.</w:t>
      </w:r>
      <w:r>
        <w:rPr>
          <w:rFonts w:hint="default" w:ascii="Times New Roman" w:hAnsi="Times New Roman" w:eastAsia="宋体" w:cs="Times New Roman"/>
          <w:b w:val="0"/>
          <w:bCs w:val="0"/>
          <w:sz w:val="21"/>
          <w:szCs w:val="21"/>
          <w:highlight w:val="none"/>
        </w:rPr>
        <w:t>4.2 如果投标文件没有实质性响应招标文件的要求，评委会将予以拒绝。投标</w:t>
      </w:r>
      <w:r>
        <w:rPr>
          <w:rFonts w:hint="eastAsia" w:ascii="Times New Roman" w:hAnsi="Times New Roman" w:eastAsia="宋体" w:cs="Times New Roman"/>
          <w:b w:val="0"/>
          <w:bCs w:val="0"/>
          <w:sz w:val="21"/>
          <w:szCs w:val="21"/>
          <w:highlight w:val="none"/>
          <w:lang w:eastAsia="zh-CN"/>
        </w:rPr>
        <w:t>人</w:t>
      </w:r>
      <w:r>
        <w:rPr>
          <w:rFonts w:hint="default" w:ascii="Times New Roman" w:hAnsi="Times New Roman" w:eastAsia="宋体" w:cs="Times New Roman"/>
          <w:b w:val="0"/>
          <w:bCs w:val="0"/>
          <w:sz w:val="21"/>
          <w:szCs w:val="21"/>
          <w:highlight w:val="none"/>
        </w:rPr>
        <w:t>不得通过修正或</w:t>
      </w:r>
      <w:r>
        <w:rPr>
          <w:rFonts w:hint="eastAsia" w:ascii="Times New Roman" w:hAnsi="Times New Roman" w:eastAsia="宋体" w:cs="Times New Roman"/>
          <w:b w:val="0"/>
          <w:bCs w:val="0"/>
          <w:sz w:val="21"/>
          <w:szCs w:val="21"/>
          <w:highlight w:val="none"/>
          <w:lang w:eastAsia="zh-CN"/>
        </w:rPr>
        <w:t>撤销</w:t>
      </w:r>
      <w:r>
        <w:rPr>
          <w:rFonts w:hint="default" w:ascii="Times New Roman" w:hAnsi="Times New Roman" w:eastAsia="宋体" w:cs="Times New Roman"/>
          <w:b w:val="0"/>
          <w:bCs w:val="0"/>
          <w:sz w:val="21"/>
          <w:szCs w:val="21"/>
          <w:highlight w:val="none"/>
        </w:rPr>
        <w:t>不合要求的偏离或保留，从而使其投标成为实质性响应的投标。</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 xml:space="preserve">    1.</w:t>
      </w:r>
      <w:r>
        <w:rPr>
          <w:rFonts w:hint="default" w:ascii="Times New Roman" w:hAnsi="Times New Roman" w:eastAsia="宋体" w:cs="Times New Roman"/>
          <w:b w:val="0"/>
          <w:bCs w:val="0"/>
          <w:sz w:val="21"/>
          <w:szCs w:val="21"/>
          <w:highlight w:val="none"/>
        </w:rPr>
        <w:t>4.3 评标程序：采取逐项分步评审方式，每一步评审不符合者，不进入下一步评审，全部评审合格的投标人进行最后的综合评审和打分，按最后得分由高向低排序，推荐中标候选单位。</w:t>
      </w:r>
    </w:p>
    <w:p>
      <w:pPr>
        <w:spacing w:before="240" w:after="120"/>
        <w:jc w:val="left"/>
        <w:outlineLvl w:val="2"/>
        <w:rPr>
          <w:rFonts w:hint="default" w:ascii="宋体" w:hAnsi="宋体" w:cs="宋体"/>
          <w:b/>
          <w:bCs/>
          <w:sz w:val="28"/>
          <w:highlight w:val="none"/>
        </w:rPr>
      </w:pPr>
      <w:r>
        <w:rPr>
          <w:rFonts w:hint="eastAsia" w:ascii="宋体" w:hAnsi="宋体" w:cs="宋体"/>
          <w:b/>
          <w:bCs/>
          <w:sz w:val="28"/>
          <w:highlight w:val="none"/>
          <w:lang w:val="en-US" w:eastAsia="zh-CN"/>
        </w:rPr>
        <w:t>2</w:t>
      </w:r>
      <w:r>
        <w:rPr>
          <w:rFonts w:hint="default" w:ascii="宋体" w:hAnsi="宋体" w:cs="宋体"/>
          <w:b/>
          <w:bCs/>
          <w:sz w:val="28"/>
          <w:highlight w:val="none"/>
        </w:rPr>
        <w:t>、评标办法</w:t>
      </w:r>
    </w:p>
    <w:p>
      <w:pPr>
        <w:spacing w:line="500" w:lineRule="exact"/>
        <w:ind w:firstLine="420"/>
        <w:rPr>
          <w:szCs w:val="21"/>
        </w:rPr>
      </w:pPr>
      <w:r>
        <w:rPr>
          <w:rFonts w:hint="eastAsia"/>
          <w:szCs w:val="21"/>
        </w:rPr>
        <w:t>本次评标</w:t>
      </w:r>
      <w:r>
        <w:rPr>
          <w:szCs w:val="21"/>
        </w:rPr>
        <w:t>采用综合评分法。即在最大限度地满足招标文件实质性要求前提下，按照招标文件中规定的各项因素和相应的权重分值进行综合评审后，以总得分最高的投标人作为中标候选</w:t>
      </w:r>
      <w:r>
        <w:rPr>
          <w:rFonts w:hint="eastAsia"/>
          <w:szCs w:val="21"/>
        </w:rPr>
        <w:t>人</w:t>
      </w:r>
      <w:r>
        <w:rPr>
          <w:szCs w:val="21"/>
        </w:rPr>
        <w:t>并依次排序</w:t>
      </w:r>
      <w:r>
        <w:rPr>
          <w:rFonts w:hint="eastAsia"/>
          <w:szCs w:val="21"/>
        </w:rPr>
        <w:t>。</w:t>
      </w:r>
      <w:r>
        <w:rPr>
          <w:szCs w:val="21"/>
        </w:rPr>
        <w:t>评标委员会将综合分析</w:t>
      </w:r>
      <w:r>
        <w:rPr>
          <w:rFonts w:hint="eastAsia"/>
          <w:szCs w:val="21"/>
        </w:rPr>
        <w:t>投标人</w:t>
      </w:r>
      <w:r>
        <w:rPr>
          <w:szCs w:val="21"/>
        </w:rPr>
        <w:t>的各项评审因素，而不以单项评审因素的优劣评选出中标单位。对所有</w:t>
      </w:r>
      <w:r>
        <w:rPr>
          <w:rFonts w:hint="eastAsia"/>
          <w:szCs w:val="21"/>
        </w:rPr>
        <w:t>投标人</w:t>
      </w:r>
      <w:r>
        <w:rPr>
          <w:szCs w:val="21"/>
        </w:rPr>
        <w:t>的投标评估，都采用相同的程序和标准，严格按照招标文件的要求和条件进行。</w:t>
      </w:r>
    </w:p>
    <w:p>
      <w:pPr>
        <w:spacing w:before="240" w:after="120"/>
        <w:jc w:val="left"/>
        <w:outlineLvl w:val="2"/>
        <w:rPr>
          <w:rFonts w:ascii="宋体" w:hAnsi="宋体" w:cs="宋体"/>
          <w:b/>
          <w:bCs/>
          <w:kern w:val="0"/>
          <w:sz w:val="24"/>
        </w:rPr>
      </w:pPr>
      <w:r>
        <w:rPr>
          <w:rFonts w:hint="eastAsia" w:ascii="宋体" w:hAnsi="宋体" w:cs="宋体"/>
          <w:b/>
          <w:bCs/>
          <w:kern w:val="0"/>
          <w:sz w:val="24"/>
        </w:rPr>
        <w:t>2.</w:t>
      </w:r>
      <w:r>
        <w:rPr>
          <w:rFonts w:ascii="宋体" w:hAnsi="宋体" w:cs="宋体"/>
          <w:b/>
          <w:bCs/>
          <w:kern w:val="0"/>
          <w:sz w:val="24"/>
        </w:rPr>
        <w:t>2</w:t>
      </w:r>
      <w:r>
        <w:rPr>
          <w:rFonts w:hint="eastAsia" w:ascii="宋体" w:hAnsi="宋体" w:cs="宋体"/>
          <w:b/>
          <w:bCs/>
          <w:kern w:val="0"/>
          <w:sz w:val="24"/>
        </w:rPr>
        <w:t xml:space="preserve">  </w:t>
      </w:r>
      <w:r>
        <w:rPr>
          <w:rFonts w:ascii="宋体" w:hAnsi="宋体" w:cs="宋体"/>
          <w:b/>
          <w:bCs/>
          <w:kern w:val="0"/>
          <w:sz w:val="24"/>
        </w:rPr>
        <w:t>评标细则及标准：</w:t>
      </w:r>
    </w:p>
    <w:p>
      <w:pPr>
        <w:spacing w:line="500" w:lineRule="exact"/>
        <w:rPr>
          <w:szCs w:val="21"/>
        </w:rPr>
      </w:pPr>
      <w:r>
        <w:rPr>
          <w:rFonts w:hint="eastAsia"/>
          <w:szCs w:val="21"/>
        </w:rPr>
        <w:t xml:space="preserve">    2.</w:t>
      </w:r>
      <w:r>
        <w:rPr>
          <w:szCs w:val="21"/>
        </w:rPr>
        <w:t>2.1 评标委员会将综合分析投标</w:t>
      </w:r>
      <w:r>
        <w:rPr>
          <w:rFonts w:hint="eastAsia"/>
          <w:szCs w:val="21"/>
        </w:rPr>
        <w:t>人</w:t>
      </w:r>
      <w:r>
        <w:rPr>
          <w:szCs w:val="21"/>
        </w:rPr>
        <w:t>的各项评审因素，而不以单项评审因素的优劣评选出中标单位。对所有</w:t>
      </w:r>
      <w:r>
        <w:rPr>
          <w:rFonts w:hint="eastAsia"/>
          <w:szCs w:val="21"/>
        </w:rPr>
        <w:t>投标人</w:t>
      </w:r>
      <w:r>
        <w:rPr>
          <w:szCs w:val="21"/>
        </w:rPr>
        <w:t>的投标评估，都采用相同的程序和标准，严格按照招标文件的要求和条件进行。</w:t>
      </w:r>
    </w:p>
    <w:p>
      <w:pPr>
        <w:spacing w:line="500" w:lineRule="exact"/>
        <w:ind w:firstLine="420" w:firstLineChars="200"/>
        <w:rPr>
          <w:szCs w:val="21"/>
        </w:rPr>
      </w:pPr>
      <w:r>
        <w:rPr>
          <w:rFonts w:hint="eastAsia"/>
          <w:szCs w:val="21"/>
        </w:rPr>
        <w:t>2.</w:t>
      </w:r>
      <w:r>
        <w:rPr>
          <w:szCs w:val="21"/>
        </w:rPr>
        <w:t>2.2 评审因素包括：价格、技术、信誉、业绩、服务、对招标文件的响应程度，以及相应的比重或者权值等，但不包括</w:t>
      </w:r>
      <w:r>
        <w:rPr>
          <w:rFonts w:hint="eastAsia"/>
          <w:szCs w:val="21"/>
        </w:rPr>
        <w:t>“</w:t>
      </w:r>
      <w:r>
        <w:rPr>
          <w:szCs w:val="21"/>
        </w:rPr>
        <w:t>投标人须知前附表</w:t>
      </w:r>
      <w:r>
        <w:rPr>
          <w:rFonts w:hint="eastAsia"/>
          <w:szCs w:val="21"/>
        </w:rPr>
        <w:t>”</w:t>
      </w:r>
      <w:r>
        <w:rPr>
          <w:szCs w:val="21"/>
        </w:rPr>
        <w:t>规定的</w:t>
      </w:r>
      <w:r>
        <w:rPr>
          <w:rFonts w:hint="eastAsia"/>
          <w:szCs w:val="21"/>
        </w:rPr>
        <w:t>投标人</w:t>
      </w:r>
      <w:r>
        <w:rPr>
          <w:szCs w:val="21"/>
        </w:rPr>
        <w:t>资格条件。</w:t>
      </w:r>
    </w:p>
    <w:p>
      <w:pPr>
        <w:spacing w:line="500" w:lineRule="exact"/>
        <w:ind w:firstLine="420" w:firstLineChars="200"/>
        <w:rPr>
          <w:szCs w:val="21"/>
        </w:rPr>
      </w:pPr>
      <w:r>
        <w:rPr>
          <w:rFonts w:hint="eastAsia"/>
          <w:szCs w:val="21"/>
        </w:rPr>
        <w:t>2.</w:t>
      </w:r>
      <w:r>
        <w:rPr>
          <w:szCs w:val="21"/>
        </w:rPr>
        <w:t>2.3 综合评分操作程序为：</w:t>
      </w:r>
    </w:p>
    <w:p>
      <w:pPr>
        <w:spacing w:line="500" w:lineRule="exact"/>
        <w:ind w:firstLine="420" w:firstLineChars="200"/>
        <w:rPr>
          <w:szCs w:val="21"/>
        </w:rPr>
      </w:pPr>
      <w:r>
        <w:rPr>
          <w:rFonts w:hint="eastAsia"/>
          <w:szCs w:val="21"/>
        </w:rPr>
        <w:t>2.</w:t>
      </w:r>
      <w:r>
        <w:rPr>
          <w:szCs w:val="21"/>
        </w:rPr>
        <w:t>2.3.1</w:t>
      </w:r>
      <w:r>
        <w:rPr>
          <w:rFonts w:hint="eastAsia"/>
          <w:szCs w:val="21"/>
        </w:rPr>
        <w:t xml:space="preserve"> </w:t>
      </w:r>
      <w:r>
        <w:rPr>
          <w:szCs w:val="21"/>
        </w:rPr>
        <w:t>根据招标文件和评标原则，按下表《综合评分明细表》所列评分因素和各评分因素的权重进行评标。</w:t>
      </w:r>
    </w:p>
    <w:p>
      <w:pPr>
        <w:spacing w:line="500" w:lineRule="exact"/>
        <w:ind w:firstLine="420" w:firstLineChars="200"/>
        <w:rPr>
          <w:szCs w:val="21"/>
        </w:rPr>
      </w:pPr>
      <w:r>
        <w:rPr>
          <w:rFonts w:hint="eastAsia"/>
          <w:szCs w:val="21"/>
        </w:rPr>
        <w:t>2.</w:t>
      </w:r>
      <w:r>
        <w:rPr>
          <w:szCs w:val="21"/>
        </w:rPr>
        <w:t>2.3.2</w:t>
      </w:r>
      <w:r>
        <w:rPr>
          <w:rFonts w:hint="eastAsia"/>
          <w:szCs w:val="21"/>
        </w:rPr>
        <w:t xml:space="preserve"> 评标价格的确定： </w:t>
      </w:r>
    </w:p>
    <w:p>
      <w:pPr>
        <w:spacing w:line="500" w:lineRule="exact"/>
        <w:ind w:firstLine="420" w:firstLineChars="200"/>
        <w:rPr>
          <w:szCs w:val="21"/>
        </w:rPr>
      </w:pPr>
      <w:r>
        <w:rPr>
          <w:rFonts w:hint="eastAsia"/>
          <w:szCs w:val="21"/>
        </w:rPr>
        <w:t>2.2.3.2.1 对于不享受政策性优惠价格调整的投标价格，</w:t>
      </w:r>
      <w:r>
        <w:rPr>
          <w:szCs w:val="21"/>
        </w:rPr>
        <w:t>按照财政部财库【2007】2号、【2020】46号文件的有关规定，以本次满足投标文件要求的最低投标评审价为评审基准价，其价格为满分。</w:t>
      </w:r>
    </w:p>
    <w:p>
      <w:pPr>
        <w:spacing w:line="500" w:lineRule="exact"/>
        <w:rPr>
          <w:szCs w:val="21"/>
        </w:rPr>
      </w:pPr>
      <w:r>
        <w:rPr>
          <w:rFonts w:hint="eastAsia"/>
          <w:szCs w:val="21"/>
        </w:rPr>
        <w:t xml:space="preserve">    </w:t>
      </w:r>
      <w:r>
        <w:rPr>
          <w:szCs w:val="21"/>
        </w:rPr>
        <w:t>（</w:t>
      </w:r>
      <w:r>
        <w:rPr>
          <w:rFonts w:hint="eastAsia"/>
          <w:szCs w:val="21"/>
        </w:rPr>
        <w:t>1</w:t>
      </w:r>
      <w:r>
        <w:rPr>
          <w:szCs w:val="21"/>
        </w:rPr>
        <w:t>）如果同一包为单一产品，或同一包为多种产品，全部符合政策优惠条件的（即小微企业自身生产或中小企业代理的小微企业生产的产品），对总报价进行调整，调整后的报价作为投标评审价。投标评审价按下列公示计算：</w:t>
      </w:r>
    </w:p>
    <w:p>
      <w:pPr>
        <w:spacing w:line="500" w:lineRule="exact"/>
        <w:jc w:val="center"/>
        <w:rPr>
          <w:b/>
          <w:bCs/>
          <w:szCs w:val="21"/>
        </w:rPr>
      </w:pPr>
      <w:r>
        <w:rPr>
          <w:b/>
          <w:bCs/>
          <w:szCs w:val="21"/>
        </w:rPr>
        <w:t>投标评审价=投标报价×（1-投标报价折扣幅度）</w:t>
      </w:r>
    </w:p>
    <w:p>
      <w:pPr>
        <w:spacing w:line="500" w:lineRule="exact"/>
        <w:ind w:firstLine="420" w:firstLineChars="200"/>
        <w:rPr>
          <w:szCs w:val="21"/>
        </w:rPr>
      </w:pPr>
      <w:r>
        <w:rPr>
          <w:szCs w:val="21"/>
        </w:rPr>
        <w:t>（</w:t>
      </w:r>
      <w:r>
        <w:rPr>
          <w:rFonts w:hint="eastAsia"/>
          <w:szCs w:val="21"/>
          <w:lang w:val="en-US" w:eastAsia="zh-CN"/>
        </w:rPr>
        <w:t>2</w:t>
      </w:r>
      <w:r>
        <w:rPr>
          <w:szCs w:val="21"/>
        </w:rPr>
        <w:t>）</w:t>
      </w:r>
      <w:r>
        <w:rPr>
          <w:rFonts w:hint="eastAsia"/>
          <w:szCs w:val="21"/>
        </w:rPr>
        <w:t>投标人</w:t>
      </w:r>
      <w:r>
        <w:rPr>
          <w:szCs w:val="21"/>
        </w:rPr>
        <w:t>的价格得分按下列公式计算：</w:t>
      </w:r>
    </w:p>
    <w:p>
      <w:pPr>
        <w:spacing w:line="500" w:lineRule="exact"/>
        <w:ind w:firstLine="422" w:firstLineChars="200"/>
        <w:jc w:val="center"/>
        <w:rPr>
          <w:b/>
          <w:bCs/>
          <w:szCs w:val="21"/>
        </w:rPr>
      </w:pPr>
      <w:r>
        <w:rPr>
          <w:b/>
          <w:bCs/>
          <w:szCs w:val="21"/>
        </w:rPr>
        <w:t>投标报价得分=</w:t>
      </w:r>
      <w:r>
        <w:rPr>
          <w:rFonts w:hint="eastAsia"/>
          <w:b/>
          <w:bCs/>
          <w:szCs w:val="21"/>
        </w:rPr>
        <w:t>（</w:t>
      </w:r>
      <w:r>
        <w:rPr>
          <w:b/>
          <w:bCs/>
          <w:szCs w:val="21"/>
        </w:rPr>
        <w:t>投标基准价／投标评审价</w:t>
      </w:r>
      <w:r>
        <w:rPr>
          <w:rFonts w:hint="eastAsia"/>
          <w:b/>
          <w:bCs/>
          <w:szCs w:val="21"/>
        </w:rPr>
        <w:t>）</w:t>
      </w:r>
      <w:r>
        <w:rPr>
          <w:b/>
          <w:bCs/>
          <w:szCs w:val="21"/>
        </w:rPr>
        <w:t>×价格权值×100</w:t>
      </w:r>
    </w:p>
    <w:p>
      <w:pPr>
        <w:spacing w:line="500" w:lineRule="exact"/>
        <w:ind w:firstLine="420" w:firstLineChars="200"/>
        <w:rPr>
          <w:rFonts w:hint="eastAsia"/>
          <w:szCs w:val="21"/>
        </w:rPr>
      </w:pPr>
      <w:r>
        <w:rPr>
          <w:rFonts w:hint="eastAsia"/>
          <w:szCs w:val="21"/>
        </w:rPr>
        <w:t xml:space="preserve">   2.2.3.2.2 节能、环境标志产品的报价折扣幅度标准：</w:t>
      </w:r>
    </w:p>
    <w:p>
      <w:pPr>
        <w:spacing w:line="500" w:lineRule="exact"/>
        <w:ind w:firstLine="420" w:firstLineChars="200"/>
        <w:rPr>
          <w:rFonts w:hint="eastAsia"/>
          <w:szCs w:val="21"/>
        </w:rPr>
      </w:pPr>
      <w:r>
        <w:rPr>
          <w:rFonts w:hint="eastAsia"/>
          <w:szCs w:val="21"/>
        </w:rPr>
        <w:t>（1）</w:t>
      </w:r>
      <w:r>
        <w:rPr>
          <w:rFonts w:hint="eastAsia"/>
          <w:color w:val="000000"/>
          <w:szCs w:val="21"/>
        </w:rPr>
        <w:t>所投产品属于节能或环保产品的，以《政府采购品目清单》为准，属于强制采购的产品，不再给予价格优惠。</w:t>
      </w:r>
    </w:p>
    <w:p>
      <w:pPr>
        <w:spacing w:line="500" w:lineRule="exact"/>
        <w:ind w:firstLine="420" w:firstLineChars="200"/>
        <w:rPr>
          <w:rFonts w:hint="eastAsia"/>
          <w:szCs w:val="21"/>
        </w:rPr>
      </w:pPr>
      <w:r>
        <w:rPr>
          <w:rFonts w:hint="eastAsia"/>
          <w:szCs w:val="21"/>
        </w:rPr>
        <w:t>（2）参与投标的所有投标产品进入节能清单的，其投标价的计算：</w:t>
      </w:r>
    </w:p>
    <w:p>
      <w:pPr>
        <w:spacing w:line="500" w:lineRule="exact"/>
        <w:jc w:val="center"/>
        <w:rPr>
          <w:rFonts w:hint="eastAsia"/>
          <w:b/>
          <w:bCs/>
          <w:szCs w:val="21"/>
        </w:rPr>
      </w:pPr>
      <w:r>
        <w:rPr>
          <w:rFonts w:hint="eastAsia"/>
          <w:b/>
          <w:bCs/>
          <w:szCs w:val="21"/>
        </w:rPr>
        <w:t>评标价=投标报价*（1-3%）（注：不是所有投标产品的不享受此项优惠）</w:t>
      </w:r>
    </w:p>
    <w:p>
      <w:pPr>
        <w:spacing w:line="500" w:lineRule="exact"/>
        <w:ind w:firstLine="420" w:firstLineChars="200"/>
        <w:rPr>
          <w:rFonts w:hint="eastAsia"/>
          <w:szCs w:val="21"/>
        </w:rPr>
      </w:pPr>
      <w:r>
        <w:rPr>
          <w:rFonts w:hint="eastAsia"/>
          <w:szCs w:val="21"/>
        </w:rPr>
        <w:t>（3）参与投标的所有投标产品进入环境标志产品清单的，其投标价的计算：</w:t>
      </w:r>
    </w:p>
    <w:p>
      <w:pPr>
        <w:spacing w:line="500" w:lineRule="exact"/>
        <w:jc w:val="center"/>
      </w:pPr>
      <w:r>
        <w:rPr>
          <w:rFonts w:hint="eastAsia"/>
          <w:b/>
          <w:bCs/>
          <w:szCs w:val="21"/>
        </w:rPr>
        <w:t>其评标价=投标报价*（1-1%）（注：不是所有投标产品的不享受此项优惠）</w:t>
      </w:r>
    </w:p>
    <w:p>
      <w:pPr>
        <w:spacing w:line="500" w:lineRule="exact"/>
        <w:ind w:firstLine="420" w:firstLineChars="200"/>
        <w:rPr>
          <w:szCs w:val="21"/>
        </w:rPr>
      </w:pPr>
      <w:r>
        <w:rPr>
          <w:rFonts w:hint="eastAsia"/>
          <w:szCs w:val="21"/>
        </w:rPr>
        <w:t>2.2.3.2.</w:t>
      </w:r>
      <w:r>
        <w:rPr>
          <w:rFonts w:hint="eastAsia"/>
          <w:szCs w:val="21"/>
          <w:lang w:val="en-US" w:eastAsia="zh-CN"/>
        </w:rPr>
        <w:t>3</w:t>
      </w:r>
      <w:r>
        <w:rPr>
          <w:rFonts w:hint="eastAsia"/>
          <w:szCs w:val="21"/>
        </w:rPr>
        <w:t xml:space="preserve"> 中小企业（含联合体）、监狱企业、残疾人福利性企业</w:t>
      </w:r>
      <w:r>
        <w:rPr>
          <w:szCs w:val="21"/>
        </w:rPr>
        <w:t>的</w:t>
      </w:r>
      <w:r>
        <w:rPr>
          <w:rFonts w:hint="eastAsia"/>
          <w:szCs w:val="21"/>
        </w:rPr>
        <w:t>评标价计算规则</w:t>
      </w:r>
      <w:r>
        <w:rPr>
          <w:szCs w:val="21"/>
        </w:rPr>
        <w:t>：</w:t>
      </w:r>
    </w:p>
    <w:p>
      <w:pPr>
        <w:spacing w:line="500" w:lineRule="exact"/>
        <w:ind w:firstLine="420" w:firstLineChars="200"/>
        <w:rPr>
          <w:szCs w:val="21"/>
        </w:rPr>
      </w:pPr>
      <w:r>
        <w:rPr>
          <w:rFonts w:hint="eastAsia"/>
          <w:szCs w:val="21"/>
        </w:rPr>
        <w:t>（1）、《政府采购促进中小企业发展管理办法》（财库[2020]46号）中所称中小企业（含中型、小型、微型企业，下同）应当同时符合以下条件：</w:t>
      </w:r>
    </w:p>
    <w:p>
      <w:pPr>
        <w:spacing w:line="500" w:lineRule="exact"/>
        <w:ind w:firstLine="420" w:firstLineChars="200"/>
        <w:rPr>
          <w:szCs w:val="21"/>
        </w:rPr>
      </w:pPr>
      <w:r>
        <w:rPr>
          <w:rFonts w:hint="eastAsia"/>
          <w:szCs w:val="21"/>
        </w:rPr>
        <w:t>a、符合中小企业划分标准；</w:t>
      </w:r>
    </w:p>
    <w:p>
      <w:pPr>
        <w:spacing w:line="500" w:lineRule="exact"/>
        <w:ind w:firstLine="420" w:firstLineChars="200"/>
        <w:rPr>
          <w:szCs w:val="21"/>
        </w:rPr>
      </w:pPr>
      <w:r>
        <w:rPr>
          <w:rFonts w:hint="eastAsia"/>
          <w:szCs w:val="21"/>
        </w:rPr>
        <w:t>b、投标提供本企业制造的货物、承担的工程或者服务，或者提供其他中小企业制造的货物。本项所称货物不包括使用大型企业注册商标的货物。</w:t>
      </w:r>
    </w:p>
    <w:p>
      <w:pPr>
        <w:spacing w:line="500" w:lineRule="exact"/>
        <w:ind w:firstLine="420" w:firstLineChars="200"/>
        <w:rPr>
          <w:szCs w:val="21"/>
        </w:rPr>
      </w:pPr>
      <w:r>
        <w:rPr>
          <w:rFonts w:hint="eastAsia"/>
          <w:szCs w:val="21"/>
        </w:rPr>
        <w:t>（2）、本办法所称中小企业划分标准，是指国务院有关部门根据企业从业人员、营业收入、资产总额等指标制定的中小企业划型标准（工信部联企业〔2011〕300号）；</w:t>
      </w:r>
    </w:p>
    <w:p>
      <w:pPr>
        <w:spacing w:line="500" w:lineRule="exact"/>
        <w:ind w:firstLine="420" w:firstLineChars="200"/>
        <w:rPr>
          <w:szCs w:val="21"/>
        </w:rPr>
      </w:pPr>
      <w:r>
        <w:rPr>
          <w:rFonts w:hint="eastAsia"/>
          <w:szCs w:val="21"/>
        </w:rPr>
        <w:t>（3）、小型、微型企业提供有中型企业制造的货物的，视同为中型企业；小型、微型、中型企业提供有大型企业制造的货物的，视同为大型企业。</w:t>
      </w:r>
    </w:p>
    <w:p>
      <w:pPr>
        <w:spacing w:line="500" w:lineRule="exact"/>
        <w:ind w:firstLine="420" w:firstLineChars="200"/>
        <w:rPr>
          <w:szCs w:val="21"/>
        </w:rPr>
      </w:pPr>
      <w:r>
        <w:rPr>
          <w:rFonts w:hint="eastAsia"/>
          <w:szCs w:val="21"/>
        </w:rPr>
        <w:t>（4）、《关于政府采购支持监狱企业发展有关问题的通知》（财库[2014]68号）中所称监狱企业，</w:t>
      </w:r>
      <w:r>
        <w:rPr>
          <w:szCs w:val="21"/>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spacing w:line="500" w:lineRule="exact"/>
        <w:ind w:firstLine="420" w:firstLineChars="200"/>
        <w:rPr>
          <w:szCs w:val="21"/>
        </w:rPr>
      </w:pPr>
      <w:r>
        <w:rPr>
          <w:rFonts w:hint="eastAsia" w:ascii="宋体" w:hAnsi="宋体"/>
          <w:szCs w:val="21"/>
        </w:rPr>
        <w:t>（5）</w:t>
      </w:r>
      <w:r>
        <w:rPr>
          <w:rFonts w:hint="eastAsia" w:ascii="宋体" w:hAnsi="宋体"/>
          <w:szCs w:val="21"/>
          <w:lang w:eastAsia="zh-CN"/>
        </w:rPr>
        <w:t>、</w:t>
      </w:r>
      <w:r>
        <w:rPr>
          <w:rFonts w:hint="eastAsia" w:ascii="宋体" w:hAnsi="宋体"/>
          <w:szCs w:val="21"/>
        </w:rPr>
        <w:t>残疾人福利性企业应符合</w:t>
      </w:r>
      <w:r>
        <w:rPr>
          <w:szCs w:val="21"/>
        </w:rPr>
        <w:t>《</w:t>
      </w:r>
      <w:r>
        <w:rPr>
          <w:rFonts w:hint="eastAsia"/>
          <w:szCs w:val="21"/>
        </w:rPr>
        <w:t>关于促进残疾人就业政府采购政策的通知</w:t>
      </w:r>
      <w:r>
        <w:rPr>
          <w:szCs w:val="21"/>
        </w:rPr>
        <w:t>》</w:t>
      </w:r>
      <w:r>
        <w:rPr>
          <w:rFonts w:hint="eastAsia"/>
          <w:szCs w:val="21"/>
        </w:rPr>
        <w:t>的规定；</w:t>
      </w:r>
    </w:p>
    <w:p>
      <w:pPr>
        <w:spacing w:line="500" w:lineRule="exact"/>
        <w:ind w:firstLine="420" w:firstLineChars="200"/>
        <w:rPr>
          <w:szCs w:val="21"/>
        </w:rPr>
      </w:pPr>
      <w:r>
        <w:rPr>
          <w:rFonts w:hint="eastAsia"/>
          <w:szCs w:val="21"/>
        </w:rPr>
        <w:t>（6）</w:t>
      </w:r>
      <w:r>
        <w:rPr>
          <w:rFonts w:hint="eastAsia"/>
          <w:szCs w:val="21"/>
          <w:lang w:eastAsia="zh-CN"/>
        </w:rPr>
        <w:t>、</w:t>
      </w:r>
      <w:r>
        <w:rPr>
          <w:rFonts w:hint="eastAsia"/>
          <w:szCs w:val="21"/>
        </w:rPr>
        <w:t>中小企业、监狱和</w:t>
      </w:r>
      <w:r>
        <w:rPr>
          <w:szCs w:val="21"/>
        </w:rPr>
        <w:t>戒毒企业</w:t>
      </w:r>
      <w:r>
        <w:rPr>
          <w:rFonts w:hint="eastAsia"/>
          <w:szCs w:val="21"/>
        </w:rPr>
        <w:t>、</w:t>
      </w:r>
      <w:r>
        <w:rPr>
          <w:rFonts w:hint="eastAsia" w:ascii="宋体" w:hAnsi="宋体"/>
          <w:szCs w:val="21"/>
        </w:rPr>
        <w:t>残疾人福利性企业</w:t>
      </w:r>
      <w:r>
        <w:rPr>
          <w:rFonts w:hint="eastAsia"/>
          <w:szCs w:val="21"/>
        </w:rPr>
        <w:t>评标价的计算：</w:t>
      </w:r>
    </w:p>
    <w:p>
      <w:pPr>
        <w:spacing w:line="500" w:lineRule="exact"/>
        <w:ind w:firstLine="420" w:firstLineChars="200"/>
        <w:rPr>
          <w:szCs w:val="21"/>
        </w:rPr>
      </w:pPr>
      <w:r>
        <w:rPr>
          <w:rFonts w:hint="eastAsia"/>
          <w:szCs w:val="21"/>
        </w:rPr>
        <w:t>a、投标人为非联合体投标的情况：</w:t>
      </w:r>
    </w:p>
    <w:p>
      <w:pPr>
        <w:spacing w:line="500" w:lineRule="exact"/>
        <w:jc w:val="center"/>
        <w:rPr>
          <w:b/>
          <w:bCs/>
          <w:szCs w:val="21"/>
        </w:rPr>
      </w:pPr>
      <w:r>
        <w:rPr>
          <w:b/>
          <w:bCs/>
          <w:szCs w:val="21"/>
        </w:rPr>
        <w:t>小型企业，其评标价=投标报价*（1-</w:t>
      </w:r>
      <w:r>
        <w:rPr>
          <w:rFonts w:hint="eastAsia"/>
          <w:b/>
          <w:bCs/>
          <w:szCs w:val="21"/>
        </w:rPr>
        <w:t>10</w:t>
      </w:r>
      <w:r>
        <w:rPr>
          <w:b/>
          <w:bCs/>
          <w:szCs w:val="21"/>
        </w:rPr>
        <w:t>%）；</w:t>
      </w:r>
    </w:p>
    <w:p>
      <w:pPr>
        <w:spacing w:line="500" w:lineRule="exact"/>
        <w:jc w:val="center"/>
        <w:rPr>
          <w:b/>
          <w:bCs/>
          <w:szCs w:val="21"/>
        </w:rPr>
      </w:pPr>
      <w:r>
        <w:rPr>
          <w:b/>
          <w:bCs/>
          <w:szCs w:val="21"/>
        </w:rPr>
        <w:t>微型企业，其评标价=投标报价*（1-</w:t>
      </w:r>
      <w:r>
        <w:rPr>
          <w:rFonts w:hint="eastAsia"/>
          <w:b/>
          <w:bCs/>
          <w:szCs w:val="21"/>
        </w:rPr>
        <w:t>10</w:t>
      </w:r>
      <w:r>
        <w:rPr>
          <w:b/>
          <w:bCs/>
          <w:szCs w:val="21"/>
        </w:rPr>
        <w:t>%）；</w:t>
      </w:r>
    </w:p>
    <w:p>
      <w:pPr>
        <w:spacing w:line="500" w:lineRule="exact"/>
        <w:jc w:val="center"/>
        <w:rPr>
          <w:b/>
          <w:bCs/>
          <w:szCs w:val="21"/>
        </w:rPr>
      </w:pPr>
      <w:r>
        <w:rPr>
          <w:b/>
          <w:bCs/>
          <w:szCs w:val="21"/>
        </w:rPr>
        <w:t>监狱企业，其评标价=投标报价*（1-</w:t>
      </w:r>
      <w:r>
        <w:rPr>
          <w:rFonts w:hint="eastAsia"/>
          <w:b/>
          <w:bCs/>
          <w:szCs w:val="21"/>
        </w:rPr>
        <w:t>6</w:t>
      </w:r>
      <w:r>
        <w:rPr>
          <w:b/>
          <w:bCs/>
          <w:szCs w:val="21"/>
        </w:rPr>
        <w:t>%）</w:t>
      </w:r>
      <w:r>
        <w:rPr>
          <w:rFonts w:hint="eastAsia"/>
          <w:b/>
          <w:bCs/>
          <w:szCs w:val="21"/>
        </w:rPr>
        <w:t>；</w:t>
      </w:r>
    </w:p>
    <w:p>
      <w:pPr>
        <w:spacing w:line="500" w:lineRule="exact"/>
        <w:jc w:val="center"/>
        <w:rPr>
          <w:b/>
          <w:bCs/>
          <w:szCs w:val="21"/>
        </w:rPr>
      </w:pPr>
      <w:r>
        <w:rPr>
          <w:rFonts w:hint="eastAsia"/>
          <w:b/>
          <w:bCs/>
          <w:szCs w:val="21"/>
        </w:rPr>
        <w:t>残疾人福利性企业，其评标价</w:t>
      </w:r>
      <w:r>
        <w:rPr>
          <w:b/>
          <w:bCs/>
          <w:szCs w:val="21"/>
        </w:rPr>
        <w:t>=投标报价*（1-6%）</w:t>
      </w:r>
      <w:r>
        <w:rPr>
          <w:rFonts w:hint="eastAsia"/>
          <w:b/>
          <w:bCs/>
          <w:szCs w:val="21"/>
        </w:rPr>
        <w:t>。</w:t>
      </w:r>
    </w:p>
    <w:p>
      <w:pPr>
        <w:spacing w:line="500" w:lineRule="exact"/>
        <w:ind w:firstLine="420" w:firstLineChars="200"/>
        <w:rPr>
          <w:szCs w:val="21"/>
        </w:rPr>
      </w:pPr>
      <w:r>
        <w:rPr>
          <w:rFonts w:hint="eastAsia"/>
          <w:szCs w:val="21"/>
        </w:rPr>
        <w:t>b、投标人为</w:t>
      </w:r>
      <w:r>
        <w:rPr>
          <w:szCs w:val="21"/>
        </w:rPr>
        <w:t>联合体投标</w:t>
      </w:r>
      <w:r>
        <w:rPr>
          <w:rFonts w:hint="eastAsia"/>
          <w:szCs w:val="21"/>
        </w:rPr>
        <w:t>且联合协议中</w:t>
      </w:r>
      <w:r>
        <w:rPr>
          <w:szCs w:val="21"/>
        </w:rPr>
        <w:t>约定小型、微型企业</w:t>
      </w:r>
      <w:r>
        <w:rPr>
          <w:rFonts w:hint="eastAsia"/>
          <w:szCs w:val="21"/>
        </w:rPr>
        <w:t>、监狱企业、残疾人福利性单位</w:t>
      </w:r>
      <w:r>
        <w:rPr>
          <w:szCs w:val="21"/>
        </w:rPr>
        <w:t>的协议合同金额占到联合体协议合同总金额30%以上的，</w:t>
      </w:r>
      <w:r>
        <w:rPr>
          <w:rFonts w:hint="eastAsia"/>
          <w:szCs w:val="21"/>
        </w:rPr>
        <w:t>按照以下规则进行评标价计算：</w:t>
      </w:r>
    </w:p>
    <w:p>
      <w:pPr>
        <w:spacing w:line="500" w:lineRule="exact"/>
        <w:jc w:val="center"/>
        <w:rPr>
          <w:b/>
          <w:bCs/>
          <w:szCs w:val="21"/>
        </w:rPr>
      </w:pPr>
      <w:r>
        <w:rPr>
          <w:b/>
          <w:bCs/>
          <w:szCs w:val="21"/>
        </w:rPr>
        <w:t>与小型企业联合的，其评标价=投标报价*（1-</w:t>
      </w:r>
      <w:r>
        <w:rPr>
          <w:rFonts w:hint="eastAsia"/>
          <w:b/>
          <w:bCs/>
          <w:szCs w:val="21"/>
        </w:rPr>
        <w:t>4</w:t>
      </w:r>
      <w:r>
        <w:rPr>
          <w:b/>
          <w:bCs/>
          <w:szCs w:val="21"/>
        </w:rPr>
        <w:t>%）；</w:t>
      </w:r>
    </w:p>
    <w:p>
      <w:pPr>
        <w:spacing w:line="500" w:lineRule="exact"/>
        <w:jc w:val="center"/>
        <w:rPr>
          <w:b/>
          <w:bCs/>
          <w:szCs w:val="21"/>
        </w:rPr>
      </w:pPr>
      <w:r>
        <w:rPr>
          <w:b/>
          <w:bCs/>
          <w:szCs w:val="21"/>
        </w:rPr>
        <w:t>与微型企业联合的，其评标价=投标报价*（1-</w:t>
      </w:r>
      <w:r>
        <w:rPr>
          <w:rFonts w:hint="eastAsia"/>
          <w:b/>
          <w:bCs/>
          <w:szCs w:val="21"/>
        </w:rPr>
        <w:t>4</w:t>
      </w:r>
      <w:r>
        <w:rPr>
          <w:b/>
          <w:bCs/>
          <w:szCs w:val="21"/>
        </w:rPr>
        <w:t>%）</w:t>
      </w:r>
      <w:r>
        <w:rPr>
          <w:rFonts w:hint="eastAsia"/>
          <w:b/>
          <w:bCs/>
          <w:szCs w:val="21"/>
        </w:rPr>
        <w:t>；</w:t>
      </w:r>
    </w:p>
    <w:p>
      <w:pPr>
        <w:spacing w:line="500" w:lineRule="exact"/>
        <w:jc w:val="center"/>
        <w:rPr>
          <w:b/>
          <w:bCs/>
          <w:szCs w:val="21"/>
        </w:rPr>
      </w:pPr>
      <w:r>
        <w:rPr>
          <w:b/>
          <w:bCs/>
          <w:szCs w:val="21"/>
        </w:rPr>
        <w:t>与监狱企业联合的，其评标价=投标报价*（1-2%）</w:t>
      </w:r>
      <w:r>
        <w:rPr>
          <w:rFonts w:hint="eastAsia"/>
          <w:b/>
          <w:bCs/>
          <w:szCs w:val="21"/>
        </w:rPr>
        <w:t>；</w:t>
      </w:r>
    </w:p>
    <w:p>
      <w:pPr>
        <w:spacing w:line="500" w:lineRule="exact"/>
        <w:jc w:val="center"/>
        <w:rPr>
          <w:b/>
          <w:bCs/>
          <w:szCs w:val="21"/>
        </w:rPr>
      </w:pPr>
      <w:r>
        <w:rPr>
          <w:b/>
          <w:bCs/>
          <w:szCs w:val="21"/>
        </w:rPr>
        <w:t>与</w:t>
      </w:r>
      <w:r>
        <w:rPr>
          <w:rFonts w:hint="eastAsia"/>
          <w:b/>
          <w:bCs/>
          <w:szCs w:val="21"/>
        </w:rPr>
        <w:t>残疾人福利性企业</w:t>
      </w:r>
      <w:r>
        <w:rPr>
          <w:b/>
          <w:bCs/>
          <w:szCs w:val="21"/>
        </w:rPr>
        <w:t>联合的，其评标价=投标报价*（1-2%）</w:t>
      </w:r>
      <w:r>
        <w:rPr>
          <w:rFonts w:hint="eastAsia"/>
          <w:b/>
          <w:bCs/>
          <w:szCs w:val="21"/>
        </w:rPr>
        <w:t>。</w:t>
      </w:r>
    </w:p>
    <w:p>
      <w:pPr>
        <w:spacing w:line="500" w:lineRule="exact"/>
        <w:ind w:firstLine="420" w:firstLineChars="200"/>
        <w:rPr>
          <w:bCs/>
          <w:szCs w:val="21"/>
        </w:rPr>
      </w:pPr>
      <w:r>
        <w:rPr>
          <w:rFonts w:hint="eastAsia"/>
          <w:bCs/>
          <w:szCs w:val="21"/>
        </w:rPr>
        <w:t>（7）</w:t>
      </w:r>
      <w:r>
        <w:rPr>
          <w:rFonts w:hint="eastAsia"/>
          <w:bCs/>
          <w:szCs w:val="21"/>
          <w:lang w:eastAsia="zh-CN"/>
        </w:rPr>
        <w:t>、</w:t>
      </w:r>
      <w:r>
        <w:rPr>
          <w:rFonts w:hint="eastAsia" w:ascii="宋体" w:hAnsi="宋体"/>
          <w:szCs w:val="21"/>
        </w:rPr>
        <w:t>残疾人福利性企业按照第</w:t>
      </w:r>
      <w:r>
        <w:rPr>
          <w:rFonts w:hint="eastAsia"/>
          <w:szCs w:val="21"/>
        </w:rPr>
        <w:t>2.2.3.2.3</w:t>
      </w:r>
      <w:r>
        <w:rPr>
          <w:rFonts w:hint="eastAsia" w:ascii="宋体" w:hAnsi="宋体"/>
          <w:szCs w:val="21"/>
        </w:rPr>
        <w:t>条实行，若残疾人福利性单位属于小型、微型企业的，不重复享受政策。</w:t>
      </w:r>
    </w:p>
    <w:p>
      <w:pPr>
        <w:spacing w:line="500" w:lineRule="exact"/>
        <w:ind w:firstLine="420" w:firstLineChars="200"/>
        <w:rPr>
          <w:szCs w:val="21"/>
        </w:rPr>
      </w:pPr>
      <w:r>
        <w:rPr>
          <w:rFonts w:hint="eastAsia"/>
          <w:szCs w:val="21"/>
        </w:rPr>
        <w:t>（8）</w:t>
      </w:r>
      <w:r>
        <w:rPr>
          <w:rFonts w:hint="eastAsia"/>
          <w:szCs w:val="21"/>
          <w:lang w:eastAsia="zh-CN"/>
        </w:rPr>
        <w:t>、</w:t>
      </w:r>
      <w:r>
        <w:rPr>
          <w:szCs w:val="21"/>
        </w:rPr>
        <w:t>中小企业、监狱和戒毒企业</w:t>
      </w:r>
      <w:r>
        <w:rPr>
          <w:rFonts w:hint="eastAsia"/>
          <w:szCs w:val="21"/>
        </w:rPr>
        <w:t>、</w:t>
      </w:r>
      <w:r>
        <w:rPr>
          <w:rFonts w:hint="eastAsia" w:ascii="宋体" w:hAnsi="宋体"/>
          <w:szCs w:val="21"/>
        </w:rPr>
        <w:t>残疾人福利性企业</w:t>
      </w:r>
      <w:r>
        <w:rPr>
          <w:szCs w:val="21"/>
        </w:rPr>
        <w:t>须提供证明文件：</w:t>
      </w:r>
    </w:p>
    <w:p>
      <w:pPr>
        <w:spacing w:line="500" w:lineRule="exact"/>
        <w:rPr>
          <w:szCs w:val="21"/>
        </w:rPr>
      </w:pPr>
      <w:r>
        <w:rPr>
          <w:rFonts w:hint="eastAsia"/>
          <w:szCs w:val="21"/>
        </w:rPr>
        <w:t xml:space="preserve">    a、</w:t>
      </w:r>
      <w:r>
        <w:rPr>
          <w:szCs w:val="21"/>
        </w:rPr>
        <w:t>中小企业应符合《</w:t>
      </w:r>
      <w:r>
        <w:rPr>
          <w:rFonts w:hint="eastAsia"/>
          <w:szCs w:val="21"/>
        </w:rPr>
        <w:t>政府采购促进中小企业发展管理办法</w:t>
      </w:r>
      <w:r>
        <w:rPr>
          <w:szCs w:val="21"/>
        </w:rPr>
        <w:t>》的规定，并提供《中小企业声明函》（提供其他中小企业制造的货物时还需提供货物制造商的声明函）。</w:t>
      </w:r>
    </w:p>
    <w:p>
      <w:pPr>
        <w:spacing w:line="500" w:lineRule="exact"/>
        <w:ind w:firstLine="420"/>
        <w:rPr>
          <w:szCs w:val="21"/>
        </w:rPr>
      </w:pPr>
      <w:r>
        <w:rPr>
          <w:rFonts w:hint="eastAsia"/>
          <w:szCs w:val="21"/>
        </w:rPr>
        <w:t>b、</w:t>
      </w:r>
      <w:r>
        <w:rPr>
          <w:szCs w:val="21"/>
        </w:rPr>
        <w:t>监狱和戒毒企业应符合《财政部 司法部关于政府采购支持监狱企业发展有关问题的通知》，并提供由省级以上监狱管理局、戒毒管理局(含新疆生产建设兵团)出具的属于监狱企业的证明文件。</w:t>
      </w:r>
    </w:p>
    <w:p>
      <w:pPr>
        <w:spacing w:line="500" w:lineRule="exact"/>
        <w:ind w:firstLine="420"/>
        <w:rPr>
          <w:szCs w:val="21"/>
        </w:rPr>
      </w:pPr>
      <w:r>
        <w:rPr>
          <w:rFonts w:hint="eastAsia"/>
          <w:szCs w:val="21"/>
        </w:rPr>
        <w:t>c、</w:t>
      </w:r>
      <w:r>
        <w:rPr>
          <w:rFonts w:hint="eastAsia" w:ascii="宋体" w:hAnsi="宋体"/>
          <w:szCs w:val="21"/>
        </w:rPr>
        <w:t>残疾人福利性企业应按照</w:t>
      </w:r>
      <w:r>
        <w:rPr>
          <w:szCs w:val="21"/>
        </w:rPr>
        <w:t>《</w:t>
      </w:r>
      <w:r>
        <w:rPr>
          <w:rFonts w:hint="eastAsia"/>
          <w:szCs w:val="21"/>
        </w:rPr>
        <w:t>关于促进残疾人就业政府采购政策的通知</w:t>
      </w:r>
      <w:r>
        <w:rPr>
          <w:szCs w:val="21"/>
        </w:rPr>
        <w:t>》</w:t>
      </w:r>
      <w:r>
        <w:rPr>
          <w:rFonts w:hint="eastAsia"/>
          <w:szCs w:val="21"/>
        </w:rPr>
        <w:t>的规定，并提供《残疾人福利性单位声明函》</w:t>
      </w:r>
    </w:p>
    <w:p>
      <w:pPr>
        <w:spacing w:line="500" w:lineRule="exact"/>
        <w:ind w:firstLine="420" w:firstLineChars="200"/>
        <w:rPr>
          <w:szCs w:val="21"/>
        </w:rPr>
      </w:pPr>
      <w:r>
        <w:rPr>
          <w:rFonts w:hint="eastAsia"/>
          <w:szCs w:val="21"/>
        </w:rPr>
        <w:t>（9）</w:t>
      </w:r>
      <w:r>
        <w:rPr>
          <w:rFonts w:hint="eastAsia"/>
          <w:szCs w:val="21"/>
          <w:lang w:eastAsia="zh-CN"/>
        </w:rPr>
        <w:t>、</w:t>
      </w:r>
      <w:r>
        <w:rPr>
          <w:rFonts w:hint="eastAsia"/>
          <w:szCs w:val="21"/>
        </w:rPr>
        <w:t>符合（财库[2019]27号）文件规定的投标产品或投标人：</w:t>
      </w:r>
    </w:p>
    <w:p>
      <w:pPr>
        <w:spacing w:line="500" w:lineRule="exact"/>
        <w:ind w:firstLine="422" w:firstLineChars="200"/>
        <w:rPr>
          <w:szCs w:val="21"/>
        </w:rPr>
      </w:pPr>
      <w:r>
        <w:rPr>
          <w:rFonts w:hint="eastAsia"/>
          <w:b/>
          <w:bCs/>
          <w:szCs w:val="21"/>
        </w:rPr>
        <w:t>投标产品为贫困地区农副产品的评标价计算规则：其评标价=投标报价*（1-5%）；</w:t>
      </w:r>
    </w:p>
    <w:p>
      <w:pPr>
        <w:spacing w:line="500" w:lineRule="exact"/>
        <w:ind w:firstLine="420" w:firstLineChars="200"/>
        <w:rPr>
          <w:szCs w:val="21"/>
        </w:rPr>
      </w:pPr>
      <w:r>
        <w:rPr>
          <w:rFonts w:hint="eastAsia"/>
          <w:szCs w:val="21"/>
        </w:rPr>
        <w:t>贫困地区农副产品是指832个国家级贫困县域内注册的企业、农民专业合作社、家庭农场等出产的农副产品。</w:t>
      </w:r>
    </w:p>
    <w:p>
      <w:pPr>
        <w:spacing w:line="500" w:lineRule="exact"/>
        <w:ind w:firstLine="422" w:firstLineChars="200"/>
        <w:rPr>
          <w:b/>
          <w:bCs/>
          <w:szCs w:val="21"/>
        </w:rPr>
      </w:pPr>
      <w:r>
        <w:rPr>
          <w:rFonts w:hint="eastAsia"/>
          <w:b/>
          <w:bCs/>
          <w:szCs w:val="21"/>
        </w:rPr>
        <w:t>投标人为物业公司提供物业服务的评标价计算规则：其评标价=投标报价*（1-5%）；</w:t>
      </w:r>
    </w:p>
    <w:p>
      <w:pPr>
        <w:spacing w:line="500" w:lineRule="exact"/>
        <w:ind w:firstLine="420" w:firstLineChars="200"/>
        <w:rPr>
          <w:szCs w:val="21"/>
        </w:rPr>
      </w:pPr>
      <w:r>
        <w:rPr>
          <w:rFonts w:hint="eastAsia"/>
          <w:szCs w:val="21"/>
        </w:rPr>
        <w:t>采购物业服务的，有条件的应当优先采购注册地在832个国家级贫困县域内，且聘用建档立卡贫困人员物业公司提供的物业服务。对注册地在832个国家级贫困县域内，且聘用建档立卡贫困人员达到公司员工（含服务外包用工）30%以上的物业公司提供的物业服务。</w:t>
      </w:r>
    </w:p>
    <w:p>
      <w:pPr>
        <w:spacing w:line="500" w:lineRule="exact"/>
        <w:ind w:firstLine="420" w:firstLineChars="200"/>
        <w:rPr>
          <w:szCs w:val="21"/>
        </w:rPr>
      </w:pPr>
      <w:r>
        <w:rPr>
          <w:rFonts w:hint="eastAsia"/>
          <w:szCs w:val="21"/>
        </w:rPr>
        <w:t>2.2.3.2.</w:t>
      </w:r>
      <w:r>
        <w:rPr>
          <w:rFonts w:hint="eastAsia"/>
          <w:szCs w:val="21"/>
          <w:lang w:val="en-US" w:eastAsia="zh-CN"/>
        </w:rPr>
        <w:t>4</w:t>
      </w:r>
      <w:r>
        <w:rPr>
          <w:rFonts w:hint="eastAsia"/>
          <w:szCs w:val="21"/>
        </w:rPr>
        <w:t xml:space="preserve"> 对于不享受以上政策性优惠价格调整的，其评标价=按照以上2.2.3.2.1条款修正后的投标总价。</w:t>
      </w:r>
    </w:p>
    <w:p>
      <w:pPr>
        <w:spacing w:line="500" w:lineRule="exact"/>
        <w:ind w:firstLine="420" w:firstLineChars="200"/>
        <w:rPr>
          <w:szCs w:val="21"/>
        </w:rPr>
      </w:pPr>
      <w:r>
        <w:rPr>
          <w:rFonts w:hint="eastAsia"/>
          <w:szCs w:val="21"/>
        </w:rPr>
        <w:t>2.</w:t>
      </w:r>
      <w:r>
        <w:rPr>
          <w:szCs w:val="21"/>
        </w:rPr>
        <w:t>2.3.</w:t>
      </w:r>
      <w:r>
        <w:rPr>
          <w:rFonts w:hint="eastAsia"/>
          <w:szCs w:val="21"/>
          <w:lang w:val="en-US" w:eastAsia="zh-CN"/>
        </w:rPr>
        <w:t>3</w:t>
      </w:r>
      <w:r>
        <w:rPr>
          <w:rFonts w:hint="eastAsia"/>
          <w:szCs w:val="21"/>
        </w:rPr>
        <w:t xml:space="preserve"> </w:t>
      </w:r>
      <w:r>
        <w:rPr>
          <w:szCs w:val="21"/>
        </w:rPr>
        <w:t>由评标委员会独立地根据各项因素的评分标准，结合每个</w:t>
      </w:r>
      <w:r>
        <w:rPr>
          <w:rFonts w:hint="eastAsia"/>
          <w:szCs w:val="21"/>
        </w:rPr>
        <w:t>投标人</w:t>
      </w:r>
      <w:r>
        <w:rPr>
          <w:szCs w:val="21"/>
        </w:rPr>
        <w:t>的实际情况，分别就投标报价以外的各项评审因素对每个</w:t>
      </w:r>
      <w:r>
        <w:rPr>
          <w:rFonts w:hint="eastAsia"/>
          <w:szCs w:val="21"/>
        </w:rPr>
        <w:t>投标人</w:t>
      </w:r>
      <w:r>
        <w:rPr>
          <w:szCs w:val="21"/>
        </w:rPr>
        <w:t>独立打分。</w:t>
      </w:r>
    </w:p>
    <w:p>
      <w:pPr>
        <w:spacing w:line="500" w:lineRule="exact"/>
        <w:ind w:firstLine="420" w:firstLineChars="200"/>
        <w:rPr>
          <w:szCs w:val="21"/>
        </w:rPr>
      </w:pPr>
      <w:r>
        <w:rPr>
          <w:rFonts w:hint="eastAsia"/>
          <w:szCs w:val="21"/>
        </w:rPr>
        <w:t>2.</w:t>
      </w:r>
      <w:r>
        <w:rPr>
          <w:szCs w:val="21"/>
        </w:rPr>
        <w:t>2.3.</w:t>
      </w:r>
      <w:r>
        <w:rPr>
          <w:rFonts w:hint="eastAsia"/>
          <w:szCs w:val="21"/>
          <w:lang w:val="en-US" w:eastAsia="zh-CN"/>
        </w:rPr>
        <w:t>4</w:t>
      </w:r>
      <w:r>
        <w:rPr>
          <w:rFonts w:hint="eastAsia"/>
          <w:szCs w:val="21"/>
        </w:rPr>
        <w:t xml:space="preserve"> </w:t>
      </w:r>
      <w:r>
        <w:rPr>
          <w:szCs w:val="21"/>
        </w:rPr>
        <w:t>将所有评审因素所得实际评审分数相加，即为该</w:t>
      </w:r>
      <w:r>
        <w:rPr>
          <w:rFonts w:hint="eastAsia"/>
          <w:szCs w:val="21"/>
        </w:rPr>
        <w:t>投标人</w:t>
      </w:r>
      <w:r>
        <w:rPr>
          <w:szCs w:val="21"/>
        </w:rPr>
        <w:t>的评审总得分。评审总得分按下列公式计算：</w:t>
      </w:r>
    </w:p>
    <w:p>
      <w:pPr>
        <w:spacing w:line="500" w:lineRule="exact"/>
        <w:jc w:val="center"/>
        <w:rPr>
          <w:b/>
          <w:bCs/>
          <w:szCs w:val="21"/>
        </w:rPr>
      </w:pPr>
      <w:r>
        <w:rPr>
          <w:b/>
          <w:bCs/>
          <w:szCs w:val="21"/>
        </w:rPr>
        <w:t>评审总得分＝F1×A1＋F2×A2＋……＋Fn×An</w:t>
      </w:r>
    </w:p>
    <w:p>
      <w:pPr>
        <w:spacing w:line="500" w:lineRule="exact"/>
        <w:jc w:val="center"/>
        <w:rPr>
          <w:b/>
          <w:bCs/>
          <w:szCs w:val="21"/>
        </w:rPr>
      </w:pPr>
      <w:r>
        <w:rPr>
          <w:b/>
          <w:bCs/>
          <w:szCs w:val="21"/>
        </w:rPr>
        <w:t>F1、F2……Fn分别为各项评审因素的汇总得分；</w:t>
      </w:r>
    </w:p>
    <w:p>
      <w:pPr>
        <w:spacing w:line="500" w:lineRule="exact"/>
        <w:jc w:val="center"/>
        <w:rPr>
          <w:b/>
          <w:bCs/>
          <w:szCs w:val="21"/>
        </w:rPr>
      </w:pPr>
      <w:r>
        <w:rPr>
          <w:b/>
          <w:bCs/>
          <w:szCs w:val="21"/>
        </w:rPr>
        <w:t>A1、A2……An分别为各项评审因素所占的权重</w:t>
      </w:r>
      <w:r>
        <w:rPr>
          <w:rFonts w:hint="eastAsia"/>
          <w:b/>
          <w:bCs/>
          <w:szCs w:val="21"/>
        </w:rPr>
        <w:t>（</w:t>
      </w:r>
      <w:r>
        <w:rPr>
          <w:b/>
          <w:bCs/>
          <w:szCs w:val="21"/>
        </w:rPr>
        <w:t>A1＋A2＋……＋An＝1</w:t>
      </w:r>
      <w:r>
        <w:rPr>
          <w:rFonts w:hint="eastAsia"/>
          <w:b/>
          <w:bCs/>
          <w:szCs w:val="21"/>
        </w:rPr>
        <w:t>）</w:t>
      </w:r>
      <w:r>
        <w:rPr>
          <w:b/>
          <w:bCs/>
          <w:szCs w:val="21"/>
        </w:rPr>
        <w:t>。</w:t>
      </w:r>
    </w:p>
    <w:p>
      <w:pPr>
        <w:spacing w:line="500" w:lineRule="exact"/>
        <w:jc w:val="center"/>
        <w:rPr>
          <w:szCs w:val="21"/>
        </w:rPr>
      </w:pPr>
      <w:r>
        <w:rPr>
          <w:b/>
          <w:bCs/>
          <w:szCs w:val="21"/>
        </w:rPr>
        <w:t>评审过程中，不得去掉报价中的最高报价和最低报价。</w:t>
      </w:r>
    </w:p>
    <w:p>
      <w:pPr>
        <w:spacing w:line="500" w:lineRule="exact"/>
        <w:rPr>
          <w:szCs w:val="21"/>
        </w:rPr>
      </w:pPr>
      <w:r>
        <w:rPr>
          <w:rFonts w:hint="eastAsia"/>
          <w:szCs w:val="21"/>
        </w:rPr>
        <w:t xml:space="preserve">    2.</w:t>
      </w:r>
      <w:r>
        <w:rPr>
          <w:szCs w:val="21"/>
        </w:rPr>
        <w:t>2.</w:t>
      </w:r>
      <w:r>
        <w:rPr>
          <w:rFonts w:hint="eastAsia"/>
          <w:szCs w:val="21"/>
        </w:rPr>
        <w:t>3.</w:t>
      </w:r>
      <w:r>
        <w:rPr>
          <w:rFonts w:hint="eastAsia"/>
          <w:szCs w:val="21"/>
          <w:lang w:val="en-US" w:eastAsia="zh-CN"/>
        </w:rPr>
        <w:t>5</w:t>
      </w:r>
      <w:r>
        <w:rPr>
          <w:szCs w:val="21"/>
        </w:rPr>
        <w:t>非实质性偏离是指投标文件在实质上响应招标文件的要求，但在个别地方存在一些不规则、不一致、不完整的内容，并且澄清、说明或者补正这些内容不会改变投标文件的实质性内容。以下情况属于非实质性偏离：</w:t>
      </w:r>
    </w:p>
    <w:p>
      <w:pPr>
        <w:spacing w:line="500" w:lineRule="exact"/>
        <w:ind w:firstLine="420" w:firstLineChars="200"/>
        <w:rPr>
          <w:szCs w:val="21"/>
        </w:rPr>
      </w:pPr>
      <w:r>
        <w:rPr>
          <w:szCs w:val="21"/>
        </w:rPr>
        <w:t>（1）文字表述的内容含义不明确；</w:t>
      </w:r>
    </w:p>
    <w:p>
      <w:pPr>
        <w:spacing w:line="500" w:lineRule="exact"/>
        <w:ind w:firstLine="420" w:firstLineChars="200"/>
        <w:rPr>
          <w:szCs w:val="21"/>
        </w:rPr>
      </w:pPr>
      <w:r>
        <w:rPr>
          <w:szCs w:val="21"/>
        </w:rPr>
        <w:t>（2）同类问题表述不一致；</w:t>
      </w:r>
    </w:p>
    <w:p>
      <w:pPr>
        <w:spacing w:line="500" w:lineRule="exact"/>
        <w:ind w:firstLine="420" w:firstLineChars="200"/>
        <w:rPr>
          <w:szCs w:val="21"/>
        </w:rPr>
      </w:pPr>
      <w:r>
        <w:rPr>
          <w:szCs w:val="21"/>
        </w:rPr>
        <w:t>（3）有明显文字和计算错误；</w:t>
      </w:r>
    </w:p>
    <w:p>
      <w:pPr>
        <w:spacing w:line="500" w:lineRule="exact"/>
        <w:ind w:firstLine="420" w:firstLineChars="200"/>
        <w:rPr>
          <w:szCs w:val="21"/>
        </w:rPr>
      </w:pPr>
      <w:r>
        <w:rPr>
          <w:szCs w:val="21"/>
        </w:rPr>
        <w:t>（4）提供的技术信息和数据资料不完整；</w:t>
      </w:r>
    </w:p>
    <w:p>
      <w:pPr>
        <w:spacing w:line="500" w:lineRule="exact"/>
        <w:ind w:firstLine="420" w:firstLineChars="200"/>
        <w:rPr>
          <w:szCs w:val="21"/>
        </w:rPr>
      </w:pPr>
      <w:r>
        <w:rPr>
          <w:szCs w:val="21"/>
        </w:rPr>
        <w:t>（5）投标文件未按招标文件要求进行装订或未编制目录、页码；</w:t>
      </w:r>
    </w:p>
    <w:p>
      <w:pPr>
        <w:spacing w:line="500" w:lineRule="exact"/>
        <w:ind w:firstLine="420" w:firstLineChars="200"/>
        <w:rPr>
          <w:szCs w:val="21"/>
        </w:rPr>
      </w:pPr>
      <w:r>
        <w:rPr>
          <w:szCs w:val="21"/>
        </w:rPr>
        <w:t>（6）评标委员会认定的其他非实质性偏离。</w:t>
      </w:r>
    </w:p>
    <w:p>
      <w:pPr>
        <w:spacing w:line="500" w:lineRule="exact"/>
        <w:rPr>
          <w:szCs w:val="21"/>
        </w:rPr>
      </w:pPr>
      <w:r>
        <w:rPr>
          <w:rFonts w:hint="eastAsia"/>
          <w:szCs w:val="21"/>
        </w:rPr>
        <w:t xml:space="preserve">    </w:t>
      </w:r>
      <w:r>
        <w:rPr>
          <w:szCs w:val="21"/>
        </w:rPr>
        <w:t>投标文件有上述（1）至（4）情形之一的，评标委员会应当书面要求</w:t>
      </w:r>
      <w:r>
        <w:rPr>
          <w:rFonts w:hint="eastAsia"/>
          <w:szCs w:val="21"/>
        </w:rPr>
        <w:t>投标人</w:t>
      </w:r>
      <w:r>
        <w:rPr>
          <w:szCs w:val="21"/>
        </w:rPr>
        <w:t>在规定的时间内予以澄清、说明或补正。</w:t>
      </w:r>
      <w:r>
        <w:rPr>
          <w:rFonts w:hint="eastAsia"/>
          <w:szCs w:val="21"/>
        </w:rPr>
        <w:t>投标人</w:t>
      </w:r>
      <w:r>
        <w:rPr>
          <w:szCs w:val="21"/>
        </w:rPr>
        <w:t>拒不或在规定的时间内没有进行澄清、说明或补正或澄清、说明、补正的内容也不能说明问题的，视为投标文件制作不规范，按每一项非实质性偏离进行扣分处理，直至该项分值扣完为止。</w:t>
      </w:r>
    </w:p>
    <w:p>
      <w:pPr>
        <w:spacing w:line="500" w:lineRule="exact"/>
        <w:rPr>
          <w:szCs w:val="21"/>
        </w:rPr>
      </w:pPr>
      <w:r>
        <w:rPr>
          <w:rFonts w:hint="eastAsia"/>
          <w:szCs w:val="21"/>
        </w:rPr>
        <w:t xml:space="preserve">    2.</w:t>
      </w:r>
      <w:r>
        <w:rPr>
          <w:szCs w:val="21"/>
        </w:rPr>
        <w:t>2.</w:t>
      </w:r>
      <w:r>
        <w:rPr>
          <w:rFonts w:hint="eastAsia"/>
          <w:szCs w:val="21"/>
        </w:rPr>
        <w:t>3.</w:t>
      </w:r>
      <w:r>
        <w:rPr>
          <w:rFonts w:hint="eastAsia"/>
          <w:szCs w:val="21"/>
          <w:lang w:val="en-US" w:eastAsia="zh-CN"/>
        </w:rPr>
        <w:t>6</w:t>
      </w:r>
      <w:r>
        <w:rPr>
          <w:rFonts w:hint="eastAsia"/>
          <w:szCs w:val="21"/>
        </w:rPr>
        <w:t xml:space="preserve"> </w:t>
      </w:r>
      <w:r>
        <w:rPr>
          <w:szCs w:val="21"/>
        </w:rPr>
        <w:t>在投标文件初审过程中，如果出现评标委员会成员意见不一致的情况，按照少数服从多数的原则确定。</w:t>
      </w:r>
    </w:p>
    <w:p>
      <w:pPr>
        <w:spacing w:line="500" w:lineRule="exact"/>
        <w:ind w:firstLine="420"/>
        <w:rPr>
          <w:rFonts w:ascii="宋体" w:hAnsi="宋体" w:cs="宋体"/>
          <w:b/>
          <w:bCs/>
          <w:sz w:val="28"/>
          <w:szCs w:val="28"/>
        </w:rPr>
      </w:pPr>
      <w:r>
        <w:rPr>
          <w:rFonts w:hint="eastAsia"/>
          <w:szCs w:val="21"/>
        </w:rPr>
        <w:t>2.</w:t>
      </w:r>
      <w:r>
        <w:rPr>
          <w:szCs w:val="21"/>
        </w:rPr>
        <w:t>2.</w:t>
      </w:r>
      <w:r>
        <w:rPr>
          <w:rFonts w:hint="eastAsia"/>
          <w:szCs w:val="21"/>
        </w:rPr>
        <w:t>3.</w:t>
      </w:r>
      <w:r>
        <w:rPr>
          <w:rFonts w:hint="eastAsia"/>
          <w:szCs w:val="21"/>
          <w:lang w:val="en-US" w:eastAsia="zh-CN"/>
        </w:rPr>
        <w:t>7</w:t>
      </w:r>
      <w:r>
        <w:rPr>
          <w:rFonts w:hint="eastAsia"/>
          <w:szCs w:val="21"/>
        </w:rPr>
        <w:t xml:space="preserve"> </w:t>
      </w:r>
      <w:r>
        <w:rPr>
          <w:szCs w:val="21"/>
        </w:rPr>
        <w:t>本采购项目的评标因素和标准见下列综合评分明细表。</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宋体" w:hAnsi="宋体" w:eastAsia="宋体" w:cs="宋体"/>
          <w:b/>
          <w:bCs/>
          <w:color w:val="auto"/>
          <w:sz w:val="28"/>
          <w:szCs w:val="28"/>
          <w:highlight w:val="none"/>
          <w:lang w:eastAsia="zh-CN"/>
        </w:rPr>
      </w:pPr>
    </w:p>
    <w:p>
      <w:pPr>
        <w:pStyle w:val="2"/>
        <w:rPr>
          <w:rFonts w:hint="eastAsia" w:ascii="宋体" w:hAnsi="宋体" w:eastAsia="宋体" w:cs="宋体"/>
          <w:b/>
          <w:bCs/>
          <w:color w:val="auto"/>
          <w:sz w:val="28"/>
          <w:szCs w:val="28"/>
          <w:highlight w:val="none"/>
          <w:lang w:eastAsia="zh-CN"/>
        </w:rPr>
      </w:pPr>
    </w:p>
    <w:p>
      <w:pPr>
        <w:rPr>
          <w:rFonts w:hint="eastAsia" w:ascii="宋体" w:hAnsi="宋体" w:eastAsia="宋体" w:cs="宋体"/>
          <w:b/>
          <w:bCs/>
          <w:color w:val="auto"/>
          <w:sz w:val="28"/>
          <w:szCs w:val="28"/>
          <w:highlight w:val="none"/>
          <w:lang w:eastAsia="zh-CN"/>
        </w:rPr>
      </w:pPr>
    </w:p>
    <w:p>
      <w:pPr>
        <w:pStyle w:val="2"/>
        <w:rPr>
          <w:rFonts w:hint="eastAsia" w:ascii="宋体" w:hAnsi="宋体" w:eastAsia="宋体" w:cs="宋体"/>
          <w:b/>
          <w:bCs/>
          <w:color w:val="auto"/>
          <w:sz w:val="28"/>
          <w:szCs w:val="28"/>
          <w:highlight w:val="none"/>
          <w:lang w:eastAsia="zh-CN"/>
        </w:rPr>
      </w:pPr>
    </w:p>
    <w:p>
      <w:pPr>
        <w:rPr>
          <w:rFonts w:hint="eastAsia" w:ascii="宋体" w:hAnsi="宋体" w:eastAsia="宋体" w:cs="宋体"/>
          <w:b/>
          <w:bCs/>
          <w:color w:val="auto"/>
          <w:sz w:val="28"/>
          <w:szCs w:val="28"/>
          <w:highlight w:val="none"/>
          <w:lang w:eastAsia="zh-CN"/>
        </w:rPr>
      </w:pPr>
    </w:p>
    <w:p>
      <w:pPr>
        <w:pStyle w:val="2"/>
        <w:rPr>
          <w:rFonts w:hint="eastAsia" w:ascii="宋体" w:hAnsi="宋体" w:eastAsia="宋体" w:cs="宋体"/>
          <w:b/>
          <w:bCs/>
          <w:color w:val="auto"/>
          <w:sz w:val="28"/>
          <w:szCs w:val="28"/>
          <w:highlight w:val="none"/>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eastAsia="zh-CN"/>
        </w:rPr>
        <w:t>综合评分明细表</w:t>
      </w:r>
    </w:p>
    <w:tbl>
      <w:tblPr>
        <w:tblStyle w:val="37"/>
        <w:tblW w:w="94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132"/>
        <w:gridCol w:w="885"/>
        <w:gridCol w:w="63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2248"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b/>
                <w:bCs/>
                <w:szCs w:val="21"/>
                <w:highlight w:val="none"/>
              </w:rPr>
            </w:pPr>
            <w:r>
              <w:rPr>
                <w:b/>
                <w:bCs/>
                <w:szCs w:val="21"/>
                <w:highlight w:val="none"/>
              </w:rPr>
              <w:t>评分因素</w:t>
            </w:r>
          </w:p>
        </w:tc>
        <w:tc>
          <w:tcPr>
            <w:tcW w:w="88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b/>
                <w:bCs/>
                <w:szCs w:val="21"/>
                <w:highlight w:val="none"/>
              </w:rPr>
            </w:pPr>
            <w:r>
              <w:rPr>
                <w:b/>
                <w:bCs/>
                <w:szCs w:val="21"/>
                <w:highlight w:val="none"/>
              </w:rPr>
              <w:t>分值</w:t>
            </w:r>
          </w:p>
        </w:tc>
        <w:tc>
          <w:tcPr>
            <w:tcW w:w="635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b/>
                <w:bCs/>
                <w:szCs w:val="21"/>
                <w:highlight w:val="none"/>
              </w:rPr>
            </w:pPr>
            <w:r>
              <w:rPr>
                <w:b/>
                <w:bCs/>
                <w:szCs w:val="21"/>
                <w:highlight w:val="none"/>
              </w:rPr>
              <w:t>评分标准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4" w:hRule="exact"/>
          <w:jc w:val="center"/>
        </w:trPr>
        <w:tc>
          <w:tcPr>
            <w:tcW w:w="2248"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szCs w:val="21"/>
                <w:highlight w:val="none"/>
              </w:rPr>
            </w:pPr>
            <w:r>
              <w:rPr>
                <w:szCs w:val="21"/>
                <w:highlight w:val="none"/>
              </w:rPr>
              <w:t>投标</w:t>
            </w:r>
            <w:r>
              <w:rPr>
                <w:rFonts w:hint="eastAsia"/>
                <w:szCs w:val="21"/>
                <w:highlight w:val="none"/>
                <w:lang w:eastAsia="zh-CN"/>
              </w:rPr>
              <w:t>报</w:t>
            </w:r>
            <w:r>
              <w:rPr>
                <w:szCs w:val="21"/>
                <w:highlight w:val="none"/>
              </w:rPr>
              <w:t>价</w:t>
            </w:r>
            <w:r>
              <w:rPr>
                <w:rFonts w:hint="eastAsia"/>
                <w:b/>
                <w:szCs w:val="21"/>
                <w:highlight w:val="none"/>
                <w:lang w:eastAsia="zh-CN"/>
              </w:rPr>
              <w:t>（</w:t>
            </w:r>
            <w:r>
              <w:rPr>
                <w:rFonts w:hint="eastAsia"/>
                <w:b/>
                <w:szCs w:val="21"/>
                <w:highlight w:val="none"/>
                <w:lang w:val="en-US" w:eastAsia="zh-CN"/>
              </w:rPr>
              <w:t>30分）</w:t>
            </w:r>
          </w:p>
        </w:tc>
        <w:tc>
          <w:tcPr>
            <w:tcW w:w="88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szCs w:val="21"/>
                <w:highlight w:val="none"/>
                <w:lang w:val="en-US"/>
              </w:rPr>
            </w:pPr>
            <w:r>
              <w:rPr>
                <w:rFonts w:hint="eastAsia"/>
                <w:szCs w:val="21"/>
                <w:highlight w:val="none"/>
                <w:lang w:val="en-US" w:eastAsia="zh-CN"/>
              </w:rPr>
              <w:t>30</w:t>
            </w:r>
          </w:p>
        </w:tc>
        <w:tc>
          <w:tcPr>
            <w:tcW w:w="6352" w:type="dxa"/>
            <w:tcMar>
              <w:left w:w="142" w:type="dxa"/>
              <w:right w:w="142"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center"/>
              <w:outlineLvl w:val="9"/>
              <w:rPr>
                <w:rFonts w:hint="eastAsia"/>
                <w:b w:val="0"/>
                <w:bCs/>
                <w:szCs w:val="21"/>
                <w:highlight w:val="none"/>
              </w:rPr>
            </w:pPr>
            <w:r>
              <w:rPr>
                <w:rFonts w:hint="eastAsia"/>
                <w:b w:val="0"/>
                <w:bCs/>
                <w:szCs w:val="21"/>
                <w:highlight w:val="none"/>
                <w:lang w:val="en-US" w:eastAsia="zh-CN"/>
              </w:rPr>
              <w:t xml:space="preserve">    </w:t>
            </w:r>
            <w:r>
              <w:rPr>
                <w:rFonts w:hint="eastAsia"/>
                <w:b w:val="0"/>
                <w:bCs/>
                <w:szCs w:val="21"/>
                <w:highlight w:val="none"/>
              </w:rPr>
              <w:t>价格分采用低价优先法计算，即满足招标文件要求且投标价格最低的投标报价为评</w:t>
            </w:r>
            <w:r>
              <w:rPr>
                <w:rFonts w:hint="eastAsia"/>
                <w:b w:val="0"/>
                <w:bCs/>
                <w:szCs w:val="21"/>
                <w:highlight w:val="none"/>
                <w:lang w:eastAsia="zh-CN"/>
              </w:rPr>
              <w:t>标</w:t>
            </w:r>
            <w:r>
              <w:rPr>
                <w:rFonts w:hint="eastAsia"/>
                <w:b w:val="0"/>
                <w:bCs/>
                <w:szCs w:val="21"/>
                <w:highlight w:val="none"/>
              </w:rPr>
              <w:t>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center"/>
              <w:outlineLvl w:val="9"/>
              <w:rPr>
                <w:rFonts w:hint="eastAsia"/>
                <w:b/>
                <w:szCs w:val="21"/>
                <w:highlight w:val="none"/>
              </w:rPr>
            </w:pPr>
            <w:r>
              <w:rPr>
                <w:rFonts w:hint="eastAsia"/>
                <w:b/>
                <w:szCs w:val="21"/>
                <w:highlight w:val="none"/>
                <w:lang w:val="en-US" w:eastAsia="zh-CN"/>
              </w:rPr>
              <w:t xml:space="preserve">    </w:t>
            </w:r>
            <w:r>
              <w:rPr>
                <w:rFonts w:hint="eastAsia"/>
                <w:b/>
                <w:szCs w:val="21"/>
                <w:highlight w:val="none"/>
              </w:rPr>
              <w:t>投标报价得分=（评标基准价/投标</w:t>
            </w:r>
            <w:r>
              <w:rPr>
                <w:rFonts w:hint="eastAsia"/>
                <w:b/>
                <w:szCs w:val="21"/>
                <w:highlight w:val="none"/>
                <w:lang w:eastAsia="zh-CN"/>
              </w:rPr>
              <w:t>评审</w:t>
            </w:r>
            <w:r>
              <w:rPr>
                <w:rFonts w:hint="eastAsia"/>
                <w:b/>
                <w:szCs w:val="21"/>
                <w:highlight w:val="none"/>
              </w:rPr>
              <w:t>价）×价格权值×100</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jc w:val="both"/>
              <w:textAlignment w:val="center"/>
              <w:outlineLvl w:val="9"/>
              <w:rPr>
                <w:rFonts w:hint="eastAsia"/>
                <w:b/>
                <w:bCs w:val="0"/>
                <w:szCs w:val="21"/>
                <w:highlight w:val="none"/>
              </w:rPr>
            </w:pPr>
            <w:r>
              <w:rPr>
                <w:rFonts w:hint="eastAsia"/>
                <w:highlight w:val="none"/>
              </w:rPr>
              <w:t>评标委员会认为投标人的报价明显低于其他通过符合性审查投标人的报价，有可能影响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6" w:hRule="exact"/>
          <w:jc w:val="center"/>
        </w:trPr>
        <w:tc>
          <w:tcPr>
            <w:tcW w:w="1116" w:type="dxa"/>
            <w:vMerge w:val="restart"/>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技术响应方案（</w:t>
            </w:r>
            <w:r>
              <w:rPr>
                <w:rFonts w:hint="eastAsia" w:ascii="Times New Roman" w:hAnsi="Times New Roman" w:eastAsia="宋体" w:cs="Times New Roman"/>
                <w:b/>
                <w:bCs/>
                <w:color w:val="auto"/>
                <w:szCs w:val="21"/>
                <w:highlight w:val="none"/>
                <w:lang w:val="en-US" w:eastAsia="zh-CN"/>
              </w:rPr>
              <w:t>6</w:t>
            </w:r>
            <w:r>
              <w:rPr>
                <w:rFonts w:hint="eastAsia" w:cs="Times New Roman"/>
                <w:b/>
                <w:bCs/>
                <w:color w:val="auto"/>
                <w:szCs w:val="21"/>
                <w:highlight w:val="none"/>
                <w:lang w:val="en-US" w:eastAsia="zh-CN"/>
              </w:rPr>
              <w:t>5</w:t>
            </w:r>
            <w:r>
              <w:rPr>
                <w:rFonts w:hint="eastAsia" w:ascii="Times New Roman" w:hAnsi="Times New Roman" w:eastAsia="宋体" w:cs="Times New Roman"/>
                <w:color w:val="auto"/>
                <w:szCs w:val="21"/>
                <w:highlight w:val="none"/>
                <w:lang w:val="en-US" w:eastAsia="zh-CN"/>
              </w:rPr>
              <w:t xml:space="preserve"> 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color w:val="auto"/>
                <w:szCs w:val="21"/>
                <w:highlight w:val="none"/>
                <w:lang w:val="en-US" w:eastAsia="zh-CN"/>
              </w:rPr>
            </w:pPr>
          </w:p>
        </w:tc>
        <w:tc>
          <w:tcPr>
            <w:tcW w:w="113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eastAsia="宋体"/>
                <w:color w:val="auto"/>
                <w:szCs w:val="21"/>
                <w:highlight w:val="none"/>
                <w:lang w:eastAsia="zh-CN"/>
              </w:rPr>
            </w:pPr>
            <w:r>
              <w:rPr>
                <w:rFonts w:hint="eastAsia"/>
                <w:highlight w:val="none"/>
              </w:rPr>
              <w:t>产品参数</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eastAsia="宋体"/>
                <w:color w:val="auto"/>
                <w:szCs w:val="21"/>
                <w:highlight w:val="none"/>
                <w:lang w:eastAsia="zh-CN"/>
              </w:rPr>
            </w:pPr>
          </w:p>
        </w:tc>
        <w:tc>
          <w:tcPr>
            <w:tcW w:w="88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25</w:t>
            </w:r>
            <w:r>
              <w:rPr>
                <w:rFonts w:hint="default" w:eastAsia="宋体"/>
                <w:color w:val="auto"/>
                <w:szCs w:val="21"/>
                <w:highlight w:val="none"/>
                <w:lang w:val="en-US" w:eastAsia="zh-CN"/>
              </w:rPr>
              <w:t xml:space="preserve"> 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eastAsia="宋体"/>
                <w:color w:val="auto"/>
                <w:szCs w:val="21"/>
                <w:highlight w:val="none"/>
                <w:lang w:val="en-US" w:eastAsia="zh-CN"/>
              </w:rPr>
            </w:pPr>
          </w:p>
        </w:tc>
        <w:tc>
          <w:tcPr>
            <w:tcW w:w="6352" w:type="dxa"/>
            <w:tcMar>
              <w:left w:w="142" w:type="dxa"/>
              <w:right w:w="142" w:type="dxa"/>
            </w:tcMar>
            <w:vAlign w:val="center"/>
          </w:tcPr>
          <w:p>
            <w:pPr>
              <w:rPr>
                <w:rFonts w:hint="eastAsia"/>
                <w:highlight w:val="none"/>
                <w:lang w:eastAsia="zh-CN"/>
              </w:rPr>
            </w:pPr>
            <w:r>
              <w:rPr>
                <w:rFonts w:hint="eastAsia"/>
                <w:highlight w:val="none"/>
                <w:lang w:eastAsia="zh-CN"/>
              </w:rPr>
              <w:t>投标人提供所投</w:t>
            </w:r>
            <w:r>
              <w:rPr>
                <w:rFonts w:hint="eastAsia"/>
                <w:highlight w:val="none"/>
              </w:rPr>
              <w:t>产品</w:t>
            </w:r>
            <w:r>
              <w:rPr>
                <w:rFonts w:hint="eastAsia"/>
                <w:highlight w:val="none"/>
                <w:lang w:eastAsia="zh-CN"/>
              </w:rPr>
              <w:t>主要技术指标，参数，性能证明材料（</w:t>
            </w:r>
            <w:r>
              <w:rPr>
                <w:rFonts w:hint="eastAsia" w:ascii="宋体" w:hAnsi="宋体" w:eastAsia="宋体" w:cs="宋体"/>
                <w:i w:val="0"/>
                <w:iCs w:val="0"/>
                <w:color w:val="000000"/>
                <w:kern w:val="0"/>
                <w:sz w:val="21"/>
                <w:szCs w:val="21"/>
                <w:highlight w:val="none"/>
                <w:u w:val="none"/>
                <w:lang w:val="en-US" w:eastAsia="zh-CN" w:bidi="ar"/>
              </w:rPr>
              <w:t>包括但不限于测试报告、官网</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功能截图</w:t>
            </w:r>
            <w:r>
              <w:rPr>
                <w:rFonts w:hint="eastAsia" w:ascii="宋体" w:hAnsi="宋体" w:cs="宋体"/>
                <w:i w:val="0"/>
                <w:iCs w:val="0"/>
                <w:color w:val="000000"/>
                <w:kern w:val="0"/>
                <w:sz w:val="21"/>
                <w:szCs w:val="21"/>
                <w:highlight w:val="none"/>
                <w:u w:val="none"/>
                <w:lang w:val="en-US" w:eastAsia="zh-CN" w:bidi="ar"/>
              </w:rPr>
              <w:t>、产品彩页</w:t>
            </w:r>
            <w:r>
              <w:rPr>
                <w:rFonts w:hint="eastAsia" w:ascii="宋体" w:hAnsi="宋体" w:eastAsia="宋体" w:cs="宋体"/>
                <w:i w:val="0"/>
                <w:iCs w:val="0"/>
                <w:color w:val="000000"/>
                <w:kern w:val="0"/>
                <w:sz w:val="21"/>
                <w:szCs w:val="21"/>
                <w:highlight w:val="none"/>
                <w:u w:val="none"/>
                <w:lang w:val="en-US" w:eastAsia="zh-CN" w:bidi="ar"/>
              </w:rPr>
              <w:t>等</w:t>
            </w:r>
            <w:r>
              <w:rPr>
                <w:rFonts w:hint="eastAsia"/>
                <w:highlight w:val="none"/>
                <w:lang w:eastAsia="zh-CN"/>
              </w:rPr>
              <w:t>）；</w:t>
            </w:r>
          </w:p>
          <w:p>
            <w:pPr>
              <w:pStyle w:val="19"/>
              <w:rPr>
                <w:rFonts w:hint="eastAsia" w:eastAsia="宋体"/>
                <w:highlight w:val="yellow"/>
                <w:lang w:eastAsia="zh-CN"/>
              </w:rPr>
            </w:pPr>
            <w:r>
              <w:rPr>
                <w:rFonts w:hint="eastAsia"/>
                <w:color w:val="auto"/>
                <w:highlight w:val="none"/>
                <w:lang w:val="en-US" w:eastAsia="zh-CN"/>
              </w:rPr>
              <w:t>评审标准：</w:t>
            </w:r>
            <w:r>
              <w:rPr>
                <w:rFonts w:hint="eastAsia" w:ascii="宋体" w:hAnsi="宋体"/>
                <w:sz w:val="21"/>
                <w:szCs w:val="21"/>
                <w:highlight w:val="none"/>
              </w:rPr>
              <w:t>完全满足招标文件技术参数要求，得满分；一般技术参数一项不满足，扣</w:t>
            </w:r>
            <w:r>
              <w:rPr>
                <w:rFonts w:ascii="宋体" w:hAnsi="宋体"/>
                <w:sz w:val="21"/>
                <w:szCs w:val="21"/>
                <w:highlight w:val="none"/>
              </w:rPr>
              <w:t>0.</w:t>
            </w:r>
            <w:r>
              <w:rPr>
                <w:rFonts w:hint="eastAsia" w:hAnsi="宋体"/>
                <w:sz w:val="21"/>
                <w:szCs w:val="21"/>
                <w:highlight w:val="none"/>
                <w:lang w:val="en-US" w:eastAsia="zh-CN"/>
              </w:rPr>
              <w:t>2</w:t>
            </w:r>
            <w:r>
              <w:rPr>
                <w:rFonts w:hint="eastAsia" w:ascii="宋体" w:hAnsi="宋体"/>
                <w:sz w:val="21"/>
                <w:szCs w:val="21"/>
                <w:highlight w:val="none"/>
              </w:rPr>
              <w:t>分；“★”号项为</w:t>
            </w:r>
            <w:r>
              <w:rPr>
                <w:rFonts w:hint="eastAsia" w:hAnsi="宋体"/>
                <w:sz w:val="21"/>
                <w:szCs w:val="21"/>
                <w:highlight w:val="none"/>
                <w:lang w:val="en-US" w:eastAsia="zh-CN"/>
              </w:rPr>
              <w:t>重要</w:t>
            </w:r>
            <w:r>
              <w:rPr>
                <w:rFonts w:hint="eastAsia" w:ascii="宋体" w:hAnsi="宋体"/>
                <w:sz w:val="21"/>
                <w:szCs w:val="21"/>
                <w:highlight w:val="none"/>
              </w:rPr>
              <w:t>技术参数，一项不满足扣2分；若有技术参数不满足，则所有不满足的扣分项累加，分数扣完为止</w:t>
            </w:r>
            <w:r>
              <w:rPr>
                <w:rFonts w:hint="eastAsia" w:ascii="宋体" w:hAnsi="宋体"/>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1116"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eastAsia="宋体"/>
                <w:color w:val="auto"/>
                <w:szCs w:val="21"/>
                <w:highlight w:val="none"/>
                <w:lang w:eastAsia="zh-CN"/>
              </w:rPr>
            </w:pPr>
          </w:p>
        </w:tc>
        <w:tc>
          <w:tcPr>
            <w:tcW w:w="113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eastAsia="宋体"/>
                <w:color w:val="auto"/>
                <w:szCs w:val="21"/>
                <w:highlight w:val="none"/>
                <w:lang w:eastAsia="zh-CN"/>
              </w:rPr>
            </w:pPr>
            <w:r>
              <w:rPr>
                <w:rFonts w:hint="eastAsia"/>
                <w:color w:val="auto"/>
                <w:highlight w:val="none"/>
                <w:lang w:val="en-US" w:eastAsia="zh-CN"/>
              </w:rPr>
              <w:t>产品来源渠道</w:t>
            </w:r>
          </w:p>
        </w:tc>
        <w:tc>
          <w:tcPr>
            <w:tcW w:w="88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color w:val="auto"/>
                <w:szCs w:val="21"/>
                <w:highlight w:val="none"/>
                <w:lang w:val="en-US"/>
              </w:rPr>
            </w:pPr>
            <w:r>
              <w:rPr>
                <w:rFonts w:hint="eastAsia"/>
                <w:color w:val="auto"/>
                <w:szCs w:val="21"/>
                <w:highlight w:val="none"/>
                <w:lang w:val="en-US" w:eastAsia="zh-CN"/>
              </w:rPr>
              <w:t>2</w:t>
            </w:r>
            <w:r>
              <w:rPr>
                <w:rFonts w:hint="default"/>
                <w:color w:val="auto"/>
                <w:szCs w:val="21"/>
                <w:highlight w:val="none"/>
                <w:lang w:val="en-US" w:eastAsia="zh-CN"/>
              </w:rPr>
              <w:t xml:space="preserve"> 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color w:val="auto"/>
                <w:szCs w:val="21"/>
                <w:highlight w:val="none"/>
                <w:lang w:val="en-US"/>
              </w:rPr>
            </w:pPr>
          </w:p>
        </w:tc>
        <w:tc>
          <w:tcPr>
            <w:tcW w:w="6352" w:type="dxa"/>
            <w:tcMar>
              <w:left w:w="142" w:type="dxa"/>
              <w:right w:w="142" w:type="dxa"/>
            </w:tcMar>
            <w:vAlign w:val="center"/>
          </w:tcPr>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textAlignment w:val="center"/>
              <w:rPr>
                <w:rFonts w:hint="eastAsia"/>
                <w:color w:val="auto"/>
                <w:highlight w:val="none"/>
                <w:lang w:val="en-US" w:eastAsia="zh-CN"/>
              </w:rPr>
            </w:pPr>
            <w:r>
              <w:rPr>
                <w:rFonts w:hint="eastAsia"/>
                <w:color w:val="auto"/>
                <w:highlight w:val="none"/>
                <w:lang w:val="en-US" w:eastAsia="zh-CN"/>
              </w:rPr>
              <w:t>投标人需提供核心产品及其他产品合法正规来源渠道证明文件：包括但不限于厂家授权、销售协议、代理协议等；</w:t>
            </w:r>
          </w:p>
          <w:p>
            <w:pPr>
              <w:keepNext w:val="0"/>
              <w:keepLines w:val="0"/>
              <w:pageBreakBefore w:val="0"/>
              <w:widowControl w:val="0"/>
              <w:shd w:val="clear"/>
              <w:kinsoku/>
              <w:wordWrap/>
              <w:overflowPunct/>
              <w:topLinePunct w:val="0"/>
              <w:autoSpaceDE/>
              <w:autoSpaceDN/>
              <w:bidi w:val="0"/>
              <w:adjustRightInd/>
              <w:snapToGrid/>
              <w:spacing w:line="400" w:lineRule="exact"/>
              <w:ind w:right="0" w:rightChars="0"/>
              <w:textAlignment w:val="center"/>
              <w:rPr>
                <w:rFonts w:hint="eastAsia"/>
                <w:color w:val="auto"/>
                <w:highlight w:val="none"/>
                <w:lang w:val="en-US" w:eastAsia="zh-CN"/>
              </w:rPr>
            </w:pPr>
            <w:r>
              <w:rPr>
                <w:rFonts w:hint="eastAsia"/>
                <w:color w:val="auto"/>
                <w:highlight w:val="none"/>
                <w:lang w:val="en-US" w:eastAsia="zh-CN"/>
              </w:rPr>
              <w:t>评审标准：根据提供核心产品及其他产品证明文件齐全表述明确充分得0.5-2分，未提供核心产品者不得分。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5" w:hRule="exact"/>
          <w:jc w:val="center"/>
        </w:trPr>
        <w:tc>
          <w:tcPr>
            <w:tcW w:w="1116"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eastAsia="宋体"/>
                <w:color w:val="auto"/>
                <w:szCs w:val="21"/>
                <w:highlight w:val="none"/>
                <w:lang w:val="en-US" w:eastAsia="zh-CN"/>
              </w:rPr>
            </w:pPr>
          </w:p>
        </w:tc>
        <w:tc>
          <w:tcPr>
            <w:tcW w:w="113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color w:val="auto"/>
                <w:szCs w:val="21"/>
                <w:highlight w:val="none"/>
                <w:lang w:val="en-US" w:eastAsia="zh-CN"/>
              </w:rPr>
            </w:pPr>
            <w:r>
              <w:rPr>
                <w:rFonts w:hint="default"/>
                <w:color w:val="auto"/>
                <w:highlight w:val="none"/>
                <w:shd w:val="clear" w:color="auto" w:fill="auto"/>
                <w:lang w:val="en-US" w:eastAsia="zh-CN"/>
              </w:rPr>
              <w:t>供货方案</w:t>
            </w:r>
          </w:p>
        </w:tc>
        <w:tc>
          <w:tcPr>
            <w:tcW w:w="885"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6</w:t>
            </w:r>
            <w:r>
              <w:rPr>
                <w:rFonts w:hint="default" w:eastAsia="宋体"/>
                <w:color w:val="auto"/>
                <w:szCs w:val="21"/>
                <w:highlight w:val="none"/>
                <w:lang w:val="en-US" w:eastAsia="zh-CN"/>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eastAsia="宋体"/>
                <w:color w:val="auto"/>
                <w:szCs w:val="21"/>
                <w:highlight w:val="none"/>
                <w:lang w:val="en-US" w:eastAsia="zh-CN"/>
              </w:rPr>
            </w:pPr>
          </w:p>
        </w:tc>
        <w:tc>
          <w:tcPr>
            <w:tcW w:w="6352" w:type="dxa"/>
            <w:shd w:val="clear" w:color="auto" w:fill="auto"/>
            <w:tcMar>
              <w:left w:w="142" w:type="dxa"/>
              <w:right w:w="142" w:type="dxa"/>
            </w:tcMar>
            <w:vAlign w:val="center"/>
          </w:tcPr>
          <w:p>
            <w:pPr>
              <w:rPr>
                <w:rFonts w:hint="default"/>
                <w:color w:val="auto"/>
                <w:highlight w:val="none"/>
                <w:shd w:val="clear" w:color="auto" w:fill="auto"/>
                <w:lang w:val="en-US" w:eastAsia="zh-CN"/>
              </w:rPr>
            </w:pPr>
            <w:r>
              <w:rPr>
                <w:rFonts w:hint="default"/>
                <w:color w:val="auto"/>
                <w:highlight w:val="none"/>
                <w:shd w:val="clear" w:color="auto" w:fill="auto"/>
                <w:lang w:val="en-US" w:eastAsia="zh-CN"/>
              </w:rPr>
              <w:t>针对本项目提出具体的供货方案，方案内容包含①成品保护方案②</w:t>
            </w:r>
            <w:r>
              <w:rPr>
                <w:rFonts w:hint="eastAsia"/>
                <w:color w:val="auto"/>
                <w:highlight w:val="none"/>
                <w:shd w:val="clear" w:color="auto" w:fill="auto"/>
                <w:lang w:val="en-US" w:eastAsia="zh-CN"/>
              </w:rPr>
              <w:t>供货</w:t>
            </w:r>
            <w:r>
              <w:rPr>
                <w:rFonts w:hint="default"/>
                <w:color w:val="auto"/>
                <w:highlight w:val="none"/>
                <w:shd w:val="clear" w:color="auto" w:fill="auto"/>
                <w:lang w:val="en-US" w:eastAsia="zh-CN"/>
              </w:rPr>
              <w:t>中遇到的紧急情况等处理方案；</w:t>
            </w:r>
          </w:p>
          <w:p>
            <w:pPr>
              <w:rPr>
                <w:rFonts w:hint="default"/>
                <w:color w:val="auto"/>
                <w:highlight w:val="none"/>
                <w:shd w:val="clear" w:color="auto" w:fill="auto"/>
                <w:lang w:val="en-US" w:eastAsia="zh-CN"/>
              </w:rPr>
            </w:pPr>
            <w:r>
              <w:rPr>
                <w:rFonts w:hint="default"/>
                <w:color w:val="auto"/>
                <w:highlight w:val="none"/>
                <w:shd w:val="clear" w:color="auto" w:fill="auto"/>
                <w:lang w:val="en-US" w:eastAsia="zh-CN"/>
              </w:rPr>
              <w:t>评审标准：方案各部分内容全面详细、阐述条例清晰详尽、符合本项目采购需求得6分；评审内容每缺一项扣3分；评审内容</w:t>
            </w:r>
            <w:r>
              <w:rPr>
                <w:rFonts w:hint="eastAsia"/>
                <w:color w:val="auto"/>
                <w:highlight w:val="none"/>
                <w:shd w:val="clear" w:color="auto" w:fill="auto"/>
                <w:lang w:val="en-US" w:eastAsia="zh-CN"/>
              </w:rPr>
              <w:t>每项</w:t>
            </w:r>
            <w:r>
              <w:rPr>
                <w:rFonts w:hint="default"/>
                <w:color w:val="auto"/>
                <w:highlight w:val="none"/>
                <w:shd w:val="clear" w:color="auto" w:fill="auto"/>
                <w:lang w:val="en-US" w:eastAsia="zh-CN"/>
              </w:rPr>
              <w:t>有缺陷</w:t>
            </w:r>
            <w:r>
              <w:rPr>
                <w:rFonts w:hint="eastAsia"/>
                <w:bCs/>
                <w:szCs w:val="21"/>
                <w:highlight w:val="none"/>
              </w:rPr>
              <w:t>或描述模糊或不可行</w:t>
            </w:r>
            <w:r>
              <w:rPr>
                <w:rFonts w:hint="default"/>
                <w:color w:val="auto"/>
                <w:highlight w:val="none"/>
                <w:shd w:val="clear" w:color="auto" w:fill="auto"/>
                <w:lang w:val="en-US" w:eastAsia="zh-CN"/>
              </w:rPr>
              <w:t>扣0.5-1.5分。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1" w:hRule="exact"/>
          <w:jc w:val="center"/>
        </w:trPr>
        <w:tc>
          <w:tcPr>
            <w:tcW w:w="1116"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color w:val="auto"/>
                <w:szCs w:val="21"/>
                <w:highlight w:val="none"/>
                <w:lang w:val="en-US" w:eastAsia="zh-CN"/>
              </w:rPr>
            </w:pPr>
          </w:p>
        </w:tc>
        <w:tc>
          <w:tcPr>
            <w:tcW w:w="113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color w:val="auto"/>
                <w:szCs w:val="21"/>
                <w:highlight w:val="none"/>
                <w:lang w:eastAsia="zh-CN"/>
              </w:rPr>
            </w:pPr>
            <w:r>
              <w:rPr>
                <w:rFonts w:hint="eastAsia" w:ascii="Times New Roman" w:hAnsi="Times New Roman" w:cs="Times New Roman"/>
                <w:highlight w:val="none"/>
                <w:lang w:val="en-US" w:eastAsia="zh-CN"/>
              </w:rPr>
              <w:t>总体实施方案</w:t>
            </w:r>
          </w:p>
        </w:tc>
        <w:tc>
          <w:tcPr>
            <w:tcW w:w="88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b w:val="0"/>
                <w:bCs/>
                <w:color w:val="auto"/>
                <w:szCs w:val="21"/>
                <w:highlight w:val="none"/>
                <w:shd w:val="clear" w:color="auto" w:fill="auto"/>
                <w:lang w:val="en-US" w:eastAsia="zh-CN"/>
              </w:rPr>
            </w:pPr>
            <w:r>
              <w:rPr>
                <w:rFonts w:hint="eastAsia"/>
                <w:b w:val="0"/>
                <w:bCs/>
                <w:color w:val="auto"/>
                <w:szCs w:val="21"/>
                <w:highlight w:val="none"/>
                <w:shd w:val="clear" w:color="auto" w:fill="auto"/>
                <w:lang w:val="en-US" w:eastAsia="zh-CN"/>
              </w:rPr>
              <w:t>20</w:t>
            </w:r>
            <w:r>
              <w:rPr>
                <w:rFonts w:hint="default"/>
                <w:b w:val="0"/>
                <w:bCs/>
                <w:color w:val="auto"/>
                <w:szCs w:val="21"/>
                <w:highlight w:val="none"/>
                <w:shd w:val="clear" w:color="auto" w:fill="auto"/>
                <w:lang w:val="en-US" w:eastAsia="zh-CN"/>
              </w:rPr>
              <w:t xml:space="preserve"> 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b w:val="0"/>
                <w:bCs/>
                <w:color w:val="auto"/>
                <w:szCs w:val="21"/>
                <w:highlight w:val="none"/>
                <w:shd w:val="clear" w:color="auto" w:fill="auto"/>
                <w:lang w:val="en-US" w:eastAsia="zh-CN"/>
              </w:rPr>
            </w:pPr>
          </w:p>
        </w:tc>
        <w:tc>
          <w:tcPr>
            <w:tcW w:w="6352" w:type="dxa"/>
            <w:tcMar>
              <w:left w:w="142" w:type="dxa"/>
              <w:right w:w="142"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textAlignment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根据投标人针对本项目的①质量保证措施②</w:t>
            </w:r>
            <w:r>
              <w:rPr>
                <w:rFonts w:hint="eastAsia" w:cs="Times New Roman"/>
                <w:highlight w:val="none"/>
                <w:lang w:val="en-US" w:eastAsia="zh-CN"/>
              </w:rPr>
              <w:t>实施</w:t>
            </w:r>
            <w:r>
              <w:rPr>
                <w:rFonts w:hint="eastAsia" w:ascii="Times New Roman" w:hAnsi="Times New Roman" w:cs="Times New Roman"/>
                <w:highlight w:val="none"/>
                <w:lang w:val="en-US" w:eastAsia="zh-CN"/>
              </w:rPr>
              <w:t>进度计划③</w:t>
            </w:r>
            <w:r>
              <w:rPr>
                <w:rFonts w:hint="eastAsia" w:cs="Times New Roman"/>
                <w:highlight w:val="none"/>
                <w:lang w:val="en-US" w:eastAsia="zh-CN"/>
              </w:rPr>
              <w:t>应急</w:t>
            </w:r>
            <w:r>
              <w:rPr>
                <w:rFonts w:hint="eastAsia" w:ascii="Times New Roman" w:hAnsi="Times New Roman" w:cs="Times New Roman"/>
                <w:highlight w:val="none"/>
                <w:lang w:val="en-US" w:eastAsia="zh-CN"/>
              </w:rPr>
              <w:t>保障措施④安装调试方案⑤管理制度和协调方案⑥项目验收方案⑦项目团队配备方案⑧项目实施安全管理措施响应情况进行赋分；</w:t>
            </w:r>
          </w:p>
          <w:p>
            <w:pPr>
              <w:keepNext w:val="0"/>
              <w:keepLines w:val="0"/>
              <w:pageBreakBefore w:val="0"/>
              <w:widowControl w:val="0"/>
              <w:kinsoku/>
              <w:wordWrap/>
              <w:overflowPunct/>
              <w:topLinePunct w:val="0"/>
              <w:autoSpaceDE/>
              <w:autoSpaceDN/>
              <w:bidi w:val="0"/>
              <w:adjustRightInd/>
              <w:snapToGrid/>
              <w:spacing w:line="400" w:lineRule="exact"/>
              <w:ind w:right="0" w:rightChars="0"/>
              <w:textAlignment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评审标准：方案各部分内容全面详细、阐述条例清晰详尽、符合本项目采购需求，能保障本项目实施得2</w:t>
            </w:r>
            <w:r>
              <w:rPr>
                <w:rFonts w:hint="eastAsia" w:cs="Times New Roman"/>
                <w:highlight w:val="none"/>
                <w:lang w:val="en-US" w:eastAsia="zh-CN"/>
              </w:rPr>
              <w:t>0</w:t>
            </w:r>
            <w:r>
              <w:rPr>
                <w:rFonts w:hint="eastAsia" w:ascii="Times New Roman" w:hAnsi="Times New Roman" w:cs="Times New Roman"/>
                <w:highlight w:val="none"/>
                <w:lang w:val="en-US" w:eastAsia="zh-CN"/>
              </w:rPr>
              <w:t>分；评审内容每缺一项扣</w:t>
            </w:r>
            <w:r>
              <w:rPr>
                <w:rFonts w:hint="eastAsia" w:cs="Times New Roman"/>
                <w:highlight w:val="none"/>
                <w:lang w:val="en-US" w:eastAsia="zh-CN"/>
              </w:rPr>
              <w:t>2</w:t>
            </w:r>
            <w:r>
              <w:rPr>
                <w:rFonts w:hint="eastAsia" w:ascii="Times New Roman" w:hAnsi="Times New Roman" w:cs="Times New Roman"/>
                <w:highlight w:val="none"/>
                <w:lang w:val="en-US" w:eastAsia="zh-CN"/>
              </w:rPr>
              <w:t>.5分，</w:t>
            </w:r>
            <w:r>
              <w:rPr>
                <w:rFonts w:hint="default"/>
                <w:color w:val="auto"/>
                <w:highlight w:val="none"/>
                <w:shd w:val="clear" w:color="auto" w:fill="auto"/>
                <w:lang w:val="en-US" w:eastAsia="zh-CN"/>
              </w:rPr>
              <w:t>评审内容</w:t>
            </w:r>
            <w:r>
              <w:rPr>
                <w:rFonts w:hint="eastAsia"/>
                <w:color w:val="auto"/>
                <w:highlight w:val="none"/>
                <w:shd w:val="clear" w:color="auto" w:fill="auto"/>
                <w:lang w:val="en-US" w:eastAsia="zh-CN"/>
              </w:rPr>
              <w:t>每项</w:t>
            </w:r>
            <w:r>
              <w:rPr>
                <w:rFonts w:hint="default"/>
                <w:color w:val="auto"/>
                <w:highlight w:val="none"/>
                <w:shd w:val="clear" w:color="auto" w:fill="auto"/>
                <w:lang w:val="en-US" w:eastAsia="zh-CN"/>
              </w:rPr>
              <w:t>有缺陷</w:t>
            </w:r>
            <w:r>
              <w:rPr>
                <w:rFonts w:hint="eastAsia"/>
                <w:bCs/>
                <w:szCs w:val="21"/>
                <w:highlight w:val="none"/>
              </w:rPr>
              <w:t>或描述模糊或不可行</w:t>
            </w:r>
            <w:r>
              <w:rPr>
                <w:rFonts w:hint="default"/>
                <w:color w:val="auto"/>
                <w:highlight w:val="none"/>
                <w:shd w:val="clear" w:color="auto" w:fill="auto"/>
                <w:lang w:val="en-US" w:eastAsia="zh-CN"/>
              </w:rPr>
              <w:t>扣</w:t>
            </w:r>
            <w:r>
              <w:rPr>
                <w:rFonts w:hint="eastAsia" w:ascii="Times New Roman" w:hAnsi="Times New Roman" w:cs="Times New Roman"/>
                <w:highlight w:val="none"/>
                <w:lang w:val="en-US" w:eastAsia="zh-CN"/>
              </w:rPr>
              <w:t>0.5</w:t>
            </w:r>
            <w:r>
              <w:rPr>
                <w:rFonts w:hint="eastAsia" w:cs="Times New Roman"/>
                <w:highlight w:val="none"/>
                <w:lang w:val="en-US" w:eastAsia="zh-CN"/>
              </w:rPr>
              <w:t>—</w:t>
            </w:r>
            <w:r>
              <w:rPr>
                <w:rFonts w:hint="eastAsia" w:ascii="Times New Roman" w:hAnsi="Times New Roman" w:cs="Times New Roman"/>
                <w:highlight w:val="none"/>
                <w:lang w:val="en-US" w:eastAsia="zh-CN"/>
              </w:rPr>
              <w:t>1分。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7" w:hRule="exact"/>
          <w:jc w:val="center"/>
        </w:trPr>
        <w:tc>
          <w:tcPr>
            <w:tcW w:w="1116"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color w:val="auto"/>
                <w:szCs w:val="21"/>
                <w:highlight w:val="none"/>
                <w:lang w:val="en-US" w:eastAsia="zh-CN"/>
              </w:rPr>
            </w:pPr>
          </w:p>
        </w:tc>
        <w:tc>
          <w:tcPr>
            <w:tcW w:w="113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color w:val="auto"/>
                <w:szCs w:val="21"/>
                <w:highlight w:val="none"/>
                <w:lang w:eastAsia="zh-CN"/>
              </w:rPr>
            </w:pPr>
            <w:r>
              <w:rPr>
                <w:rFonts w:hint="eastAsia"/>
                <w:color w:val="auto"/>
                <w:szCs w:val="21"/>
                <w:highlight w:val="none"/>
                <w:lang w:eastAsia="zh-CN"/>
              </w:rPr>
              <w:t>售后服务方案</w:t>
            </w:r>
          </w:p>
        </w:tc>
        <w:tc>
          <w:tcPr>
            <w:tcW w:w="88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b w:val="0"/>
                <w:bCs/>
                <w:color w:val="auto"/>
                <w:szCs w:val="21"/>
                <w:highlight w:val="none"/>
                <w:shd w:val="clear" w:color="auto" w:fill="auto"/>
                <w:lang w:val="en-US" w:eastAsia="zh-CN"/>
              </w:rPr>
            </w:pPr>
            <w:r>
              <w:rPr>
                <w:rFonts w:hint="eastAsia"/>
                <w:b w:val="0"/>
                <w:bCs/>
                <w:color w:val="auto"/>
                <w:szCs w:val="21"/>
                <w:highlight w:val="none"/>
                <w:shd w:val="clear" w:color="auto" w:fill="auto"/>
                <w:lang w:val="en-US" w:eastAsia="zh-CN"/>
              </w:rPr>
              <w:t>12分</w:t>
            </w:r>
          </w:p>
        </w:tc>
        <w:tc>
          <w:tcPr>
            <w:tcW w:w="6352" w:type="dxa"/>
            <w:tcMar>
              <w:left w:w="142" w:type="dxa"/>
              <w:right w:w="142" w:type="dxa"/>
            </w:tcMar>
            <w:vAlign w:val="center"/>
          </w:tcPr>
          <w:p>
            <w:pPr>
              <w:spacing w:line="276" w:lineRule="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投标人针对本项目提出具体的售后服务方案，方案内容包含：①售后服务机构地址，电话联系人②售后服务人员组织③售后服务保障措施④产品交付采购方后出现质量问题的响应时间⑤供货不及时、出现残次品等补货换货解决方案⑥售后服务承诺；</w:t>
            </w:r>
          </w:p>
          <w:p>
            <w:pPr>
              <w:spacing w:line="276" w:lineRule="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评审标准：方案各部分内容全面详细、阐述条理清晰详尽、符合本项目采购需求得1</w:t>
            </w:r>
            <w:r>
              <w:rPr>
                <w:rFonts w:hint="eastAsia" w:cs="Times New Roman"/>
                <w:highlight w:val="none"/>
                <w:lang w:val="en-US" w:eastAsia="zh-CN"/>
              </w:rPr>
              <w:t>2</w:t>
            </w:r>
            <w:r>
              <w:rPr>
                <w:rFonts w:hint="eastAsia" w:ascii="Times New Roman" w:hAnsi="Times New Roman" w:cs="Times New Roman"/>
                <w:highlight w:val="none"/>
                <w:lang w:val="en-US" w:eastAsia="zh-CN"/>
              </w:rPr>
              <w:t>分；评审内容每缺一项扣</w:t>
            </w:r>
            <w:r>
              <w:rPr>
                <w:rFonts w:hint="eastAsia" w:cs="Times New Roman"/>
                <w:highlight w:val="none"/>
                <w:lang w:val="en-US" w:eastAsia="zh-CN"/>
              </w:rPr>
              <w:t>2</w:t>
            </w:r>
            <w:r>
              <w:rPr>
                <w:rFonts w:hint="eastAsia" w:ascii="Times New Roman" w:hAnsi="Times New Roman" w:cs="Times New Roman"/>
                <w:highlight w:val="none"/>
                <w:lang w:val="en-US" w:eastAsia="zh-CN"/>
              </w:rPr>
              <w:t>分，</w:t>
            </w:r>
            <w:r>
              <w:rPr>
                <w:rFonts w:hint="default"/>
                <w:color w:val="auto"/>
                <w:highlight w:val="none"/>
                <w:shd w:val="clear" w:color="auto" w:fill="auto"/>
                <w:lang w:val="en-US" w:eastAsia="zh-CN"/>
              </w:rPr>
              <w:t>评审内容</w:t>
            </w:r>
            <w:r>
              <w:rPr>
                <w:rFonts w:hint="eastAsia"/>
                <w:color w:val="auto"/>
                <w:highlight w:val="none"/>
                <w:shd w:val="clear" w:color="auto" w:fill="auto"/>
                <w:lang w:val="en-US" w:eastAsia="zh-CN"/>
              </w:rPr>
              <w:t>每项</w:t>
            </w:r>
            <w:r>
              <w:rPr>
                <w:rFonts w:hint="default"/>
                <w:color w:val="auto"/>
                <w:highlight w:val="none"/>
                <w:shd w:val="clear" w:color="auto" w:fill="auto"/>
                <w:lang w:val="en-US" w:eastAsia="zh-CN"/>
              </w:rPr>
              <w:t>有缺陷</w:t>
            </w:r>
            <w:r>
              <w:rPr>
                <w:rFonts w:hint="eastAsia"/>
                <w:bCs/>
                <w:szCs w:val="21"/>
                <w:highlight w:val="none"/>
              </w:rPr>
              <w:t>或描述模糊或不可行</w:t>
            </w:r>
            <w:r>
              <w:rPr>
                <w:rFonts w:hint="default"/>
                <w:color w:val="auto"/>
                <w:highlight w:val="none"/>
                <w:shd w:val="clear" w:color="auto" w:fill="auto"/>
                <w:lang w:val="en-US" w:eastAsia="zh-CN"/>
              </w:rPr>
              <w:t>扣</w:t>
            </w:r>
            <w:r>
              <w:rPr>
                <w:rFonts w:hint="eastAsia" w:ascii="Times New Roman" w:hAnsi="Times New Roman" w:cs="Times New Roman"/>
                <w:highlight w:val="none"/>
                <w:lang w:val="en-US" w:eastAsia="zh-CN"/>
              </w:rPr>
              <w:t>0.5</w:t>
            </w:r>
            <w:r>
              <w:rPr>
                <w:rFonts w:hint="eastAsia" w:cs="Times New Roman"/>
                <w:highlight w:val="none"/>
                <w:lang w:val="en-US" w:eastAsia="zh-CN"/>
              </w:rPr>
              <w:t>—1</w:t>
            </w:r>
            <w:r>
              <w:rPr>
                <w:rFonts w:hint="eastAsia" w:ascii="Times New Roman" w:hAnsi="Times New Roman" w:cs="Times New Roman"/>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2" w:hRule="exact"/>
          <w:jc w:val="center"/>
        </w:trPr>
        <w:tc>
          <w:tcPr>
            <w:tcW w:w="111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color w:val="auto"/>
                <w:szCs w:val="21"/>
                <w:highlight w:val="none"/>
                <w:lang w:val="en-US" w:eastAsia="zh-CN"/>
              </w:rPr>
            </w:pPr>
            <w:r>
              <w:rPr>
                <w:rFonts w:hint="default"/>
                <w:color w:val="auto"/>
                <w:szCs w:val="21"/>
                <w:highlight w:val="none"/>
                <w:lang w:val="en-US" w:eastAsia="zh-CN"/>
              </w:rPr>
              <w:t>商务部分（</w:t>
            </w:r>
            <w:r>
              <w:rPr>
                <w:rFonts w:hint="eastAsia"/>
                <w:color w:val="auto"/>
                <w:szCs w:val="21"/>
                <w:highlight w:val="none"/>
                <w:lang w:val="en-US" w:eastAsia="zh-CN"/>
              </w:rPr>
              <w:t>5</w:t>
            </w:r>
            <w:r>
              <w:rPr>
                <w:rFonts w:hint="default"/>
                <w:color w:val="auto"/>
                <w:szCs w:val="21"/>
                <w:highlight w:val="none"/>
                <w:lang w:val="en-US" w:eastAsia="zh-CN"/>
              </w:rPr>
              <w:t>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color w:val="auto"/>
                <w:szCs w:val="21"/>
                <w:highlight w:val="none"/>
                <w:lang w:val="en-US" w:eastAsia="zh-CN"/>
              </w:rPr>
            </w:pPr>
          </w:p>
        </w:tc>
        <w:tc>
          <w:tcPr>
            <w:tcW w:w="113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color w:val="auto"/>
                <w:szCs w:val="21"/>
                <w:highlight w:val="none"/>
                <w:lang w:eastAsia="zh-CN"/>
              </w:rPr>
            </w:pPr>
            <w:r>
              <w:rPr>
                <w:rFonts w:hint="eastAsia"/>
                <w:color w:val="auto"/>
                <w:szCs w:val="21"/>
                <w:highlight w:val="none"/>
                <w:lang w:val="en-US" w:eastAsia="zh-CN"/>
              </w:rPr>
              <w:t>业绩</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color w:val="auto"/>
                <w:szCs w:val="21"/>
                <w:highlight w:val="none"/>
                <w:lang w:eastAsia="zh-CN"/>
              </w:rPr>
            </w:pPr>
          </w:p>
        </w:tc>
        <w:tc>
          <w:tcPr>
            <w:tcW w:w="885"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b w:val="0"/>
                <w:bCs/>
                <w:color w:val="auto"/>
                <w:szCs w:val="21"/>
                <w:highlight w:val="none"/>
                <w:shd w:val="clear" w:color="auto" w:fill="auto"/>
                <w:lang w:val="en-US" w:eastAsia="zh-CN"/>
              </w:rPr>
            </w:pPr>
            <w:r>
              <w:rPr>
                <w:rFonts w:hint="eastAsia"/>
                <w:b w:val="0"/>
                <w:bCs/>
                <w:color w:val="auto"/>
                <w:szCs w:val="21"/>
                <w:highlight w:val="none"/>
                <w:shd w:val="clear" w:color="auto" w:fill="auto"/>
                <w:lang w:val="en-US" w:eastAsia="zh-CN"/>
              </w:rPr>
              <w:t>5分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b w:val="0"/>
                <w:bCs/>
                <w:color w:val="auto"/>
                <w:szCs w:val="21"/>
                <w:highlight w:val="none"/>
                <w:shd w:val="clear" w:color="auto" w:fill="auto"/>
                <w:lang w:val="en-US" w:eastAsia="zh-CN"/>
              </w:rPr>
            </w:pPr>
          </w:p>
        </w:tc>
        <w:tc>
          <w:tcPr>
            <w:tcW w:w="6352" w:type="dxa"/>
            <w:tcMar>
              <w:left w:w="142" w:type="dxa"/>
              <w:right w:w="142" w:type="dxa"/>
            </w:tcMar>
            <w:vAlign w:val="center"/>
          </w:tcPr>
          <w:p>
            <w:pPr>
              <w:spacing w:line="276" w:lineRule="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投标人提供自 20</w:t>
            </w:r>
            <w:r>
              <w:rPr>
                <w:rFonts w:hint="eastAsia" w:cs="Times New Roman"/>
                <w:highlight w:val="none"/>
                <w:lang w:val="en-US" w:eastAsia="zh-CN"/>
              </w:rPr>
              <w:t>20</w:t>
            </w:r>
            <w:r>
              <w:rPr>
                <w:rFonts w:hint="eastAsia" w:ascii="Times New Roman" w:hAnsi="Times New Roman" w:cs="Times New Roman"/>
                <w:highlight w:val="none"/>
                <w:lang w:val="en-US" w:eastAsia="zh-CN"/>
              </w:rPr>
              <w:t xml:space="preserve">年 </w:t>
            </w:r>
            <w:r>
              <w:rPr>
                <w:rFonts w:hint="eastAsia" w:cs="Times New Roman"/>
                <w:highlight w:val="none"/>
                <w:lang w:val="en-US" w:eastAsia="zh-CN"/>
              </w:rPr>
              <w:t>9</w:t>
            </w:r>
            <w:r>
              <w:rPr>
                <w:rFonts w:hint="eastAsia" w:ascii="Times New Roman" w:hAnsi="Times New Roman" w:cs="Times New Roman"/>
                <w:highlight w:val="none"/>
                <w:lang w:val="en-US" w:eastAsia="zh-CN"/>
              </w:rPr>
              <w:t xml:space="preserve"> 月 1 日以来至今类似项目业绩，每提供 1 份得1 分，满分 </w:t>
            </w:r>
            <w:r>
              <w:rPr>
                <w:rFonts w:hint="eastAsia" w:cs="Times New Roman"/>
                <w:highlight w:val="none"/>
                <w:lang w:val="en-US" w:eastAsia="zh-CN"/>
              </w:rPr>
              <w:t>5</w:t>
            </w:r>
            <w:r>
              <w:rPr>
                <w:rFonts w:hint="eastAsia" w:ascii="Times New Roman" w:hAnsi="Times New Roman" w:cs="Times New Roman"/>
                <w:highlight w:val="none"/>
                <w:lang w:val="en-US" w:eastAsia="zh-CN"/>
              </w:rPr>
              <w:t xml:space="preserve"> 分。 </w:t>
            </w:r>
          </w:p>
          <w:p>
            <w:pPr>
              <w:spacing w:line="276" w:lineRule="auto"/>
              <w:rPr>
                <w:rFonts w:hint="eastAsia" w:ascii="Times New Roman" w:hAnsi="Times New Roman" w:cs="Times New Roman"/>
                <w:highlight w:val="none"/>
                <w:lang w:val="en-US" w:eastAsia="zh-CN"/>
              </w:rPr>
            </w:pPr>
            <w:r>
              <w:rPr>
                <w:rFonts w:hint="eastAsia" w:ascii="Times New Roman" w:hAnsi="Times New Roman" w:cs="Times New Roman"/>
                <w:b/>
                <w:bCs/>
                <w:highlight w:val="none"/>
                <w:lang w:val="en-US" w:eastAsia="zh-CN"/>
              </w:rPr>
              <w:t>注：须提供合同（协议）复印件并加盖公章，以合同（协议）签订时间为准，不提供者不计分。</w:t>
            </w:r>
          </w:p>
        </w:tc>
      </w:tr>
    </w:tbl>
    <w:p>
      <w:pPr>
        <w:keepNext w:val="0"/>
        <w:keepLines w:val="0"/>
        <w:pageBreakBefore w:val="0"/>
        <w:widowControl w:val="0"/>
        <w:kinsoku/>
        <w:wordWrap/>
        <w:overflowPunct/>
        <w:topLinePunct w:val="0"/>
        <w:autoSpaceDE w:val="0"/>
        <w:autoSpaceDN w:val="0"/>
        <w:bidi w:val="0"/>
        <w:adjustRightInd w:val="0"/>
        <w:snapToGrid/>
        <w:spacing w:line="500" w:lineRule="exact"/>
        <w:ind w:left="0" w:leftChars="0" w:right="6" w:rightChars="0" w:firstLine="0" w:firstLineChars="0"/>
        <w:jc w:val="both"/>
        <w:textAlignment w:val="auto"/>
        <w:outlineLvl w:val="9"/>
        <w:rPr>
          <w:rFonts w:hint="eastAsia"/>
          <w:b/>
          <w:bCs/>
          <w:highlight w:val="none"/>
        </w:rPr>
      </w:pPr>
      <w:r>
        <w:rPr>
          <w:rFonts w:hint="eastAsia" w:ascii="Times New Roman" w:hAnsi="Times New Roman" w:eastAsia="宋体" w:cs="Times New Roman"/>
          <w:b w:val="0"/>
          <w:bCs w:val="0"/>
          <w:sz w:val="21"/>
          <w:szCs w:val="21"/>
          <w:highlight w:val="none"/>
          <w:lang w:val="en-US" w:eastAsia="zh-CN"/>
        </w:rPr>
        <w:t>注：</w:t>
      </w:r>
      <w:r>
        <w:rPr>
          <w:rFonts w:hint="eastAsia" w:ascii="Times New Roman" w:hAnsi="Times New Roman" w:eastAsia="宋体" w:cs="Times New Roman"/>
          <w:b w:val="0"/>
          <w:bCs w:val="0"/>
          <w:sz w:val="21"/>
          <w:szCs w:val="21"/>
          <w:highlight w:val="none"/>
        </w:rPr>
        <w:t>评标委员会各评委独立评分，按评审后综合得分由高到低顺序排列，推荐3名中标候选人。得分相同的，按投标报价由低到高顺序排列，得分且投标报价相同的，比较技术得分，此技术得分高者排在前。</w:t>
      </w:r>
    </w:p>
    <w:p>
      <w:pPr>
        <w:spacing w:before="240" w:after="120"/>
        <w:jc w:val="left"/>
        <w:outlineLvl w:val="2"/>
        <w:rPr>
          <w:rFonts w:hint="eastAsia" w:ascii="宋体" w:hAnsi="宋体" w:cs="宋体"/>
          <w:b/>
          <w:bCs/>
          <w:kern w:val="0"/>
          <w:sz w:val="24"/>
          <w:highlight w:val="none"/>
        </w:rPr>
      </w:pPr>
      <w:r>
        <w:rPr>
          <w:rFonts w:hint="eastAsia" w:ascii="宋体" w:hAnsi="宋体" w:cs="宋体"/>
          <w:b/>
          <w:bCs/>
          <w:kern w:val="0"/>
          <w:sz w:val="24"/>
          <w:highlight w:val="none"/>
          <w:lang w:val="en-US" w:eastAsia="zh-CN"/>
        </w:rPr>
        <w:t>2.</w:t>
      </w:r>
      <w:r>
        <w:rPr>
          <w:rFonts w:hint="eastAsia" w:ascii="宋体" w:hAnsi="宋体" w:cs="宋体"/>
          <w:b/>
          <w:bCs/>
          <w:kern w:val="0"/>
          <w:sz w:val="24"/>
          <w:highlight w:val="none"/>
        </w:rPr>
        <w:t>3</w:t>
      </w:r>
      <w:r>
        <w:rPr>
          <w:rFonts w:hint="eastAsia" w:ascii="宋体" w:hAnsi="宋体" w:cs="宋体"/>
          <w:b/>
          <w:bCs/>
          <w:kern w:val="0"/>
          <w:sz w:val="24"/>
          <w:highlight w:val="none"/>
          <w:lang w:val="en-US" w:eastAsia="zh-CN"/>
        </w:rPr>
        <w:t xml:space="preserve">  </w:t>
      </w:r>
      <w:r>
        <w:rPr>
          <w:rFonts w:hint="eastAsia" w:ascii="宋体" w:hAnsi="宋体" w:cs="宋体"/>
          <w:b/>
          <w:bCs/>
          <w:kern w:val="0"/>
          <w:sz w:val="24"/>
          <w:highlight w:val="none"/>
        </w:rPr>
        <w:t>特殊情况的处理</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2.</w:t>
      </w:r>
      <w:r>
        <w:rPr>
          <w:rFonts w:hint="eastAsia" w:ascii="Times New Roman" w:hAnsi="Times New Roman" w:eastAsia="宋体" w:cs="Times New Roman"/>
          <w:b w:val="0"/>
          <w:bCs w:val="0"/>
          <w:sz w:val="21"/>
          <w:szCs w:val="21"/>
          <w:highlight w:val="none"/>
        </w:rPr>
        <w:t>3.1 投标文件中如果出现计算错误，可按以下原则进行修正：</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（1）投标文件中的大写金额与小写金额不一致的，以大写金额为准；</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（2）投标文件中的总价金额与按单价计算的汇总金额不一致的，以单价计算的汇总金额为准；</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（3）投标文件中的单价金额有明显小数点错误的，以总价为准，并修改单价；</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（4）投标文件中有关分项表内容与</w:t>
      </w:r>
      <w:r>
        <w:rPr>
          <w:rFonts w:hint="eastAsia" w:ascii="Times New Roman" w:hAnsi="Times New Roman" w:eastAsia="宋体" w:cs="Times New Roman"/>
          <w:b w:val="0"/>
          <w:bCs w:val="0"/>
          <w:sz w:val="21"/>
          <w:szCs w:val="21"/>
          <w:highlight w:val="none"/>
          <w:lang w:eastAsia="zh-CN"/>
        </w:rPr>
        <w:t>“</w:t>
      </w:r>
      <w:r>
        <w:rPr>
          <w:rFonts w:hint="eastAsia" w:ascii="Times New Roman" w:hAnsi="Times New Roman" w:eastAsia="宋体" w:cs="Times New Roman"/>
          <w:b w:val="0"/>
          <w:bCs w:val="0"/>
          <w:sz w:val="21"/>
          <w:szCs w:val="21"/>
          <w:highlight w:val="none"/>
        </w:rPr>
        <w:t>开标一览表</w:t>
      </w:r>
      <w:r>
        <w:rPr>
          <w:rFonts w:hint="eastAsia" w:ascii="Times New Roman" w:hAnsi="Times New Roman" w:eastAsia="宋体" w:cs="Times New Roman"/>
          <w:b w:val="0"/>
          <w:bCs w:val="0"/>
          <w:sz w:val="21"/>
          <w:szCs w:val="21"/>
          <w:highlight w:val="none"/>
          <w:lang w:eastAsia="zh-CN"/>
        </w:rPr>
        <w:t>”</w:t>
      </w:r>
      <w:r>
        <w:rPr>
          <w:rFonts w:hint="eastAsia" w:ascii="Times New Roman" w:hAnsi="Times New Roman" w:eastAsia="宋体" w:cs="Times New Roman"/>
          <w:b w:val="0"/>
          <w:bCs w:val="0"/>
          <w:sz w:val="21"/>
          <w:szCs w:val="21"/>
          <w:highlight w:val="none"/>
        </w:rPr>
        <w:t>不一致的，以</w:t>
      </w:r>
      <w:r>
        <w:rPr>
          <w:rFonts w:hint="eastAsia" w:ascii="Times New Roman" w:hAnsi="Times New Roman" w:eastAsia="宋体" w:cs="Times New Roman"/>
          <w:b w:val="0"/>
          <w:bCs w:val="0"/>
          <w:sz w:val="21"/>
          <w:szCs w:val="21"/>
          <w:highlight w:val="none"/>
          <w:lang w:eastAsia="zh-CN"/>
        </w:rPr>
        <w:t>“</w:t>
      </w:r>
      <w:r>
        <w:rPr>
          <w:rFonts w:hint="eastAsia" w:ascii="Times New Roman" w:hAnsi="Times New Roman" w:eastAsia="宋体" w:cs="Times New Roman"/>
          <w:b w:val="0"/>
          <w:bCs w:val="0"/>
          <w:sz w:val="21"/>
          <w:szCs w:val="21"/>
          <w:highlight w:val="none"/>
        </w:rPr>
        <w:t>开标一览表</w:t>
      </w:r>
      <w:r>
        <w:rPr>
          <w:rFonts w:hint="eastAsia" w:ascii="Times New Roman" w:hAnsi="Times New Roman" w:eastAsia="宋体" w:cs="Times New Roman"/>
          <w:b w:val="0"/>
          <w:bCs w:val="0"/>
          <w:sz w:val="21"/>
          <w:szCs w:val="21"/>
          <w:highlight w:val="none"/>
          <w:lang w:eastAsia="zh-CN"/>
        </w:rPr>
        <w:t>”</w:t>
      </w:r>
      <w:r>
        <w:rPr>
          <w:rFonts w:hint="eastAsia" w:ascii="Times New Roman" w:hAnsi="Times New Roman" w:eastAsia="宋体" w:cs="Times New Roman"/>
          <w:b w:val="0"/>
          <w:bCs w:val="0"/>
          <w:sz w:val="21"/>
          <w:szCs w:val="21"/>
          <w:highlight w:val="none"/>
        </w:rPr>
        <w:t>为准；</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（5）投标文件中图表与文字表述不一致的，以文字表述为准；</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w:t>
      </w:r>
      <w:r>
        <w:rPr>
          <w:rFonts w:hint="eastAsia" w:cs="Times New Roman"/>
          <w:b w:val="0"/>
          <w:bCs w:val="0"/>
          <w:sz w:val="21"/>
          <w:szCs w:val="21"/>
          <w:highlight w:val="none"/>
          <w:lang w:val="en-US" w:eastAsia="zh-CN"/>
        </w:rPr>
        <w:t>6</w:t>
      </w:r>
      <w:r>
        <w:rPr>
          <w:rFonts w:hint="eastAsia" w:ascii="Times New Roman" w:hAnsi="Times New Roman" w:eastAsia="宋体" w:cs="Times New Roman"/>
          <w:b w:val="0"/>
          <w:bCs w:val="0"/>
          <w:sz w:val="21"/>
          <w:szCs w:val="21"/>
          <w:highlight w:val="none"/>
        </w:rPr>
        <w:t>）对不同文字文本投标文件的解释发生异议的，以中文文本为准。</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按上述修正错误的方法调整的投标报价应对投标</w:t>
      </w:r>
      <w:r>
        <w:rPr>
          <w:rFonts w:hint="eastAsia" w:ascii="Times New Roman" w:hAnsi="Times New Roman" w:eastAsia="宋体" w:cs="Times New Roman"/>
          <w:b w:val="0"/>
          <w:bCs w:val="0"/>
          <w:sz w:val="21"/>
          <w:szCs w:val="21"/>
          <w:highlight w:val="none"/>
          <w:lang w:eastAsia="zh-CN"/>
        </w:rPr>
        <w:t>人</w:t>
      </w:r>
      <w:r>
        <w:rPr>
          <w:rFonts w:hint="eastAsia" w:ascii="Times New Roman" w:hAnsi="Times New Roman" w:eastAsia="宋体" w:cs="Times New Roman"/>
          <w:b w:val="0"/>
          <w:bCs w:val="0"/>
          <w:sz w:val="21"/>
          <w:szCs w:val="21"/>
          <w:highlight w:val="none"/>
        </w:rPr>
        <w:t>具有约束力。如果投标</w:t>
      </w:r>
      <w:r>
        <w:rPr>
          <w:rFonts w:hint="eastAsia" w:ascii="Times New Roman" w:hAnsi="Times New Roman" w:eastAsia="宋体" w:cs="Times New Roman"/>
          <w:b w:val="0"/>
          <w:bCs w:val="0"/>
          <w:sz w:val="21"/>
          <w:szCs w:val="21"/>
          <w:highlight w:val="none"/>
          <w:lang w:eastAsia="zh-CN"/>
        </w:rPr>
        <w:t>人</w:t>
      </w:r>
      <w:r>
        <w:rPr>
          <w:rFonts w:hint="eastAsia" w:ascii="Times New Roman" w:hAnsi="Times New Roman" w:eastAsia="宋体" w:cs="Times New Roman"/>
          <w:b w:val="0"/>
          <w:bCs w:val="0"/>
          <w:sz w:val="21"/>
          <w:szCs w:val="21"/>
          <w:highlight w:val="none"/>
        </w:rPr>
        <w:t>不接受修正后的价格，其投标将被拒绝。</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2.</w:t>
      </w:r>
      <w:r>
        <w:rPr>
          <w:rFonts w:hint="eastAsia" w:ascii="Times New Roman" w:hAnsi="Times New Roman" w:eastAsia="宋体" w:cs="Times New Roman"/>
          <w:b w:val="0"/>
          <w:bCs w:val="0"/>
          <w:sz w:val="21"/>
          <w:szCs w:val="21"/>
          <w:highlight w:val="none"/>
        </w:rPr>
        <w:t>3.2 投标文件中，若某项有不合理报价（或零报价、漏报价）的，经评委会评审后，此项得分为零，不参与投标报价分值的计算。</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2.</w:t>
      </w:r>
      <w:r>
        <w:rPr>
          <w:rFonts w:hint="eastAsia" w:ascii="Times New Roman" w:hAnsi="Times New Roman" w:eastAsia="宋体" w:cs="Times New Roman"/>
          <w:b w:val="0"/>
          <w:bCs w:val="0"/>
          <w:sz w:val="21"/>
          <w:szCs w:val="21"/>
          <w:highlight w:val="none"/>
        </w:rPr>
        <w:t>3.3 评委评分超过得分界限或未按照本办法规定时，该评委的该项评分作废，不计入汇总；计算采用插入法，各种数字均保留两位小数，第三位</w:t>
      </w:r>
      <w:r>
        <w:rPr>
          <w:rFonts w:hint="eastAsia" w:ascii="Times New Roman" w:hAnsi="Times New Roman" w:eastAsia="宋体" w:cs="Times New Roman"/>
          <w:b w:val="0"/>
          <w:bCs w:val="0"/>
          <w:sz w:val="21"/>
          <w:szCs w:val="21"/>
          <w:highlight w:val="none"/>
          <w:lang w:eastAsia="zh-CN"/>
        </w:rPr>
        <w:t>“</w:t>
      </w:r>
      <w:r>
        <w:rPr>
          <w:rFonts w:hint="eastAsia" w:ascii="Times New Roman" w:hAnsi="Times New Roman" w:eastAsia="宋体" w:cs="Times New Roman"/>
          <w:b w:val="0"/>
          <w:bCs w:val="0"/>
          <w:sz w:val="21"/>
          <w:szCs w:val="21"/>
          <w:highlight w:val="none"/>
        </w:rPr>
        <w:t>四舍五入</w:t>
      </w:r>
      <w:r>
        <w:rPr>
          <w:rFonts w:hint="eastAsia" w:ascii="Times New Roman" w:hAnsi="Times New Roman" w:eastAsia="宋体" w:cs="Times New Roman"/>
          <w:b w:val="0"/>
          <w:bCs w:val="0"/>
          <w:sz w:val="21"/>
          <w:szCs w:val="21"/>
          <w:highlight w:val="none"/>
          <w:lang w:eastAsia="zh-CN"/>
        </w:rPr>
        <w:t>”</w:t>
      </w:r>
      <w:r>
        <w:rPr>
          <w:rFonts w:hint="eastAsia" w:ascii="Times New Roman" w:hAnsi="Times New Roman" w:eastAsia="宋体" w:cs="Times New Roman"/>
          <w:b w:val="0"/>
          <w:bCs w:val="0"/>
          <w:sz w:val="21"/>
          <w:szCs w:val="21"/>
          <w:highlight w:val="none"/>
        </w:rPr>
        <w:t>；评审过程中，若出现本办法以外的特殊情况时，将暂停评标，有关情况待评标委员会确定后，再行评定。</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2.</w:t>
      </w:r>
      <w:r>
        <w:rPr>
          <w:rFonts w:hint="eastAsia" w:ascii="Times New Roman" w:hAnsi="Times New Roman" w:eastAsia="宋体" w:cs="Times New Roman"/>
          <w:b w:val="0"/>
          <w:bCs w:val="0"/>
          <w:sz w:val="21"/>
          <w:szCs w:val="21"/>
          <w:highlight w:val="none"/>
        </w:rPr>
        <w:t>3.4 评标结果汇总完成后，除下列情形外，任何人不得修改评标结果：</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（1）分值汇总计算错误的；</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（2）分项评分超出评分标准范围的；</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（3）评标委员会对客观评审因素评分不一致的；</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（4）经评标委员会认定评分畸高、畸低的。</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中标结果的，书面报本级财政部门认定。</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lang w:val="en-US" w:eastAsia="zh-CN"/>
        </w:rPr>
        <w:t>2.</w:t>
      </w:r>
      <w:r>
        <w:rPr>
          <w:rFonts w:hint="eastAsia" w:ascii="Times New Roman" w:hAnsi="Times New Roman" w:eastAsia="宋体" w:cs="Times New Roman"/>
          <w:b w:val="0"/>
          <w:bCs w:val="0"/>
          <w:sz w:val="21"/>
          <w:szCs w:val="21"/>
          <w:highlight w:val="none"/>
        </w:rPr>
        <w:t>3.5 排名第一的候选人，主动放弃中标，或因不可抗力不能履行合同，或被查实存在影响中标结果的违法行为等情形，已不再符合中标条件的，采购人可以按照评委会提出的中标候选人名单排序依次确定其他中标候选人为中标</w:t>
      </w:r>
      <w:r>
        <w:rPr>
          <w:rFonts w:hint="eastAsia" w:ascii="Times New Roman" w:hAnsi="Times New Roman" w:eastAsia="宋体" w:cs="Times New Roman"/>
          <w:b w:val="0"/>
          <w:bCs w:val="0"/>
          <w:sz w:val="21"/>
          <w:szCs w:val="21"/>
          <w:highlight w:val="none"/>
          <w:lang w:eastAsia="zh-CN"/>
        </w:rPr>
        <w:t>人</w:t>
      </w:r>
      <w:r>
        <w:rPr>
          <w:rFonts w:hint="eastAsia" w:ascii="Times New Roman" w:hAnsi="Times New Roman" w:eastAsia="宋体" w:cs="Times New Roman"/>
          <w:b w:val="0"/>
          <w:bCs w:val="0"/>
          <w:sz w:val="21"/>
          <w:szCs w:val="21"/>
          <w:highlight w:val="none"/>
        </w:rPr>
        <w:t>，也可以根据实际情况需要，依法重新招标。</w:t>
      </w:r>
    </w:p>
    <w:p>
      <w:pPr>
        <w:spacing w:before="240" w:after="120"/>
        <w:jc w:val="left"/>
        <w:outlineLvl w:val="2"/>
        <w:rPr>
          <w:rFonts w:hint="eastAsia" w:ascii="宋体" w:hAnsi="宋体" w:cs="宋体"/>
          <w:b/>
          <w:bCs/>
          <w:kern w:val="0"/>
          <w:sz w:val="24"/>
          <w:highlight w:val="none"/>
          <w:lang w:val="en-US" w:eastAsia="zh-CN"/>
        </w:rPr>
      </w:pPr>
      <w:r>
        <w:rPr>
          <w:rFonts w:hint="eastAsia" w:ascii="宋体" w:hAnsi="宋体" w:cs="宋体"/>
          <w:b/>
          <w:bCs/>
          <w:kern w:val="0"/>
          <w:sz w:val="24"/>
          <w:highlight w:val="none"/>
          <w:lang w:val="en-US" w:eastAsia="zh-CN"/>
        </w:rPr>
        <w:t>2.4  与采购人、采购代理机构和评标委员会接触</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eastAsia="宋体" w:cs="Times New Roman"/>
          <w:b w:val="0"/>
          <w:bCs w:val="0"/>
          <w:sz w:val="21"/>
          <w:szCs w:val="21"/>
          <w:highlight w:val="none"/>
        </w:rPr>
      </w:pPr>
      <w:r>
        <w:rPr>
          <w:rFonts w:hint="eastAsia" w:ascii="Times New Roman" w:hAnsi="Times New Roman" w:eastAsia="宋体" w:cs="Times New Roman"/>
          <w:b w:val="0"/>
          <w:bCs w:val="0"/>
          <w:sz w:val="21"/>
          <w:szCs w:val="21"/>
          <w:highlight w:val="none"/>
        </w:rPr>
        <w:t>投标人试图对采购人、采购代理机构和评标委员会的评标、比较或授予合同的决定进行影响，都可能导致其投标被拒绝。</w:t>
      </w:r>
    </w:p>
    <w:p>
      <w:pPr>
        <w:keepNext w:val="0"/>
        <w:keepLines w:val="0"/>
        <w:pageBreakBefore w:val="0"/>
        <w:widowControl/>
        <w:kinsoku/>
        <w:wordWrap/>
        <w:overflowPunct/>
        <w:topLinePunct w:val="0"/>
        <w:autoSpaceDE w:val="0"/>
        <w:autoSpaceDN w:val="0"/>
        <w:bidi w:val="0"/>
        <w:adjustRightInd/>
        <w:snapToGrid/>
        <w:spacing w:line="500" w:lineRule="exact"/>
        <w:ind w:left="0" w:leftChars="0" w:right="53" w:firstLine="0" w:firstLineChars="0"/>
        <w:textAlignment w:val="bottom"/>
        <w:rPr>
          <w:rFonts w:hint="eastAsia" w:ascii="新宋体" w:hAnsi="新宋体"/>
          <w:b/>
          <w:bCs/>
          <w:color w:val="auto"/>
          <w:sz w:val="28"/>
          <w:szCs w:val="28"/>
          <w:highlight w:val="none"/>
          <w:lang w:eastAsia="zh-CN"/>
        </w:rPr>
      </w:pPr>
    </w:p>
    <w:p>
      <w:pPr>
        <w:rPr>
          <w:rFonts w:hint="eastAsia" w:ascii="新宋体" w:hAnsi="新宋体"/>
          <w:b/>
          <w:bCs/>
          <w:color w:val="auto"/>
          <w:sz w:val="28"/>
          <w:szCs w:val="28"/>
          <w:highlight w:val="none"/>
          <w:lang w:eastAsia="zh-CN"/>
        </w:rPr>
      </w:pPr>
      <w:r>
        <w:rPr>
          <w:rFonts w:hint="eastAsia" w:ascii="新宋体" w:hAnsi="新宋体"/>
          <w:b/>
          <w:bCs/>
          <w:color w:val="auto"/>
          <w:sz w:val="28"/>
          <w:szCs w:val="28"/>
          <w:highlight w:val="none"/>
          <w:lang w:eastAsia="zh-CN"/>
        </w:rPr>
        <w:br w:type="page"/>
      </w:r>
    </w:p>
    <w:p>
      <w:pPr>
        <w:keepNext w:val="0"/>
        <w:keepLines w:val="0"/>
        <w:pageBreakBefore w:val="0"/>
        <w:widowControl/>
        <w:kinsoku/>
        <w:wordWrap/>
        <w:overflowPunct/>
        <w:topLinePunct w:val="0"/>
        <w:autoSpaceDE w:val="0"/>
        <w:autoSpaceDN w:val="0"/>
        <w:bidi w:val="0"/>
        <w:adjustRightInd/>
        <w:snapToGrid/>
        <w:spacing w:line="500" w:lineRule="exact"/>
        <w:ind w:left="0" w:leftChars="0" w:right="53" w:firstLine="0" w:firstLineChars="0"/>
        <w:textAlignment w:val="bottom"/>
        <w:rPr>
          <w:rFonts w:hint="eastAsia" w:ascii="新宋体" w:hAnsi="新宋体"/>
          <w:b/>
          <w:bCs/>
          <w:color w:val="auto"/>
          <w:sz w:val="28"/>
          <w:szCs w:val="28"/>
          <w:highlight w:val="none"/>
          <w:lang w:eastAsia="zh-CN"/>
        </w:rPr>
      </w:pPr>
      <w:r>
        <w:rPr>
          <w:rFonts w:hint="eastAsia" w:ascii="新宋体" w:hAnsi="新宋体"/>
          <w:b/>
          <w:bCs/>
          <w:color w:val="auto"/>
          <w:sz w:val="28"/>
          <w:szCs w:val="28"/>
          <w:highlight w:val="none"/>
          <w:lang w:eastAsia="zh-CN"/>
        </w:rPr>
        <w:t>附件一：</w:t>
      </w:r>
    </w:p>
    <w:p>
      <w:pPr>
        <w:keepNext w:val="0"/>
        <w:keepLines w:val="0"/>
        <w:pageBreakBefore w:val="0"/>
        <w:widowControl/>
        <w:kinsoku/>
        <w:wordWrap/>
        <w:overflowPunct/>
        <w:topLinePunct w:val="0"/>
        <w:autoSpaceDE w:val="0"/>
        <w:autoSpaceDN w:val="0"/>
        <w:bidi w:val="0"/>
        <w:adjustRightInd/>
        <w:snapToGrid w:val="0"/>
        <w:spacing w:line="360" w:lineRule="auto"/>
        <w:ind w:left="0" w:leftChars="0" w:right="51" w:rightChars="0" w:firstLine="0" w:firstLineChars="0"/>
        <w:jc w:val="center"/>
        <w:textAlignment w:val="bottom"/>
        <w:outlineLvl w:val="9"/>
        <w:rPr>
          <w:rFonts w:hint="eastAsia" w:ascii="新宋体" w:hAnsi="新宋体"/>
          <w:b/>
          <w:bCs/>
          <w:color w:val="auto"/>
          <w:sz w:val="28"/>
          <w:szCs w:val="28"/>
          <w:highlight w:val="none"/>
          <w:lang w:eastAsia="zh-CN"/>
        </w:rPr>
      </w:pPr>
      <w:r>
        <w:rPr>
          <w:rFonts w:hint="eastAsia" w:ascii="新宋体" w:hAnsi="新宋体"/>
          <w:b/>
          <w:bCs/>
          <w:color w:val="auto"/>
          <w:sz w:val="28"/>
          <w:szCs w:val="28"/>
          <w:highlight w:val="none"/>
          <w:lang w:eastAsia="zh-CN"/>
        </w:rPr>
        <w:t>资格性审查内容</w:t>
      </w:r>
    </w:p>
    <w:tbl>
      <w:tblPr>
        <w:tblStyle w:val="38"/>
        <w:tblW w:w="96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89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92"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center"/>
              <w:textAlignment w:val="auto"/>
              <w:outlineLvl w:val="9"/>
              <w:rPr>
                <w:rFonts w:hint="eastAsia" w:ascii="新宋体" w:hAnsi="新宋体" w:eastAsia="新宋体" w:cs="新宋体"/>
                <w:b/>
                <w:bCs/>
                <w:color w:val="auto"/>
                <w:sz w:val="21"/>
                <w:szCs w:val="21"/>
                <w:highlight w:val="none"/>
                <w:vertAlign w:val="baseline"/>
                <w:lang w:eastAsia="zh-CN"/>
              </w:rPr>
            </w:pPr>
            <w:r>
              <w:rPr>
                <w:rFonts w:hint="eastAsia" w:ascii="新宋体" w:hAnsi="新宋体" w:eastAsia="新宋体" w:cs="新宋体"/>
                <w:b/>
                <w:bCs/>
                <w:color w:val="auto"/>
                <w:sz w:val="21"/>
                <w:szCs w:val="21"/>
                <w:highlight w:val="none"/>
                <w:vertAlign w:val="baseline"/>
                <w:lang w:eastAsia="zh-CN"/>
              </w:rPr>
              <w:t>序号</w:t>
            </w:r>
          </w:p>
        </w:tc>
        <w:tc>
          <w:tcPr>
            <w:tcW w:w="8913" w:type="dxa"/>
            <w:tcBorders>
              <w:tl2br w:val="nil"/>
              <w:tr2bl w:val="nil"/>
            </w:tcBorders>
            <w:vAlign w:val="center"/>
          </w:tcPr>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center"/>
              <w:textAlignment w:val="auto"/>
              <w:outlineLvl w:val="9"/>
              <w:rPr>
                <w:rFonts w:hint="eastAsia" w:ascii="新宋体" w:hAnsi="新宋体" w:eastAsia="新宋体" w:cs="新宋体"/>
                <w:b/>
                <w:bCs/>
                <w:color w:val="auto"/>
                <w:sz w:val="21"/>
                <w:szCs w:val="21"/>
                <w:highlight w:val="none"/>
                <w:vertAlign w:val="baseline"/>
                <w:lang w:eastAsia="zh-CN"/>
              </w:rPr>
            </w:pPr>
            <w:r>
              <w:rPr>
                <w:rFonts w:hint="eastAsia" w:ascii="新宋体" w:hAnsi="新宋体" w:eastAsia="新宋体" w:cs="新宋体"/>
                <w:b/>
                <w:bCs/>
                <w:color w:val="auto"/>
                <w:sz w:val="21"/>
                <w:szCs w:val="21"/>
                <w:highlight w:val="none"/>
                <w:vertAlign w:val="baseline"/>
                <w:lang w:eastAsia="zh-CN"/>
              </w:rPr>
              <w:t>审查内容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692" w:type="dxa"/>
            <w:tcBorders>
              <w:tl2br w:val="nil"/>
              <w:tr2bl w:val="nil"/>
            </w:tcBorders>
            <w:vAlign w:val="center"/>
          </w:tcPr>
          <w:p>
            <w:pPr>
              <w:pStyle w:val="31"/>
              <w:spacing w:before="0" w:beforeAutospacing="0" w:after="0" w:afterAutospacing="0" w:line="500" w:lineRule="exact"/>
              <w:jc w:val="center"/>
              <w:rPr>
                <w:rFonts w:hint="default" w:ascii="新宋体" w:hAnsi="新宋体" w:eastAsia="新宋体" w:cs="新宋体"/>
                <w:sz w:val="21"/>
                <w:szCs w:val="21"/>
                <w:highlight w:val="none"/>
                <w:lang w:val="en-US" w:eastAsia="zh-CN"/>
              </w:rPr>
            </w:pPr>
            <w:r>
              <w:rPr>
                <w:rFonts w:hint="default" w:ascii="新宋体" w:hAnsi="新宋体" w:eastAsia="新宋体" w:cs="新宋体"/>
                <w:sz w:val="21"/>
                <w:szCs w:val="21"/>
                <w:highlight w:val="none"/>
                <w:lang w:val="en-US" w:eastAsia="zh-CN"/>
              </w:rPr>
              <w:t>1</w:t>
            </w:r>
          </w:p>
        </w:tc>
        <w:tc>
          <w:tcPr>
            <w:tcW w:w="8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新宋体" w:hAnsi="新宋体" w:eastAsia="新宋体" w:cs="新宋体"/>
                <w:sz w:val="21"/>
                <w:szCs w:val="21"/>
                <w:highlight w:val="none"/>
                <w:lang w:val="en-US" w:eastAsia="zh-CN"/>
              </w:rPr>
            </w:pP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val="en-US" w:eastAsia="zh-CN"/>
              </w:rPr>
              <w:t>2022</w:t>
            </w:r>
            <w:r>
              <w:rPr>
                <w:rFonts w:hint="eastAsia" w:ascii="宋体" w:hAnsi="宋体" w:eastAsia="宋体" w:cs="宋体"/>
                <w:color w:val="auto"/>
                <w:sz w:val="21"/>
                <w:szCs w:val="21"/>
                <w:highlight w:val="none"/>
              </w:rPr>
              <w:t>年度的财务报告；或其基本开户银行出具的资信证明；或</w:t>
            </w:r>
            <w:r>
              <w:rPr>
                <w:rFonts w:hint="eastAsia" w:ascii="宋体" w:hAnsi="宋体" w:eastAsia="宋体" w:cs="宋体"/>
                <w:sz w:val="21"/>
                <w:szCs w:val="21"/>
                <w:highlight w:val="none"/>
              </w:rPr>
              <w:t>投标担保函（以上三种形式的资料提供任何一种即可）；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92" w:type="dxa"/>
            <w:tcBorders>
              <w:tl2br w:val="nil"/>
              <w:tr2bl w:val="nil"/>
            </w:tcBorders>
            <w:vAlign w:val="center"/>
          </w:tcPr>
          <w:p>
            <w:pPr>
              <w:pStyle w:val="31"/>
              <w:spacing w:before="0" w:beforeAutospacing="0" w:after="0" w:afterAutospacing="0" w:line="500" w:lineRule="exact"/>
              <w:jc w:val="center"/>
              <w:rPr>
                <w:rFonts w:hint="default" w:ascii="新宋体" w:hAnsi="新宋体" w:eastAsia="新宋体" w:cs="新宋体"/>
                <w:sz w:val="21"/>
                <w:szCs w:val="21"/>
                <w:highlight w:val="none"/>
                <w:lang w:val="en-US" w:eastAsia="zh-CN"/>
              </w:rPr>
            </w:pPr>
            <w:r>
              <w:rPr>
                <w:rFonts w:hint="default" w:ascii="新宋体" w:hAnsi="新宋体" w:eastAsia="新宋体" w:cs="新宋体"/>
                <w:sz w:val="21"/>
                <w:szCs w:val="21"/>
                <w:highlight w:val="none"/>
                <w:lang w:val="en-US" w:eastAsia="zh-CN"/>
              </w:rPr>
              <w:t>2</w:t>
            </w:r>
          </w:p>
        </w:tc>
        <w:tc>
          <w:tcPr>
            <w:tcW w:w="8913" w:type="dxa"/>
            <w:tcBorders>
              <w:tl2br w:val="nil"/>
              <w:tr2bl w:val="nil"/>
            </w:tcBorders>
            <w:vAlign w:val="center"/>
          </w:tcPr>
          <w:p>
            <w:pPr>
              <w:pStyle w:val="31"/>
              <w:spacing w:before="0" w:beforeAutospacing="0" w:after="0" w:afterAutospacing="0" w:line="360" w:lineRule="auto"/>
              <w:ind w:firstLine="420" w:firstLineChars="200"/>
              <w:jc w:val="both"/>
              <w:rPr>
                <w:rFonts w:hint="eastAsia" w:ascii="新宋体" w:hAnsi="新宋体" w:eastAsia="新宋体" w:cs="新宋体"/>
                <w:sz w:val="21"/>
                <w:szCs w:val="21"/>
                <w:highlight w:val="none"/>
                <w:lang w:eastAsia="zh-CN"/>
              </w:rPr>
            </w:pPr>
            <w:r>
              <w:rPr>
                <w:rFonts w:hint="eastAsia" w:ascii="宋体" w:hAnsi="宋体" w:eastAsia="宋体" w:cs="宋体"/>
                <w:sz w:val="21"/>
                <w:szCs w:val="21"/>
                <w:highlight w:val="none"/>
              </w:rPr>
              <w:t>依法缴纳税收和社会保障资金的良好记录。依法缴纳税收的良好记录（提供截止至开标时间前12个月内任一月份的缴费凭据,依法免税的单位应提供相关证明材料）；依法缴纳社会保障资金的良好记录（提供截止至开标时间前12个月内任一月份的缴费凭据或社保机构开具的社会保险参保缴费情况证明，依法不需要缴纳社会保障资金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692" w:type="dxa"/>
            <w:tcBorders>
              <w:tl2br w:val="nil"/>
              <w:tr2bl w:val="nil"/>
            </w:tcBorders>
            <w:vAlign w:val="center"/>
          </w:tcPr>
          <w:p>
            <w:pPr>
              <w:pStyle w:val="31"/>
              <w:spacing w:before="0" w:beforeAutospacing="0" w:after="0" w:afterAutospacing="0" w:line="50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w:t>
            </w:r>
          </w:p>
        </w:tc>
        <w:tc>
          <w:tcPr>
            <w:tcW w:w="8913" w:type="dxa"/>
            <w:tcBorders>
              <w:tl2br w:val="nil"/>
              <w:tr2bl w:val="nil"/>
            </w:tcBorders>
            <w:vAlign w:val="center"/>
          </w:tcPr>
          <w:p>
            <w:pPr>
              <w:keepNext w:val="0"/>
              <w:keepLines w:val="0"/>
              <w:pageBreakBefore w:val="0"/>
              <w:kinsoku/>
              <w:overflowPunct/>
              <w:topLinePunct w:val="0"/>
              <w:bidi w:val="0"/>
              <w:snapToGrid w:val="0"/>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须具备独立承担民事责任能力的法人、其他组织或自然人，提供营业执照</w:t>
            </w:r>
            <w:r>
              <w:rPr>
                <w:rFonts w:hint="eastAsia" w:ascii="宋体" w:hAnsi="宋体" w:eastAsia="宋体" w:cs="宋体"/>
                <w:sz w:val="21"/>
                <w:szCs w:val="21"/>
                <w:highlight w:val="none"/>
                <w:lang w:eastAsia="zh-CN"/>
              </w:rPr>
              <w:t>或</w:t>
            </w:r>
            <w:r>
              <w:rPr>
                <w:rFonts w:hint="eastAsia" w:ascii="宋体" w:hAnsi="宋体" w:eastAsia="宋体" w:cs="宋体"/>
                <w:sz w:val="21"/>
                <w:szCs w:val="21"/>
                <w:highlight w:val="none"/>
              </w:rPr>
              <w:t>事业单位法人证书；自然人参与的提供其身份证</w:t>
            </w:r>
            <w:r>
              <w:rPr>
                <w:rFonts w:hint="eastAsia" w:ascii="宋体" w:hAnsi="宋体" w:eastAsia="宋体" w:cs="宋体"/>
                <w:sz w:val="21"/>
                <w:szCs w:val="21"/>
                <w:highlight w:val="none"/>
                <w:lang w:eastAsia="zh-CN"/>
              </w:rPr>
              <w:t>明</w:t>
            </w:r>
            <w:r>
              <w:rPr>
                <w:rFonts w:hint="eastAsia" w:ascii="宋体" w:hAnsi="宋体" w:eastAsia="宋体" w:cs="宋体"/>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92" w:type="dxa"/>
            <w:tcBorders>
              <w:tl2br w:val="nil"/>
              <w:tr2bl w:val="nil"/>
            </w:tcBorders>
            <w:vAlign w:val="center"/>
          </w:tcPr>
          <w:p>
            <w:pPr>
              <w:keepNext w:val="0"/>
              <w:keepLines w:val="0"/>
              <w:pageBreakBefore w:val="0"/>
              <w:kinsoku/>
              <w:overflowPunct/>
              <w:topLinePunct w:val="0"/>
              <w:bidi w:val="0"/>
              <w:snapToGrid w:val="0"/>
              <w:spacing w:line="36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8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应授权合法的人员参加投标全过程，其中法定代表人直接参加投标的，须出具法人身份证，并与营业执照上信息一致。法定代表人授权代表参加投标的，须出具法定代表人授权书；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tcBorders>
              <w:tl2br w:val="nil"/>
              <w:tr2bl w:val="nil"/>
            </w:tcBorders>
            <w:vAlign w:val="center"/>
          </w:tcPr>
          <w:p>
            <w:pPr>
              <w:pStyle w:val="31"/>
              <w:spacing w:before="0" w:beforeAutospacing="0" w:after="0" w:afterAutospacing="0" w:line="500" w:lineRule="exact"/>
              <w:jc w:val="center"/>
              <w:rPr>
                <w:rFonts w:hint="default" w:ascii="新宋体" w:hAnsi="新宋体" w:eastAsia="新宋体" w:cs="新宋体"/>
                <w:sz w:val="21"/>
                <w:szCs w:val="21"/>
                <w:highlight w:val="none"/>
                <w:lang w:val="en-US" w:eastAsia="zh-CN"/>
              </w:rPr>
            </w:pPr>
            <w:r>
              <w:rPr>
                <w:rFonts w:hint="eastAsia" w:ascii="新宋体" w:hAnsi="新宋体" w:eastAsia="新宋体" w:cs="新宋体"/>
                <w:sz w:val="21"/>
                <w:szCs w:val="21"/>
                <w:highlight w:val="none"/>
                <w:lang w:val="en-US" w:eastAsia="zh-CN"/>
              </w:rPr>
              <w:t>5</w:t>
            </w:r>
          </w:p>
        </w:tc>
        <w:tc>
          <w:tcPr>
            <w:tcW w:w="891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新宋体" w:hAnsi="新宋体" w:eastAsia="新宋体" w:cs="新宋体"/>
                <w:sz w:val="21"/>
                <w:szCs w:val="21"/>
                <w:highlight w:val="none"/>
                <w:lang w:val="en-US" w:eastAsia="zh-CN"/>
              </w:rPr>
            </w:pPr>
            <w:r>
              <w:rPr>
                <w:rFonts w:hint="eastAsia" w:ascii="宋体" w:hAnsi="宋体" w:eastAsia="宋体" w:cs="宋体"/>
                <w:sz w:val="21"/>
                <w:szCs w:val="21"/>
                <w:highlight w:val="none"/>
                <w:lang w:eastAsia="zh-CN"/>
              </w:rPr>
              <w:t>履行合同所必需的设备和专业技术能力的承诺；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92" w:type="dxa"/>
            <w:tcBorders>
              <w:tl2br w:val="nil"/>
              <w:tr2bl w:val="nil"/>
            </w:tcBorders>
            <w:vAlign w:val="center"/>
          </w:tcPr>
          <w:p>
            <w:pPr>
              <w:pStyle w:val="31"/>
              <w:spacing w:before="0" w:beforeAutospacing="0" w:after="0" w:afterAutospacing="0" w:line="500" w:lineRule="exact"/>
              <w:jc w:val="center"/>
              <w:rPr>
                <w:rFonts w:hint="default" w:ascii="新宋体" w:hAnsi="新宋体" w:eastAsia="新宋体" w:cs="新宋体"/>
                <w:sz w:val="21"/>
                <w:szCs w:val="21"/>
                <w:highlight w:val="none"/>
                <w:lang w:val="en-US" w:eastAsia="zh-CN"/>
              </w:rPr>
            </w:pPr>
            <w:r>
              <w:rPr>
                <w:rFonts w:hint="eastAsia" w:ascii="新宋体" w:hAnsi="新宋体" w:eastAsia="新宋体" w:cs="新宋体"/>
                <w:sz w:val="21"/>
                <w:szCs w:val="21"/>
                <w:highlight w:val="none"/>
                <w:lang w:val="en-US" w:eastAsia="zh-CN"/>
              </w:rPr>
              <w:t>6</w:t>
            </w:r>
          </w:p>
        </w:tc>
        <w:tc>
          <w:tcPr>
            <w:tcW w:w="8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新宋体" w:hAnsi="新宋体" w:eastAsia="新宋体" w:cs="新宋体"/>
                <w:sz w:val="21"/>
                <w:szCs w:val="21"/>
                <w:highlight w:val="none"/>
                <w:lang w:val="en-US" w:eastAsia="zh-CN"/>
              </w:rPr>
            </w:pPr>
            <w:r>
              <w:rPr>
                <w:rFonts w:hint="eastAsia" w:ascii="宋体" w:hAnsi="宋体" w:eastAsia="宋体" w:cs="宋体"/>
                <w:sz w:val="21"/>
                <w:szCs w:val="21"/>
                <w:highlight w:val="none"/>
              </w:rPr>
              <w:t>投标人不得为“信用中国”网站（www.creditchina.gov.cn）中列入失信被执行人（中国执行信息公开网http://zxgk.court.gov.cn/shixin）和重大税收违法失信主体的投标人；不得为中国政府采购网（www.ccgp.gov.cn）政府采购严重违法失信行为记录名单中被财政部门禁止参加政府采购活动的投标人</w:t>
            </w:r>
            <w:r>
              <w:rPr>
                <w:rFonts w:hint="eastAsia" w:ascii="宋体" w:hAnsi="宋体" w:eastAsia="宋体" w:cs="宋体"/>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92" w:type="dxa"/>
            <w:tcBorders>
              <w:tl2br w:val="nil"/>
              <w:tr2bl w:val="nil"/>
            </w:tcBorders>
            <w:vAlign w:val="center"/>
          </w:tcPr>
          <w:p>
            <w:pPr>
              <w:pStyle w:val="31"/>
              <w:spacing w:before="0" w:beforeAutospacing="0" w:after="0" w:afterAutospacing="0" w:line="500" w:lineRule="exact"/>
              <w:jc w:val="center"/>
              <w:rPr>
                <w:rFonts w:hint="default" w:ascii="新宋体" w:hAnsi="新宋体" w:eastAsia="新宋体" w:cs="新宋体"/>
                <w:sz w:val="21"/>
                <w:szCs w:val="21"/>
                <w:highlight w:val="none"/>
                <w:lang w:val="en-US" w:eastAsia="zh-CN"/>
              </w:rPr>
            </w:pPr>
            <w:r>
              <w:rPr>
                <w:rFonts w:hint="eastAsia" w:ascii="新宋体" w:hAnsi="新宋体" w:eastAsia="新宋体" w:cs="新宋体"/>
                <w:sz w:val="21"/>
                <w:szCs w:val="21"/>
                <w:highlight w:val="none"/>
                <w:lang w:val="en-US" w:eastAsia="zh-CN"/>
              </w:rPr>
              <w:t>7</w:t>
            </w:r>
          </w:p>
        </w:tc>
        <w:tc>
          <w:tcPr>
            <w:tcW w:w="8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新宋体" w:hAnsi="新宋体" w:eastAsia="新宋体" w:cs="新宋体"/>
                <w:sz w:val="21"/>
                <w:szCs w:val="21"/>
                <w:highlight w:val="none"/>
                <w:lang w:val="en-US" w:eastAsia="zh-CN"/>
              </w:rPr>
            </w:pPr>
            <w:r>
              <w:rPr>
                <w:rFonts w:hint="eastAsia" w:ascii="宋体" w:hAnsi="宋体" w:eastAsia="宋体" w:cs="宋体"/>
                <w:sz w:val="21"/>
                <w:szCs w:val="21"/>
                <w:highlight w:val="none"/>
                <w:lang w:eastAsia="zh-CN"/>
              </w:rPr>
              <w:t>投标人参加政府采购活动前3年内在经营活动中没有重大违法记录的书面声明；</w:t>
            </w:r>
          </w:p>
        </w:tc>
      </w:tr>
    </w:tbl>
    <w:p>
      <w:pPr>
        <w:keepNext w:val="0"/>
        <w:keepLines w:val="0"/>
        <w:pageBreakBefore w:val="0"/>
        <w:widowControl/>
        <w:kinsoku/>
        <w:wordWrap/>
        <w:overflowPunct/>
        <w:topLinePunct w:val="0"/>
        <w:autoSpaceDE w:val="0"/>
        <w:autoSpaceDN w:val="0"/>
        <w:bidi w:val="0"/>
        <w:adjustRightInd/>
        <w:snapToGrid/>
        <w:spacing w:after="327" w:afterLines="100" w:line="500" w:lineRule="exact"/>
        <w:ind w:left="0" w:leftChars="0" w:right="53" w:rightChars="0" w:firstLine="0" w:firstLineChars="0"/>
        <w:jc w:val="left"/>
        <w:textAlignment w:val="bottom"/>
        <w:outlineLvl w:val="9"/>
        <w:rPr>
          <w:rFonts w:hint="eastAsia" w:ascii="新宋体" w:hAnsi="新宋体"/>
          <w:b/>
          <w:bCs/>
          <w:color w:val="auto"/>
          <w:sz w:val="28"/>
          <w:szCs w:val="28"/>
          <w:highlight w:val="none"/>
          <w:lang w:eastAsia="zh-CN"/>
        </w:rPr>
      </w:pPr>
    </w:p>
    <w:p>
      <w:pPr>
        <w:rPr>
          <w:rFonts w:hint="eastAsia" w:ascii="新宋体" w:hAnsi="新宋体"/>
          <w:b/>
          <w:bCs/>
          <w:color w:val="auto"/>
          <w:sz w:val="28"/>
          <w:szCs w:val="28"/>
          <w:highlight w:val="none"/>
          <w:lang w:eastAsia="zh-CN"/>
        </w:rPr>
      </w:pPr>
      <w:r>
        <w:rPr>
          <w:rFonts w:hint="eastAsia" w:ascii="新宋体" w:hAnsi="新宋体"/>
          <w:b/>
          <w:bCs/>
          <w:color w:val="auto"/>
          <w:sz w:val="28"/>
          <w:szCs w:val="28"/>
          <w:highlight w:val="none"/>
          <w:lang w:eastAsia="zh-CN"/>
        </w:rPr>
        <w:br w:type="page"/>
      </w:r>
    </w:p>
    <w:p>
      <w:pPr>
        <w:keepNext w:val="0"/>
        <w:keepLines w:val="0"/>
        <w:pageBreakBefore w:val="0"/>
        <w:widowControl/>
        <w:kinsoku/>
        <w:wordWrap/>
        <w:overflowPunct/>
        <w:topLinePunct w:val="0"/>
        <w:autoSpaceDE w:val="0"/>
        <w:autoSpaceDN w:val="0"/>
        <w:bidi w:val="0"/>
        <w:adjustRightInd/>
        <w:snapToGrid/>
        <w:spacing w:after="327" w:afterLines="100" w:line="500" w:lineRule="exact"/>
        <w:ind w:left="0" w:leftChars="0" w:right="53" w:rightChars="0" w:firstLine="0" w:firstLineChars="0"/>
        <w:jc w:val="left"/>
        <w:textAlignment w:val="bottom"/>
        <w:outlineLvl w:val="9"/>
        <w:rPr>
          <w:rFonts w:hint="eastAsia" w:ascii="新宋体" w:hAnsi="新宋体"/>
          <w:b/>
          <w:bCs/>
          <w:color w:val="auto"/>
          <w:sz w:val="28"/>
          <w:szCs w:val="28"/>
          <w:highlight w:val="none"/>
          <w:lang w:eastAsia="zh-CN"/>
        </w:rPr>
      </w:pPr>
      <w:r>
        <w:rPr>
          <w:rFonts w:hint="eastAsia" w:ascii="新宋体" w:hAnsi="新宋体"/>
          <w:b/>
          <w:bCs/>
          <w:color w:val="auto"/>
          <w:sz w:val="28"/>
          <w:szCs w:val="28"/>
          <w:highlight w:val="none"/>
          <w:lang w:eastAsia="zh-CN"/>
        </w:rPr>
        <w:t>附件二：</w:t>
      </w:r>
    </w:p>
    <w:p>
      <w:pPr>
        <w:keepNext w:val="0"/>
        <w:keepLines w:val="0"/>
        <w:pageBreakBefore w:val="0"/>
        <w:widowControl/>
        <w:kinsoku/>
        <w:wordWrap/>
        <w:overflowPunct/>
        <w:topLinePunct w:val="0"/>
        <w:autoSpaceDE w:val="0"/>
        <w:autoSpaceDN w:val="0"/>
        <w:bidi w:val="0"/>
        <w:adjustRightInd/>
        <w:snapToGrid/>
        <w:spacing w:after="327" w:afterLines="100" w:line="500" w:lineRule="exact"/>
        <w:ind w:left="0" w:leftChars="0" w:right="53" w:rightChars="0" w:firstLine="0" w:firstLineChars="0"/>
        <w:jc w:val="center"/>
        <w:textAlignment w:val="bottom"/>
        <w:outlineLvl w:val="9"/>
        <w:rPr>
          <w:rFonts w:hint="eastAsia" w:ascii="宋体" w:hAnsi="宋体" w:eastAsia="宋体" w:cs="宋体"/>
          <w:b/>
          <w:bCs/>
          <w:sz w:val="28"/>
          <w:szCs w:val="28"/>
          <w:highlight w:val="none"/>
        </w:rPr>
      </w:pPr>
      <w:r>
        <w:rPr>
          <w:rFonts w:hint="eastAsia" w:ascii="新宋体" w:hAnsi="新宋体"/>
          <w:b/>
          <w:bCs/>
          <w:color w:val="auto"/>
          <w:sz w:val="28"/>
          <w:szCs w:val="28"/>
          <w:highlight w:val="none"/>
          <w:lang w:eastAsia="zh-CN"/>
        </w:rPr>
        <w:t>符合性审查内容</w:t>
      </w:r>
    </w:p>
    <w:tbl>
      <w:tblPr>
        <w:tblStyle w:val="38"/>
        <w:tblW w:w="93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0"/>
        <w:gridCol w:w="83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90" w:type="dxa"/>
            <w:vAlign w:val="center"/>
          </w:tcPr>
          <w:p>
            <w:pPr>
              <w:pStyle w:val="31"/>
              <w:spacing w:before="0" w:beforeAutospacing="0" w:after="0" w:afterAutospacing="0" w:line="500" w:lineRule="exact"/>
              <w:jc w:val="center"/>
              <w:rPr>
                <w:rFonts w:hint="eastAsia" w:ascii="新宋体" w:hAnsi="新宋体" w:eastAsia="新宋体" w:cs="新宋体"/>
                <w:b/>
                <w:bCs/>
                <w:sz w:val="21"/>
                <w:szCs w:val="21"/>
                <w:highlight w:val="none"/>
              </w:rPr>
            </w:pPr>
            <w:r>
              <w:rPr>
                <w:rFonts w:hint="eastAsia" w:ascii="新宋体" w:hAnsi="新宋体" w:eastAsia="新宋体" w:cs="新宋体"/>
                <w:b/>
                <w:bCs/>
                <w:sz w:val="21"/>
                <w:szCs w:val="21"/>
                <w:highlight w:val="none"/>
              </w:rPr>
              <w:t>序号</w:t>
            </w:r>
          </w:p>
        </w:tc>
        <w:tc>
          <w:tcPr>
            <w:tcW w:w="8350" w:type="dxa"/>
            <w:vAlign w:val="center"/>
          </w:tcPr>
          <w:p>
            <w:pPr>
              <w:pStyle w:val="31"/>
              <w:spacing w:before="0" w:beforeAutospacing="0" w:after="0" w:afterAutospacing="0" w:line="500" w:lineRule="exact"/>
              <w:jc w:val="center"/>
              <w:rPr>
                <w:rFonts w:hint="eastAsia" w:ascii="新宋体" w:hAnsi="新宋体" w:eastAsia="新宋体" w:cs="新宋体"/>
                <w:b/>
                <w:bCs/>
                <w:sz w:val="21"/>
                <w:szCs w:val="21"/>
                <w:highlight w:val="none"/>
              </w:rPr>
            </w:pPr>
            <w:r>
              <w:rPr>
                <w:rFonts w:hint="eastAsia" w:ascii="新宋体" w:hAnsi="新宋体" w:eastAsia="新宋体" w:cs="新宋体"/>
                <w:b/>
                <w:bCs/>
                <w:sz w:val="21"/>
                <w:szCs w:val="21"/>
                <w:highlight w:val="none"/>
              </w:rPr>
              <w:t>审查内容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90" w:type="dxa"/>
            <w:vAlign w:val="center"/>
          </w:tcPr>
          <w:p>
            <w:pPr>
              <w:pStyle w:val="31"/>
              <w:spacing w:before="0" w:beforeAutospacing="0" w:after="0" w:afterAutospacing="0" w:line="500" w:lineRule="exact"/>
              <w:jc w:val="center"/>
              <w:rPr>
                <w:rFonts w:hint="default" w:ascii="Times New Roman" w:hAnsi="Times New Roman" w:eastAsia="新宋体" w:cs="Times New Roman"/>
                <w:sz w:val="21"/>
                <w:szCs w:val="21"/>
                <w:highlight w:val="none"/>
                <w:lang w:val="en-US" w:eastAsia="zh-CN"/>
              </w:rPr>
            </w:pPr>
            <w:r>
              <w:rPr>
                <w:rFonts w:hint="eastAsia" w:ascii="Times New Roman" w:hAnsi="Times New Roman" w:eastAsia="新宋体" w:cs="Times New Roman"/>
                <w:sz w:val="21"/>
                <w:szCs w:val="21"/>
                <w:highlight w:val="none"/>
                <w:lang w:val="en-US" w:eastAsia="zh-CN"/>
              </w:rPr>
              <w:t>1</w:t>
            </w:r>
          </w:p>
        </w:tc>
        <w:tc>
          <w:tcPr>
            <w:tcW w:w="8350" w:type="dxa"/>
            <w:vAlign w:val="center"/>
          </w:tcPr>
          <w:p>
            <w:pPr>
              <w:pStyle w:val="31"/>
              <w:spacing w:before="0" w:beforeAutospacing="0" w:after="0" w:afterAutospacing="0" w:line="500" w:lineRule="exact"/>
              <w:jc w:val="both"/>
              <w:rPr>
                <w:rFonts w:hint="eastAsia" w:ascii="新宋体" w:hAnsi="新宋体" w:eastAsia="新宋体" w:cs="新宋体"/>
                <w:sz w:val="21"/>
                <w:szCs w:val="21"/>
                <w:highlight w:val="none"/>
                <w:lang w:eastAsia="zh-CN"/>
              </w:rPr>
            </w:pPr>
            <w:r>
              <w:rPr>
                <w:rFonts w:hint="eastAsia" w:ascii="新宋体" w:hAnsi="新宋体" w:eastAsia="新宋体" w:cs="新宋体"/>
                <w:sz w:val="21"/>
                <w:szCs w:val="21"/>
                <w:highlight w:val="none"/>
                <w:lang w:eastAsia="zh-CN"/>
              </w:rPr>
              <w:t>投标文件的签字、盖章等是否符合招标文件要求；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90" w:type="dxa"/>
            <w:vAlign w:val="center"/>
          </w:tcPr>
          <w:p>
            <w:pPr>
              <w:pStyle w:val="31"/>
              <w:spacing w:before="0" w:beforeAutospacing="0" w:after="0" w:afterAutospacing="0" w:line="500" w:lineRule="exact"/>
              <w:jc w:val="center"/>
              <w:rPr>
                <w:rFonts w:hint="eastAsia" w:ascii="Times New Roman" w:hAnsi="Times New Roman" w:eastAsia="新宋体" w:cs="Times New Roman"/>
                <w:sz w:val="21"/>
                <w:szCs w:val="21"/>
                <w:highlight w:val="none"/>
                <w:lang w:eastAsia="zh-CN"/>
              </w:rPr>
            </w:pPr>
            <w:r>
              <w:rPr>
                <w:rFonts w:hint="eastAsia" w:ascii="Times New Roman" w:hAnsi="Times New Roman" w:eastAsia="新宋体" w:cs="Times New Roman"/>
                <w:sz w:val="21"/>
                <w:szCs w:val="21"/>
                <w:highlight w:val="none"/>
                <w:lang w:val="en-US" w:eastAsia="zh-CN"/>
              </w:rPr>
              <w:t>2</w:t>
            </w:r>
          </w:p>
        </w:tc>
        <w:tc>
          <w:tcPr>
            <w:tcW w:w="8350" w:type="dxa"/>
            <w:vAlign w:val="center"/>
          </w:tcPr>
          <w:p>
            <w:pPr>
              <w:pStyle w:val="31"/>
              <w:spacing w:before="0" w:beforeAutospacing="0" w:after="0" w:afterAutospacing="0" w:line="500" w:lineRule="exact"/>
              <w:jc w:val="both"/>
              <w:rPr>
                <w:rFonts w:hint="eastAsia" w:ascii="新宋体" w:hAnsi="新宋体" w:eastAsia="新宋体" w:cs="新宋体"/>
                <w:sz w:val="21"/>
                <w:szCs w:val="21"/>
                <w:highlight w:val="none"/>
              </w:rPr>
            </w:pPr>
            <w:r>
              <w:rPr>
                <w:rFonts w:hint="eastAsia" w:ascii="新宋体" w:hAnsi="新宋体" w:eastAsia="新宋体" w:cs="新宋体"/>
                <w:sz w:val="21"/>
                <w:szCs w:val="21"/>
                <w:highlight w:val="none"/>
                <w:lang w:eastAsia="zh-CN"/>
              </w:rPr>
              <w:t>投标</w:t>
            </w:r>
            <w:r>
              <w:rPr>
                <w:rFonts w:hint="eastAsia" w:ascii="新宋体" w:hAnsi="新宋体" w:eastAsia="新宋体" w:cs="新宋体"/>
                <w:sz w:val="21"/>
                <w:szCs w:val="21"/>
                <w:highlight w:val="none"/>
              </w:rPr>
              <w:t>内容是否</w:t>
            </w:r>
            <w:r>
              <w:rPr>
                <w:rFonts w:hint="eastAsia" w:ascii="Times New Roman" w:hAnsi="Times New Roman" w:eastAsia="新宋体" w:cs="Times New Roman"/>
                <w:sz w:val="21"/>
                <w:szCs w:val="21"/>
                <w:highlight w:val="none"/>
                <w:lang w:eastAsia="zh-CN"/>
              </w:rPr>
              <w:t>完整</w:t>
            </w:r>
            <w:r>
              <w:rPr>
                <w:rFonts w:hint="eastAsia" w:ascii="Times New Roman" w:hAnsi="Times New Roman" w:cs="Times New Roman"/>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90" w:type="dxa"/>
            <w:vAlign w:val="center"/>
          </w:tcPr>
          <w:p>
            <w:pPr>
              <w:pStyle w:val="31"/>
              <w:spacing w:before="0" w:beforeAutospacing="0" w:after="0" w:afterAutospacing="0" w:line="500" w:lineRule="exact"/>
              <w:jc w:val="center"/>
              <w:rPr>
                <w:rFonts w:hint="eastAsia" w:ascii="Times New Roman" w:hAnsi="Times New Roman" w:eastAsia="新宋体" w:cs="Times New Roman"/>
                <w:sz w:val="21"/>
                <w:szCs w:val="21"/>
                <w:highlight w:val="none"/>
                <w:lang w:eastAsia="zh-CN"/>
              </w:rPr>
            </w:pPr>
            <w:r>
              <w:rPr>
                <w:rFonts w:hint="eastAsia" w:eastAsia="新宋体" w:cs="Times New Roman"/>
                <w:sz w:val="21"/>
                <w:szCs w:val="21"/>
                <w:highlight w:val="none"/>
                <w:lang w:val="en-US" w:eastAsia="zh-CN"/>
              </w:rPr>
              <w:t>3</w:t>
            </w:r>
          </w:p>
        </w:tc>
        <w:tc>
          <w:tcPr>
            <w:tcW w:w="8350" w:type="dxa"/>
            <w:vAlign w:val="center"/>
          </w:tcPr>
          <w:p>
            <w:pPr>
              <w:pStyle w:val="31"/>
              <w:spacing w:before="0" w:beforeAutospacing="0" w:after="0" w:afterAutospacing="0" w:line="500" w:lineRule="exact"/>
              <w:jc w:val="both"/>
              <w:rPr>
                <w:rFonts w:hint="eastAsia" w:ascii="新宋体" w:hAnsi="新宋体" w:eastAsia="新宋体" w:cs="新宋体"/>
                <w:sz w:val="21"/>
                <w:szCs w:val="21"/>
                <w:highlight w:val="none"/>
                <w:lang w:eastAsia="zh-CN"/>
              </w:rPr>
            </w:pPr>
            <w:r>
              <w:rPr>
                <w:rFonts w:hint="eastAsia" w:cs="新宋体"/>
                <w:sz w:val="21"/>
                <w:szCs w:val="21"/>
                <w:highlight w:val="none"/>
              </w:rPr>
              <w:t>投标报价是否唯一</w:t>
            </w:r>
            <w:r>
              <w:rPr>
                <w:rFonts w:hint="eastAsia" w:cs="新宋体"/>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0" w:type="dxa"/>
            <w:vAlign w:val="center"/>
          </w:tcPr>
          <w:p>
            <w:pPr>
              <w:pStyle w:val="31"/>
              <w:spacing w:before="0" w:beforeAutospacing="0" w:after="0" w:afterAutospacing="0" w:line="500" w:lineRule="exact"/>
              <w:jc w:val="center"/>
              <w:rPr>
                <w:rFonts w:hint="eastAsia" w:ascii="Times New Roman" w:hAnsi="Times New Roman" w:eastAsia="新宋体" w:cs="Times New Roman"/>
                <w:sz w:val="21"/>
                <w:szCs w:val="21"/>
                <w:highlight w:val="none"/>
                <w:lang w:eastAsia="zh-CN"/>
              </w:rPr>
            </w:pPr>
            <w:r>
              <w:rPr>
                <w:rFonts w:hint="eastAsia" w:ascii="Times New Roman" w:hAnsi="Times New Roman" w:eastAsia="新宋体" w:cs="Times New Roman"/>
                <w:sz w:val="21"/>
                <w:szCs w:val="21"/>
                <w:highlight w:val="none"/>
                <w:lang w:val="en-US" w:eastAsia="zh-CN"/>
              </w:rPr>
              <w:t>4</w:t>
            </w:r>
          </w:p>
        </w:tc>
        <w:tc>
          <w:tcPr>
            <w:tcW w:w="8350" w:type="dxa"/>
            <w:vAlign w:val="center"/>
          </w:tcPr>
          <w:p>
            <w:pPr>
              <w:pStyle w:val="31"/>
              <w:spacing w:before="0" w:beforeAutospacing="0" w:after="0" w:afterAutospacing="0" w:line="500" w:lineRule="exact"/>
              <w:jc w:val="both"/>
              <w:rPr>
                <w:rFonts w:hint="eastAsia" w:ascii="新宋体" w:hAnsi="新宋体" w:eastAsia="新宋体" w:cs="新宋体"/>
                <w:sz w:val="21"/>
                <w:szCs w:val="21"/>
                <w:highlight w:val="none"/>
              </w:rPr>
            </w:pPr>
            <w:r>
              <w:rPr>
                <w:rFonts w:hint="eastAsia" w:ascii="新宋体" w:hAnsi="新宋体" w:eastAsia="新宋体" w:cs="新宋体"/>
                <w:sz w:val="21"/>
                <w:szCs w:val="21"/>
                <w:highlight w:val="none"/>
                <w:lang w:eastAsia="zh-CN"/>
              </w:rPr>
              <w:t>投标</w:t>
            </w:r>
            <w:r>
              <w:rPr>
                <w:rFonts w:hint="eastAsia" w:ascii="新宋体" w:hAnsi="新宋体" w:eastAsia="新宋体" w:cs="新宋体"/>
                <w:sz w:val="21"/>
                <w:szCs w:val="21"/>
                <w:highlight w:val="none"/>
              </w:rPr>
              <w:t>有效期是否满足要求</w:t>
            </w:r>
            <w:r>
              <w:rPr>
                <w:rFonts w:hint="eastAsia" w:ascii="新宋体" w:hAnsi="新宋体" w:eastAsia="新宋体" w:cs="新宋体"/>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0" w:type="dxa"/>
            <w:vAlign w:val="center"/>
          </w:tcPr>
          <w:p>
            <w:pPr>
              <w:pStyle w:val="31"/>
              <w:spacing w:before="0" w:beforeAutospacing="0" w:after="0" w:afterAutospacing="0" w:line="500" w:lineRule="exact"/>
              <w:jc w:val="center"/>
              <w:rPr>
                <w:rFonts w:hint="eastAsia" w:ascii="Times New Roman" w:hAnsi="Times New Roman" w:eastAsia="新宋体" w:cs="Times New Roman"/>
                <w:sz w:val="21"/>
                <w:szCs w:val="21"/>
                <w:highlight w:val="none"/>
                <w:lang w:val="en-US" w:eastAsia="zh-CN"/>
              </w:rPr>
            </w:pPr>
            <w:r>
              <w:rPr>
                <w:rFonts w:hint="eastAsia" w:ascii="Times New Roman" w:hAnsi="Times New Roman" w:eastAsia="新宋体" w:cs="Times New Roman"/>
                <w:sz w:val="21"/>
                <w:szCs w:val="21"/>
                <w:highlight w:val="none"/>
                <w:lang w:val="en-US" w:eastAsia="zh-CN"/>
              </w:rPr>
              <w:t>5</w:t>
            </w:r>
          </w:p>
        </w:tc>
        <w:tc>
          <w:tcPr>
            <w:tcW w:w="8350" w:type="dxa"/>
            <w:vAlign w:val="center"/>
          </w:tcPr>
          <w:p>
            <w:pPr>
              <w:pStyle w:val="31"/>
              <w:spacing w:before="0" w:beforeAutospacing="0" w:after="0" w:afterAutospacing="0" w:line="500" w:lineRule="exact"/>
              <w:jc w:val="both"/>
              <w:rPr>
                <w:rFonts w:hint="eastAsia" w:ascii="新宋体" w:hAnsi="新宋体" w:eastAsia="新宋体" w:cs="新宋体"/>
                <w:sz w:val="21"/>
                <w:szCs w:val="21"/>
                <w:highlight w:val="none"/>
                <w:lang w:eastAsia="zh-CN"/>
              </w:rPr>
            </w:pPr>
            <w:r>
              <w:rPr>
                <w:rFonts w:hint="eastAsia" w:ascii="新宋体" w:hAnsi="新宋体" w:eastAsia="新宋体" w:cs="新宋体"/>
                <w:sz w:val="21"/>
                <w:szCs w:val="21"/>
                <w:highlight w:val="none"/>
                <w:lang w:eastAsia="zh-CN"/>
              </w:rPr>
              <w:t>投标报价是否未超过</w:t>
            </w:r>
            <w:r>
              <w:rPr>
                <w:rFonts w:hint="eastAsia" w:ascii="新宋体" w:hAnsi="新宋体" w:eastAsia="新宋体" w:cs="新宋体"/>
                <w:sz w:val="21"/>
                <w:szCs w:val="21"/>
                <w:highlight w:val="none"/>
                <w:lang w:val="en-US" w:eastAsia="zh-CN"/>
              </w:rPr>
              <w:t>采购预算</w:t>
            </w:r>
            <w:r>
              <w:rPr>
                <w:rFonts w:hint="eastAsia" w:ascii="新宋体" w:hAnsi="新宋体" w:eastAsia="新宋体" w:cs="新宋体"/>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90" w:type="dxa"/>
            <w:vAlign w:val="center"/>
          </w:tcPr>
          <w:p>
            <w:pPr>
              <w:pStyle w:val="31"/>
              <w:spacing w:before="0" w:beforeAutospacing="0" w:after="0" w:afterAutospacing="0" w:line="500" w:lineRule="exact"/>
              <w:jc w:val="center"/>
              <w:rPr>
                <w:rFonts w:hint="eastAsia" w:ascii="Times New Roman" w:hAnsi="Times New Roman" w:eastAsia="新宋体" w:cs="Times New Roman"/>
                <w:sz w:val="21"/>
                <w:szCs w:val="21"/>
                <w:highlight w:val="none"/>
                <w:lang w:val="en-US" w:eastAsia="zh-CN"/>
              </w:rPr>
            </w:pPr>
            <w:r>
              <w:rPr>
                <w:rFonts w:hint="eastAsia" w:ascii="Times New Roman" w:hAnsi="Times New Roman" w:eastAsia="新宋体" w:cs="Times New Roman"/>
                <w:sz w:val="21"/>
                <w:szCs w:val="21"/>
                <w:highlight w:val="none"/>
                <w:lang w:val="en-US" w:eastAsia="zh-CN"/>
              </w:rPr>
              <w:t>6</w:t>
            </w:r>
          </w:p>
        </w:tc>
        <w:tc>
          <w:tcPr>
            <w:tcW w:w="8350" w:type="dxa"/>
            <w:vAlign w:val="center"/>
          </w:tcPr>
          <w:p>
            <w:pPr>
              <w:pStyle w:val="31"/>
              <w:spacing w:before="0" w:beforeAutospacing="0" w:after="0" w:afterAutospacing="0" w:line="500" w:lineRule="exact"/>
              <w:jc w:val="both"/>
              <w:rPr>
                <w:rFonts w:hint="eastAsia" w:ascii="新宋体" w:hAnsi="新宋体" w:eastAsia="新宋体" w:cs="新宋体"/>
                <w:sz w:val="21"/>
                <w:szCs w:val="21"/>
                <w:highlight w:val="none"/>
              </w:rPr>
            </w:pPr>
            <w:r>
              <w:rPr>
                <w:rFonts w:hint="eastAsia" w:ascii="新宋体" w:hAnsi="新宋体" w:eastAsia="新宋体" w:cs="新宋体"/>
                <w:sz w:val="21"/>
                <w:szCs w:val="21"/>
                <w:highlight w:val="none"/>
                <w:lang w:val="en-US" w:eastAsia="zh-CN"/>
              </w:rPr>
              <w:t>交货期</w:t>
            </w:r>
            <w:r>
              <w:rPr>
                <w:rFonts w:hint="eastAsia" w:ascii="新宋体" w:hAnsi="新宋体" w:eastAsia="新宋体" w:cs="新宋体"/>
                <w:sz w:val="21"/>
                <w:szCs w:val="21"/>
                <w:highlight w:val="none"/>
              </w:rPr>
              <w:t>是否满足要求；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990" w:type="dxa"/>
            <w:vAlign w:val="center"/>
          </w:tcPr>
          <w:p>
            <w:pPr>
              <w:pStyle w:val="31"/>
              <w:spacing w:before="0" w:beforeAutospacing="0" w:after="0" w:afterAutospacing="0" w:line="500" w:lineRule="exact"/>
              <w:jc w:val="center"/>
              <w:rPr>
                <w:rFonts w:hint="eastAsia" w:ascii="Times New Roman" w:hAnsi="Times New Roman" w:eastAsia="新宋体" w:cs="Times New Roman"/>
                <w:sz w:val="21"/>
                <w:szCs w:val="21"/>
                <w:highlight w:val="none"/>
                <w:lang w:val="en-US" w:eastAsia="zh-CN"/>
              </w:rPr>
            </w:pPr>
            <w:r>
              <w:rPr>
                <w:rFonts w:hint="eastAsia" w:ascii="Times New Roman" w:hAnsi="Times New Roman" w:eastAsia="新宋体" w:cs="Times New Roman"/>
                <w:sz w:val="21"/>
                <w:szCs w:val="21"/>
                <w:highlight w:val="none"/>
                <w:lang w:val="en-US" w:eastAsia="zh-CN"/>
              </w:rPr>
              <w:t>7</w:t>
            </w:r>
          </w:p>
        </w:tc>
        <w:tc>
          <w:tcPr>
            <w:tcW w:w="8350" w:type="dxa"/>
            <w:vAlign w:val="center"/>
          </w:tcPr>
          <w:p>
            <w:pPr>
              <w:pStyle w:val="31"/>
              <w:spacing w:before="0" w:beforeAutospacing="0" w:after="0" w:afterAutospacing="0" w:line="500" w:lineRule="exact"/>
              <w:jc w:val="both"/>
              <w:rPr>
                <w:rFonts w:hint="eastAsia" w:ascii="新宋体" w:hAnsi="新宋体" w:eastAsia="新宋体" w:cs="新宋体"/>
                <w:sz w:val="21"/>
                <w:szCs w:val="21"/>
                <w:highlight w:val="none"/>
                <w:lang w:eastAsia="zh-CN"/>
              </w:rPr>
            </w:pPr>
            <w:r>
              <w:rPr>
                <w:rFonts w:hint="eastAsia" w:ascii="新宋体" w:hAnsi="新宋体" w:eastAsia="新宋体" w:cs="新宋体"/>
                <w:sz w:val="21"/>
                <w:szCs w:val="21"/>
                <w:highlight w:val="none"/>
              </w:rPr>
              <w:t>付款方式是否完全响应</w:t>
            </w:r>
            <w:r>
              <w:rPr>
                <w:rFonts w:hint="eastAsia" w:ascii="新宋体" w:hAnsi="新宋体" w:eastAsia="新宋体" w:cs="新宋体"/>
                <w:sz w:val="21"/>
                <w:szCs w:val="21"/>
                <w:highlight w:val="none"/>
                <w:lang w:eastAsia="zh-CN"/>
              </w:rPr>
              <w:t>。</w:t>
            </w:r>
          </w:p>
        </w:tc>
      </w:tr>
    </w:tbl>
    <w:p>
      <w:pPr>
        <w:bidi w:val="0"/>
        <w:rPr>
          <w:rFonts w:hint="eastAsia"/>
          <w:highlight w:val="none"/>
        </w:rPr>
      </w:pPr>
    </w:p>
    <w:p>
      <w:pPr>
        <w:bidi w:val="0"/>
        <w:rPr>
          <w:rFonts w:hint="eastAsia"/>
          <w:highlight w:val="none"/>
        </w:rPr>
        <w:sectPr>
          <w:pgSz w:w="11905" w:h="16838"/>
          <w:pgMar w:top="1440" w:right="1080" w:bottom="1440" w:left="1080" w:header="1020" w:footer="680" w:gutter="0"/>
          <w:pgBorders w:zOrder="back">
            <w:top w:val="thinThickSmallGap" w:color="auto" w:sz="24" w:space="1"/>
            <w:left w:val="none" w:sz="0" w:space="0"/>
            <w:bottom w:val="thinThickSmallGap" w:color="auto" w:sz="24" w:space="1"/>
            <w:right w:val="none" w:sz="0" w:space="0"/>
          </w:pgBorders>
          <w:pgNumType w:fmt="decimal"/>
          <w:cols w:space="0" w:num="1"/>
          <w:rtlGutter w:val="0"/>
          <w:docGrid w:type="lines" w:linePitch="319" w:charSpace="0"/>
        </w:sectPr>
      </w:pPr>
    </w:p>
    <w:bookmarkEnd w:id="38"/>
    <w:p>
      <w:pPr>
        <w:keepNext w:val="0"/>
        <w:keepLines w:val="0"/>
        <w:widowControl/>
        <w:suppressLineNumbers w:val="0"/>
        <w:jc w:val="center"/>
        <w:textAlignment w:val="center"/>
        <w:rPr>
          <w:rFonts w:hint="eastAsia" w:ascii="宋体" w:hAnsi="宋体" w:eastAsia="宋体" w:cs="宋体"/>
          <w:b/>
          <w:bCs/>
          <w:sz w:val="36"/>
          <w:szCs w:val="36"/>
          <w:highlight w:val="none"/>
          <w:lang w:val="en-US" w:eastAsia="zh-CN"/>
        </w:rPr>
      </w:pPr>
      <w:bookmarkStart w:id="39" w:name="_Toc222740141"/>
    </w:p>
    <w:p>
      <w:pPr>
        <w:keepNext w:val="0"/>
        <w:keepLines w:val="0"/>
        <w:widowControl/>
        <w:suppressLineNumbers w:val="0"/>
        <w:jc w:val="center"/>
        <w:textAlignment w:val="center"/>
        <w:rPr>
          <w:rFonts w:hint="eastAsia" w:ascii="宋体" w:hAnsi="宋体" w:eastAsia="宋体" w:cs="宋体"/>
          <w:b/>
          <w:bCs/>
          <w:sz w:val="36"/>
          <w:szCs w:val="36"/>
          <w:highlight w:val="none"/>
          <w:lang w:val="en-US" w:eastAsia="zh-CN"/>
        </w:rPr>
      </w:pPr>
    </w:p>
    <w:p>
      <w:pPr>
        <w:keepNext w:val="0"/>
        <w:keepLines w:val="0"/>
        <w:widowControl/>
        <w:suppressLineNumbers w:val="0"/>
        <w:jc w:val="center"/>
        <w:textAlignment w:val="center"/>
        <w:rPr>
          <w:rFonts w:hint="eastAsia" w:ascii="宋体" w:hAnsi="宋体" w:eastAsia="宋体" w:cs="宋体"/>
          <w:b/>
          <w:bCs/>
          <w:sz w:val="36"/>
          <w:szCs w:val="36"/>
          <w:highlight w:val="none"/>
          <w:lang w:val="en-US" w:eastAsia="zh-CN"/>
        </w:rPr>
      </w:pPr>
    </w:p>
    <w:p>
      <w:pPr>
        <w:keepNext w:val="0"/>
        <w:keepLines w:val="0"/>
        <w:widowControl/>
        <w:suppressLineNumbers w:val="0"/>
        <w:jc w:val="center"/>
        <w:textAlignment w:val="center"/>
        <w:rPr>
          <w:rFonts w:hint="eastAsia" w:ascii="宋体" w:hAnsi="宋体" w:eastAsia="宋体" w:cs="宋体"/>
          <w:b/>
          <w:bCs/>
          <w:sz w:val="36"/>
          <w:szCs w:val="36"/>
          <w:highlight w:val="none"/>
          <w:lang w:val="en-US" w:eastAsia="zh-CN"/>
        </w:rPr>
      </w:pPr>
    </w:p>
    <w:p>
      <w:pPr>
        <w:keepNext w:val="0"/>
        <w:keepLines w:val="0"/>
        <w:widowControl/>
        <w:suppressLineNumbers w:val="0"/>
        <w:jc w:val="center"/>
        <w:textAlignment w:val="center"/>
        <w:rPr>
          <w:rFonts w:hint="eastAsia" w:ascii="宋体" w:hAnsi="宋体" w:eastAsia="宋体" w:cs="宋体"/>
          <w:b/>
          <w:bCs/>
          <w:sz w:val="36"/>
          <w:szCs w:val="36"/>
          <w:highlight w:val="none"/>
          <w:lang w:val="en-US" w:eastAsia="zh-CN"/>
        </w:rPr>
      </w:pPr>
    </w:p>
    <w:p>
      <w:pPr>
        <w:keepNext w:val="0"/>
        <w:keepLines w:val="0"/>
        <w:widowControl/>
        <w:suppressLineNumbers w:val="0"/>
        <w:jc w:val="center"/>
        <w:textAlignment w:val="center"/>
        <w:rPr>
          <w:rFonts w:hint="eastAsia" w:ascii="宋体" w:hAnsi="宋体" w:eastAsia="宋体" w:cs="宋体"/>
          <w:b/>
          <w:bCs/>
          <w:sz w:val="36"/>
          <w:szCs w:val="36"/>
          <w:highlight w:val="none"/>
          <w:lang w:val="en-US" w:eastAsia="zh-CN"/>
        </w:rPr>
      </w:pPr>
    </w:p>
    <w:p>
      <w:pPr>
        <w:keepNext w:val="0"/>
        <w:keepLines w:val="0"/>
        <w:widowControl/>
        <w:suppressLineNumbers w:val="0"/>
        <w:jc w:val="center"/>
        <w:textAlignment w:val="center"/>
        <w:rPr>
          <w:rFonts w:hint="eastAsia" w:ascii="宋体" w:hAnsi="宋体" w:eastAsia="宋体" w:cs="宋体"/>
          <w:b/>
          <w:bCs/>
          <w:sz w:val="36"/>
          <w:szCs w:val="36"/>
          <w:highlight w:val="none"/>
          <w:lang w:val="en-US" w:eastAsia="zh-CN"/>
        </w:rPr>
      </w:pPr>
    </w:p>
    <w:p>
      <w:pPr>
        <w:pStyle w:val="19"/>
        <w:rPr>
          <w:rFonts w:hint="eastAsia"/>
          <w:lang w:val="en-US" w:eastAsia="zh-CN"/>
        </w:rPr>
      </w:pPr>
    </w:p>
    <w:p>
      <w:pPr>
        <w:keepNext w:val="0"/>
        <w:keepLines w:val="0"/>
        <w:widowControl/>
        <w:suppressLineNumbers w:val="0"/>
        <w:jc w:val="center"/>
        <w:textAlignment w:val="center"/>
        <w:outlineLvl w:val="0"/>
        <w:rPr>
          <w:rFonts w:hint="eastAsia" w:ascii="宋体" w:hAnsi="宋体" w:eastAsia="宋体" w:cs="宋体"/>
          <w:b/>
          <w:bCs/>
          <w:sz w:val="36"/>
          <w:szCs w:val="36"/>
          <w:highlight w:val="none"/>
          <w:lang w:val="en-US" w:eastAsia="zh-CN"/>
        </w:rPr>
      </w:pPr>
      <w:bookmarkStart w:id="40" w:name="_Toc26304"/>
    </w:p>
    <w:p>
      <w:pPr>
        <w:keepNext w:val="0"/>
        <w:keepLines w:val="0"/>
        <w:widowControl/>
        <w:suppressLineNumbers w:val="0"/>
        <w:jc w:val="center"/>
        <w:textAlignment w:val="center"/>
        <w:outlineLvl w:val="0"/>
        <w:rPr>
          <w:rFonts w:hint="eastAsia" w:ascii="宋体" w:hAnsi="宋体" w:eastAsia="宋体" w:cs="宋体"/>
          <w:b/>
          <w:bCs/>
          <w:sz w:val="36"/>
          <w:szCs w:val="36"/>
          <w:highlight w:val="none"/>
          <w:lang w:val="en-US" w:eastAsia="zh-CN"/>
        </w:rPr>
      </w:pPr>
    </w:p>
    <w:p>
      <w:pPr>
        <w:keepNext w:val="0"/>
        <w:keepLines w:val="0"/>
        <w:widowControl/>
        <w:suppressLineNumbers w:val="0"/>
        <w:jc w:val="center"/>
        <w:textAlignment w:val="center"/>
        <w:outlineLvl w:val="0"/>
        <w:rPr>
          <w:rFonts w:hint="eastAsia" w:ascii="宋体" w:hAnsi="宋体" w:eastAsia="宋体" w:cs="宋体"/>
          <w:b w:val="0"/>
          <w:bCs/>
          <w:i w:val="0"/>
          <w:iCs w:val="0"/>
          <w:color w:val="000000"/>
          <w:kern w:val="0"/>
          <w:sz w:val="28"/>
          <w:szCs w:val="28"/>
          <w:highlight w:val="none"/>
          <w:u w:val="none"/>
          <w:lang w:val="en-US" w:eastAsia="zh-CN" w:bidi="ar"/>
        </w:rPr>
      </w:pPr>
      <w:r>
        <w:rPr>
          <w:rFonts w:hint="eastAsia" w:ascii="宋体" w:hAnsi="宋体" w:eastAsia="宋体" w:cs="宋体"/>
          <w:b/>
          <w:bCs/>
          <w:sz w:val="36"/>
          <w:szCs w:val="36"/>
          <w:highlight w:val="none"/>
          <w:lang w:val="en-US" w:eastAsia="zh-CN"/>
        </w:rPr>
        <w:t xml:space="preserve">第四章 </w:t>
      </w:r>
      <w:r>
        <w:rPr>
          <w:rFonts w:hint="eastAsia" w:ascii="宋体" w:hAnsi="宋体" w:cs="宋体"/>
          <w:b/>
          <w:bCs/>
          <w:sz w:val="36"/>
          <w:szCs w:val="36"/>
          <w:highlight w:val="none"/>
          <w:lang w:val="en-US" w:eastAsia="zh-CN"/>
        </w:rPr>
        <w:t>采购</w:t>
      </w:r>
      <w:r>
        <w:rPr>
          <w:rFonts w:hint="eastAsia" w:ascii="宋体" w:hAnsi="宋体" w:eastAsia="宋体" w:cs="宋体"/>
          <w:b/>
          <w:bCs/>
          <w:sz w:val="36"/>
          <w:szCs w:val="36"/>
          <w:highlight w:val="none"/>
          <w:lang w:val="en-US" w:eastAsia="zh-CN"/>
        </w:rPr>
        <w:t>内容及</w:t>
      </w:r>
      <w:r>
        <w:rPr>
          <w:rFonts w:hint="eastAsia" w:ascii="宋体" w:hAnsi="宋体" w:cs="宋体"/>
          <w:b/>
          <w:bCs/>
          <w:sz w:val="36"/>
          <w:szCs w:val="36"/>
          <w:highlight w:val="none"/>
          <w:lang w:val="en-US" w:eastAsia="zh-CN"/>
        </w:rPr>
        <w:t>要求</w:t>
      </w:r>
      <w:bookmarkEnd w:id="40"/>
    </w:p>
    <w:p>
      <w:pPr>
        <w:rPr>
          <w:rFonts w:hint="eastAsia" w:ascii="宋体" w:hAnsi="宋体" w:eastAsia="宋体" w:cs="宋体"/>
          <w:b/>
          <w:bCs/>
          <w:sz w:val="28"/>
          <w:szCs w:val="28"/>
          <w:highlight w:val="none"/>
          <w:lang w:val="en-US" w:eastAsia="zh-CN"/>
        </w:rPr>
      </w:pPr>
      <w:bookmarkStart w:id="41" w:name="_Toc12458"/>
      <w:r>
        <w:rPr>
          <w:rFonts w:hint="eastAsia" w:ascii="宋体" w:hAnsi="宋体" w:eastAsia="宋体" w:cs="宋体"/>
          <w:b/>
          <w:bCs/>
          <w:sz w:val="28"/>
          <w:szCs w:val="28"/>
          <w:highlight w:val="none"/>
          <w:lang w:val="en-US" w:eastAsia="zh-CN"/>
        </w:rPr>
        <w:br w:type="page"/>
      </w:r>
    </w:p>
    <w:bookmarkEnd w:id="41"/>
    <w:p>
      <w:pPr>
        <w:numPr>
          <w:ilvl w:val="0"/>
          <w:numId w:val="0"/>
        </w:numPr>
        <w:spacing w:before="240" w:after="120"/>
        <w:jc w:val="left"/>
        <w:outlineLvl w:val="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一、项目基本情况介绍</w:t>
      </w:r>
    </w:p>
    <w:p>
      <w:pPr>
        <w:pStyle w:val="36"/>
        <w:rPr>
          <w:rFonts w:hint="eastAsia" w:ascii="宋体" w:hAnsi="宋体" w:eastAsia="宋体" w:cs="宋体"/>
          <w:sz w:val="21"/>
          <w:szCs w:val="21"/>
        </w:rPr>
      </w:pPr>
      <w:r>
        <w:rPr>
          <w:rFonts w:hint="eastAsia" w:ascii="宋体" w:hAnsi="宋体" w:eastAsia="宋体" w:cs="宋体"/>
          <w:sz w:val="21"/>
          <w:szCs w:val="21"/>
        </w:rPr>
        <w:t>采购内容:课桌凳、电脑、灯光、空调、办公桌椅、监控、朗读亭等设施设备。 主要功能或目标:集约资源、节约成本，因地制宜，保质保量。需满足的要求:加强对资金使用监督，确保财政资金安全有效。</w:t>
      </w:r>
    </w:p>
    <w:p>
      <w:pPr>
        <w:pStyle w:val="36"/>
        <w:rPr>
          <w:rFonts w:hint="default" w:eastAsia="宋体"/>
          <w:b/>
          <w:bCs/>
          <w:lang w:val="en-US" w:eastAsia="zh-CN"/>
        </w:rPr>
      </w:pPr>
      <w:r>
        <w:rPr>
          <w:rFonts w:hint="eastAsia" w:hAnsi="宋体" w:cs="宋体"/>
          <w:b/>
          <w:bCs/>
          <w:sz w:val="21"/>
          <w:szCs w:val="21"/>
          <w:lang w:val="en-US" w:eastAsia="zh-CN"/>
        </w:rPr>
        <w:t>本次采购各学校设有最高限价。（投标人对各学校报价不得高于各校最高限价，总报价不得高于总限价）</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3006"/>
        <w:gridCol w:w="2412"/>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Pr>
          <w:p>
            <w:pPr>
              <w:pStyle w:val="36"/>
              <w:jc w:val="both"/>
              <w:rPr>
                <w:rFonts w:hint="eastAsia" w:eastAsia="宋体"/>
                <w:vertAlign w:val="baseline"/>
                <w:lang w:val="en-US" w:eastAsia="zh-CN"/>
              </w:rPr>
            </w:pPr>
            <w:r>
              <w:rPr>
                <w:rFonts w:hint="eastAsia"/>
                <w:vertAlign w:val="baseline"/>
                <w:lang w:val="en-US" w:eastAsia="zh-CN"/>
              </w:rPr>
              <w:t>序号</w:t>
            </w:r>
          </w:p>
        </w:tc>
        <w:tc>
          <w:tcPr>
            <w:tcW w:w="3006" w:type="dxa"/>
          </w:tcPr>
          <w:p>
            <w:pPr>
              <w:pStyle w:val="36"/>
              <w:rPr>
                <w:rFonts w:hint="default" w:eastAsia="宋体"/>
                <w:vertAlign w:val="baseline"/>
                <w:lang w:val="en-US" w:eastAsia="zh-CN"/>
              </w:rPr>
            </w:pPr>
            <w:r>
              <w:rPr>
                <w:rFonts w:hint="eastAsia"/>
                <w:vertAlign w:val="baseline"/>
                <w:lang w:val="en-US" w:eastAsia="zh-CN"/>
              </w:rPr>
              <w:t>学校名称</w:t>
            </w:r>
          </w:p>
        </w:tc>
        <w:tc>
          <w:tcPr>
            <w:tcW w:w="2412" w:type="dxa"/>
          </w:tcPr>
          <w:p>
            <w:pPr>
              <w:pStyle w:val="36"/>
              <w:ind w:left="0" w:leftChars="0" w:firstLine="480" w:firstLineChars="200"/>
              <w:rPr>
                <w:rFonts w:hint="default" w:eastAsia="宋体"/>
                <w:vertAlign w:val="baseline"/>
                <w:lang w:val="en-US" w:eastAsia="zh-CN"/>
              </w:rPr>
            </w:pPr>
            <w:r>
              <w:rPr>
                <w:rFonts w:hint="eastAsia"/>
                <w:vertAlign w:val="baseline"/>
                <w:lang w:val="en-US" w:eastAsia="zh-CN"/>
              </w:rPr>
              <w:t>最高限价（元）</w:t>
            </w:r>
          </w:p>
        </w:tc>
        <w:tc>
          <w:tcPr>
            <w:tcW w:w="2413" w:type="dxa"/>
          </w:tcPr>
          <w:p>
            <w:pPr>
              <w:pStyle w:val="36"/>
              <w:rPr>
                <w:rFonts w:hint="eastAsia" w:eastAsia="宋体"/>
                <w:vertAlign w:val="baseline"/>
                <w:lang w:val="en-US" w:eastAsia="zh-CN"/>
              </w:rPr>
            </w:pPr>
            <w:r>
              <w:rPr>
                <w:rFonts w:hint="eastAsia"/>
                <w:vertAlign w:val="baseline"/>
                <w:lang w:val="en-US" w:eastAsia="zh-CN"/>
              </w:rPr>
              <w:t>总限价（元）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818" w:type="dxa"/>
            <w:vAlign w:val="center"/>
          </w:tcPr>
          <w:p>
            <w:pPr>
              <w:pStyle w:val="36"/>
              <w:spacing w:line="240" w:lineRule="auto"/>
              <w:ind w:firstLine="720" w:firstLineChars="300"/>
              <w:jc w:val="both"/>
              <w:rPr>
                <w:rFonts w:hint="default" w:eastAsia="宋体"/>
                <w:vertAlign w:val="baseline"/>
                <w:lang w:val="en-US" w:eastAsia="zh-CN"/>
              </w:rPr>
            </w:pPr>
            <w:r>
              <w:rPr>
                <w:rFonts w:hint="eastAsia"/>
                <w:vertAlign w:val="baseline"/>
                <w:lang w:val="en-US" w:eastAsia="zh-CN"/>
              </w:rPr>
              <w:t>1</w:t>
            </w:r>
          </w:p>
        </w:tc>
        <w:tc>
          <w:tcPr>
            <w:tcW w:w="3006" w:type="dxa"/>
            <w:vAlign w:val="center"/>
          </w:tcPr>
          <w:p>
            <w:pPr>
              <w:pStyle w:val="36"/>
              <w:spacing w:line="240" w:lineRule="auto"/>
              <w:ind w:left="0" w:leftChars="0" w:firstLine="0" w:firstLineChars="0"/>
              <w:jc w:val="center"/>
              <w:rPr>
                <w:rFonts w:hint="eastAsia"/>
                <w:vertAlign w:val="baseline"/>
              </w:rPr>
            </w:pPr>
            <w:r>
              <w:rPr>
                <w:rFonts w:hint="eastAsia" w:ascii="Times New Roman" w:hAnsi="Times New Roman" w:eastAsia="宋体" w:cs="Times New Roman"/>
                <w:kern w:val="2"/>
                <w:sz w:val="21"/>
                <w:szCs w:val="24"/>
                <w:lang w:val="en-US" w:eastAsia="zh-CN" w:bidi="ar-SA"/>
              </w:rPr>
              <w:t>西安市长安区黄良街道湖村小学</w:t>
            </w:r>
          </w:p>
        </w:tc>
        <w:tc>
          <w:tcPr>
            <w:tcW w:w="2412"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rPr>
              <w:t>91</w:t>
            </w:r>
            <w:r>
              <w:rPr>
                <w:rFonts w:hint="eastAsia" w:ascii="宋体" w:hAnsi="宋体" w:eastAsia="宋体" w:cs="宋体"/>
                <w:lang w:val="en-US" w:eastAsia="zh-CN"/>
              </w:rPr>
              <w:t>0000.00</w:t>
            </w:r>
          </w:p>
        </w:tc>
        <w:tc>
          <w:tcPr>
            <w:tcW w:w="2413"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4025000</w:t>
            </w:r>
            <w:r>
              <w:rPr>
                <w:rFonts w:hint="eastAsia" w:ascii="宋体" w:hAnsi="宋体" w:cs="宋体"/>
                <w:i w:val="0"/>
                <w:iCs w:val="0"/>
                <w:color w:val="000000"/>
                <w:kern w:val="0"/>
                <w:sz w:val="22"/>
                <w:szCs w:val="22"/>
                <w:u w:val="none"/>
                <w:lang w:val="en-US" w:eastAsia="zh-CN"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818" w:type="dxa"/>
            <w:vAlign w:val="center"/>
          </w:tcPr>
          <w:p>
            <w:pPr>
              <w:pStyle w:val="36"/>
              <w:spacing w:line="240" w:lineRule="auto"/>
              <w:ind w:firstLine="720" w:firstLineChars="300"/>
              <w:jc w:val="both"/>
              <w:rPr>
                <w:rFonts w:hint="default" w:eastAsia="宋体"/>
                <w:vertAlign w:val="baseline"/>
                <w:lang w:val="en-US" w:eastAsia="zh-CN"/>
              </w:rPr>
            </w:pPr>
            <w:r>
              <w:rPr>
                <w:rFonts w:hint="eastAsia"/>
                <w:vertAlign w:val="baseline"/>
                <w:lang w:val="en-US" w:eastAsia="zh-CN"/>
              </w:rPr>
              <w:t>2</w:t>
            </w:r>
          </w:p>
        </w:tc>
        <w:tc>
          <w:tcPr>
            <w:tcW w:w="3006" w:type="dxa"/>
            <w:vAlign w:val="center"/>
          </w:tcPr>
          <w:p>
            <w:pPr>
              <w:spacing w:line="240" w:lineRule="auto"/>
              <w:jc w:val="center"/>
              <w:rPr>
                <w:rFonts w:hint="eastAsia"/>
                <w:vertAlign w:val="baseline"/>
              </w:rPr>
            </w:pPr>
            <w:r>
              <w:rPr>
                <w:rFonts w:hint="eastAsia"/>
                <w:vertAlign w:val="baseline"/>
              </w:rPr>
              <w:t>西安市长安区太乙宫街道中心学校</w:t>
            </w:r>
          </w:p>
        </w:tc>
        <w:tc>
          <w:tcPr>
            <w:tcW w:w="2412"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rPr>
              <w:t>100</w:t>
            </w:r>
            <w:r>
              <w:rPr>
                <w:rFonts w:hint="eastAsia" w:ascii="宋体" w:hAnsi="宋体" w:eastAsia="宋体" w:cs="宋体"/>
                <w:lang w:val="en-US" w:eastAsia="zh-CN"/>
              </w:rPr>
              <w:t>0000.00</w:t>
            </w:r>
          </w:p>
        </w:tc>
        <w:tc>
          <w:tcPr>
            <w:tcW w:w="2413" w:type="dxa"/>
            <w:vMerge w:val="continue"/>
            <w:vAlign w:val="center"/>
          </w:tcPr>
          <w:p>
            <w:pPr>
              <w:pStyle w:val="36"/>
              <w:spacing w:line="240" w:lineRule="auto"/>
              <w:jc w:val="cente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18" w:type="dxa"/>
            <w:vAlign w:val="center"/>
          </w:tcPr>
          <w:p>
            <w:pPr>
              <w:pStyle w:val="36"/>
              <w:spacing w:line="240" w:lineRule="auto"/>
              <w:ind w:firstLine="720" w:firstLineChars="300"/>
              <w:jc w:val="both"/>
              <w:rPr>
                <w:rFonts w:hint="default" w:eastAsia="宋体"/>
                <w:vertAlign w:val="baseline"/>
                <w:lang w:val="en-US" w:eastAsia="zh-CN"/>
              </w:rPr>
            </w:pPr>
            <w:r>
              <w:rPr>
                <w:rFonts w:hint="eastAsia"/>
                <w:vertAlign w:val="baseline"/>
                <w:lang w:val="en-US" w:eastAsia="zh-CN"/>
              </w:rPr>
              <w:t>3</w:t>
            </w:r>
          </w:p>
        </w:tc>
        <w:tc>
          <w:tcPr>
            <w:tcW w:w="3006" w:type="dxa"/>
            <w:vAlign w:val="center"/>
          </w:tcPr>
          <w:p>
            <w:pPr>
              <w:spacing w:line="240" w:lineRule="auto"/>
              <w:jc w:val="center"/>
              <w:rPr>
                <w:rFonts w:hint="eastAsia"/>
                <w:vertAlign w:val="baseline"/>
              </w:rPr>
            </w:pPr>
            <w:r>
              <w:rPr>
                <w:rFonts w:hint="eastAsia"/>
                <w:vertAlign w:val="baseline"/>
              </w:rPr>
              <w:t>西安市长安区杜曲街道樊村初级中学</w:t>
            </w:r>
          </w:p>
        </w:tc>
        <w:tc>
          <w:tcPr>
            <w:tcW w:w="2412"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rPr>
              <w:t>463</w:t>
            </w:r>
            <w:r>
              <w:rPr>
                <w:rFonts w:hint="eastAsia" w:ascii="宋体" w:hAnsi="宋体" w:eastAsia="宋体" w:cs="宋体"/>
                <w:lang w:val="en-US" w:eastAsia="zh-CN"/>
              </w:rPr>
              <w:t>000.00</w:t>
            </w:r>
          </w:p>
        </w:tc>
        <w:tc>
          <w:tcPr>
            <w:tcW w:w="2413" w:type="dxa"/>
            <w:vMerge w:val="continue"/>
            <w:vAlign w:val="center"/>
          </w:tcPr>
          <w:p>
            <w:pPr>
              <w:pStyle w:val="36"/>
              <w:spacing w:line="240" w:lineRule="auto"/>
              <w:jc w:val="cente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818" w:type="dxa"/>
            <w:vAlign w:val="center"/>
          </w:tcPr>
          <w:p>
            <w:pPr>
              <w:pStyle w:val="36"/>
              <w:spacing w:line="240" w:lineRule="auto"/>
              <w:ind w:firstLine="720" w:firstLineChars="300"/>
              <w:jc w:val="both"/>
              <w:rPr>
                <w:rFonts w:hint="default"/>
                <w:vertAlign w:val="baseline"/>
                <w:lang w:val="en-US" w:eastAsia="zh-CN"/>
              </w:rPr>
            </w:pPr>
            <w:r>
              <w:rPr>
                <w:rFonts w:hint="eastAsia"/>
                <w:vertAlign w:val="baseline"/>
                <w:lang w:val="en-US" w:eastAsia="zh-CN"/>
              </w:rPr>
              <w:t>4</w:t>
            </w:r>
          </w:p>
        </w:tc>
        <w:tc>
          <w:tcPr>
            <w:tcW w:w="3006" w:type="dxa"/>
            <w:vAlign w:val="center"/>
          </w:tcPr>
          <w:p>
            <w:pPr>
              <w:spacing w:line="240" w:lineRule="auto"/>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rPr>
              <w:t>西安市长安区第十一小学</w:t>
            </w:r>
          </w:p>
        </w:tc>
        <w:tc>
          <w:tcPr>
            <w:tcW w:w="2412" w:type="dxa"/>
            <w:vAlign w:val="center"/>
          </w:tcPr>
          <w:p>
            <w:pPr>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rPr>
              <w:t>902</w:t>
            </w:r>
            <w:r>
              <w:rPr>
                <w:rFonts w:hint="eastAsia" w:ascii="宋体" w:hAnsi="宋体" w:eastAsia="宋体" w:cs="宋体"/>
                <w:lang w:val="en-US" w:eastAsia="zh-CN"/>
              </w:rPr>
              <w:t>000.00</w:t>
            </w:r>
          </w:p>
        </w:tc>
        <w:tc>
          <w:tcPr>
            <w:tcW w:w="2413" w:type="dxa"/>
            <w:vMerge w:val="continue"/>
            <w:vAlign w:val="center"/>
          </w:tcPr>
          <w:p>
            <w:pPr>
              <w:pStyle w:val="36"/>
              <w:spacing w:line="240" w:lineRule="auto"/>
              <w:jc w:val="cente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818" w:type="dxa"/>
            <w:vAlign w:val="center"/>
          </w:tcPr>
          <w:p>
            <w:pPr>
              <w:pStyle w:val="36"/>
              <w:spacing w:line="240" w:lineRule="auto"/>
              <w:ind w:firstLine="720" w:firstLineChars="300"/>
              <w:jc w:val="both"/>
              <w:rPr>
                <w:rFonts w:hint="default" w:eastAsia="宋体"/>
                <w:vertAlign w:val="baseline"/>
                <w:lang w:val="en-US" w:eastAsia="zh-CN"/>
              </w:rPr>
            </w:pPr>
            <w:r>
              <w:rPr>
                <w:rFonts w:hint="eastAsia"/>
                <w:vertAlign w:val="baseline"/>
                <w:lang w:val="en-US" w:eastAsia="zh-CN"/>
              </w:rPr>
              <w:t>5</w:t>
            </w:r>
          </w:p>
        </w:tc>
        <w:tc>
          <w:tcPr>
            <w:tcW w:w="3006" w:type="dxa"/>
            <w:vAlign w:val="center"/>
          </w:tcPr>
          <w:p>
            <w:pPr>
              <w:spacing w:line="240" w:lineRule="auto"/>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rPr>
              <w:t>西安市长安区第一小学实验小学</w:t>
            </w:r>
          </w:p>
        </w:tc>
        <w:tc>
          <w:tcPr>
            <w:tcW w:w="2412" w:type="dxa"/>
            <w:vAlign w:val="center"/>
          </w:tcPr>
          <w:p>
            <w:pPr>
              <w:spacing w:line="24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rPr>
              <w:t>75</w:t>
            </w:r>
            <w:r>
              <w:rPr>
                <w:rFonts w:hint="eastAsia" w:ascii="宋体" w:hAnsi="宋体" w:eastAsia="宋体" w:cs="宋体"/>
                <w:lang w:val="en-US" w:eastAsia="zh-CN"/>
              </w:rPr>
              <w:t>0000.00</w:t>
            </w:r>
          </w:p>
        </w:tc>
        <w:tc>
          <w:tcPr>
            <w:tcW w:w="2413" w:type="dxa"/>
            <w:vMerge w:val="continue"/>
            <w:vAlign w:val="center"/>
          </w:tcPr>
          <w:p>
            <w:pPr>
              <w:pStyle w:val="36"/>
              <w:spacing w:line="240" w:lineRule="auto"/>
              <w:jc w:val="center"/>
              <w:rPr>
                <w:rFonts w:hint="eastAsia"/>
                <w:vertAlign w:val="baseline"/>
              </w:rPr>
            </w:pPr>
          </w:p>
        </w:tc>
      </w:tr>
    </w:tbl>
    <w:p>
      <w:pPr>
        <w:pStyle w:val="36"/>
        <w:ind w:left="0" w:leftChars="0" w:firstLine="0" w:firstLineChars="0"/>
        <w:rPr>
          <w:rFonts w:hint="default"/>
          <w:lang w:val="en-US" w:eastAsia="zh-CN"/>
        </w:rPr>
      </w:pPr>
    </w:p>
    <w:p>
      <w:pPr>
        <w:pStyle w:val="36"/>
        <w:ind w:left="0" w:leftChars="0" w:firstLine="0" w:firstLineChars="0"/>
        <w:rPr>
          <w:rFonts w:hint="default"/>
          <w:lang w:val="en-US" w:eastAsia="zh-CN"/>
        </w:rPr>
      </w:pPr>
    </w:p>
    <w:tbl>
      <w:tblPr>
        <w:tblStyle w:val="37"/>
        <w:tblW w:w="4992"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0"/>
        <w:gridCol w:w="3192"/>
        <w:gridCol w:w="2377"/>
        <w:gridCol w:w="25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05" w:type="pc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1195" w:type="pct"/>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68" w:type="pct"/>
            <w:tcBorders>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rPr>
              <w:t>黄良街道湖村小学教育教学设备采购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vertAlign w:val="baseline"/>
                <w:lang w:val="en-US" w:eastAsia="zh-CN"/>
              </w:rPr>
              <w:t>智慧黑板</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rPr>
              <w:t>白板软件</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Arial"/>
                <w:color w:val="000000"/>
                <w:szCs w:val="21"/>
                <w:lang w:val="en-US" w:eastAsia="zh-CN"/>
              </w:rPr>
            </w:pPr>
            <w:r>
              <w:rPr>
                <w:rFonts w:hint="eastAsia" w:ascii="宋体" w:hAnsi="宋体" w:cs="宋体"/>
                <w:sz w:val="21"/>
                <w:szCs w:val="21"/>
              </w:rPr>
              <w:t>学生行为管理软件</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rPr>
              <w:t>教学数据分析管理平台</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sz w:val="21"/>
                <w:szCs w:val="21"/>
                <w:lang w:val="en-US" w:eastAsia="zh-CN"/>
              </w:rPr>
              <w:t>摄像机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sz w:val="21"/>
                <w:szCs w:val="21"/>
              </w:rPr>
              <w:t>摄像机支架</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sz w:val="21"/>
                <w:szCs w:val="21"/>
              </w:rPr>
              <w:t>PoE交换机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8</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Arial"/>
                <w:color w:val="000000"/>
                <w:kern w:val="2"/>
                <w:sz w:val="21"/>
                <w:szCs w:val="21"/>
                <w:lang w:val="en-US" w:eastAsia="zh-CN" w:bidi="ar-SA"/>
              </w:rPr>
            </w:pPr>
            <w:r>
              <w:rPr>
                <w:rFonts w:hint="eastAsia" w:ascii="宋体" w:hAnsi="宋体" w:cs="宋体"/>
                <w:sz w:val="21"/>
                <w:szCs w:val="21"/>
              </w:rPr>
              <w:t>交换机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rPr>
              <w:t>管理型交换机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sz w:val="21"/>
                <w:szCs w:val="21"/>
              </w:rPr>
              <w:t>网络硬盘录像机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sz w:val="21"/>
                <w:szCs w:val="21"/>
              </w:rPr>
              <w:t>硬盘</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rPr>
              <w:t>监视器</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sz w:val="21"/>
                <w:szCs w:val="21"/>
                <w:lang w:val="en-US" w:eastAsia="zh-CN"/>
              </w:rPr>
              <w:t>监控安装及辅材</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项</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线路改造</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批</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15</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课桌凳</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16</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微机室中控台</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vertAlign w:val="baseli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17</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微机室教学系统</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18</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数码照相机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19</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服务器</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防火墙</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路由器</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交换机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交换机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网络改造辅材线材</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批</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25</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网络改造施工费</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26</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壁挂视频展台</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rPr>
              <w:t>太乙宫街道中心学校教育教学设备采购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vertAlign w:val="baseline"/>
                <w:lang w:val="en-US" w:eastAsia="zh-CN"/>
              </w:rPr>
              <w:t>智慧黑板</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sz w:val="21"/>
                <w:szCs w:val="21"/>
              </w:rPr>
              <w:t>白板软件</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rPr>
              <w:t>学生行为管理软件</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rPr>
              <w:t>教学数据分析管理平台</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5</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空调</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6</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空调</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7</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交互智能平板</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8</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default" w:ascii="宋体" w:hAnsi="宋体" w:cs="宋体"/>
                <w:sz w:val="21"/>
                <w:szCs w:val="21"/>
                <w:lang w:val="en-US" w:eastAsia="zh-CN"/>
              </w:rPr>
              <w:t>摄像机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9</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摄像机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10</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硬盘录像机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监控显示器</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UPS电源</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监控材料及施工</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批</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课桌凳</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rPr>
              <w:t>樊村初级中学学校教育教学设备采购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台式电脑</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笔记本电脑</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速印机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A3黑白打印机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黑白激光打印机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彩色激光打印机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空调</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单人桌椅</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卷闸门</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sz w:val="21"/>
                <w:szCs w:val="21"/>
                <w:lang w:val="en-US" w:eastAsia="zh-CN"/>
              </w:rPr>
            </w:pPr>
            <w:r>
              <w:rPr>
                <w:rFonts w:hint="eastAsia" w:ascii="宋体" w:hAnsi="宋体" w:cs="宋体"/>
                <w:sz w:val="21"/>
                <w:szCs w:val="21"/>
                <w:lang w:val="en-US" w:eastAsia="zh-CN"/>
              </w:rPr>
              <w:t>单色显示LED屏</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rPr>
              <w:t>长安区第十一小学教育教学设备采购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sz w:val="21"/>
                <w:szCs w:val="21"/>
                <w:highlight w:val="none"/>
                <w:lang w:val="en-US" w:eastAsia="zh-CN"/>
              </w:rPr>
              <w:t>移动教学工作终端</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sz w:val="21"/>
                <w:szCs w:val="21"/>
                <w:lang w:val="en-US" w:eastAsia="zh-CN"/>
              </w:rPr>
              <w:t>无人机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武术短兵护具</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朗读亭</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交互智能平板</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sz w:val="21"/>
                <w:szCs w:val="21"/>
                <w:lang w:val="en-US" w:eastAsia="zh-CN"/>
              </w:rPr>
              <w:t>壁挂广告机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Arial"/>
                <w:color w:val="000000"/>
                <w:szCs w:val="21"/>
                <w:lang w:val="en-US" w:eastAsia="zh-CN"/>
              </w:rPr>
            </w:pPr>
            <w:r>
              <w:rPr>
                <w:rFonts w:hint="eastAsia" w:ascii="宋体" w:hAnsi="宋体" w:cs="宋体"/>
                <w:sz w:val="21"/>
                <w:szCs w:val="21"/>
                <w:lang w:val="en-US" w:eastAsia="zh-CN"/>
              </w:rPr>
              <w:t>电子借阅机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办公档案柜</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组</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Arial"/>
                <w:color w:val="000000"/>
                <w:szCs w:val="21"/>
                <w:lang w:val="en-US" w:eastAsia="zh-CN"/>
              </w:rPr>
            </w:pPr>
            <w:r>
              <w:rPr>
                <w:rFonts w:hint="eastAsia" w:ascii="宋体" w:hAnsi="宋体" w:cs="宋体"/>
                <w:sz w:val="21"/>
                <w:szCs w:val="21"/>
                <w:lang w:val="en-US" w:eastAsia="zh-CN"/>
              </w:rPr>
              <w:t>讲桌</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张</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000000"/>
                <w:szCs w:val="21"/>
                <w:lang w:val="en-US" w:eastAsia="zh-CN"/>
              </w:rPr>
            </w:pPr>
            <w:r>
              <w:rPr>
                <w:rFonts w:hint="eastAsia" w:ascii="宋体" w:hAnsi="宋体" w:cs="宋体"/>
                <w:sz w:val="21"/>
                <w:szCs w:val="21"/>
                <w:lang w:val="en-US" w:eastAsia="zh-CN"/>
              </w:rPr>
              <w:t>长笛</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eastAsia="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000000"/>
                <w:szCs w:val="21"/>
                <w:lang w:val="en-US" w:eastAsia="zh-CN"/>
              </w:rPr>
            </w:pPr>
            <w:r>
              <w:rPr>
                <w:rFonts w:hint="eastAsia" w:ascii="宋体" w:hAnsi="宋体" w:cs="宋体"/>
                <w:sz w:val="21"/>
                <w:szCs w:val="21"/>
                <w:lang w:val="en-US" w:eastAsia="zh-CN"/>
              </w:rPr>
              <w:t>短笛</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eastAsia="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000000"/>
                <w:szCs w:val="21"/>
                <w:lang w:val="en-US" w:eastAsia="zh-CN"/>
              </w:rPr>
            </w:pPr>
            <w:r>
              <w:rPr>
                <w:rFonts w:hint="eastAsia" w:ascii="宋体" w:hAnsi="宋体" w:cs="宋体"/>
                <w:sz w:val="21"/>
                <w:szCs w:val="21"/>
                <w:lang w:val="en-US" w:eastAsia="zh-CN"/>
              </w:rPr>
              <w:t>双簧管</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eastAsia="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000000"/>
                <w:szCs w:val="21"/>
                <w:lang w:val="en-US" w:eastAsia="zh-CN"/>
              </w:rPr>
            </w:pPr>
            <w:r>
              <w:rPr>
                <w:rFonts w:hint="eastAsia" w:ascii="宋体" w:hAnsi="宋体" w:cs="宋体"/>
                <w:sz w:val="21"/>
                <w:szCs w:val="21"/>
                <w:lang w:val="en-US" w:eastAsia="zh-CN"/>
              </w:rPr>
              <w:t>单簧管</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eastAsia="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000000"/>
                <w:szCs w:val="21"/>
                <w:lang w:val="en-US" w:eastAsia="zh-CN"/>
              </w:rPr>
            </w:pPr>
            <w:r>
              <w:rPr>
                <w:rFonts w:hint="eastAsia" w:ascii="宋体" w:hAnsi="宋体" w:cs="宋体"/>
                <w:sz w:val="21"/>
                <w:szCs w:val="21"/>
                <w:lang w:val="en-US" w:eastAsia="zh-CN"/>
              </w:rPr>
              <w:t>大管</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15</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000000"/>
                <w:szCs w:val="21"/>
                <w:lang w:val="en-US" w:eastAsia="zh-CN"/>
              </w:rPr>
            </w:pPr>
            <w:r>
              <w:rPr>
                <w:rFonts w:hint="eastAsia" w:ascii="宋体" w:hAnsi="宋体" w:cs="宋体"/>
                <w:sz w:val="21"/>
                <w:szCs w:val="21"/>
                <w:lang w:val="en-US" w:eastAsia="zh-CN"/>
              </w:rPr>
              <w:t>萨克斯</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个</w:t>
            </w:r>
          </w:p>
        </w:tc>
        <w:tc>
          <w:tcPr>
            <w:tcW w:w="1268" w:type="pct"/>
            <w:tcBorders>
              <w:top w:val="single" w:color="000000" w:sz="4" w:space="0"/>
              <w:left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16</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000000"/>
                <w:szCs w:val="21"/>
                <w:lang w:val="en-US" w:eastAsia="zh-CN"/>
              </w:rPr>
            </w:pPr>
            <w:r>
              <w:rPr>
                <w:rFonts w:hint="eastAsia" w:ascii="宋体" w:hAnsi="宋体" w:cs="宋体"/>
                <w:sz w:val="21"/>
                <w:szCs w:val="21"/>
                <w:lang w:val="en-US" w:eastAsia="zh-CN"/>
              </w:rPr>
              <w:t>小号</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17</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000000"/>
                <w:szCs w:val="21"/>
                <w:lang w:val="en-US" w:eastAsia="zh-CN"/>
              </w:rPr>
            </w:pPr>
            <w:r>
              <w:rPr>
                <w:rFonts w:hint="eastAsia" w:ascii="宋体" w:hAnsi="宋体" w:cs="宋体"/>
                <w:sz w:val="21"/>
                <w:szCs w:val="21"/>
                <w:lang w:val="en-US" w:eastAsia="zh-CN"/>
              </w:rPr>
              <w:t>圆号</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18</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auto"/>
                <w:szCs w:val="21"/>
                <w:lang w:val="en-US" w:eastAsia="zh-CN"/>
              </w:rPr>
            </w:pPr>
            <w:r>
              <w:rPr>
                <w:rFonts w:hint="eastAsia" w:ascii="宋体" w:hAnsi="宋体" w:cs="宋体"/>
                <w:sz w:val="21"/>
                <w:szCs w:val="21"/>
                <w:lang w:val="en-US" w:eastAsia="zh-CN"/>
              </w:rPr>
              <w:t>长号</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19</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auto"/>
                <w:szCs w:val="21"/>
                <w:lang w:val="en-US" w:eastAsia="zh-CN"/>
              </w:rPr>
            </w:pPr>
            <w:r>
              <w:rPr>
                <w:rFonts w:hint="eastAsia" w:ascii="宋体" w:hAnsi="宋体" w:cs="宋体"/>
                <w:sz w:val="21"/>
                <w:szCs w:val="21"/>
                <w:lang w:val="en-US" w:eastAsia="zh-CN"/>
              </w:rPr>
              <w:t>次中音号</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auto"/>
                <w:szCs w:val="21"/>
                <w:lang w:val="en-US" w:eastAsia="zh-CN"/>
              </w:rPr>
            </w:pPr>
            <w:r>
              <w:rPr>
                <w:rFonts w:hint="eastAsia" w:ascii="宋体" w:hAnsi="宋体" w:cs="宋体"/>
                <w:sz w:val="21"/>
                <w:szCs w:val="21"/>
                <w:lang w:val="en-US" w:eastAsia="zh-CN"/>
              </w:rPr>
              <w:t>大号</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auto"/>
                <w:szCs w:val="21"/>
                <w:lang w:val="en-US" w:eastAsia="zh-CN"/>
              </w:rPr>
            </w:pPr>
            <w:r>
              <w:rPr>
                <w:rFonts w:hint="eastAsia" w:ascii="宋体" w:hAnsi="宋体" w:cs="宋体"/>
                <w:sz w:val="21"/>
                <w:szCs w:val="21"/>
                <w:lang w:val="en-US" w:eastAsia="zh-CN"/>
              </w:rPr>
              <w:t>大军鼓</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auto"/>
                <w:szCs w:val="21"/>
                <w:lang w:val="en-US" w:eastAsia="zh-CN"/>
              </w:rPr>
            </w:pPr>
            <w:r>
              <w:rPr>
                <w:rFonts w:hint="eastAsia" w:ascii="宋体" w:hAnsi="宋体" w:cs="宋体"/>
                <w:sz w:val="21"/>
                <w:szCs w:val="21"/>
                <w:lang w:val="en-US" w:eastAsia="zh-CN"/>
              </w:rPr>
              <w:t>小军鼓</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auto"/>
                <w:szCs w:val="21"/>
                <w:lang w:val="en-US" w:eastAsia="zh-CN"/>
              </w:rPr>
            </w:pPr>
            <w:r>
              <w:rPr>
                <w:rFonts w:hint="eastAsia" w:ascii="宋体" w:hAnsi="宋体" w:cs="宋体"/>
                <w:sz w:val="21"/>
                <w:szCs w:val="21"/>
                <w:lang w:val="en-US" w:eastAsia="zh-CN"/>
              </w:rPr>
              <w:t>马林巴</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cs="Arial"/>
                <w:color w:val="auto"/>
                <w:szCs w:val="21"/>
                <w:lang w:val="en-US" w:eastAsia="zh-CN"/>
              </w:rPr>
            </w:pPr>
            <w:r>
              <w:rPr>
                <w:rFonts w:hint="eastAsia" w:ascii="宋体" w:hAnsi="宋体" w:cs="宋体"/>
                <w:sz w:val="21"/>
                <w:szCs w:val="21"/>
                <w:lang w:val="en-US" w:eastAsia="zh-CN"/>
              </w:rPr>
              <w:t>三角铁</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default" w:ascii="宋体" w:hAnsi="宋体" w:cs="宋体"/>
                <w:i w:val="0"/>
                <w:iCs w:val="0"/>
                <w:color w:val="000000"/>
                <w:kern w:val="0"/>
                <w:sz w:val="21"/>
                <w:szCs w:val="21"/>
                <w:u w:val="none"/>
                <w:lang w:val="en-US" w:eastAsia="zh-CN" w:bidi="ar"/>
              </w:rPr>
            </w:pPr>
            <w:r>
              <w:rPr>
                <w:rFonts w:hint="eastAsia"/>
                <w:vertAlign w:val="baseline"/>
                <w:lang w:val="en-US" w:eastAsia="zh-CN"/>
              </w:rPr>
              <w:t>个</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default" w:ascii="宋体" w:hAnsi="宋体" w:cs="宋体"/>
                <w:i w:val="0"/>
                <w:iCs w:val="0"/>
                <w:color w:val="000000"/>
                <w:kern w:val="0"/>
                <w:sz w:val="21"/>
                <w:szCs w:val="21"/>
                <w:u w:val="none"/>
                <w:lang w:val="en-US" w:eastAsia="zh-CN" w:bidi="ar"/>
              </w:rPr>
            </w:pPr>
            <w:r>
              <w:rPr>
                <w:rFonts w:hint="eastAsia" w:ascii="宋体" w:hAnsi="宋体" w:cs="宋体"/>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rPr>
              <w:t>西安市长安区第一小学实验小学学校教育教学设备采购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21"/>
                <w:szCs w:val="21"/>
                <w:u w:val="none"/>
              </w:rPr>
            </w:pPr>
            <w:r>
              <w:rPr>
                <w:rFonts w:hint="eastAsia" w:ascii="宋体" w:hAnsi="宋体" w:eastAsia="宋体" w:cs="宋体"/>
                <w:vertAlign w:val="baseline"/>
                <w:lang w:val="en-US" w:eastAsia="zh-CN"/>
              </w:rPr>
              <w:t>1</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lang w:val="en-US" w:eastAsia="zh-CN"/>
              </w:rPr>
              <w:t>双人课桌</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21"/>
                <w:szCs w:val="21"/>
                <w:u w:val="none"/>
              </w:rPr>
            </w:pPr>
            <w:r>
              <w:rPr>
                <w:rFonts w:hint="eastAsia" w:ascii="宋体" w:hAnsi="宋体" w:eastAsia="宋体" w:cs="宋体"/>
                <w:vertAlign w:val="baseline"/>
                <w:lang w:val="en-US" w:eastAsia="zh-CN"/>
              </w:rPr>
              <w:t>件</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sz w:val="21"/>
                <w:szCs w:val="21"/>
                <w:u w:val="none"/>
                <w:lang w:val="en-US"/>
              </w:rPr>
            </w:pPr>
            <w:r>
              <w:rPr>
                <w:rFonts w:hint="eastAsia" w:ascii="宋体" w:hAnsi="宋体" w:eastAsia="宋体" w:cs="宋体"/>
                <w:vertAlign w:val="baseline"/>
                <w:lang w:val="en-US" w:eastAsia="zh-CN"/>
              </w:rPr>
              <w:t>460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vertAlign w:val="baseline"/>
                <w:lang w:val="en-US" w:eastAsia="zh-CN"/>
              </w:rPr>
              <w:t>2</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lang w:val="en-US" w:eastAsia="zh-CN"/>
              </w:rPr>
              <w:t>双人椅子</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宋体" w:hAnsi="宋体" w:eastAsia="宋体" w:cs="宋体"/>
                <w:i w:val="0"/>
                <w:iCs w:val="0"/>
                <w:color w:val="000000"/>
                <w:sz w:val="21"/>
                <w:szCs w:val="21"/>
                <w:u w:val="none"/>
              </w:rPr>
            </w:pPr>
            <w:r>
              <w:rPr>
                <w:rFonts w:hint="eastAsia" w:ascii="宋体" w:hAnsi="宋体" w:eastAsia="宋体" w:cs="宋体"/>
                <w:vertAlign w:val="baseline"/>
                <w:lang w:val="en-US" w:eastAsia="zh-CN"/>
              </w:rPr>
              <w:t>件</w:t>
            </w:r>
          </w:p>
        </w:tc>
        <w:tc>
          <w:tcPr>
            <w:tcW w:w="1268" w:type="pct"/>
            <w:tcBorders>
              <w:top w:val="single" w:color="000000" w:sz="4" w:space="0"/>
              <w:left w:val="single" w:color="000000" w:sz="4" w:space="0"/>
              <w:bottom w:val="single" w:color="000000" w:sz="4" w:space="0"/>
            </w:tcBorders>
            <w:shd w:val="clear" w:color="auto" w:fill="auto"/>
            <w:noWrap/>
            <w:vAlign w:val="top"/>
          </w:tcPr>
          <w:p>
            <w:pPr>
              <w:jc w:val="center"/>
              <w:rPr>
                <w:rFonts w:hint="eastAsia" w:ascii="宋体" w:hAnsi="宋体" w:eastAsia="宋体" w:cs="宋体"/>
                <w:i w:val="0"/>
                <w:iCs w:val="0"/>
                <w:color w:val="000000"/>
                <w:sz w:val="21"/>
                <w:szCs w:val="21"/>
                <w:u w:val="none"/>
                <w:lang w:val="en-US"/>
              </w:rPr>
            </w:pPr>
            <w:r>
              <w:rPr>
                <w:rFonts w:hint="eastAsia" w:ascii="宋体" w:hAnsi="宋体" w:eastAsia="宋体" w:cs="宋体"/>
                <w:vertAlign w:val="baseline"/>
                <w:lang w:val="en-US" w:eastAsia="zh-CN"/>
              </w:rPr>
              <w:t>460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vertAlign w:val="baseline"/>
                <w:lang w:val="en-US" w:eastAsia="zh-CN"/>
              </w:rPr>
              <w:t>智慧黑板</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t>白板软件</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t>学生行为管理软件</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t>教学数据分析管理平台</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lang w:val="en-US" w:eastAsia="zh-CN"/>
              </w:rPr>
              <w:t>激光打印机</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台</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930"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lang w:val="en-US" w:eastAsia="zh-CN"/>
              </w:rPr>
              <w:t>智慧放学系统</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126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00" w:type="pct"/>
            <w:gridSpan w:val="4"/>
            <w:tcBorders>
              <w:top w:val="single" w:color="000000" w:sz="4" w:space="0"/>
              <w:bottom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bl>
    <w:p>
      <w:pPr>
        <w:numPr>
          <w:ilvl w:val="0"/>
          <w:numId w:val="8"/>
        </w:numPr>
        <w:spacing w:before="240" w:after="120"/>
        <w:jc w:val="left"/>
        <w:outlineLvl w:val="2"/>
        <w:rPr>
          <w:rFonts w:hint="eastAsia" w:ascii="宋体" w:hAnsi="宋体" w:cs="宋体"/>
          <w:b/>
          <w:bCs/>
          <w:color w:val="auto"/>
          <w:sz w:val="28"/>
          <w:szCs w:val="28"/>
          <w:lang w:val="en-US" w:eastAsia="zh-CN"/>
        </w:rPr>
      </w:pPr>
      <w:r>
        <w:rPr>
          <w:rFonts w:hint="eastAsia" w:ascii="宋体" w:hAnsi="宋体" w:cs="宋体"/>
          <w:b/>
          <w:bCs/>
          <w:color w:val="auto"/>
          <w:sz w:val="28"/>
          <w:szCs w:val="28"/>
          <w:lang w:val="en-US" w:eastAsia="zh-CN"/>
        </w:rPr>
        <w:t>采购需求</w:t>
      </w:r>
    </w:p>
    <w:p>
      <w:pPr>
        <w:pStyle w:val="19"/>
        <w:numPr>
          <w:ilvl w:val="0"/>
          <w:numId w:val="0"/>
        </w:numPr>
        <w:rPr>
          <w:rFonts w:hint="default"/>
          <w:b/>
          <w:bCs/>
          <w:highlight w:val="none"/>
          <w:lang w:val="en-US" w:eastAsia="zh-CN"/>
        </w:rPr>
      </w:pPr>
      <w:r>
        <w:rPr>
          <w:rFonts w:hint="eastAsia"/>
          <w:b/>
          <w:bCs/>
          <w:color w:val="auto"/>
          <w:highlight w:val="none"/>
          <w:lang w:val="en-US" w:eastAsia="zh-CN"/>
        </w:rPr>
        <w:t>本项目核心产品：智慧黑板</w:t>
      </w:r>
    </w:p>
    <w:p>
      <w:pPr>
        <w:pStyle w:val="6"/>
        <w:numPr>
          <w:ilvl w:val="0"/>
          <w:numId w:val="0"/>
        </w:numPr>
        <w:ind w:left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需求一览表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122"/>
        <w:gridCol w:w="6248"/>
        <w:gridCol w:w="1060"/>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bCs/>
                <w:i w:val="0"/>
                <w:iCs w:val="0"/>
                <w:color w:val="000000"/>
                <w:kern w:val="0"/>
                <w:sz w:val="21"/>
                <w:szCs w:val="21"/>
                <w:highlight w:val="none"/>
                <w:u w:val="none"/>
                <w:lang w:val="en-US" w:eastAsia="zh-CN" w:bidi="ar"/>
              </w:rPr>
              <w:t>序号</w:t>
            </w:r>
          </w:p>
        </w:tc>
        <w:tc>
          <w:tcPr>
            <w:tcW w:w="563"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产品名称</w:t>
            </w:r>
          </w:p>
        </w:tc>
        <w:tc>
          <w:tcPr>
            <w:tcW w:w="3136"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参数配置</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vertAlign w:val="baseline"/>
                <w:lang w:val="en-US" w:eastAsia="zh-CN"/>
              </w:rPr>
              <w:t>智慧黑板</w:t>
            </w:r>
          </w:p>
        </w:tc>
        <w:tc>
          <w:tcPr>
            <w:tcW w:w="3136" w:type="pct"/>
            <w:shd w:val="clear" w:color="D9E1F4" w:fill="auto"/>
            <w:noWrap/>
            <w:vAlign w:val="center"/>
          </w:tcPr>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整机采用三拼接平面一体化设计。整机尺寸宽度≥4200mm，高度≥1200mm。整机屏幕边缘采用金属圆角包边防护。</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中间主屏及两侧副屏可支持多种媒介（普通粉笔、液体粉笔、水溶性粉笔等）进行板书书写，便于老师完整书写教学内容。</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中央主屏幕显示采用</w:t>
            </w:r>
            <w:r>
              <w:rPr>
                <w:rFonts w:hint="default" w:ascii="Arial" w:hAnsi="Arial" w:eastAsia="宋体" w:cs="Arial"/>
                <w:color w:val="000000"/>
                <w:sz w:val="21"/>
                <w:szCs w:val="21"/>
                <w:lang w:val="en-US" w:eastAsia="zh-CN"/>
              </w:rPr>
              <w:t>≥</w:t>
            </w:r>
            <w:r>
              <w:rPr>
                <w:rFonts w:hint="eastAsia" w:ascii="宋体" w:hAnsi="宋体" w:eastAsia="宋体" w:cs="宋体"/>
                <w:color w:val="000000"/>
                <w:sz w:val="21"/>
                <w:szCs w:val="21"/>
                <w:lang w:val="en-US" w:eastAsia="zh-CN"/>
              </w:rPr>
              <w:t>86英寸UHD超高清LED液晶屏，显示比例16:9，屏幕分辨率</w:t>
            </w:r>
            <w:r>
              <w:rPr>
                <w:rFonts w:hint="default" w:ascii="Arial" w:hAnsi="Arial" w:eastAsia="宋体" w:cs="Arial"/>
                <w:color w:val="000000"/>
                <w:sz w:val="21"/>
                <w:szCs w:val="21"/>
                <w:lang w:val="en-US" w:eastAsia="zh-CN"/>
              </w:rPr>
              <w:t>≥</w:t>
            </w:r>
            <w:r>
              <w:rPr>
                <w:rFonts w:hint="eastAsia" w:ascii="宋体" w:hAnsi="宋体" w:eastAsia="宋体" w:cs="宋体"/>
                <w:color w:val="000000"/>
                <w:sz w:val="21"/>
                <w:szCs w:val="21"/>
                <w:lang w:val="en-US" w:eastAsia="zh-CN"/>
              </w:rPr>
              <w:t>3840*2160，具备防眩光效果。</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整机支持纸质护眼模式，可以在任意通道任意画面任意软件所有显示内容下实现画面纹理的实时调整；支持纸质纹理：牛皮纸、素描纸、宣纸、水彩纸、水纹纸；支持透明度调节；支持色温调节。</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具</w:t>
            </w:r>
            <w:r>
              <w:rPr>
                <w:rFonts w:hint="eastAsia" w:ascii="宋体" w:hAnsi="宋体" w:cs="宋体"/>
                <w:color w:val="000000"/>
                <w:sz w:val="21"/>
                <w:szCs w:val="21"/>
                <w:lang w:val="en-US" w:eastAsia="zh-CN"/>
              </w:rPr>
              <w:t>有</w:t>
            </w:r>
            <w:r>
              <w:rPr>
                <w:rFonts w:hint="default" w:ascii="Arial" w:hAnsi="Arial" w:cs="Arial"/>
                <w:color w:val="000000"/>
                <w:sz w:val="21"/>
                <w:szCs w:val="21"/>
                <w:lang w:val="en-US" w:eastAsia="zh-CN"/>
              </w:rPr>
              <w:t>≥</w:t>
            </w:r>
            <w:r>
              <w:rPr>
                <w:rFonts w:hint="eastAsia" w:ascii="宋体" w:hAnsi="宋体" w:eastAsia="宋体" w:cs="宋体"/>
                <w:color w:val="000000"/>
                <w:sz w:val="21"/>
                <w:szCs w:val="21"/>
                <w:lang w:val="en-US" w:eastAsia="zh-CN"/>
              </w:rPr>
              <w:t>2路前置双系统USB3.0接口,双系统USB3.0接口支持Android系统、Windows系统读取外接移动存储设备,即插即用无需区分接口对应系统。</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具</w:t>
            </w:r>
            <w:r>
              <w:rPr>
                <w:rFonts w:hint="eastAsia" w:ascii="宋体" w:hAnsi="宋体" w:cs="宋体"/>
                <w:color w:val="000000"/>
                <w:sz w:val="21"/>
                <w:szCs w:val="21"/>
                <w:lang w:val="en-US" w:eastAsia="zh-CN"/>
              </w:rPr>
              <w:t>有</w:t>
            </w:r>
            <w:r>
              <w:rPr>
                <w:rFonts w:hint="default" w:ascii="Arial" w:hAnsi="Arial" w:cs="Arial"/>
                <w:color w:val="000000"/>
                <w:sz w:val="21"/>
                <w:szCs w:val="21"/>
                <w:lang w:val="en-US" w:eastAsia="zh-CN"/>
              </w:rPr>
              <w:t>≥</w:t>
            </w:r>
            <w:r>
              <w:rPr>
                <w:rFonts w:hint="eastAsia" w:ascii="宋体" w:hAnsi="宋体" w:eastAsia="宋体" w:cs="宋体"/>
                <w:color w:val="000000"/>
                <w:sz w:val="21"/>
                <w:szCs w:val="21"/>
                <w:lang w:val="en-US" w:eastAsia="zh-CN"/>
              </w:rPr>
              <w:t>1路前置Typec接口</w:t>
            </w:r>
            <w:r>
              <w:rPr>
                <w:rFonts w:hint="eastAsia" w:ascii="宋体" w:hAnsi="宋体" w:cs="宋体"/>
                <w:color w:val="000000"/>
                <w:sz w:val="21"/>
                <w:szCs w:val="21"/>
                <w:lang w:val="en-US" w:eastAsia="zh-CN"/>
              </w:rPr>
              <w:t>。</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color w:val="auto"/>
              </w:rPr>
              <w:t>★</w:t>
            </w:r>
            <w:r>
              <w:rPr>
                <w:rFonts w:hint="eastAsia" w:ascii="宋体" w:hAnsi="宋体" w:eastAsia="宋体" w:cs="宋体"/>
                <w:color w:val="000000"/>
                <w:sz w:val="21"/>
                <w:szCs w:val="21"/>
                <w:lang w:val="en-US" w:eastAsia="zh-CN"/>
              </w:rPr>
              <w:t>支持自定义前置“设置"按键，可通过自定义设置实现前置面板功能按键一键启用任一全局小工具（批注、截屏、计时、降半屏、放大镜、倒数日、日历）、快捷开关（节能模式、纸质护眼模式、经典护眼模式、自动亮度模式）。</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采用抽拉内置式模块化电脑</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按压式卡扣方式</w:t>
            </w:r>
            <w:r>
              <w:rPr>
                <w:rFonts w:hint="eastAsia" w:ascii="宋体" w:hAnsi="宋体" w:cs="宋体"/>
                <w:color w:val="000000"/>
                <w:sz w:val="21"/>
                <w:szCs w:val="21"/>
                <w:lang w:val="en-US" w:eastAsia="zh-CN"/>
              </w:rPr>
              <w:t>。</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 </w:t>
            </w:r>
            <w:r>
              <w:rPr>
                <w:rFonts w:hint="default" w:ascii="Arial" w:hAnsi="Arial" w:eastAsia="宋体" w:cs="Arial"/>
                <w:color w:val="000000"/>
                <w:sz w:val="21"/>
                <w:szCs w:val="21"/>
                <w:lang w:val="en-US" w:eastAsia="zh-CN"/>
              </w:rPr>
              <w:t>≥</w:t>
            </w:r>
            <w:r>
              <w:rPr>
                <w:rFonts w:hint="eastAsia" w:ascii="宋体" w:hAnsi="宋体" w:eastAsia="宋体" w:cs="宋体"/>
                <w:color w:val="000000"/>
                <w:sz w:val="21"/>
                <w:szCs w:val="21"/>
                <w:lang w:val="en-US" w:eastAsia="zh-CN"/>
              </w:rPr>
              <w:t>i5CPU。内存：</w:t>
            </w:r>
            <w:r>
              <w:rPr>
                <w:rFonts w:hint="default" w:ascii="Arial" w:hAnsi="Arial" w:eastAsia="宋体" w:cs="Arial"/>
                <w:color w:val="000000"/>
                <w:sz w:val="21"/>
                <w:szCs w:val="21"/>
                <w:lang w:val="en-US" w:eastAsia="zh-CN"/>
              </w:rPr>
              <w:t>≥</w:t>
            </w:r>
            <w:r>
              <w:rPr>
                <w:rFonts w:hint="eastAsia" w:ascii="宋体" w:hAnsi="宋体" w:eastAsia="宋体" w:cs="宋体"/>
                <w:color w:val="000000"/>
                <w:sz w:val="21"/>
                <w:szCs w:val="21"/>
                <w:lang w:val="en-US" w:eastAsia="zh-CN"/>
              </w:rPr>
              <w:t>8GB DDR4笔记本内存或以上配置。硬盘：</w:t>
            </w:r>
            <w:r>
              <w:rPr>
                <w:rFonts w:hint="default" w:ascii="Arial" w:hAnsi="Arial" w:eastAsia="宋体" w:cs="Arial"/>
                <w:color w:val="000000"/>
                <w:sz w:val="21"/>
                <w:szCs w:val="21"/>
                <w:lang w:val="en-US" w:eastAsia="zh-CN"/>
              </w:rPr>
              <w:t>≥</w:t>
            </w:r>
            <w:r>
              <w:rPr>
                <w:rFonts w:hint="eastAsia" w:ascii="宋体" w:hAnsi="宋体" w:eastAsia="宋体" w:cs="宋体"/>
                <w:color w:val="000000"/>
                <w:sz w:val="21"/>
                <w:szCs w:val="21"/>
                <w:lang w:val="en-US" w:eastAsia="zh-CN"/>
              </w:rPr>
              <w:t>256GB SSD固态硬盘或以上配置。</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具有独立非外扩展的电脑USB接口：电脑上</w:t>
            </w:r>
            <w:r>
              <w:rPr>
                <w:rFonts w:hint="default" w:ascii="Arial" w:hAnsi="Arial" w:eastAsia="宋体" w:cs="Arial"/>
                <w:color w:val="000000"/>
                <w:sz w:val="21"/>
                <w:szCs w:val="21"/>
                <w:lang w:val="en-US" w:eastAsia="zh-CN"/>
              </w:rPr>
              <w:t>≥</w:t>
            </w:r>
            <w:r>
              <w:rPr>
                <w:rFonts w:hint="eastAsia" w:ascii="宋体" w:hAnsi="宋体" w:eastAsia="宋体" w:cs="宋体"/>
                <w:color w:val="000000"/>
                <w:sz w:val="21"/>
                <w:szCs w:val="21"/>
                <w:lang w:val="en-US" w:eastAsia="zh-CN"/>
              </w:rPr>
              <w:t>3个USB3.0 接口。</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整机具有减滤蓝光功能，按键一键启用护眼模式。</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支持通过前置物理按键一键启动录屏功能， 可将屏幕中显示的课件、音频内容与老师人声同时录制。</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color w:val="auto"/>
              </w:rPr>
              <w:t>★</w:t>
            </w:r>
            <w:r>
              <w:rPr>
                <w:rFonts w:hint="eastAsia" w:ascii="宋体" w:hAnsi="宋体" w:eastAsia="宋体" w:cs="宋体"/>
                <w:color w:val="000000"/>
                <w:sz w:val="21"/>
                <w:szCs w:val="21"/>
                <w:lang w:val="en-US" w:eastAsia="zh-CN"/>
              </w:rPr>
              <w:t>整机内置非独立外扩展的摄像头，支持二维码扫码识别，拍摄</w:t>
            </w:r>
            <w:r>
              <w:rPr>
                <w:rFonts w:hint="default" w:ascii="Arial" w:hAnsi="Arial" w:eastAsia="宋体" w:cs="Arial"/>
                <w:color w:val="000000"/>
                <w:sz w:val="21"/>
                <w:szCs w:val="21"/>
                <w:lang w:val="en-US" w:eastAsia="zh-CN"/>
              </w:rPr>
              <w:t>≥</w:t>
            </w:r>
            <w:r>
              <w:rPr>
                <w:rFonts w:hint="eastAsia" w:ascii="宋体" w:hAnsi="宋体" w:cs="宋体"/>
                <w:color w:val="000000"/>
                <w:sz w:val="21"/>
                <w:szCs w:val="21"/>
                <w:lang w:val="en-US" w:eastAsia="zh-CN"/>
              </w:rPr>
              <w:t>16</w:t>
            </w:r>
            <w:r>
              <w:rPr>
                <w:rFonts w:hint="eastAsia" w:ascii="宋体" w:hAnsi="宋体" w:eastAsia="宋体" w:cs="宋体"/>
                <w:color w:val="000000"/>
                <w:sz w:val="21"/>
                <w:szCs w:val="21"/>
                <w:lang w:val="en-US" w:eastAsia="zh-CN"/>
              </w:rPr>
              <w:t>00万像素的照片，支持远程巡课等应用，为保证摄像头稳定性，不接受外接摄像头。拍摄范围可以涵盖整机距离摄像头垂直法线左右水平距离各大于等于4米，左右最边缘深度大于等于2.3米范围内，并且可以AI识别人像。</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color w:val="auto"/>
              </w:rPr>
              <w:t>★</w:t>
            </w:r>
            <w:r>
              <w:rPr>
                <w:rFonts w:hint="eastAsia" w:ascii="宋体" w:hAnsi="宋体" w:eastAsia="宋体" w:cs="宋体"/>
                <w:color w:val="000000"/>
                <w:sz w:val="21"/>
                <w:szCs w:val="21"/>
                <w:lang w:val="en-US" w:eastAsia="zh-CN"/>
              </w:rPr>
              <w:t>支持输出摄像头视场角≥135度且水平视场角≥120度画面。</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在Windows系统下可实现WiFi无线上网连接、AP无线热点发射、蓝牙连接功能。</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整机内置2.2声道扬声器，位于设备上边框，顶置朝前发声，前朝向10W高音扬声器2个，上朝向20W中低音扬声器2个，额定总功率</w:t>
            </w:r>
            <w:r>
              <w:rPr>
                <w:rFonts w:hint="default" w:ascii="Arial" w:hAnsi="Arial" w:eastAsia="宋体" w:cs="Arial"/>
                <w:color w:val="000000"/>
                <w:sz w:val="21"/>
                <w:szCs w:val="21"/>
                <w:lang w:val="en-US" w:eastAsia="zh-CN"/>
              </w:rPr>
              <w:t>≥</w:t>
            </w:r>
            <w:r>
              <w:rPr>
                <w:rFonts w:hint="eastAsia" w:ascii="宋体" w:hAnsi="宋体" w:eastAsia="宋体" w:cs="宋体"/>
                <w:color w:val="000000"/>
                <w:sz w:val="21"/>
                <w:szCs w:val="21"/>
                <w:lang w:val="en-US" w:eastAsia="zh-CN"/>
              </w:rPr>
              <w:t>60W。</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整机内置非独立外扩展的4阵列麦克风，可用于对教室环境音频进行采集，拾音距离≥12m。。</w:t>
            </w:r>
          </w:p>
          <w:p>
            <w:pPr>
              <w:pStyle w:val="174"/>
              <w:keepNext w:val="0"/>
              <w:keepLines w:val="0"/>
              <w:pageBreakBefore w:val="0"/>
              <w:widowControl w:val="0"/>
              <w:numPr>
                <w:ilvl w:val="0"/>
                <w:numId w:val="9"/>
              </w:numPr>
              <w:kinsoku/>
              <w:wordWrap/>
              <w:overflowPunct/>
              <w:topLinePunct w:val="0"/>
              <w:autoSpaceDE/>
              <w:autoSpaceDN/>
              <w:bidi w:val="0"/>
              <w:adjustRightInd/>
              <w:snapToGrid/>
              <w:spacing w:line="288" w:lineRule="auto"/>
              <w:ind w:left="635" w:leftChars="0" w:hanging="425"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整机可一键进行硬件自检，包括对系统硬盘、系统内存、触摸框、PC模块、光感系统等模块进行检测，并针对不同模块给出问题原因提示，支持直接扫描系统提供的二维码进行在线客服问题保修。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ind w:leftChars="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color w:val="000000"/>
                <w:sz w:val="21"/>
                <w:szCs w:val="21"/>
                <w:lang w:val="en-US" w:eastAsia="zh-CN"/>
              </w:rPr>
              <w:t>采用红外触控技术，支持Windows系统及Android系统中进行</w:t>
            </w:r>
            <w:r>
              <w:rPr>
                <w:rFonts w:hint="default" w:ascii="Arial" w:hAnsi="Arial" w:eastAsia="宋体" w:cs="Arial"/>
                <w:color w:val="000000"/>
                <w:sz w:val="21"/>
                <w:szCs w:val="21"/>
                <w:lang w:val="en-US" w:eastAsia="zh-CN"/>
              </w:rPr>
              <w:t>≥</w:t>
            </w:r>
            <w:r>
              <w:rPr>
                <w:rFonts w:hint="eastAsia" w:ascii="宋体" w:hAnsi="宋体" w:eastAsia="宋体" w:cs="宋体"/>
                <w:color w:val="000000"/>
                <w:sz w:val="21"/>
                <w:szCs w:val="21"/>
                <w:lang w:val="en-US" w:eastAsia="zh-CN"/>
              </w:rPr>
              <w:t>10</w:t>
            </w:r>
            <w:r>
              <w:rPr>
                <w:rFonts w:hint="eastAsia" w:ascii="宋体" w:hAnsi="宋体" w:cs="宋体"/>
                <w:color w:val="000000"/>
                <w:sz w:val="21"/>
                <w:szCs w:val="21"/>
                <w:lang w:val="en-US" w:eastAsia="zh-CN"/>
              </w:rPr>
              <w:t>点触</w:t>
            </w:r>
            <w:r>
              <w:rPr>
                <w:rFonts w:hint="eastAsia" w:ascii="宋体" w:hAnsi="宋体" w:eastAsia="宋体" w:cs="宋体"/>
                <w:color w:val="000000"/>
                <w:sz w:val="21"/>
                <w:szCs w:val="21"/>
                <w:lang w:val="en-US" w:eastAsia="zh-CN"/>
              </w:rPr>
              <w:t>。</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sz w:val="21"/>
                <w:szCs w:val="21"/>
              </w:rPr>
              <w:t>白板软件</w:t>
            </w:r>
          </w:p>
        </w:tc>
        <w:tc>
          <w:tcPr>
            <w:tcW w:w="3136" w:type="pct"/>
            <w:shd w:val="clear" w:color="D9E1F4" w:fill="auto"/>
            <w:noWrap/>
            <w:vAlign w:val="center"/>
          </w:tcPr>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rPr>
              <w:t>备授课一体化，具有备课模式及授课模式，且操作界面根据备课和授课使用场景不同而区别设计。</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rPr>
              <w:t>支持个人账号注册登录使用，也可通过USB key进行身份快速识别登录</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还可以通过微信绑定账号后扫码，形成一体的信息化教学账号体系；根据教师账号信息将教师云空间匹配至对应学校、学科校本资源。</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cs="宋体"/>
                <w:b w:val="0"/>
                <w:bCs/>
                <w:sz w:val="21"/>
                <w:szCs w:val="21"/>
                <w:lang w:val="en-US" w:eastAsia="zh-CN"/>
              </w:rPr>
              <w:t>支持</w:t>
            </w:r>
            <w:r>
              <w:rPr>
                <w:rFonts w:hint="eastAsia" w:ascii="宋体" w:hAnsi="宋体" w:eastAsia="宋体" w:cs="宋体"/>
                <w:b w:val="0"/>
                <w:bCs/>
                <w:sz w:val="21"/>
                <w:szCs w:val="21"/>
                <w:lang w:val="en-US" w:eastAsia="zh-CN"/>
              </w:rPr>
              <w:t>白板软件手机移动版，用户随时随地查看课件。</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cs="宋体"/>
                <w:b w:val="0"/>
                <w:bCs/>
                <w:sz w:val="21"/>
                <w:szCs w:val="21"/>
                <w:lang w:val="en-US" w:eastAsia="zh-CN"/>
              </w:rPr>
              <w:t>具有</w:t>
            </w:r>
            <w:r>
              <w:rPr>
                <w:rFonts w:hint="eastAsia" w:ascii="宋体" w:hAnsi="宋体" w:eastAsia="宋体" w:cs="宋体"/>
                <w:b w:val="0"/>
                <w:bCs/>
                <w:sz w:val="21"/>
                <w:szCs w:val="21"/>
                <w:lang w:val="en-US" w:eastAsia="zh-CN"/>
              </w:rPr>
              <w:t>在线云课堂功能，可实现</w:t>
            </w:r>
            <w:r>
              <w:rPr>
                <w:rFonts w:hint="eastAsia" w:ascii="宋体" w:hAnsi="宋体" w:eastAsia="宋体" w:cs="宋体"/>
                <w:b w:val="0"/>
                <w:bCs/>
                <w:sz w:val="21"/>
                <w:szCs w:val="21"/>
                <w:lang w:val="en-US" w:eastAsia="zh-TW"/>
              </w:rPr>
              <w:t>语音直播、课件同步、互动工具等远程教学功能</w:t>
            </w:r>
            <w:r>
              <w:rPr>
                <w:rFonts w:hint="eastAsia" w:ascii="宋体" w:hAnsi="宋体" w:eastAsia="宋体" w:cs="宋体"/>
                <w:b w:val="0"/>
                <w:bCs/>
                <w:sz w:val="21"/>
                <w:szCs w:val="21"/>
                <w:lang w:val="en-US" w:eastAsia="zh-CN"/>
              </w:rPr>
              <w:t>。</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云课堂可以通过生成二维码海报的方式发送给学生用于远程在线教学。</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rPr>
              <w:t>支持分享至学校校本资源库，学段学科根据教师个人信息自动匹配，分享后课件全校教师可见，并可直接下载使用。校本资源库支持按学科、学段进行快速查找，同时支持关键词精准检索。</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为老师提供可扩展，安全可靠的云存储空间，根据教师使用时长与教学资料制作频率提供可扩展升级至</w:t>
            </w:r>
            <w:r>
              <w:rPr>
                <w:rFonts w:hint="default" w:ascii="Arial" w:hAnsi="Arial" w:eastAsia="宋体" w:cs="Arial"/>
                <w:b w:val="0"/>
                <w:bCs/>
                <w:sz w:val="21"/>
                <w:szCs w:val="21"/>
                <w:lang w:val="en-US" w:eastAsia="zh-CN"/>
              </w:rPr>
              <w:t>≥</w:t>
            </w:r>
            <w:r>
              <w:rPr>
                <w:rFonts w:hint="eastAsia" w:ascii="宋体" w:hAnsi="宋体" w:eastAsia="宋体" w:cs="宋体"/>
                <w:b w:val="0"/>
                <w:bCs/>
                <w:sz w:val="21"/>
                <w:szCs w:val="21"/>
                <w:lang w:val="en-US" w:eastAsia="zh-CN"/>
              </w:rPr>
              <w:t>200G的个人云空间。</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lang w:val="zh-TW" w:eastAsia="zh-TW"/>
              </w:rPr>
              <w:t>互动教学课件支持开放式云分享：分享者可将互动课件、课件组以公开或加密的</w:t>
            </w:r>
            <w:r>
              <w:rPr>
                <w:rFonts w:hint="eastAsia" w:ascii="宋体" w:hAnsi="宋体" w:eastAsia="宋体" w:cs="宋体"/>
                <w:b w:val="0"/>
                <w:bCs/>
                <w:sz w:val="21"/>
                <w:szCs w:val="21"/>
              </w:rPr>
              <w:t>web</w:t>
            </w:r>
            <w:r>
              <w:rPr>
                <w:rFonts w:hint="eastAsia" w:ascii="宋体" w:hAnsi="宋体" w:eastAsia="宋体" w:cs="宋体"/>
                <w:b w:val="0"/>
                <w:bCs/>
                <w:sz w:val="21"/>
                <w:szCs w:val="21"/>
                <w:lang w:val="zh-TW" w:eastAsia="zh-TW"/>
              </w:rPr>
              <w:t>链接和二维码形式进行分享，分享链接可设置访问有效期。</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rPr>
              <w:t>备授课平台对接教学数据管理平台，可将教学平台的教案关联至教师课件，支持课件同时关联多份教案，关联后教师可在备课界面调用查看教案</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 xml:space="preserve">     </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rPr>
              <w:t>课堂互动游戏支持云储存，编辑完成的活动可一键存储至教师云空间，在不同课件中直接调用。</w:t>
            </w:r>
          </w:p>
          <w:p>
            <w:pPr>
              <w:pStyle w:val="174"/>
              <w:numPr>
                <w:ilvl w:val="0"/>
                <w:numId w:val="10"/>
              </w:numPr>
              <w:spacing w:line="240" w:lineRule="auto"/>
              <w:ind w:left="425" w:leftChars="0" w:hanging="425" w:firstLineChars="0"/>
              <w:rPr>
                <w:rFonts w:hint="eastAsia" w:ascii="宋体" w:hAnsi="宋体" w:eastAsia="宋体" w:cs="宋体"/>
                <w:b w:val="0"/>
                <w:bCs/>
                <w:sz w:val="21"/>
                <w:szCs w:val="21"/>
                <w:lang w:val="zh-TW" w:eastAsia="zh-TW"/>
              </w:rPr>
            </w:pPr>
            <w:r>
              <w:rPr>
                <w:rFonts w:hint="eastAsia" w:ascii="宋体" w:hAnsi="宋体" w:eastAsia="宋体" w:cs="宋体"/>
                <w:b w:val="0"/>
                <w:bCs/>
                <w:sz w:val="21"/>
                <w:szCs w:val="21"/>
                <w:lang w:val="en-US" w:eastAsia="zh-CN"/>
              </w:rPr>
              <w:t>提供柱状图、扇形图、折线图等互动图表，每类图表预置</w:t>
            </w:r>
            <w:r>
              <w:rPr>
                <w:rFonts w:hint="default" w:ascii="Arial" w:hAnsi="Arial" w:eastAsia="宋体" w:cs="Arial"/>
                <w:b w:val="0"/>
                <w:bCs/>
                <w:sz w:val="21"/>
                <w:szCs w:val="21"/>
                <w:lang w:val="en-US" w:eastAsia="zh-CN"/>
              </w:rPr>
              <w:t>≥</w:t>
            </w:r>
            <w:r>
              <w:rPr>
                <w:rFonts w:hint="eastAsia" w:ascii="宋体" w:hAnsi="宋体" w:eastAsia="宋体" w:cs="宋体"/>
                <w:b w:val="0"/>
                <w:bCs/>
                <w:sz w:val="21"/>
                <w:szCs w:val="21"/>
                <w:lang w:val="en-US" w:eastAsia="zh-CN"/>
              </w:rPr>
              <w:t>5种样式，支持图表文字、背景、透明度设置；柱状图、折线图可一键转置互换坐标轴类别；图表支持三维模式旋转展示，生动形象。</w:t>
            </w:r>
          </w:p>
          <w:p>
            <w:pPr>
              <w:pStyle w:val="174"/>
              <w:numPr>
                <w:ilvl w:val="0"/>
                <w:numId w:val="10"/>
              </w:numPr>
              <w:spacing w:line="240" w:lineRule="auto"/>
              <w:ind w:left="425" w:leftChars="0" w:hanging="425" w:firstLineChars="0"/>
              <w:rPr>
                <w:rFonts w:hint="eastAsia" w:ascii="宋体" w:hAnsi="宋体" w:eastAsia="宋体" w:cs="宋体"/>
                <w:b w:val="0"/>
                <w:bCs/>
                <w:sz w:val="21"/>
                <w:szCs w:val="21"/>
                <w:lang w:val="zh-TW" w:eastAsia="zh-TW"/>
              </w:rPr>
            </w:pPr>
            <w:r>
              <w:rPr>
                <w:rFonts w:hint="eastAsia" w:ascii="宋体" w:hAnsi="宋体" w:eastAsia="宋体" w:cs="宋体"/>
                <w:b w:val="0"/>
                <w:bCs/>
                <w:sz w:val="21"/>
                <w:szCs w:val="21"/>
                <w:lang w:val="zh-TW" w:eastAsia="zh-TW"/>
              </w:rPr>
              <w:t>提供多种翻页按键布局，翻页按键可分布于屏幕单侧或左右两侧，支持上下翻页、课件页面预览及页面非线性跳转。</w:t>
            </w:r>
          </w:p>
          <w:p>
            <w:pPr>
              <w:pStyle w:val="174"/>
              <w:numPr>
                <w:ilvl w:val="0"/>
                <w:numId w:val="10"/>
              </w:numPr>
              <w:spacing w:line="240" w:lineRule="auto"/>
              <w:ind w:left="425" w:leftChars="0" w:hanging="425" w:firstLineChars="0"/>
              <w:rPr>
                <w:rFonts w:hint="eastAsia" w:ascii="宋体" w:hAnsi="宋体" w:eastAsia="宋体" w:cs="宋体"/>
                <w:b w:val="0"/>
                <w:bCs/>
                <w:sz w:val="21"/>
                <w:szCs w:val="21"/>
                <w:lang w:val="zh-TW" w:eastAsia="zh-TW"/>
              </w:rPr>
            </w:pPr>
            <w:r>
              <w:rPr>
                <w:rFonts w:hint="eastAsia" w:ascii="宋体" w:hAnsi="宋体" w:eastAsia="宋体" w:cs="宋体"/>
                <w:b w:val="0"/>
                <w:bCs/>
                <w:sz w:val="21"/>
                <w:szCs w:val="21"/>
                <w:lang w:val="zh-TW" w:eastAsia="zh-TW"/>
              </w:rPr>
              <w:t>支持课件内所有的元素对象创建超链接，可链接到对象所在课件的相关页面、网页、文档等。</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lang w:val="en-US" w:eastAsia="zh-TW"/>
              </w:rPr>
              <w:t>可在授课界面中一键生成评课和课件分享二维码（不接受临时插入二维码），教师实时评课与课件分享，并支持自</w:t>
            </w:r>
            <w:r>
              <w:rPr>
                <w:rFonts w:hint="eastAsia" w:ascii="宋体" w:hAnsi="宋体" w:eastAsia="宋体" w:cs="宋体"/>
                <w:b w:val="0"/>
                <w:bCs/>
                <w:sz w:val="21"/>
                <w:szCs w:val="21"/>
                <w:lang w:val="en-US"/>
              </w:rPr>
              <w:t>定义设置学校专属评课表</w:t>
            </w:r>
            <w:r>
              <w:rPr>
                <w:rFonts w:hint="eastAsia" w:ascii="宋体" w:hAnsi="宋体" w:cs="宋体"/>
                <w:b w:val="0"/>
                <w:bCs/>
                <w:sz w:val="21"/>
                <w:szCs w:val="21"/>
                <w:lang w:val="en-US" w:eastAsia="zh-CN"/>
              </w:rPr>
              <w:t>。</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lang w:val="zh-TW" w:eastAsia="zh-TW"/>
              </w:rPr>
              <w:t>提供直线、箭头、正方形、圆角四边形、平行四边形、圆形、等腰三角形、直角三角形、菱形、梯形、五边形等基本几何图形以及对话框、五角星、大括号、旗子等特殊图形，特殊图形插入后支持顶点位置编辑；图形总数量</w:t>
            </w:r>
            <w:r>
              <w:rPr>
                <w:rFonts w:hint="default" w:ascii="Arial" w:hAnsi="Arial" w:eastAsia="宋体" w:cs="Arial"/>
                <w:b w:val="0"/>
                <w:bCs/>
                <w:sz w:val="21"/>
                <w:szCs w:val="21"/>
                <w:lang w:val="zh-TW" w:eastAsia="zh-TW"/>
              </w:rPr>
              <w:t>≥</w:t>
            </w:r>
            <w:r>
              <w:rPr>
                <w:rFonts w:hint="eastAsia" w:ascii="宋体" w:hAnsi="宋体" w:eastAsia="宋体" w:cs="宋体"/>
                <w:b w:val="0"/>
                <w:bCs/>
                <w:sz w:val="21"/>
                <w:szCs w:val="21"/>
              </w:rPr>
              <w:t>40</w:t>
            </w:r>
            <w:r>
              <w:rPr>
                <w:rFonts w:hint="eastAsia" w:ascii="宋体" w:hAnsi="宋体" w:eastAsia="宋体" w:cs="宋体"/>
                <w:b w:val="0"/>
                <w:bCs/>
                <w:sz w:val="21"/>
                <w:szCs w:val="21"/>
                <w:lang w:val="zh-TW" w:eastAsia="zh-TW"/>
              </w:rPr>
              <w:t>种，可直接插入课件供教师使用。</w:t>
            </w:r>
          </w:p>
          <w:p>
            <w:pPr>
              <w:pStyle w:val="174"/>
              <w:numPr>
                <w:ilvl w:val="0"/>
                <w:numId w:val="10"/>
              </w:numPr>
              <w:spacing w:line="240" w:lineRule="auto"/>
              <w:ind w:left="425" w:leftChars="0" w:hanging="425" w:firstLineChars="0"/>
              <w:rPr>
                <w:rFonts w:hint="eastAsia" w:ascii="宋体" w:hAnsi="宋体" w:eastAsia="宋体" w:cs="宋体"/>
                <w:b w:val="0"/>
                <w:bCs/>
                <w:sz w:val="21"/>
                <w:szCs w:val="21"/>
                <w:lang w:val="zh-CN"/>
              </w:rPr>
            </w:pPr>
            <w:r>
              <w:rPr>
                <w:rFonts w:hint="eastAsia" w:ascii="宋体" w:hAnsi="宋体" w:eastAsia="宋体" w:cs="宋体"/>
                <w:b w:val="0"/>
                <w:bCs/>
                <w:sz w:val="21"/>
                <w:szCs w:val="21"/>
                <w:lang w:val="zh-CN"/>
              </w:rPr>
              <w:t>AI智能纠错：软件内置的AI智能语义分析模块，可对输入的英文文本的拼写、句型、语法进行错误检查，并支持一键纠错。</w:t>
            </w:r>
          </w:p>
          <w:p>
            <w:pPr>
              <w:pStyle w:val="174"/>
              <w:numPr>
                <w:ilvl w:val="0"/>
                <w:numId w:val="10"/>
              </w:numPr>
              <w:spacing w:line="240" w:lineRule="auto"/>
              <w:ind w:left="425" w:leftChars="0" w:hanging="425" w:firstLineChars="0"/>
              <w:rPr>
                <w:rFonts w:hint="eastAsia" w:ascii="宋体" w:hAnsi="宋体" w:eastAsia="宋体" w:cs="宋体"/>
                <w:b w:val="0"/>
                <w:bCs/>
                <w:sz w:val="21"/>
                <w:szCs w:val="21"/>
                <w:lang w:val="zh-CN"/>
              </w:rPr>
            </w:pPr>
            <w:r>
              <w:rPr>
                <w:rFonts w:hint="eastAsia" w:ascii="宋体" w:hAnsi="宋体" w:eastAsia="宋体" w:cs="宋体"/>
                <w:b w:val="0"/>
                <w:bCs/>
                <w:sz w:val="21"/>
                <w:szCs w:val="21"/>
                <w:lang w:val="zh-TW" w:eastAsia="zh-TW"/>
              </w:rPr>
              <w:t>配置英语学科听写工具，覆盖</w:t>
            </w:r>
            <w:r>
              <w:rPr>
                <w:rFonts w:hint="default" w:ascii="Arial" w:hAnsi="Arial" w:eastAsia="宋体" w:cs="Arial"/>
                <w:b w:val="0"/>
                <w:bCs/>
                <w:sz w:val="21"/>
                <w:szCs w:val="21"/>
                <w:lang w:val="zh-TW" w:eastAsia="zh-TW"/>
              </w:rPr>
              <w:t>≥</w:t>
            </w:r>
            <w:r>
              <w:rPr>
                <w:rFonts w:hint="eastAsia" w:ascii="宋体" w:hAnsi="宋体" w:eastAsia="宋体" w:cs="宋体"/>
                <w:b w:val="0"/>
                <w:bCs/>
                <w:sz w:val="21"/>
                <w:szCs w:val="21"/>
                <w:lang w:val="en-US" w:eastAsia="zh-CN"/>
              </w:rPr>
              <w:t>6</w:t>
            </w:r>
            <w:r>
              <w:rPr>
                <w:rFonts w:hint="eastAsia" w:ascii="宋体" w:hAnsi="宋体" w:eastAsia="宋体" w:cs="宋体"/>
                <w:b w:val="0"/>
                <w:bCs/>
                <w:sz w:val="21"/>
                <w:szCs w:val="21"/>
                <w:lang w:val="zh-CN"/>
              </w:rPr>
              <w:t>000</w:t>
            </w:r>
            <w:r>
              <w:rPr>
                <w:rFonts w:hint="eastAsia" w:ascii="宋体" w:hAnsi="宋体" w:eastAsia="宋体" w:cs="宋体"/>
                <w:b w:val="0"/>
                <w:bCs/>
                <w:sz w:val="21"/>
                <w:szCs w:val="21"/>
                <w:lang w:val="zh-TW" w:eastAsia="zh-TW"/>
              </w:rPr>
              <w:t>个英语单词，支持自定义选择单词。自定义听写频率和次数，一键生成听写卡；授课模式支持一键开启听写朗读。</w:t>
            </w:r>
          </w:p>
          <w:p>
            <w:pPr>
              <w:pStyle w:val="174"/>
              <w:numPr>
                <w:ilvl w:val="0"/>
                <w:numId w:val="10"/>
              </w:numPr>
              <w:spacing w:line="240" w:lineRule="auto"/>
              <w:ind w:left="425" w:leftChars="0" w:hanging="425" w:firstLineChars="0"/>
              <w:rPr>
                <w:rFonts w:hint="eastAsia" w:ascii="宋体" w:hAnsi="宋体" w:eastAsia="宋体" w:cs="宋体"/>
                <w:b w:val="0"/>
                <w:bCs/>
                <w:sz w:val="21"/>
                <w:szCs w:val="21"/>
                <w:lang w:val="zh-CN"/>
              </w:rPr>
            </w:pPr>
            <w:r>
              <w:rPr>
                <w:rFonts w:hint="eastAsia" w:ascii="宋体" w:hAnsi="宋体" w:eastAsia="宋体" w:cs="宋体"/>
                <w:b w:val="0"/>
                <w:bCs/>
                <w:sz w:val="21"/>
                <w:szCs w:val="21"/>
                <w:lang w:val="en-US" w:eastAsia="zh-CN"/>
              </w:rPr>
              <w:t>AI智能纠错：软件内置的AI智能语义分析模块，可对输入的英文文本的拼写、句型、语法进行错误检查，并支持一键纠错。</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lang w:val="zh-CN"/>
              </w:rPr>
              <w:t>提供3D立体星球模型，包括地</w:t>
            </w:r>
            <w:r>
              <w:rPr>
                <w:rFonts w:hint="eastAsia" w:ascii="宋体" w:hAnsi="宋体" w:eastAsia="宋体" w:cs="宋体"/>
                <w:b w:val="0"/>
                <w:bCs/>
                <w:sz w:val="21"/>
                <w:szCs w:val="21"/>
              </w:rPr>
              <w:t>球、太阳、火星、水星、木星、金星、土星、海王星、天王星，支持360°自由旋转、缩放展示，以及任意星球标记功能，在星球模型中任意位置均可设置文字标识，老师直观授课，并且地球模型还具备教学模型切换，</w:t>
            </w:r>
            <w:r>
              <w:rPr>
                <w:rFonts w:hint="eastAsia" w:ascii="宋体" w:hAnsi="宋体" w:eastAsia="宋体" w:cs="宋体"/>
                <w:b w:val="0"/>
                <w:bCs/>
                <w:sz w:val="21"/>
                <w:szCs w:val="21"/>
                <w:lang w:val="en-US" w:eastAsia="zh-CN"/>
              </w:rPr>
              <w:t>并提供星球百科</w:t>
            </w:r>
            <w:r>
              <w:rPr>
                <w:rFonts w:hint="eastAsia" w:ascii="宋体" w:hAnsi="宋体" w:eastAsia="宋体" w:cs="宋体"/>
                <w:b w:val="0"/>
                <w:bCs/>
                <w:sz w:val="21"/>
                <w:szCs w:val="21"/>
                <w:lang w:eastAsia="zh-CN"/>
              </w:rPr>
              <w:t>。</w:t>
            </w:r>
          </w:p>
          <w:p>
            <w:pPr>
              <w:pStyle w:val="174"/>
              <w:numPr>
                <w:ilvl w:val="0"/>
                <w:numId w:val="10"/>
              </w:numPr>
              <w:spacing w:line="240" w:lineRule="auto"/>
              <w:ind w:left="425" w:leftChars="0" w:hanging="425" w:firstLineChars="0"/>
              <w:rPr>
                <w:rFonts w:hint="eastAsia" w:ascii="宋体" w:hAnsi="宋体" w:eastAsia="宋体" w:cs="宋体"/>
                <w:b w:val="0"/>
                <w:bCs/>
                <w:sz w:val="21"/>
                <w:szCs w:val="21"/>
              </w:rPr>
            </w:pPr>
            <w:r>
              <w:rPr>
                <w:rFonts w:hint="eastAsia" w:ascii="宋体" w:hAnsi="宋体" w:eastAsia="宋体" w:cs="宋体"/>
                <w:b w:val="0"/>
                <w:bCs/>
                <w:sz w:val="21"/>
                <w:szCs w:val="21"/>
              </w:rPr>
              <w:t>提供古诗词、古文教学资源：包含原文、翻译、背景介绍、作者介绍、原文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w:t>
            </w:r>
            <w:r>
              <w:rPr>
                <w:rFonts w:hint="eastAsia" w:ascii="宋体" w:hAnsi="宋体" w:eastAsia="宋体" w:cs="宋体"/>
                <w:b w:val="0"/>
                <w:bCs/>
                <w:sz w:val="21"/>
                <w:szCs w:val="21"/>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ind w:leftChars="0"/>
              <w:jc w:val="left"/>
              <w:textAlignment w:val="center"/>
              <w:rPr>
                <w:rFonts w:hint="eastAsia" w:ascii="宋体" w:hAnsi="宋体" w:eastAsia="宋体" w:cs="Arial"/>
                <w:color w:val="000000"/>
                <w:sz w:val="21"/>
                <w:szCs w:val="21"/>
                <w:lang w:val="en-US" w:eastAsia="zh-CN"/>
              </w:rPr>
            </w:pPr>
            <w:r>
              <w:rPr>
                <w:rFonts w:hint="eastAsia" w:ascii="宋体" w:hAnsi="宋体" w:eastAsia="宋体" w:cs="宋体"/>
                <w:b w:val="0"/>
                <w:bCs/>
                <w:sz w:val="21"/>
                <w:szCs w:val="21"/>
                <w:lang w:val="zh-TW" w:eastAsia="zh-TW"/>
              </w:rPr>
              <w:t>多学科课件库：提供涵盖语文、数学、英语</w:t>
            </w:r>
            <w:r>
              <w:rPr>
                <w:rFonts w:hint="eastAsia" w:ascii="宋体" w:hAnsi="宋体" w:eastAsia="宋体" w:cs="宋体"/>
                <w:b w:val="0"/>
                <w:bCs/>
                <w:sz w:val="21"/>
                <w:szCs w:val="21"/>
                <w:lang w:val="en-US" w:eastAsia="zh-CN"/>
              </w:rPr>
              <w:t>等学科</w:t>
            </w:r>
            <w:r>
              <w:rPr>
                <w:rFonts w:hint="eastAsia" w:ascii="宋体" w:hAnsi="宋体" w:eastAsia="宋体" w:cs="宋体"/>
                <w:b w:val="0"/>
                <w:bCs/>
                <w:sz w:val="21"/>
                <w:szCs w:val="21"/>
                <w:lang w:val="zh-TW" w:eastAsia="zh-TW"/>
              </w:rPr>
              <w:t>全部教学章节的</w:t>
            </w:r>
            <w:r>
              <w:rPr>
                <w:rFonts w:hint="default" w:ascii="Arial" w:hAnsi="Arial" w:eastAsia="宋体" w:cs="Arial"/>
                <w:b w:val="0"/>
                <w:bCs/>
                <w:sz w:val="21"/>
                <w:szCs w:val="21"/>
                <w:lang w:val="zh-TW" w:eastAsia="zh-TW"/>
              </w:rPr>
              <w:t>≥</w:t>
            </w:r>
            <w:r>
              <w:rPr>
                <w:rFonts w:hint="eastAsia" w:ascii="宋体" w:hAnsi="宋体" w:eastAsia="宋体" w:cs="宋体"/>
                <w:b w:val="0"/>
                <w:bCs/>
                <w:sz w:val="21"/>
                <w:szCs w:val="21"/>
              </w:rPr>
              <w:t>2000</w:t>
            </w:r>
            <w:r>
              <w:rPr>
                <w:rFonts w:hint="eastAsia" w:ascii="宋体" w:hAnsi="宋体" w:eastAsia="宋体" w:cs="宋体"/>
                <w:b w:val="0"/>
                <w:bCs/>
                <w:sz w:val="21"/>
                <w:szCs w:val="21"/>
                <w:lang w:val="zh-TW" w:eastAsia="zh-TW"/>
              </w:rPr>
              <w:t>份的交互式课件。课件支持直接预览并下载，预览时支持拖动课堂活动、形状、几何、文本等元素；下载时课件可同步至教师个人云课件存储空间；课件支持教师在线评分。</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2"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rPr>
              <w:t>学生行为管理软件</w:t>
            </w:r>
          </w:p>
        </w:tc>
        <w:tc>
          <w:tcPr>
            <w:tcW w:w="3136" w:type="pct"/>
            <w:shd w:val="clear" w:color="D9E1F4" w:fill="auto"/>
            <w:noWrap/>
            <w:vAlign w:val="center"/>
          </w:tcPr>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手机学生行为评价系统集成学校管理、教师管理、课堂表现评价、家校互联互通功能，所有功能同一软件平台的同一账户实现。</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支持通过数字账号、微信二维码、硬件密钥方式登录教师个人账号。</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兼容多平台系统，可在PC、Web、安卓、iOS等系统使用，且各终端数据互通，教师多场景下对学生进行管理与评价。</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移动端支持教师/家长双重身份无缝切换，软件内可直接切换账户类型。</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支持汇总查看校内的班级评价排名，可以列表形式查看班主任、班级学生数、家长数、班级代码等信息。</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提供TBL\PBL分组教学评价功能，教师可自由创建多个学生小组，支持对单个小组成员进行换组调整。同时提供快速随机分组功能，可快速将班级学生按照教师需求的组别数量进行随机分组。</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支持考勤功能，可对学生的出勤、迟到、缺勤、请假状态进行记录，并支持查看课堂考勤统计报表，可详细查看班级考勤概览数据。</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支持网页端、PC授课端查看学生成长统计报表，按饼状图形式展现学生课堂表现情况，支持查看班级或学生个人情况，并可追溯每条评价的原因、对象、分值，便于教师进行精准评价。</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系统根据学生日常行为评价情况，通过AI学生能力模型进行智能分析，为每个学生生成定制化评语，评语可支持教师二次编辑修改并推送至家长端。</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教师可通过多终端对学生、小组及班级进行行为量化评价、文字点评、图片点评。</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系统内置头像类型</w:t>
            </w:r>
            <w:r>
              <w:rPr>
                <w:rFonts w:hint="default" w:ascii="Arial" w:hAnsi="Arial" w:eastAsia="宋体" w:cs="Arial"/>
                <w:sz w:val="21"/>
                <w:szCs w:val="21"/>
              </w:rPr>
              <w:t>≥</w:t>
            </w:r>
            <w:r>
              <w:rPr>
                <w:rFonts w:hint="eastAsia" w:ascii="宋体" w:hAnsi="宋体" w:eastAsia="宋体" w:cs="宋体"/>
                <w:sz w:val="21"/>
                <w:szCs w:val="21"/>
              </w:rPr>
              <w:t>10种，支持教师自定义设置学生头像。</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支持课堂评价分数清零重置，可选择对个别学生和全班学生进行分数重置。</w:t>
            </w:r>
          </w:p>
          <w:p>
            <w:pPr>
              <w:pStyle w:val="174"/>
              <w:numPr>
                <w:ilvl w:val="0"/>
                <w:numId w:val="11"/>
              </w:numPr>
              <w:rPr>
                <w:rFonts w:hint="eastAsia" w:ascii="宋体" w:hAnsi="宋体" w:eastAsia="宋体" w:cs="宋体"/>
                <w:sz w:val="21"/>
                <w:szCs w:val="21"/>
              </w:rPr>
            </w:pPr>
            <w:r>
              <w:rPr>
                <w:rFonts w:hint="eastAsia" w:ascii="宋体" w:hAnsi="宋体" w:eastAsia="宋体" w:cs="宋体"/>
                <w:sz w:val="21"/>
                <w:szCs w:val="21"/>
              </w:rPr>
              <w:t>支持教师与其他教师及家长进行文字、语音、图片交流，且教师可设置免打扰时间段，非工作时间内消息不会发生提醒。</w:t>
            </w:r>
          </w:p>
          <w:p>
            <w:pPr>
              <w:pStyle w:val="174"/>
              <w:numPr>
                <w:ilvl w:val="0"/>
                <w:numId w:val="11"/>
              </w:numP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rPr>
              <w:t>支持教师创建打卡任务，打卡支持超过200字的文本、图片、语音、视频和外部网页链接等形式，发布后老师可以看到学生打卡情况统计表。</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4</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rPr>
              <w:t>教学数据分析管理平台</w:t>
            </w:r>
          </w:p>
        </w:tc>
        <w:tc>
          <w:tcPr>
            <w:tcW w:w="3136" w:type="pct"/>
            <w:shd w:val="clear" w:color="D9E1F4" w:fill="auto"/>
            <w:noWrap/>
            <w:vAlign w:val="center"/>
          </w:tcPr>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后台采用B/S架构设计，支持学校管理者在Windows、Linux、Android、IOS等多种不同的操作系统上通过网页浏览器登陆进行操作，可统计全校教师软件活跃数据、学生点评及课件上传等数据。</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支持管理员及教师使用网页端、移动端登录，移动端支持查看网页端数据信息，教师榜单，并定期推送数据分析报表。</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信息化数据雷达图：将信息化教学数据分五个维度进行评估，分别为课件制作、听课评课、师生互动、互动教学、家校沟通，并与全省均值对比。</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提升实力：一键分析学校信息化教学的待提升项，并将本校信息化教学数值与省最高值进行对比，学校了解自身情况和实际差距；并为管理者预测督促后可提升的指标，督促信息将通过短信触达教师，保证督促效果。</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具备教师GPS定位打卡考勤功能。学校管理员可设置考勤时间、考勤范围，还可以查看和导出考勤数据报表。教师可在移动端进行GPS考勤，到达学校范围后即激活打卡，支持入校、离校、迟到、早退等多种打卡类型。</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支持管理者按照学段-学科-年级快速创建教师的教研组织结构，方便教师信息的分类管理。</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支持修改管理员、教师的账户信息，支持管理员上传校徽，并对本校内管理者账户都可见。</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为学校提供教研全流程管理服务，包含教学计划、电子教案、听课评课、校本资源、班级氛围的流程管理和数据分析，学校统筹管理教学、教研活动进展，收集数据反馈和评价，了解全校教师的教学教研产出。</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支持管理者自定义学校的教案模板，可以设置必填项和选填项，有效规范教师教案的编写。</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支持查看不同时间段班级氛围数据的概况，数据包含家长入班率，教师对学生的新增点评数，教师参与度，表现突出的教师前三名。</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支持对不同评课维度得分进行统计，计算平均分并找出评分薄弱项，管理者针对性优化教学策略，同时支持查看全校的评课记录和得分详情，并可一键导出Excel表格。</w:t>
            </w:r>
          </w:p>
          <w:p>
            <w:pPr>
              <w:numPr>
                <w:ilvl w:val="0"/>
                <w:numId w:val="12"/>
              </w:numPr>
              <w:spacing w:line="240" w:lineRule="auto"/>
              <w:rPr>
                <w:rFonts w:hint="eastAsia" w:ascii="宋体" w:hAnsi="宋体" w:eastAsia="宋体" w:cs="宋体"/>
                <w:sz w:val="21"/>
                <w:szCs w:val="21"/>
              </w:rPr>
            </w:pPr>
            <w:r>
              <w:rPr>
                <w:rFonts w:hint="eastAsia" w:ascii="宋体" w:hAnsi="宋体" w:eastAsia="宋体" w:cs="宋体"/>
                <w:sz w:val="21"/>
                <w:szCs w:val="21"/>
              </w:rPr>
              <w:t>教师在个人空间直接编写教案，编写教案时可以关联课件，支持教师在个人空间、配套备授课工具查看课件以及教案。</w:t>
            </w:r>
          </w:p>
          <w:p>
            <w:pPr>
              <w:numPr>
                <w:ilvl w:val="0"/>
                <w:numId w:val="12"/>
              </w:numPr>
              <w:spacing w:line="240" w:lineRule="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rPr>
              <w:t>教师可以选择习题插入课件使用。支持在云空间中创建习题，包括选择题、填空题、解答题，支持批量导入习题，将习题分享至校本资源库。</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5</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摄像机</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传感器类型：</w:t>
            </w:r>
            <w:r>
              <w:rPr>
                <w:rFonts w:hint="default" w:ascii="Arial" w:hAnsi="Arial" w:eastAsia="宋体" w:cs="Arial"/>
                <w:sz w:val="21"/>
                <w:szCs w:val="21"/>
              </w:rPr>
              <w:t>≥</w:t>
            </w:r>
            <w:r>
              <w:rPr>
                <w:rFonts w:hint="eastAsia" w:ascii="宋体" w:hAnsi="宋体" w:eastAsia="宋体" w:cs="宋体"/>
                <w:sz w:val="21"/>
                <w:szCs w:val="21"/>
              </w:rPr>
              <w:t>1/3英寸CMOS；</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像素：</w:t>
            </w:r>
            <w:r>
              <w:rPr>
                <w:rFonts w:hint="default" w:ascii="Arial" w:hAnsi="Arial" w:eastAsia="宋体" w:cs="Arial"/>
                <w:sz w:val="21"/>
                <w:szCs w:val="21"/>
              </w:rPr>
              <w:t>≥</w:t>
            </w:r>
            <w:r>
              <w:rPr>
                <w:rFonts w:hint="eastAsia" w:ascii="宋体" w:hAnsi="宋体" w:eastAsia="宋体" w:cs="宋体"/>
                <w:sz w:val="21"/>
                <w:szCs w:val="21"/>
              </w:rPr>
              <w:t>400万；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分辨率：</w:t>
            </w:r>
            <w:r>
              <w:rPr>
                <w:rFonts w:hint="default" w:ascii="Arial" w:hAnsi="Arial" w:eastAsia="宋体" w:cs="Arial"/>
                <w:sz w:val="21"/>
                <w:szCs w:val="21"/>
              </w:rPr>
              <w:t>≥</w:t>
            </w:r>
            <w:r>
              <w:rPr>
                <w:rFonts w:hint="eastAsia" w:ascii="宋体" w:hAnsi="宋体" w:eastAsia="宋体" w:cs="宋体"/>
                <w:sz w:val="21"/>
                <w:szCs w:val="21"/>
              </w:rPr>
              <w:t>2688×1520；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最低照度：</w:t>
            </w:r>
            <w:r>
              <w:rPr>
                <w:rFonts w:hint="default" w:ascii="Arial" w:hAnsi="Arial" w:eastAsia="宋体" w:cs="Arial"/>
                <w:sz w:val="21"/>
                <w:szCs w:val="21"/>
              </w:rPr>
              <w:t>≤</w:t>
            </w:r>
            <w:r>
              <w:rPr>
                <w:rFonts w:hint="eastAsia" w:ascii="宋体" w:hAnsi="宋体" w:eastAsia="宋体" w:cs="宋体"/>
                <w:sz w:val="21"/>
                <w:szCs w:val="21"/>
              </w:rPr>
              <w:t>0.002lux（彩色模式）；0.0002lux（黑白模式）；0lux（补光灯开启）；</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最大补光距离：50m（红外）；</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补光灯：1颗（红外灯）；</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镜头类型：定焦；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镜头焦距：6mm；</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镜头光圈：F1.6；</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视场角：水平：</w:t>
            </w:r>
            <w:r>
              <w:rPr>
                <w:rFonts w:hint="default" w:ascii="Arial" w:hAnsi="Arial" w:eastAsia="宋体" w:cs="Arial"/>
                <w:sz w:val="21"/>
                <w:szCs w:val="21"/>
              </w:rPr>
              <w:t>≥</w:t>
            </w:r>
            <w:r>
              <w:rPr>
                <w:rFonts w:hint="eastAsia" w:ascii="宋体" w:hAnsi="宋体" w:eastAsia="宋体" w:cs="宋体"/>
                <w:sz w:val="21"/>
                <w:szCs w:val="21"/>
              </w:rPr>
              <w:t>52°；垂直：</w:t>
            </w:r>
            <w:r>
              <w:rPr>
                <w:rFonts w:hint="default" w:ascii="Arial" w:hAnsi="Arial" w:eastAsia="宋体" w:cs="Arial"/>
                <w:sz w:val="21"/>
                <w:szCs w:val="21"/>
              </w:rPr>
              <w:t>≥</w:t>
            </w:r>
            <w:r>
              <w:rPr>
                <w:rFonts w:hint="eastAsia" w:ascii="宋体" w:hAnsi="宋体" w:eastAsia="宋体" w:cs="宋体"/>
                <w:sz w:val="21"/>
                <w:szCs w:val="21"/>
              </w:rPr>
              <w:t>28°；对角：</w:t>
            </w:r>
            <w:r>
              <w:rPr>
                <w:rFonts w:hint="default" w:ascii="Arial" w:hAnsi="Arial" w:eastAsia="宋体" w:cs="Arial"/>
                <w:sz w:val="21"/>
                <w:szCs w:val="21"/>
              </w:rPr>
              <w:t>≥</w:t>
            </w:r>
            <w:r>
              <w:rPr>
                <w:rFonts w:hint="eastAsia" w:ascii="宋体" w:hAnsi="宋体" w:eastAsia="宋体" w:cs="宋体"/>
                <w:sz w:val="21"/>
                <w:szCs w:val="21"/>
              </w:rPr>
              <w:t>61°；</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通用行为分析：绊线入侵；区域入侵；</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智能编码：H.264：支持H.265：支持；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宽动态：120dB；</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走廊模式：90°/270°（在2688×1520分辨率及以下支持）；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报警事件：网络断开；IP冲突；非法访问；动态检测；视频遮挡；绊线入侵；区域入侵；电压检测；安全异常；</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预览最大用户数：20个（总带宽：48Ｍ）；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供电方式：12VDC/PoE；</w:t>
            </w:r>
          </w:p>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rPr>
              <w:t>防护等级：</w:t>
            </w:r>
            <w:r>
              <w:rPr>
                <w:rFonts w:hint="default" w:ascii="Arial" w:hAnsi="Arial" w:eastAsia="宋体" w:cs="Arial"/>
                <w:sz w:val="21"/>
                <w:szCs w:val="21"/>
              </w:rPr>
              <w:t>≥</w:t>
            </w:r>
            <w:r>
              <w:rPr>
                <w:rFonts w:hint="eastAsia" w:ascii="宋体" w:hAnsi="宋体" w:eastAsia="宋体" w:cs="宋体"/>
                <w:sz w:val="21"/>
                <w:szCs w:val="21"/>
              </w:rPr>
              <w:t>IP67</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rPr>
              <w:t>摄像机支架</w:t>
            </w:r>
          </w:p>
        </w:tc>
        <w:tc>
          <w:tcPr>
            <w:tcW w:w="3136"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安装方式：壁装；</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承重：1kg；</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旋转角度：水平：0~360°,竖直：-60°~0°；</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rPr>
              <w:t>执行标准：Q/DXJ 064-2018</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个</w:t>
            </w:r>
          </w:p>
        </w:tc>
        <w:tc>
          <w:tcPr>
            <w:tcW w:w="397"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7</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rPr>
              <w:t>PoE交换机</w:t>
            </w:r>
          </w:p>
        </w:tc>
        <w:tc>
          <w:tcPr>
            <w:tcW w:w="3136"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交换容量：</w:t>
            </w:r>
            <w:r>
              <w:rPr>
                <w:rFonts w:hint="default" w:ascii="Arial" w:hAnsi="Arial" w:eastAsia="宋体" w:cs="Arial"/>
                <w:sz w:val="21"/>
                <w:szCs w:val="21"/>
              </w:rPr>
              <w:t>≥</w:t>
            </w:r>
            <w:r>
              <w:rPr>
                <w:rFonts w:hint="eastAsia" w:ascii="宋体" w:hAnsi="宋体" w:eastAsia="宋体" w:cs="宋体"/>
                <w:sz w:val="21"/>
                <w:szCs w:val="21"/>
              </w:rPr>
              <w:t>1.2Gbps；包转发率：</w:t>
            </w:r>
            <w:r>
              <w:rPr>
                <w:rFonts w:hint="default" w:ascii="Arial" w:hAnsi="Arial" w:eastAsia="宋体" w:cs="Arial"/>
                <w:sz w:val="21"/>
                <w:szCs w:val="21"/>
              </w:rPr>
              <w:t>≥</w:t>
            </w:r>
            <w:r>
              <w:rPr>
                <w:rFonts w:hint="eastAsia" w:ascii="宋体" w:hAnsi="宋体" w:eastAsia="宋体" w:cs="宋体"/>
                <w:sz w:val="21"/>
                <w:szCs w:val="21"/>
              </w:rPr>
              <w:t>0.89Mpps；</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8个百兆PoE口，2个百兆电口，其中Port 1-8≤ 30W，整机总功率≤65W；</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支持桌面安装方式；</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雷电防护：共模 6KV，差模4KV；</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rPr>
              <w:t>支持10 Mbps协商速率下250米远距离供电；支持交换机PoE网口PoE看门狗功能；支持PoE功耗管理，POE上下电，POE超过过载值掉电。</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个</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8</w:t>
            </w:r>
          </w:p>
        </w:tc>
        <w:tc>
          <w:tcPr>
            <w:tcW w:w="563" w:type="pct"/>
            <w:shd w:val="clear" w:color="D9E1F4" w:fill="auto"/>
            <w:noWrap/>
            <w:vAlign w:val="center"/>
          </w:tcPr>
          <w:p>
            <w:pPr>
              <w:pStyle w:val="148"/>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宋体" w:hAnsi="宋体" w:eastAsia="宋体" w:cs="Arial"/>
                <w:b w:val="0"/>
                <w:bCs w:val="0"/>
                <w:color w:val="000000"/>
                <w:sz w:val="21"/>
                <w:szCs w:val="21"/>
                <w:lang w:val="en-US" w:eastAsia="zh-CN"/>
              </w:rPr>
            </w:pPr>
            <w:r>
              <w:rPr>
                <w:rFonts w:hint="eastAsia" w:ascii="宋体" w:hAnsi="宋体" w:cs="宋体"/>
                <w:sz w:val="21"/>
                <w:szCs w:val="21"/>
              </w:rPr>
              <w:t>交换机</w:t>
            </w:r>
          </w:p>
        </w:tc>
        <w:tc>
          <w:tcPr>
            <w:tcW w:w="3136"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二层非管理PoE交换机；</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交换容量：</w:t>
            </w:r>
            <w:r>
              <w:rPr>
                <w:rFonts w:hint="eastAsia" w:ascii="宋体" w:hAnsi="宋体"/>
                <w:szCs w:val="21"/>
                <w:lang w:val="en-US" w:eastAsia="zh-CN"/>
              </w:rPr>
              <w:t>≥</w:t>
            </w:r>
            <w:r>
              <w:rPr>
                <w:rFonts w:hint="eastAsia" w:ascii="宋体" w:hAnsi="宋体" w:eastAsia="宋体" w:cs="宋体"/>
                <w:sz w:val="21"/>
                <w:szCs w:val="21"/>
              </w:rPr>
              <w:t>56Gbps，包转发率：</w:t>
            </w:r>
            <w:r>
              <w:rPr>
                <w:rFonts w:hint="eastAsia" w:ascii="宋体" w:hAnsi="宋体"/>
                <w:szCs w:val="21"/>
                <w:lang w:val="en-US" w:eastAsia="zh-CN"/>
              </w:rPr>
              <w:t>≥</w:t>
            </w:r>
            <w:r>
              <w:rPr>
                <w:rFonts w:hint="eastAsia" w:ascii="宋体" w:hAnsi="宋体" w:eastAsia="宋体" w:cs="宋体"/>
                <w:sz w:val="21"/>
                <w:szCs w:val="21"/>
              </w:rPr>
              <w:t>41.664Mpps；</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24*RJ45 10M/100M/1000M(PoE) Port25-26：2*RJ45 10M/100M/1000M（上行） Port27-28：2*SFP 1000M（上行），Port3-24≤30W，总功率≤360W，Port1-2≤ 90W；</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default" w:ascii="Arial" w:hAnsi="Arial" w:eastAsia="宋体" w:cs="Arial"/>
                <w:sz w:val="21"/>
                <w:szCs w:val="21"/>
              </w:rPr>
              <w:t>≥</w:t>
            </w:r>
            <w:r>
              <w:rPr>
                <w:rFonts w:hint="eastAsia" w:ascii="宋体" w:hAnsi="宋体" w:eastAsia="宋体" w:cs="宋体"/>
                <w:sz w:val="21"/>
                <w:szCs w:val="21"/>
              </w:rPr>
              <w:t>1U高度，19英寸宽，支持桌面、机架式安装方式；</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雷电防护：共模 4KV，差模 2KV；</w:t>
            </w:r>
          </w:p>
          <w:p>
            <w:pPr>
              <w:pStyle w:val="148"/>
              <w:keepNext w:val="0"/>
              <w:keepLines w:val="0"/>
              <w:pageBreakBefore w:val="0"/>
              <w:numPr>
                <w:ilvl w:val="0"/>
                <w:numId w:val="0"/>
              </w:numPr>
              <w:kinsoku/>
              <w:wordWrap/>
              <w:overflowPunct/>
              <w:topLinePunct w:val="0"/>
              <w:autoSpaceDE/>
              <w:autoSpaceDN/>
              <w:bidi w:val="0"/>
              <w:adjustRightInd/>
              <w:snapToGrid/>
              <w:spacing w:line="288" w:lineRule="auto"/>
              <w:ind w:leftChars="0"/>
              <w:rPr>
                <w:rFonts w:hint="eastAsia" w:ascii="宋体" w:hAnsi="宋体" w:eastAsia="宋体" w:cs="Arial"/>
                <w:b w:val="0"/>
                <w:bCs w:val="0"/>
                <w:color w:val="000000"/>
                <w:sz w:val="21"/>
                <w:szCs w:val="21"/>
                <w:lang w:val="en-US" w:eastAsia="zh-CN"/>
              </w:rPr>
            </w:pPr>
            <w:r>
              <w:rPr>
                <w:rFonts w:hint="eastAsia" w:ascii="宋体" w:hAnsi="宋体" w:eastAsia="宋体" w:cs="宋体"/>
                <w:sz w:val="21"/>
                <w:szCs w:val="21"/>
              </w:rPr>
              <w:t>全千兆接入设计，大缓存，满足大码流高清接入需求；智能PoE，支持功耗管理策略，保障重点电口供电，智能检测功耗变化防宕机；支持宽功率供电，适应恶劣环境下IPC功耗波动；红口支持IEEE820.3af/at标准，同时满足60W Hi-PoE与90W IEEE802.3 bt标准；网口支持八芯供电，增强前后端的兼容性，减小线缆损耗，提升带载能力</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个</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9</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rPr>
              <w:t>管理型交换机</w:t>
            </w:r>
          </w:p>
        </w:tc>
        <w:tc>
          <w:tcPr>
            <w:tcW w:w="3136"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二层网管交换机；</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交换容量：</w:t>
            </w:r>
            <w:r>
              <w:rPr>
                <w:rFonts w:hint="eastAsia" w:ascii="宋体" w:hAnsi="宋体"/>
                <w:szCs w:val="21"/>
                <w:lang w:val="en-US" w:eastAsia="zh-CN"/>
              </w:rPr>
              <w:t>≥</w:t>
            </w:r>
            <w:r>
              <w:rPr>
                <w:rFonts w:hint="eastAsia" w:asciiTheme="minorHAnsi" w:hAnsiTheme="minorHAnsi" w:eastAsiaTheme="minorEastAsia" w:cstheme="minorBidi"/>
                <w:kern w:val="2"/>
                <w:sz w:val="21"/>
                <w:szCs w:val="24"/>
                <w:lang w:val="en-US" w:eastAsia="zh-CN" w:bidi="ar-SA"/>
              </w:rPr>
              <w:t>256Gbps，包转发率：</w:t>
            </w:r>
            <w:r>
              <w:rPr>
                <w:rFonts w:hint="eastAsia" w:ascii="宋体" w:hAnsi="宋体"/>
                <w:szCs w:val="21"/>
                <w:lang w:val="en-US" w:eastAsia="zh-CN"/>
              </w:rPr>
              <w:t>≥</w:t>
            </w:r>
            <w:r>
              <w:rPr>
                <w:rFonts w:hint="eastAsia" w:asciiTheme="minorHAnsi" w:hAnsiTheme="minorHAnsi" w:eastAsiaTheme="minorEastAsia" w:cstheme="minorBidi"/>
                <w:kern w:val="2"/>
                <w:sz w:val="21"/>
                <w:szCs w:val="24"/>
                <w:lang w:val="en-US" w:eastAsia="zh-CN" w:bidi="ar-SA"/>
              </w:rPr>
              <w:t>96 Mpps；</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24个10/100/1000Base-T电口+4个千兆SFP光口；</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1U高度，19英寸宽，支持桌面安装方式；</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工作温度：-5℃～45℃；</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支持802.1Q VLAN、端口VLAN、VLAN虚接口；</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支持端口链路聚合；</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支持IRF2智能弹性架构；</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支持STP/RSTP/MSTP环网协议；</w:t>
            </w:r>
          </w:p>
          <w:p>
            <w:pPr>
              <w:keepNext w:val="0"/>
              <w:keepLines w:val="0"/>
              <w:pageBreakBefore w:val="0"/>
              <w:kinsoku/>
              <w:wordWrap/>
              <w:overflowPunct/>
              <w:topLinePunct w:val="0"/>
              <w:autoSpaceDE/>
              <w:autoSpaceDN/>
              <w:bidi w:val="0"/>
              <w:adjustRightInd/>
              <w:snapToGrid/>
              <w:spacing w:line="288" w:lineRule="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支持QoS、ACL、端口和流镜像；</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Theme="minorHAnsi" w:hAnsiTheme="minorHAnsi" w:eastAsiaTheme="minorEastAsia" w:cstheme="minorBidi"/>
                <w:kern w:val="2"/>
                <w:sz w:val="21"/>
                <w:szCs w:val="24"/>
                <w:lang w:val="en-US" w:eastAsia="zh-CN" w:bidi="ar-SA"/>
              </w:rPr>
              <w:t>支持极简Web网管、命令行、云管理等多种管理方式</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10</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rPr>
              <w:t>网络硬盘录像机</w:t>
            </w:r>
          </w:p>
        </w:tc>
        <w:tc>
          <w:tcPr>
            <w:tcW w:w="3136"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主处理器：工业级嵌入式微控制器；</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操作系统：嵌入式Linux操作系统；</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操作界面：Web，本地GUI；</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接入路数：</w:t>
            </w:r>
            <w:r>
              <w:rPr>
                <w:rFonts w:hint="eastAsia" w:ascii="宋体" w:hAnsi="宋体"/>
                <w:szCs w:val="21"/>
                <w:lang w:val="en-US" w:eastAsia="zh-CN"/>
              </w:rPr>
              <w:t>≥</w:t>
            </w:r>
            <w:r>
              <w:rPr>
                <w:rFonts w:hint="eastAsia" w:ascii="宋体" w:hAnsi="宋体" w:eastAsia="宋体" w:cs="宋体"/>
                <w:sz w:val="21"/>
                <w:szCs w:val="21"/>
              </w:rPr>
              <w:t>32路；</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硬盘接口：</w:t>
            </w:r>
            <w:r>
              <w:rPr>
                <w:rFonts w:hint="eastAsia" w:ascii="宋体" w:hAnsi="宋体"/>
                <w:szCs w:val="21"/>
                <w:lang w:val="en-US" w:eastAsia="zh-CN"/>
              </w:rPr>
              <w:t>≥</w:t>
            </w:r>
            <w:r>
              <w:rPr>
                <w:rFonts w:hint="eastAsia" w:ascii="宋体" w:hAnsi="宋体" w:eastAsia="宋体" w:cs="宋体"/>
                <w:sz w:val="21"/>
                <w:szCs w:val="21"/>
              </w:rPr>
              <w:t>8个，SATA3.0，单盘最大10T；</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分辨率：16MP; 12MP; 8MP; 5MP; 4MP; 3MP; 1080p; 720p; D1；</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解码能力：不开智能：1路16M@20fps;1路12M@20fps;2路8M@30fps;4路5M@30fps;5路4M@30fps;10路1080P@30fps;开智能：1路16M@20fps;1路12M@20fps;2路8MP@30FPS；3路5MP@30FPS; 4路4MP@30FPS ;8路1080P@30FPS;；</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多路回放：最大支持16路回放；</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报警输入：</w:t>
            </w:r>
            <w:r>
              <w:rPr>
                <w:rFonts w:hint="eastAsia" w:ascii="宋体" w:hAnsi="宋体"/>
                <w:szCs w:val="21"/>
                <w:lang w:val="en-US" w:eastAsia="zh-CN"/>
              </w:rPr>
              <w:t>≥</w:t>
            </w:r>
            <w:r>
              <w:rPr>
                <w:rFonts w:hint="eastAsia" w:ascii="宋体" w:hAnsi="宋体" w:eastAsia="宋体" w:cs="宋体"/>
                <w:sz w:val="21"/>
                <w:szCs w:val="21"/>
              </w:rPr>
              <w:t>16路；</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报警输出：</w:t>
            </w:r>
            <w:r>
              <w:rPr>
                <w:rFonts w:hint="eastAsia" w:ascii="宋体" w:hAnsi="宋体"/>
                <w:szCs w:val="21"/>
                <w:lang w:val="en-US" w:eastAsia="zh-CN"/>
              </w:rPr>
              <w:t>≥</w:t>
            </w:r>
            <w:r>
              <w:rPr>
                <w:rFonts w:hint="eastAsia" w:ascii="宋体" w:hAnsi="宋体" w:eastAsia="宋体" w:cs="宋体"/>
                <w:sz w:val="21"/>
                <w:szCs w:val="21"/>
              </w:rPr>
              <w:t>4路；</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画面分割：主屏：1/4/8/9/16/25/36；辅屏: 1/4/8/9/；</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前智能分析：支持前智能人脸检测、人脸识别、周界防范、通用行为分析、立体行为分析、人群分布、人数统计、热度图、SMD功能；</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后智能分析：支持后智能人脸检测、人脸识别、周界防范、SMD；</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音频输入：</w:t>
            </w:r>
            <w:r>
              <w:rPr>
                <w:rFonts w:hint="eastAsia" w:ascii="宋体" w:hAnsi="宋体"/>
                <w:szCs w:val="21"/>
                <w:lang w:val="en-US" w:eastAsia="zh-CN"/>
              </w:rPr>
              <w:t>≥</w:t>
            </w:r>
            <w:r>
              <w:rPr>
                <w:rFonts w:hint="eastAsia" w:ascii="宋体" w:hAnsi="宋体" w:eastAsia="宋体" w:cs="宋体"/>
                <w:sz w:val="21"/>
                <w:szCs w:val="21"/>
              </w:rPr>
              <w:t>1路，RCA输入口，语音对讲输入；</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音频输出：</w:t>
            </w:r>
            <w:r>
              <w:rPr>
                <w:rFonts w:hint="eastAsia" w:ascii="宋体" w:hAnsi="宋体"/>
                <w:szCs w:val="21"/>
                <w:lang w:val="en-US" w:eastAsia="zh-CN"/>
              </w:rPr>
              <w:t>≥</w:t>
            </w:r>
            <w:r>
              <w:rPr>
                <w:rFonts w:hint="eastAsia" w:ascii="宋体" w:hAnsi="宋体" w:eastAsia="宋体" w:cs="宋体"/>
                <w:sz w:val="21"/>
                <w:szCs w:val="21"/>
              </w:rPr>
              <w:t>路，RCA输出口，复用语音对讲输出；</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HDMI接口：</w:t>
            </w:r>
            <w:r>
              <w:rPr>
                <w:rFonts w:hint="eastAsia" w:ascii="宋体" w:hAnsi="宋体"/>
                <w:szCs w:val="21"/>
                <w:lang w:val="en-US" w:eastAsia="zh-CN"/>
              </w:rPr>
              <w:t>≥</w:t>
            </w:r>
            <w:r>
              <w:rPr>
                <w:rFonts w:hint="eastAsia" w:ascii="宋体" w:hAnsi="宋体" w:eastAsia="宋体" w:cs="宋体"/>
                <w:sz w:val="21"/>
                <w:szCs w:val="21"/>
              </w:rPr>
              <w:t>1个， 最大支持4K分辨率输出；</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VGA接口：</w:t>
            </w:r>
            <w:r>
              <w:rPr>
                <w:rFonts w:hint="eastAsia" w:ascii="宋体" w:hAnsi="宋体"/>
                <w:szCs w:val="21"/>
                <w:lang w:val="en-US" w:eastAsia="zh-CN"/>
              </w:rPr>
              <w:t>≥</w:t>
            </w:r>
            <w:r>
              <w:rPr>
                <w:rFonts w:hint="eastAsia" w:ascii="宋体" w:hAnsi="宋体" w:eastAsia="宋体" w:cs="宋体"/>
                <w:sz w:val="21"/>
                <w:szCs w:val="21"/>
              </w:rPr>
              <w:t>1个；</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人脸检测前智能性能（路数）：</w:t>
            </w:r>
            <w:r>
              <w:rPr>
                <w:rFonts w:hint="eastAsia" w:ascii="宋体" w:hAnsi="宋体"/>
                <w:szCs w:val="21"/>
                <w:lang w:val="en-US" w:eastAsia="zh-CN"/>
              </w:rPr>
              <w:t>≥</w:t>
            </w:r>
            <w:r>
              <w:rPr>
                <w:rFonts w:hint="eastAsia" w:ascii="宋体" w:hAnsi="宋体" w:eastAsia="宋体" w:cs="宋体"/>
                <w:sz w:val="21"/>
                <w:szCs w:val="21"/>
              </w:rPr>
              <w:t>8路；</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人脸检测后智能性能（1080P）(路数)：</w:t>
            </w:r>
            <w:r>
              <w:rPr>
                <w:rFonts w:hint="eastAsia" w:ascii="宋体" w:hAnsi="宋体"/>
                <w:szCs w:val="21"/>
                <w:lang w:val="en-US" w:eastAsia="zh-CN"/>
              </w:rPr>
              <w:t>≥</w:t>
            </w:r>
            <w:r>
              <w:rPr>
                <w:rFonts w:hint="eastAsia" w:ascii="宋体" w:hAnsi="宋体" w:eastAsia="宋体" w:cs="宋体"/>
                <w:sz w:val="21"/>
                <w:szCs w:val="21"/>
              </w:rPr>
              <w:t>1路，单路最多同时检测12张人脸每秒；</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人脸识别前智能性能（路数）：</w:t>
            </w:r>
            <w:r>
              <w:rPr>
                <w:rFonts w:hint="eastAsia" w:ascii="宋体" w:hAnsi="宋体"/>
                <w:szCs w:val="21"/>
                <w:lang w:val="en-US" w:eastAsia="zh-CN"/>
              </w:rPr>
              <w:t>≥</w:t>
            </w:r>
            <w:r>
              <w:rPr>
                <w:rFonts w:hint="eastAsia" w:ascii="宋体" w:hAnsi="宋体" w:eastAsia="宋体" w:cs="宋体"/>
                <w:sz w:val="21"/>
                <w:szCs w:val="21"/>
              </w:rPr>
              <w:t>8路；</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rPr>
              <w:t>人脸识别后智能性能（1080P）(路数)：1、前FD+前FR支持8路，前FD+后FR支持4路，后FD+后FR支持1路 2、支持图片流人脸4张/秒</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11</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rPr>
              <w:t>硬盘</w:t>
            </w:r>
          </w:p>
        </w:tc>
        <w:tc>
          <w:tcPr>
            <w:tcW w:w="3136"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单盘容量：</w:t>
            </w:r>
            <w:r>
              <w:rPr>
                <w:rFonts w:hint="eastAsia" w:ascii="宋体" w:hAnsi="宋体"/>
                <w:szCs w:val="21"/>
                <w:lang w:val="en-US" w:eastAsia="zh-CN"/>
              </w:rPr>
              <w:t>≥</w:t>
            </w:r>
            <w:r>
              <w:rPr>
                <w:rFonts w:hint="eastAsia" w:ascii="宋体" w:hAnsi="宋体" w:eastAsia="宋体" w:cs="宋体"/>
                <w:sz w:val="21"/>
                <w:szCs w:val="21"/>
              </w:rPr>
              <w:t>10TB；</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硬盘接口：SATA；</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转速：</w:t>
            </w:r>
            <w:r>
              <w:rPr>
                <w:rFonts w:hint="eastAsia" w:ascii="宋体" w:hAnsi="宋体"/>
                <w:szCs w:val="21"/>
                <w:lang w:val="en-US" w:eastAsia="zh-CN"/>
              </w:rPr>
              <w:t>≥</w:t>
            </w:r>
            <w:r>
              <w:rPr>
                <w:rFonts w:hint="eastAsia" w:ascii="宋体" w:hAnsi="宋体" w:eastAsia="宋体" w:cs="宋体"/>
                <w:sz w:val="21"/>
                <w:szCs w:val="21"/>
              </w:rPr>
              <w:t>7200RPM；</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rPr>
              <w:t>缓存：</w:t>
            </w:r>
            <w:r>
              <w:rPr>
                <w:rFonts w:hint="eastAsia" w:ascii="宋体" w:hAnsi="宋体"/>
                <w:szCs w:val="21"/>
                <w:lang w:val="en-US" w:eastAsia="zh-CN"/>
              </w:rPr>
              <w:t>≥</w:t>
            </w:r>
            <w:r>
              <w:rPr>
                <w:rFonts w:hint="eastAsia" w:ascii="宋体" w:hAnsi="宋体" w:eastAsia="宋体" w:cs="宋体"/>
                <w:sz w:val="21"/>
                <w:szCs w:val="21"/>
              </w:rPr>
              <w:t>256MB</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ind w:firstLine="210" w:firstLineChars="100"/>
              <w:jc w:val="both"/>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12</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both"/>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rPr>
              <w:t>监视器</w:t>
            </w:r>
          </w:p>
        </w:tc>
        <w:tc>
          <w:tcPr>
            <w:tcW w:w="3136"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面板尺寸：</w:t>
            </w:r>
            <w:r>
              <w:rPr>
                <w:rFonts w:hint="eastAsia" w:ascii="宋体" w:hAnsi="宋体"/>
                <w:szCs w:val="21"/>
                <w:lang w:val="en-US" w:eastAsia="zh-CN"/>
              </w:rPr>
              <w:t>≥</w:t>
            </w:r>
            <w:r>
              <w:rPr>
                <w:rFonts w:hint="eastAsia" w:ascii="宋体" w:hAnsi="宋体" w:eastAsia="宋体" w:cs="宋体"/>
                <w:sz w:val="21"/>
                <w:szCs w:val="21"/>
              </w:rPr>
              <w:t>55英寸；</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亮度：</w:t>
            </w:r>
            <w:r>
              <w:rPr>
                <w:rFonts w:hint="eastAsia" w:ascii="宋体" w:hAnsi="宋体"/>
                <w:szCs w:val="21"/>
                <w:lang w:val="en-US" w:eastAsia="zh-CN"/>
              </w:rPr>
              <w:t>≥</w:t>
            </w:r>
            <w:r>
              <w:rPr>
                <w:rFonts w:hint="eastAsia" w:ascii="宋体" w:hAnsi="宋体" w:eastAsia="宋体" w:cs="宋体"/>
                <w:sz w:val="21"/>
                <w:szCs w:val="21"/>
              </w:rPr>
              <w:t>380cd/m²；</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安装方式：底座、壁挂；</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信号输出标配：Coaxial×1、Earphone×1、内置喇叭×2；</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rPr>
            </w:pPr>
            <w:r>
              <w:rPr>
                <w:rFonts w:hint="eastAsia" w:ascii="宋体" w:hAnsi="宋体" w:eastAsia="宋体" w:cs="宋体"/>
                <w:sz w:val="21"/>
                <w:szCs w:val="21"/>
              </w:rPr>
              <w:t>信号输入标配：HDMI 2.0×3、USB 2.0×1、AV×1、Component×1；</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支持的分辨率：</w:t>
            </w:r>
            <w:r>
              <w:rPr>
                <w:rFonts w:hint="eastAsia" w:ascii="宋体" w:hAnsi="宋体"/>
                <w:szCs w:val="21"/>
                <w:lang w:val="en-US" w:eastAsia="zh-CN"/>
              </w:rPr>
              <w:t>≥</w:t>
            </w:r>
            <w:r>
              <w:rPr>
                <w:rFonts w:hint="eastAsia" w:ascii="宋体" w:hAnsi="宋体" w:eastAsia="宋体" w:cs="宋体"/>
                <w:sz w:val="21"/>
                <w:szCs w:val="21"/>
              </w:rPr>
              <w:t>3840×2160</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13</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监控安装及辅材</w:t>
            </w:r>
          </w:p>
        </w:tc>
        <w:tc>
          <w:tcPr>
            <w:tcW w:w="3136"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国标，辅材及其人工费</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项</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14</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Arial"/>
                <w:color w:val="000000"/>
                <w:sz w:val="21"/>
                <w:szCs w:val="21"/>
                <w:lang w:val="en-US" w:eastAsia="zh-CN"/>
              </w:rPr>
            </w:pPr>
            <w:r>
              <w:rPr>
                <w:rFonts w:hint="eastAsia" w:ascii="宋体" w:hAnsi="宋体" w:cs="宋体"/>
                <w:sz w:val="21"/>
                <w:szCs w:val="21"/>
                <w:lang w:val="en-US" w:eastAsia="zh-CN"/>
              </w:rPr>
              <w:t>线路改造</w:t>
            </w:r>
          </w:p>
        </w:tc>
        <w:tc>
          <w:tcPr>
            <w:tcW w:w="3136"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Arial"/>
                <w:color w:val="000000"/>
                <w:sz w:val="21"/>
                <w:szCs w:val="21"/>
                <w:lang w:val="en-US" w:eastAsia="zh-CN"/>
              </w:rPr>
            </w:pPr>
            <w:r>
              <w:rPr>
                <w:rFonts w:hint="eastAsia" w:ascii="宋体" w:hAnsi="宋体" w:eastAsia="宋体" w:cs="宋体"/>
                <w:sz w:val="21"/>
                <w:szCs w:val="21"/>
                <w:lang w:val="en-US" w:eastAsia="zh-CN"/>
              </w:rPr>
              <w:t>根据全校线路改造，室外16平方以上铜芯线缆线，室内4平方铜芯线缆 ，涉及到的所有材料及辅材的安装调试需符合国标。</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批</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15</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课桌凳</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课桌面：尺寸为600mm*400mm，</w:t>
            </w:r>
            <w:r>
              <w:rPr>
                <w:rFonts w:hint="eastAsia" w:ascii="宋体" w:hAnsi="宋体"/>
                <w:szCs w:val="21"/>
                <w:lang w:val="en-US" w:eastAsia="zh-CN"/>
              </w:rPr>
              <w:t>高度为660—780mm，</w:t>
            </w:r>
            <w:r>
              <w:rPr>
                <w:rFonts w:hint="eastAsia" w:ascii="宋体" w:hAnsi="宋体" w:eastAsia="宋体" w:cs="宋体"/>
                <w:sz w:val="21"/>
                <w:szCs w:val="21"/>
                <w:lang w:val="en-US" w:eastAsia="zh-CN"/>
              </w:rPr>
              <w:t>采用</w:t>
            </w: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18mm厚实木颗粒板PP注塑包边一体注塑成型，桌面正前方设有笔槽，四周圆角，包边颜色均匀、美观大方，无裂缝、变形，平整、光滑。</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课桌斗:单斗结构，采用优质冷轧钢板经模具冲压成型，斗箱内尺寸为：宽度470mm*深度290mm*高度160mm。冷轧钢板外露边缘界面做卷边处理，防止意外刮伤。冷轧板抽屉底板压折而成，底板有两道压轨。侧板采用：</w:t>
            </w: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0.8mm优质冷轧钢板成型，底板和中隔板采用：</w:t>
            </w: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0.6mm优质冷轧板压折而成，底板及隔板有两道压轨。边沿部位折叠加强，可自由调节高度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桌立柱：桌子地脚采用：20*49*1.1mm优质扁圆管，桌子横档采用20*49*1.1mm优质扁圆管，立柱采用：20*49*1.1mm优质扁圆管，双立柱结构，采用二氧化碳保护焊接，保证无稀焊、漏焊。课桌斗侧板设1个采用环保PP工程塑料制成的挂钩，可拆卸。脚垫采用环保PP工程塑料注塑成形，颜色为蓝色，采用自锁式结构，防滑防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凳面尺寸：240mm*340mm</w:t>
            </w:r>
            <w:r>
              <w:rPr>
                <w:rFonts w:hint="eastAsia" w:ascii="宋体" w:hAnsi="宋体" w:cs="宋体"/>
                <w:sz w:val="21"/>
                <w:szCs w:val="21"/>
                <w:lang w:val="en-US" w:eastAsia="zh-CN"/>
              </w:rPr>
              <w:t>，高度为380-420mm，</w:t>
            </w:r>
            <w:r>
              <w:rPr>
                <w:rFonts w:hint="eastAsia" w:ascii="宋体" w:hAnsi="宋体" w:eastAsia="宋体" w:cs="宋体"/>
                <w:sz w:val="21"/>
                <w:szCs w:val="21"/>
                <w:lang w:val="en-US" w:eastAsia="zh-CN"/>
              </w:rPr>
              <w:t>采用</w:t>
            </w: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18mm厚实木颗粒板PP塑料注塑包边一次成型，面板四周圆角，贴面颜色与桌面搭配协调，无裂缝、变形，表面平整、边缘光滑无毛刺。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凳子升降片：上宽190mm,下宽165mm,总高210mm。材质采用：</w:t>
            </w: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1.0mm厚优质冷轧钢板经模具冲压成型加强筋，冷轧钢板外露边缘界面做卷边处理。双排升降孔，每排设有7个方形孔位，可自由调节高度。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凳架：地脚采用20*49*1.1mm扁圆管，立焊。双立柱结构：采用20*49*1.1mm扁圆管，横档采用：20*49*1.1mm扁圆管。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课凳脚套：材质采用PP工程塑料注塑成型，抗压耐磨防滑，自锁式结构，不易脱落。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8" w:lineRule="auto"/>
              <w:ind w:left="425" w:leftChars="0" w:hanging="425" w:firstLineChars="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表面处理：钢制部件表面进行静电喷塑。</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16</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微机室中控台</w:t>
            </w:r>
          </w:p>
        </w:tc>
        <w:tc>
          <w:tcPr>
            <w:tcW w:w="3136" w:type="pct"/>
            <w:shd w:val="clear" w:color="D9E1F4" w:fill="auto"/>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1、双联操作台参数</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长度1200毫米，高度750毫米，深度900毫米。</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操作台主要技术指标</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2、材料：主体框架及前后门板选用</w:t>
            </w: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0.8mm厚冷轧钢板制作。</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3、主体全钢结构，表面经过喷塑而成。               </w:t>
            </w:r>
          </w:p>
          <w:p>
            <w:pP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台面选用高级密度板材，</w:t>
            </w: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16mm厚度。</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17</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微机室教学系统</w:t>
            </w:r>
          </w:p>
        </w:tc>
        <w:tc>
          <w:tcPr>
            <w:tcW w:w="3136"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1.支持IPV4、IPV6网络环境下安装和正常使用，支持Windows 7 32位/64位，Windows10 64位、Windows11 64位操作系统；</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2.教师自带笔记本可通过mac绑定和ip绑定两种方式快速连接服务器和学生端，实现多媒体互动教学；</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3.支持班级管理，可将频道和班级进行绑定，用于不同的教室登录不同的频道进行上课</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4.支持对学生视图自定义命令和排序，学生未点名时，通过座位信息快速找到学生；</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5.支持屏幕广播功能，能够实现两种接收模式，包括学生全屏/窗口模式接收教师机广播的画面，全屏状态锁定学生鼠标和键盘；</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6.屏幕广播支持区域广播方式，教师端可选取一块区域广播给学生机（如只广播教学软件界面）；</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7.屏幕广播状态下，教师可开启实时语音，学生端可以通过耳机接听教师语音，同时支持屏幕笔功能，教师可通过屏幕笔将屏幕当做画板进行绘制；</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8.支持影音广播，即使在终端未进入桌面的状态，也能够实现全体学生的影音广播，影音广播下支持视频的切换、暂停，并支持点击进度条任意地方以改变视频播放进度；</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9.在屏幕广播之后连接上来的终端可直接接收屏幕广播内容，终端关闭虚拟桌面仍可同步广播教师机屏幕和视频，不会中断教学；</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10.教师可选定一个学生操作本机或操作教师机进行教学演示，并将该学生演示的画面广播给每一个学生；被广播的学生将全屏/窗口接收演示学生的画面，全屏状态键盘和鼠标被锁定；</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11.支持遥控转播，教师端可对单个学生机进行遥控并转播到其它学生机桌面；</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12.支持遥控监看，教师可实时监看学生端的学生桌面，并可远程遥控学生端桌面，支持单屏控制和全体控制，控制时可锁定学生机；</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13.教师机可以连续监看所选学生机屏幕，每屏可监视多个学生,可设置每屏学生机的数量以及学生机屏幕轮循的时间间隔；  </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14.具备游戏互动教学功能，支持击鼓传花，电子抢答等互动方式；</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15.教师可对学生进行电子点名，可以自定义院系、专业、班级等单位类别，可导入导出学生信息，可设置迟到时间，可显示签到人数；</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16.支持作业下发，教师机可将自己机器上的文件传输到学生机，支持一对多传输，当选中多台学生机执行下发文件时，教师端需选择其中一台学生机作为样本机，并选择存放路径，支持发送文件或文件夹；</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支持收取作业，教师可发起作业提交，学生提交作业后自动收取，默认将收取上来的作业存放在桌面，该路径可自定义更换；作业命名方式支持学生自定义和教师自定义，教师自定义命名支持加入学生姓名、学号、学生机器名或学生机IP地址中的一种方式；</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18.支持一键收取指定路径的学生作业，弥补学生忘交作业和不会提交作业的缺点，提升老师收取作业的时效性；</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19.支持远程命令（包括一键关闭应用程序，一键关闭学生打开的Windows类窗口）、远程开机，远程关机等功能；</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20.支持屏幕录制与回放，教师机可以将本机的操作过程、讲解录制为一个文件，内容可回放，并可通过屏幕广播给学生；</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21.支持电子白板功能，能够在屏幕广播时实现注解讲解、注释，辅助教学；</w:t>
            </w:r>
          </w:p>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22.支持黑屏肃静，教师可对学生执行黑屏肃静操作，能够自定义黑屏肃静的提示信息，支持手动解锁、按时解锁、按时长解锁；</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23.提供行为管控模块，支持程序黑白名单限制，支持禁用外网，禁用USB设备，教师端主界面可展示USB设备、程序、网络禁用状态.</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18</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数码照相机</w:t>
            </w:r>
          </w:p>
        </w:tc>
        <w:tc>
          <w:tcPr>
            <w:tcW w:w="3136" w:type="pct"/>
            <w:shd w:val="clear" w:color="D9E1F4" w:fill="auto"/>
            <w:noWrap/>
            <w:vAlign w:val="center"/>
          </w:tcPr>
          <w:p>
            <w:pPr>
              <w:pStyle w:val="148"/>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宋体" w:hAnsi="宋体" w:eastAsia="宋体" w:cs="宋体"/>
                <w:b/>
                <w:bCs/>
                <w:i w:val="0"/>
                <w:iCs w:val="0"/>
                <w:color w:val="000000"/>
                <w:kern w:val="0"/>
                <w:sz w:val="21"/>
                <w:szCs w:val="21"/>
                <w:highlight w:val="none"/>
                <w:u w:val="none"/>
                <w:lang w:val="en-US" w:eastAsia="zh-CN" w:bidi="ar"/>
              </w:rPr>
            </w:pPr>
            <w:r>
              <w:rPr>
                <w:rFonts w:hint="default" w:ascii="Arial" w:hAnsi="Arial" w:eastAsia="宋体" w:cs="Arial"/>
                <w:sz w:val="21"/>
                <w:szCs w:val="21"/>
                <w:lang w:val="en-US" w:eastAsia="zh-CN"/>
              </w:rPr>
              <w:t>≥</w:t>
            </w:r>
            <w:r>
              <w:rPr>
                <w:rFonts w:hint="eastAsia" w:ascii="宋体" w:hAnsi="宋体" w:eastAsia="宋体" w:cs="宋体"/>
                <w:sz w:val="21"/>
                <w:szCs w:val="21"/>
                <w:lang w:val="en-US" w:eastAsia="zh-CN"/>
              </w:rPr>
              <w:t>3.2寸高清触控屏，4K超高清视频，≥2</w:t>
            </w:r>
            <w:r>
              <w:rPr>
                <w:rFonts w:hint="eastAsia" w:ascii="宋体" w:hAnsi="宋体" w:cs="宋体"/>
                <w:sz w:val="21"/>
                <w:szCs w:val="21"/>
                <w:lang w:val="en-US" w:eastAsia="zh-CN"/>
              </w:rPr>
              <w:t>000</w:t>
            </w:r>
            <w:r>
              <w:rPr>
                <w:rFonts w:hint="eastAsia" w:ascii="宋体" w:hAnsi="宋体" w:eastAsia="宋体" w:cs="宋体"/>
                <w:sz w:val="21"/>
                <w:szCs w:val="21"/>
                <w:lang w:val="en-US" w:eastAsia="zh-CN"/>
              </w:rPr>
              <w:t>万有效像素，5</w:t>
            </w:r>
            <w:r>
              <w:rPr>
                <w:rFonts w:hint="eastAsia" w:ascii="宋体" w:hAnsi="宋体" w:cs="宋体"/>
                <w:sz w:val="21"/>
                <w:szCs w:val="21"/>
                <w:lang w:val="en-US" w:eastAsia="zh-CN"/>
              </w:rPr>
              <w:t>0</w:t>
            </w:r>
            <w:r>
              <w:rPr>
                <w:rFonts w:hint="eastAsia" w:ascii="宋体" w:hAnsi="宋体" w:eastAsia="宋体" w:cs="宋体"/>
                <w:sz w:val="21"/>
                <w:szCs w:val="21"/>
                <w:lang w:val="en-US" w:eastAsia="zh-CN"/>
              </w:rPr>
              <w:t>点自动对焦系统</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19</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服务器</w:t>
            </w:r>
          </w:p>
        </w:tc>
        <w:tc>
          <w:tcPr>
            <w:tcW w:w="3136" w:type="pct"/>
            <w:shd w:val="clear" w:color="D9E1F4" w:fill="auto"/>
            <w:noWrap/>
            <w:vAlign w:val="center"/>
          </w:tcPr>
          <w:p>
            <w:pP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 xml:space="preserve">服务器 (≥2*4210R 处理器,≥2*32G内存,SR430 RAID卡；≥2*600G 硬盘,≥2*GE+2*10GE（含光模块）,2*550W电源,滑轨) </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 xml:space="preserve">台 </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防火墙</w:t>
            </w:r>
          </w:p>
        </w:tc>
        <w:tc>
          <w:tcPr>
            <w:tcW w:w="3136" w:type="pct"/>
            <w:shd w:val="clear" w:color="D9E1F4" w:fill="auto"/>
            <w:noWrap/>
            <w:vAlign w:val="center"/>
          </w:tcPr>
          <w:p>
            <w:pP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≥2*GE WAN+8*GE Combo+2*10GE SFP+,1交流电源,含SSL VPN 100用户，含一年威胁防护</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21</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路由器</w:t>
            </w:r>
          </w:p>
        </w:tc>
        <w:tc>
          <w:tcPr>
            <w:tcW w:w="3136" w:type="pct"/>
            <w:shd w:val="clear" w:color="D9E1F4" w:fill="auto"/>
            <w:noWrap/>
            <w:vAlign w:val="center"/>
          </w:tcPr>
          <w:p>
            <w:pPr>
              <w:pStyle w:val="148"/>
              <w:keepNext w:val="0"/>
              <w:keepLines w:val="0"/>
              <w:pageBreakBefore w:val="0"/>
              <w:numPr>
                <w:ilvl w:val="0"/>
                <w:numId w:val="0"/>
              </w:numPr>
              <w:kinsoku/>
              <w:wordWrap/>
              <w:overflowPunct/>
              <w:topLinePunct w:val="0"/>
              <w:autoSpaceDE/>
              <w:autoSpaceDN/>
              <w:bidi w:val="0"/>
              <w:adjustRightInd/>
              <w:snapToGrid/>
              <w:spacing w:line="288" w:lineRule="auto"/>
              <w:ind w:left="425" w:leftChars="0" w:hanging="425" w:firstLineChars="0"/>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≥2*GE combo WAN, 1*10GE(SFP+) WAN, 8*GE LAN, 1*GE combo LAN, 2*USB, 2*SIC</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22</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交换机</w:t>
            </w:r>
          </w:p>
        </w:tc>
        <w:tc>
          <w:tcPr>
            <w:tcW w:w="3136" w:type="pct"/>
            <w:shd w:val="clear" w:color="D9E1F4" w:fill="auto"/>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≥48个10/100/1000BASE-T以太网端口,≥4个千兆SFP,交流供电)</w:t>
            </w:r>
          </w:p>
          <w:p>
            <w:pPr>
              <w:pStyle w:val="148"/>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交换容量≥432Gbps，包转发率≥78Mpps，机架式</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23</w:t>
            </w:r>
          </w:p>
        </w:tc>
        <w:tc>
          <w:tcPr>
            <w:tcW w:w="563" w:type="pct"/>
            <w:shd w:val="clear" w:color="D9E1F4" w:fill="auto"/>
            <w:noWrap/>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交换机</w:t>
            </w:r>
          </w:p>
        </w:tc>
        <w:tc>
          <w:tcPr>
            <w:tcW w:w="3136" w:type="pct"/>
            <w:shd w:val="clear" w:color="D9E1F4" w:fill="auto"/>
            <w:noWrap/>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≥24个10/100/1000BASE-T以太网端口,≥4个千兆SFP,交流供电)</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交换容量≥336Gbps，包转发率≥42Mpps</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24</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网络改造辅材线材</w:t>
            </w:r>
          </w:p>
        </w:tc>
        <w:tc>
          <w:tcPr>
            <w:tcW w:w="3136" w:type="pct"/>
            <w:shd w:val="clear" w:color="D9E1F4" w:fill="auto"/>
            <w:noWrap/>
            <w:vAlign w:val="center"/>
          </w:tcPr>
          <w:p>
            <w:pPr>
              <w:pStyle w:val="148"/>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全校网络改造辅材线材一批，6类网线约2500米。</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批</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25</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网络改造施工费</w:t>
            </w:r>
          </w:p>
        </w:tc>
        <w:tc>
          <w:tcPr>
            <w:tcW w:w="3136" w:type="pct"/>
            <w:shd w:val="clear" w:color="D9E1F4" w:fill="auto"/>
            <w:noWrap/>
            <w:vAlign w:val="center"/>
          </w:tcPr>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全校网络改造施工费</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项</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26</w:t>
            </w:r>
          </w:p>
        </w:tc>
        <w:tc>
          <w:tcPr>
            <w:tcW w:w="563" w:type="pct"/>
            <w:shd w:val="clear" w:color="D9E1F4" w:fill="auto"/>
            <w:noWrap/>
            <w:vAlign w:val="center"/>
          </w:tcPr>
          <w:p>
            <w:pPr>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壁挂视频展台</w:t>
            </w:r>
          </w:p>
        </w:tc>
        <w:tc>
          <w:tcPr>
            <w:tcW w:w="3136" w:type="pct"/>
            <w:shd w:val="clear" w:color="D9E1F4" w:fill="auto"/>
            <w:noWrap/>
            <w:vAlign w:val="top"/>
          </w:tcPr>
          <w:p>
            <w:pPr>
              <w:numPr>
                <w:ilvl w:val="0"/>
                <w:numId w:val="13"/>
              </w:numPr>
              <w:spacing w:line="240" w:lineRule="auto"/>
              <w:rPr>
                <w:rFonts w:hint="eastAsia" w:ascii="宋体" w:hAnsi="宋体" w:eastAsia="宋体" w:cs="宋体"/>
                <w:sz w:val="21"/>
                <w:szCs w:val="21"/>
              </w:rPr>
            </w:pPr>
            <w:r>
              <w:rPr>
                <w:rFonts w:hint="eastAsia" w:ascii="宋体" w:hAnsi="宋体" w:eastAsia="宋体" w:cs="宋体"/>
                <w:sz w:val="21"/>
                <w:szCs w:val="21"/>
              </w:rPr>
              <w:t>采用USB高速接口，单根USB线实现供电、高清数据传输需求</w:t>
            </w:r>
            <w:r>
              <w:rPr>
                <w:rFonts w:hint="eastAsia" w:ascii="宋体" w:hAnsi="宋体" w:cs="宋体"/>
                <w:sz w:val="21"/>
                <w:szCs w:val="21"/>
                <w:lang w:eastAsia="zh-CN"/>
              </w:rPr>
              <w:t>。</w:t>
            </w:r>
          </w:p>
          <w:p>
            <w:pPr>
              <w:numPr>
                <w:ilvl w:val="0"/>
                <w:numId w:val="13"/>
              </w:numPr>
              <w:spacing w:line="240" w:lineRule="auto"/>
              <w:rPr>
                <w:rFonts w:hint="eastAsia" w:ascii="宋体" w:hAnsi="宋体" w:eastAsia="宋体" w:cs="宋体"/>
                <w:sz w:val="21"/>
                <w:szCs w:val="21"/>
              </w:rPr>
            </w:pPr>
            <w:r>
              <w:rPr>
                <w:rFonts w:hint="eastAsia" w:ascii="宋体" w:hAnsi="宋体" w:eastAsia="宋体" w:cs="宋体"/>
                <w:sz w:val="21"/>
                <w:szCs w:val="21"/>
              </w:rPr>
              <w:t>采用</w:t>
            </w:r>
            <w:r>
              <w:rPr>
                <w:rFonts w:hint="default" w:ascii="Arial" w:hAnsi="Arial" w:eastAsia="宋体" w:cs="Arial"/>
                <w:sz w:val="21"/>
                <w:szCs w:val="21"/>
              </w:rPr>
              <w:t>≥</w:t>
            </w:r>
            <w:r>
              <w:rPr>
                <w:rFonts w:hint="eastAsia" w:ascii="宋体" w:hAnsi="宋体" w:cs="宋体"/>
                <w:sz w:val="21"/>
                <w:szCs w:val="21"/>
                <w:lang w:val="en-US" w:eastAsia="zh-CN"/>
              </w:rPr>
              <w:t>13</w:t>
            </w:r>
            <w:r>
              <w:rPr>
                <w:rFonts w:hint="eastAsia" w:ascii="宋体" w:hAnsi="宋体" w:eastAsia="宋体" w:cs="宋体"/>
                <w:sz w:val="21"/>
                <w:szCs w:val="21"/>
              </w:rPr>
              <w:t>00W像素自动对焦摄像头，可拍摄A4画幅。</w:t>
            </w:r>
          </w:p>
          <w:p>
            <w:pPr>
              <w:numPr>
                <w:ilvl w:val="0"/>
                <w:numId w:val="13"/>
              </w:numPr>
              <w:spacing w:line="240" w:lineRule="auto"/>
              <w:rPr>
                <w:rFonts w:hint="eastAsia" w:ascii="宋体" w:hAnsi="宋体" w:eastAsia="宋体" w:cs="宋体"/>
                <w:sz w:val="21"/>
                <w:szCs w:val="21"/>
              </w:rPr>
            </w:pPr>
            <w:r>
              <w:rPr>
                <w:rFonts w:hint="eastAsia" w:ascii="宋体" w:hAnsi="宋体" w:eastAsia="宋体" w:cs="宋体"/>
                <w:sz w:val="21"/>
                <w:szCs w:val="21"/>
              </w:rPr>
              <w:t>外壳在摄像头部分带保护镜片密封，防止灰尘沾染摄像头，防护等级</w:t>
            </w:r>
            <w:r>
              <w:rPr>
                <w:rFonts w:hint="default" w:ascii="Arial" w:hAnsi="Arial" w:eastAsia="宋体" w:cs="Arial"/>
                <w:sz w:val="21"/>
                <w:szCs w:val="21"/>
              </w:rPr>
              <w:t>≥</w:t>
            </w:r>
            <w:r>
              <w:rPr>
                <w:rFonts w:hint="eastAsia" w:ascii="宋体" w:hAnsi="宋体" w:eastAsia="宋体" w:cs="宋体"/>
                <w:sz w:val="21"/>
                <w:szCs w:val="21"/>
              </w:rPr>
              <w:t>IP4X级别。提供生产厂家出具的、相应的功能证明材料。</w:t>
            </w:r>
          </w:p>
          <w:p>
            <w:pPr>
              <w:numPr>
                <w:ilvl w:val="0"/>
                <w:numId w:val="13"/>
              </w:numPr>
              <w:spacing w:line="240" w:lineRule="auto"/>
              <w:rPr>
                <w:rFonts w:hint="eastAsia" w:ascii="宋体" w:hAnsi="宋体" w:eastAsia="宋体" w:cs="宋体"/>
                <w:sz w:val="21"/>
                <w:szCs w:val="21"/>
              </w:rPr>
            </w:pPr>
            <w:r>
              <w:rPr>
                <w:rFonts w:hint="eastAsia" w:ascii="宋体" w:hAnsi="宋体" w:eastAsia="宋体" w:cs="宋体"/>
                <w:sz w:val="21"/>
                <w:szCs w:val="21"/>
              </w:rPr>
              <w:t>支持展台画面实时批注，预设多种笔划粗细及颜色供选择，且支持对展台画面联同批注内容进行同步缩放、移动。</w:t>
            </w:r>
          </w:p>
          <w:p>
            <w:pPr>
              <w:numPr>
                <w:ilvl w:val="0"/>
                <w:numId w:val="13"/>
              </w:numPr>
              <w:spacing w:line="240" w:lineRule="auto"/>
              <w:rPr>
                <w:rFonts w:hint="eastAsia" w:ascii="宋体" w:hAnsi="宋体" w:eastAsia="宋体" w:cs="宋体"/>
                <w:sz w:val="21"/>
                <w:szCs w:val="21"/>
              </w:rPr>
            </w:pPr>
            <w:r>
              <w:rPr>
                <w:rFonts w:hint="eastAsia" w:ascii="宋体" w:hAnsi="宋体" w:eastAsia="宋体" w:cs="宋体"/>
                <w:sz w:val="21"/>
                <w:szCs w:val="21"/>
              </w:rPr>
              <w:t>支持展台画面拍照截图并进行多图预览，可对任一图片进行全屏显示。</w:t>
            </w:r>
          </w:p>
          <w:p>
            <w:pP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rPr>
              <w:t>可选择图像、文本或动态三种情景模式，适应不同展示内容</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27</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空调</w:t>
            </w:r>
          </w:p>
        </w:tc>
        <w:tc>
          <w:tcPr>
            <w:tcW w:w="3136" w:type="pct"/>
            <w:shd w:val="clear" w:color="D9E1F4" w:fill="auto"/>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空调匹数：1.5P挂机</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制冷量：≥3500W,制冷功率≤1100W</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制热量：≥4500W,制热功率≤1350W</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能效等级：</w:t>
            </w:r>
            <w:r>
              <w:rPr>
                <w:rFonts w:hint="eastAsia" w:ascii="宋体" w:hAnsi="宋体" w:cs="宋体"/>
                <w:sz w:val="21"/>
                <w:szCs w:val="21"/>
                <w:lang w:val="en-US" w:eastAsia="zh-CN"/>
              </w:rPr>
              <w:t>一级</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冷暖类型：冷暖电辅</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循环风量：≥630m3/h</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室内机噪音：≤42db</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室外机噪音:≤54db</w:t>
            </w:r>
          </w:p>
          <w:p>
            <w:pPr>
              <w:pStyle w:val="174"/>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sz w:val="21"/>
                <w:szCs w:val="21"/>
                <w:lang w:val="en-US" w:eastAsia="zh-CN"/>
              </w:rPr>
              <w:t>含辅材安装（铜管、支架、人工）</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28</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sz w:val="21"/>
                <w:szCs w:val="21"/>
                <w:lang w:val="en-US" w:eastAsia="zh-CN"/>
              </w:rPr>
              <w:t>空调</w:t>
            </w:r>
          </w:p>
        </w:tc>
        <w:tc>
          <w:tcPr>
            <w:tcW w:w="3136" w:type="pct"/>
            <w:shd w:val="clear" w:color="D9E1F4" w:fill="auto"/>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空调匹数：3P立式</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制冷量：≥7200W,制冷功率≤2650W</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制热量：≥7800W,制热功率≤3200W</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能效等级：</w:t>
            </w:r>
            <w:r>
              <w:rPr>
                <w:rFonts w:hint="eastAsia" w:ascii="宋体" w:hAnsi="宋体" w:cs="宋体"/>
                <w:sz w:val="21"/>
                <w:szCs w:val="21"/>
                <w:lang w:val="en-US" w:eastAsia="zh-CN"/>
              </w:rPr>
              <w:t>一级</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冷暖类型：冷暖电辅</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循环风量：≥1200m3/h</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室内机噪音：≤47db</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室外机噪音:≤56db</w:t>
            </w:r>
          </w:p>
          <w:p>
            <w:pPr>
              <w:keepNext w:val="0"/>
              <w:keepLines w:val="0"/>
              <w:pageBreakBefore w:val="0"/>
              <w:numPr>
                <w:ilvl w:val="0"/>
                <w:numId w:val="0"/>
              </w:numPr>
              <w:kinsoku/>
              <w:wordWrap/>
              <w:overflowPunct/>
              <w:topLinePunct w:val="0"/>
              <w:autoSpaceDE/>
              <w:autoSpaceDN/>
              <w:bidi w:val="0"/>
              <w:adjustRightInd/>
              <w:snapToGrid/>
              <w:spacing w:line="288" w:lineRule="auto"/>
              <w:ind w:left="0" w:leftChars="0" w:firstLine="0" w:firstLineChars="0"/>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sz w:val="21"/>
                <w:szCs w:val="21"/>
                <w:lang w:val="en-US" w:eastAsia="zh-CN"/>
              </w:rPr>
              <w:t>含辅材安装（铜管、支架、人工）</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29</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sz w:val="21"/>
                <w:szCs w:val="21"/>
                <w:lang w:val="en-US" w:eastAsia="zh-CN"/>
              </w:rPr>
              <w:t>交互智能平板</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ascii="宋体" w:hAnsi="宋体"/>
                <w:szCs w:val="21"/>
              </w:rPr>
              <w:t>1</w:t>
            </w:r>
            <w:r>
              <w:rPr>
                <w:rFonts w:hint="eastAsia" w:ascii="宋体" w:hAnsi="宋体" w:eastAsia="宋体" w:cs="宋体"/>
                <w:sz w:val="21"/>
                <w:szCs w:val="21"/>
                <w:lang w:val="en-US" w:eastAsia="zh-CN"/>
              </w:rPr>
              <w:t>:整机采用一体设计，外部无任何可见内部功能模块连接线。全金属外壳设计，边角采用弧形设计，表面无尖锐边缘或凸起。</w:t>
            </w:r>
            <w:r>
              <w:rPr>
                <w:rFonts w:hint="eastAsia" w:ascii="宋体" w:hAnsi="宋体" w:eastAsia="宋体" w:cs="宋体"/>
                <w:sz w:val="21"/>
                <w:szCs w:val="21"/>
                <w:highlight w:val="none"/>
                <w:lang w:val="en-US" w:eastAsia="zh-CN"/>
              </w:rPr>
              <w:t>。屏幕采用75英寸</w:t>
            </w:r>
            <w:r>
              <w:rPr>
                <w:rFonts w:hint="eastAsia" w:ascii="宋体" w:hAnsi="宋体" w:cs="宋体"/>
                <w:sz w:val="21"/>
                <w:szCs w:val="21"/>
                <w:highlight w:val="none"/>
                <w:lang w:val="en-US" w:eastAsia="zh-CN"/>
              </w:rPr>
              <w:t>1台、86英寸3台，</w:t>
            </w:r>
            <w:r>
              <w:rPr>
                <w:rFonts w:hint="eastAsia" w:ascii="宋体" w:hAnsi="宋体" w:eastAsia="宋体" w:cs="宋体"/>
                <w:sz w:val="21"/>
                <w:szCs w:val="21"/>
                <w:highlight w:val="none"/>
                <w:lang w:val="en-US" w:eastAsia="zh-CN"/>
              </w:rPr>
              <w:t>UHD超高清LED 液晶屏，显</w:t>
            </w:r>
            <w:r>
              <w:rPr>
                <w:rFonts w:hint="eastAsia" w:ascii="宋体" w:hAnsi="宋体" w:eastAsia="宋体" w:cs="宋体"/>
                <w:sz w:val="21"/>
                <w:szCs w:val="21"/>
                <w:lang w:val="en-US" w:eastAsia="zh-CN"/>
              </w:rPr>
              <w:t>示比例16:9，分辨率3840*2160。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2:嵌入式系统版本不低于Android9.0，内存≥2GB，存储空间≥8GB。玻璃厚度≤4mm，玻璃表面硬度≥9H。</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3:支持红外触控，支持Windows系统中进行20点或以上触控，安卓系统中进行 10 点或以上触控，支持红外笔书写,屏幕刷新频率达到60Hz，可视角度在水平方向上≥178°色域值达到72%NTSC</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4:支持传屏功能，可以将外部电脑的屏幕画面通过无线方式传输到整机上显示。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5:整机内置无线网络模块，PC模块无任何外接或转接天线、网卡可实现Wi-Fi无线上网连接和AP无线热点发射。Wi-Fi和AP热点均支持频段 2.4GHz/5GHz ，满足IEEE 802.11 a/b/g/n/ac标准。Wi-Fi和AP热点工作距离≥12m。</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6:支持智能U盘锁功能，整机可设置触摸及按键锁定，锁定后无法随意自由操作，需要使用时插入USB key可解锁。支持自定义开机通道，用户可设置默认通道，开机自动进入无需手动切换。通过由中国标准化研究院制定的视觉舒适度（VICO）体系认证，并达到视觉舒适度A +级或以上标准。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支持通道记忆功能，开机默认回到最近一次关机时的显示通道。外接电脑设备连接整机且触摸信号连通时，外接电脑设备可直接读取整机前置USB接口的移动存储设备数据，连接整机前置USB接口的翻页笔和无线键鼠可直接使用于外接电脑。</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8:Android系统和Windows系统下，支持通过任何一个前置USB接口读取外接移动存储设备。整机具备不少于1路侧置双通道USB接口，双系统USB接口支持Windows和Android双系统读取外接存储设备数据和识别展台信号。</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支持通道自动跳转功能，如整机处于正常使用状态，HDMI信号接入时，能自动识别并切换到对应的HDMI信号源通道，且断开后能回到上一通道，自动跳转前支持选择确认，待确认后再跳转。支持外接信号输入时自动唤醒功能，整机处于关机通电状态，外接电脑显示信号通过HDMI传输线连接至整机时，整机可智能识别外接电脑设备信号输入并自动开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10:支持半屏模式，将Windows显示画面上半部分下拉到显示屏的下半部分显示，此时依然可以正常触控操作Windows系统；点击非Windows显示画面区域，即可退出该模式，无需其他设置。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11:具备智能手势识别功能，在任意信号源通道下可识别五指上、下、左、右方向手势滑动并调用响应功能，支持将各手势滑动方向自定义设置为无操作、熄屏、批注、桌面、半屏模式。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12:整机内置专业硬件自检维护工具，支持对触摸框、PC模块等模块进行检测，针对不同模块给出问题原因提示。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13:整机视网膜蓝光危害（蓝光加权辐射亮度LB）符合IEC62471标准，LB限值范围≤0.55（蓝光危害最大状况下）。</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14：整机具备供电保护模块，能够检测内置电脑是否插好在位，在内置电脑未在位的情况下，内置电脑无法上电工作。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15：内置蓝牙模块，能连接外部蓝牙音箱播放音频，也能接收外部手机通过蓝牙发送的文件。蓝牙支持 Bluetooth 4.2 标准,内置蓝牙模块工作距离不低于12m。</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16:整机无需外接无线网卡，在Windows系统下接入无线网络，切换到嵌入式Android系统下可直接实现无线上网功能，不需手动重复设置。部署单根网线可实现Android、Windows双系统有线网络连通。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17:支持标准、HDR、节能图像模式调节,支持同一支红外笔笔头、笔尾书写不同的颜色，且颜色可自定义,支持将自定义图片设置为开机画面。</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18:采用钢化玻璃，有效保护屏幕显示画面。玻璃表面采用纳米材料镀膜环保工艺，书写更加顺滑，防眩光效果更加优异。</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机身具备防盐雾锈蚀特性，且满足GB4943.1-2011标准中的防火要求。整机具备抗振动、防跌落特性，保证整机运输或使用过程中不易受损。从外部通道切换到内部PC通道后，触摸框在1s内达到可触控状态。从PC通道切换到外部通道后在4s内达到可触摸状态。灰度等级≥256级。整机在五分钟内处于无信号接收状态时，能够自动关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内置触摸中控菜单，将信号源通道切换、护眼、声音调节整合到同一菜单下，无须实体按键，在任意显示通道下均可通过手势在屏幕上调取该触摸菜单。整机在任意通道的侧拉栏批注模式下，支持通过手势识别调出板擦工具擦除批注内容，可根据手与屏幕的接触面积自动调整板擦工具的大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21:触摸屏在照度100k lux 环境下可正常工作。触摸分辨率32768×32768。触摸响应时间≤4ms。触摸最小识别物≤3mm。整机屏幕触摸有效识别高度不超过3.5mm,，即触摸物体距离玻璃外表面高度不超过3.5mm时，触摸屏识别为点击操作。触摸屏具有防遮挡功能，触摸接收器在单点或多点遮挡后仍能正常书写。</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 Windows XP、Windows 7、Windows 8、Windows 8.1、 Windows 10、Linux、Mac Os系统外置电脑操作系统接入时，无需安装触摸框驱动。嵌入式Android操作系统下，白板支持对已经书写的笔迹和形状的颜色进行更换。嵌入式Android操作系统下，互动白板支持不同背景颜色，同时提供学科专用背景，如：五线谱、信纸、田字格、英文格、篮球和足球场地平面图。无PC状态下，嵌入式系统内置互动白板支持十笔书写及手掌擦除（手掌擦除面积根据手掌与屏幕的接触面大小自动调整），白板书写内容可导出PDF、IWB、SVG格式。支持10种以上平面图形工具，支持8种以上立体图形工具。无PC状态下，嵌入式系统内置互动白板支持全局漫游，并对全局内容进行预览和移动。无PC状态下，嵌入式Android操作系统下可实现windows系统中常用的教学应用功能，如白板书写、WPS软件使用、网页浏览。在嵌入式Android操作系统下，能对TV多媒体USB所读取到的文件进行自动归类，可分类查找文档、板书、图片、音视频，检索后可直接在界面中打开。（提供检测报告）</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23.OPS参数：采用抽拉内置式模块化电脑，抽拉内置式，PC模块可插入整机，可实现无单独接线的插拔。按压式卡扣方式，无需工具即可快速拆卸电脑模块。搭载Intel 10代酷睿 i5以上CPU。内存：</w:t>
            </w:r>
            <w:r>
              <w:rPr>
                <w:rFonts w:hint="default" w:ascii="宋体" w:hAnsi="宋体" w:eastAsia="宋体" w:cs="宋体"/>
                <w:sz w:val="21"/>
                <w:szCs w:val="21"/>
                <w:lang w:val="en-US" w:eastAsia="zh-CN"/>
              </w:rPr>
              <w:t>≥</w:t>
            </w:r>
            <w:r>
              <w:rPr>
                <w:rFonts w:hint="eastAsia" w:ascii="宋体" w:hAnsi="宋体" w:eastAsia="宋体" w:cs="宋体"/>
                <w:sz w:val="21"/>
                <w:szCs w:val="21"/>
                <w:lang w:val="en-US" w:eastAsia="zh-CN"/>
              </w:rPr>
              <w:t>8GB DDR4笔记本内存或以上配置。硬盘：</w:t>
            </w:r>
            <w:r>
              <w:rPr>
                <w:rFonts w:hint="default" w:ascii="宋体" w:hAnsi="宋体" w:eastAsia="宋体" w:cs="宋体"/>
                <w:sz w:val="21"/>
                <w:szCs w:val="21"/>
                <w:lang w:val="en-US" w:eastAsia="zh-CN"/>
              </w:rPr>
              <w:t>≥</w:t>
            </w:r>
            <w:r>
              <w:rPr>
                <w:rFonts w:hint="eastAsia" w:ascii="宋体" w:hAnsi="宋体" w:eastAsia="宋体" w:cs="宋体"/>
                <w:sz w:val="21"/>
                <w:szCs w:val="21"/>
                <w:lang w:val="en-US" w:eastAsia="zh-CN"/>
              </w:rPr>
              <w:t>256GB SSD固态硬盘或以上配置。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sz w:val="21"/>
                <w:szCs w:val="21"/>
                <w:highlight w:val="none"/>
                <w:lang w:val="en-US" w:eastAsia="zh-CN"/>
              </w:rPr>
              <w:t>配备移动支架。</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30</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default" w:ascii="宋体" w:hAnsi="宋体" w:cs="宋体"/>
                <w:sz w:val="21"/>
                <w:szCs w:val="21"/>
                <w:lang w:val="en-US" w:eastAsia="zh-CN"/>
              </w:rPr>
              <w:t>摄像机</w:t>
            </w:r>
          </w:p>
        </w:tc>
        <w:tc>
          <w:tcPr>
            <w:tcW w:w="3136" w:type="pct"/>
            <w:shd w:val="clear" w:color="D9E1F4" w:fill="auto"/>
            <w:noWrap/>
            <w:vAlign w:val="center"/>
          </w:tcPr>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支持人脸抓拍，支持检出两眼瞳距40像素点以上的人脸</w:t>
            </w:r>
            <w:r>
              <w:rPr>
                <w:rFonts w:hint="eastAsia" w:ascii="宋体" w:hAnsi="宋体"/>
                <w:szCs w:val="21"/>
                <w:lang w:eastAsia="zh-CN"/>
              </w:rPr>
              <w:t>，</w:t>
            </w:r>
            <w:r>
              <w:rPr>
                <w:rFonts w:hint="eastAsia" w:ascii="宋体" w:hAnsi="宋体"/>
                <w:szCs w:val="21"/>
              </w:rPr>
              <w:t>支持300个预置位，可按照所设置的预置位完成不小于8条巡航路径，支持不小于4条模式路径设置，支持预置位视频冻结功能</w:t>
            </w:r>
            <w:r>
              <w:rPr>
                <w:rFonts w:hint="eastAsia" w:ascii="宋体" w:hAnsi="宋体"/>
                <w:szCs w:val="21"/>
                <w:lang w:eastAsia="zh-CN"/>
              </w:rPr>
              <w:t>。</w:t>
            </w:r>
            <w:r>
              <w:rPr>
                <w:rFonts w:hint="eastAsia" w:ascii="宋体" w:hAnsi="宋体"/>
                <w:szCs w:val="21"/>
              </w:rPr>
              <w:t>★支持最低照度可达彩色0.0002Lux，黑白0.0001Lux（</w:t>
            </w:r>
            <w:r>
              <w:rPr>
                <w:rFonts w:hint="eastAsia" w:ascii="宋体" w:hAnsi="宋体"/>
                <w:szCs w:val="21"/>
                <w:lang w:val="en-US" w:eastAsia="zh-CN"/>
              </w:rPr>
              <w:t>提供检测报告</w:t>
            </w:r>
            <w:r>
              <w:rPr>
                <w:rFonts w:hint="eastAsia" w:ascii="宋体" w:hAnsi="宋体"/>
                <w:szCs w:val="21"/>
              </w:rPr>
              <w:t>） 支持区域入侵侦测、越界侦测、进入区域侦测和离开区域侦等智能侦测并联动跟踪;</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支持切换为人脸抓拍模式，最大同时抓拍5张人脸;</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采用高效补光阵列，低功耗，红外补光150m;</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内置加热玻璃，有效除雾;</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支持最大2560×1920@20fps高清画面输出;</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支持23倍光学变倍，16倍数字变倍;</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支持三码流技术，每路码流可独立配置分辨率及帧率;</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码流平滑设置,适应不同场景下对图像质量、流畅性的不同要求;</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支持低码率、低延时、ROI感兴趣区域增强编码;</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支持GBK字库,支持更多汉字及生僻字叠加;</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支持SVC自适应编码技术;</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 xml:space="preserve"> 支持OSD颜色自选;</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支持3D数字降噪, 支持120dB宽动态;</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支持定时抓图与事件抓图功能;</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支持定时任务、一键守望、一键巡航功能;</w:t>
            </w:r>
          </w:p>
          <w:p>
            <w:pPr>
              <w:pStyle w:val="49"/>
              <w:keepNext w:val="0"/>
              <w:keepLines w:val="0"/>
              <w:pageBreakBefore w:val="0"/>
              <w:widowControl w:val="0"/>
              <w:kinsoku/>
              <w:wordWrap/>
              <w:overflowPunct/>
              <w:topLinePunct w:val="0"/>
              <w:autoSpaceDE/>
              <w:autoSpaceDN/>
              <w:bidi w:val="0"/>
              <w:adjustRightInd/>
              <w:snapToGrid/>
              <w:spacing w:line="288" w:lineRule="auto"/>
              <w:ind w:firstLine="0" w:firstLineChars="0"/>
              <w:jc w:val="left"/>
              <w:textAlignment w:val="auto"/>
              <w:rPr>
                <w:rFonts w:hint="eastAsia" w:ascii="宋体" w:hAnsi="宋体"/>
                <w:szCs w:val="21"/>
              </w:rPr>
            </w:pPr>
            <w:r>
              <w:rPr>
                <w:rFonts w:hint="eastAsia" w:ascii="宋体" w:hAnsi="宋体"/>
                <w:szCs w:val="21"/>
              </w:rPr>
              <w:t>支持多播功能;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支持两进一出报警、一进一出音频、最大支持256G microSD卡存储;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IP66，抗干扰能力强，适用于严酷的电磁环境，符合GB/T17626.2/3/4/5/6四级标准;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宽动态：120dB超宽动态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红外照射距离：150米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水平范围：360°</w:t>
            </w:r>
          </w:p>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rPr>
              <w:t>垂直范围：-15°-90°(自动翻转)</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31</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摄像机</w:t>
            </w:r>
          </w:p>
        </w:tc>
        <w:tc>
          <w:tcPr>
            <w:tcW w:w="3136" w:type="pct"/>
            <w:shd w:val="clear" w:color="D9E1F4" w:fill="auto"/>
            <w:noWrap/>
            <w:vAlign w:val="center"/>
          </w:tcPr>
          <w:p>
            <w:pPr>
              <w:rPr>
                <w:rFonts w:hint="eastAsia" w:ascii="宋体" w:hAnsi="宋体"/>
                <w:szCs w:val="21"/>
              </w:rPr>
            </w:pPr>
            <w:r>
              <w:rPr>
                <w:rFonts w:hint="eastAsia" w:ascii="宋体" w:hAnsi="宋体"/>
                <w:szCs w:val="21"/>
              </w:rPr>
              <w:t>500万 1/2.7" CMOS红外筒型网络摄像机</w:t>
            </w:r>
          </w:p>
          <w:p>
            <w:pPr>
              <w:rPr>
                <w:rFonts w:hint="eastAsia" w:ascii="宋体" w:hAnsi="宋体"/>
                <w:szCs w:val="21"/>
              </w:rPr>
            </w:pPr>
            <w:r>
              <w:rPr>
                <w:rFonts w:hint="eastAsia" w:ascii="宋体" w:hAnsi="宋体"/>
                <w:szCs w:val="21"/>
              </w:rPr>
              <w:t>传导骚扰限值应符合GB 9254-2008中等级A的规定。射频电磁场辐射抗扰度限值应符合GB/T 17626.3-2006中试验等级3的规定。★红外摄像机在30米距离下应能探测到目标。（</w:t>
            </w:r>
            <w:r>
              <w:rPr>
                <w:rFonts w:hint="eastAsia" w:ascii="宋体" w:hAnsi="宋体"/>
                <w:szCs w:val="21"/>
                <w:lang w:val="en-US" w:eastAsia="zh-CN"/>
              </w:rPr>
              <w:t>提供</w:t>
            </w:r>
            <w:r>
              <w:rPr>
                <w:rFonts w:hint="eastAsia" w:ascii="宋体" w:hAnsi="宋体"/>
                <w:szCs w:val="21"/>
              </w:rPr>
              <w:t>检验报告证明）智能侦测：支持越界侦测，区域入侵侦测</w:t>
            </w:r>
          </w:p>
          <w:p>
            <w:pPr>
              <w:rPr>
                <w:rFonts w:hint="eastAsia" w:ascii="宋体" w:hAnsi="宋体"/>
                <w:szCs w:val="21"/>
              </w:rPr>
            </w:pPr>
            <w:r>
              <w:rPr>
                <w:rFonts w:hint="eastAsia" w:ascii="宋体" w:hAnsi="宋体"/>
                <w:szCs w:val="21"/>
              </w:rPr>
              <w:t>最低照度: 彩色：0.005 Lux @（F1.2，AGC ON），0 Lux with IR</w:t>
            </w:r>
          </w:p>
          <w:p>
            <w:pPr>
              <w:rPr>
                <w:rFonts w:hint="eastAsia" w:ascii="宋体" w:hAnsi="宋体"/>
                <w:szCs w:val="21"/>
              </w:rPr>
            </w:pPr>
            <w:r>
              <w:rPr>
                <w:rFonts w:hint="eastAsia" w:ascii="宋体" w:hAnsi="宋体"/>
                <w:szCs w:val="21"/>
              </w:rPr>
              <w:t>宽动态: 120 dB</w:t>
            </w:r>
          </w:p>
          <w:p>
            <w:pPr>
              <w:rPr>
                <w:rFonts w:hint="eastAsia" w:ascii="宋体" w:hAnsi="宋体"/>
                <w:szCs w:val="21"/>
              </w:rPr>
            </w:pPr>
            <w:r>
              <w:rPr>
                <w:rFonts w:hint="eastAsia" w:ascii="宋体" w:hAnsi="宋体"/>
                <w:szCs w:val="21"/>
              </w:rPr>
              <w:t>补光灯类型: 红外灯</w:t>
            </w:r>
          </w:p>
          <w:p>
            <w:pPr>
              <w:rPr>
                <w:rFonts w:hint="eastAsia" w:ascii="宋体" w:hAnsi="宋体"/>
                <w:szCs w:val="21"/>
              </w:rPr>
            </w:pPr>
            <w:r>
              <w:rPr>
                <w:rFonts w:hint="eastAsia" w:ascii="宋体" w:hAnsi="宋体"/>
                <w:szCs w:val="21"/>
              </w:rPr>
              <w:t>补光距离: 最远可达30 m</w:t>
            </w:r>
          </w:p>
          <w:p>
            <w:pPr>
              <w:rPr>
                <w:rFonts w:hint="eastAsia" w:ascii="宋体" w:hAnsi="宋体"/>
                <w:szCs w:val="21"/>
              </w:rPr>
            </w:pPr>
            <w:r>
              <w:rPr>
                <w:rFonts w:hint="eastAsia" w:ascii="宋体" w:hAnsi="宋体"/>
                <w:szCs w:val="21"/>
              </w:rPr>
              <w:t>红外波长范围: 850 nm</w:t>
            </w:r>
          </w:p>
          <w:p>
            <w:pPr>
              <w:rPr>
                <w:rFonts w:hint="eastAsia" w:ascii="宋体" w:hAnsi="宋体"/>
                <w:szCs w:val="21"/>
              </w:rPr>
            </w:pPr>
            <w:r>
              <w:rPr>
                <w:rFonts w:hint="eastAsia" w:ascii="宋体" w:hAnsi="宋体"/>
                <w:szCs w:val="21"/>
              </w:rPr>
              <w:t>防补光过曝: 支持</w:t>
            </w:r>
          </w:p>
          <w:p>
            <w:pPr>
              <w:rPr>
                <w:rFonts w:hint="eastAsia" w:ascii="宋体" w:hAnsi="宋体"/>
                <w:szCs w:val="21"/>
              </w:rPr>
            </w:pPr>
            <w:r>
              <w:rPr>
                <w:rFonts w:hint="eastAsia" w:ascii="宋体" w:hAnsi="宋体"/>
                <w:szCs w:val="21"/>
              </w:rPr>
              <w:t xml:space="preserve">最大图像尺寸: 2560 × 1920 </w:t>
            </w:r>
          </w:p>
          <w:p>
            <w:pPr>
              <w:rPr>
                <w:rFonts w:hint="eastAsia" w:ascii="宋体" w:hAnsi="宋体"/>
                <w:szCs w:val="21"/>
              </w:rPr>
            </w:pPr>
            <w:r>
              <w:rPr>
                <w:rFonts w:hint="eastAsia" w:ascii="宋体" w:hAnsi="宋体"/>
                <w:szCs w:val="21"/>
              </w:rPr>
              <w:t>视频压缩标准: 主码流：H.265/H.264</w:t>
            </w:r>
          </w:p>
          <w:p>
            <w:pPr>
              <w:rPr>
                <w:rFonts w:hint="eastAsia" w:ascii="宋体" w:hAnsi="宋体"/>
                <w:szCs w:val="21"/>
              </w:rPr>
            </w:pPr>
            <w:r>
              <w:rPr>
                <w:rFonts w:hint="eastAsia" w:ascii="宋体" w:hAnsi="宋体"/>
                <w:szCs w:val="21"/>
              </w:rPr>
              <w:t>网络存储: 支持NAS（NFS，SMB/CIFS均支持）</w:t>
            </w:r>
          </w:p>
          <w:p>
            <w:pPr>
              <w:rPr>
                <w:rFonts w:hint="eastAsia" w:ascii="宋体" w:hAnsi="宋体"/>
                <w:szCs w:val="21"/>
              </w:rPr>
            </w:pPr>
            <w:r>
              <w:rPr>
                <w:rFonts w:hint="eastAsia" w:ascii="宋体" w:hAnsi="宋体"/>
                <w:szCs w:val="21"/>
              </w:rPr>
              <w:t>音频: 1个内置麦克风</w:t>
            </w:r>
          </w:p>
          <w:p>
            <w:pPr>
              <w:rPr>
                <w:rFonts w:hint="eastAsia" w:ascii="宋体" w:hAnsi="宋体"/>
                <w:szCs w:val="21"/>
              </w:rPr>
            </w:pPr>
            <w:r>
              <w:rPr>
                <w:rFonts w:hint="eastAsia" w:ascii="宋体" w:hAnsi="宋体"/>
                <w:szCs w:val="21"/>
              </w:rPr>
              <w:t>网络: 1个RJ45 10 M/100 M自适应以太网口</w:t>
            </w:r>
          </w:p>
          <w:p>
            <w:pPr>
              <w:rPr>
                <w:rFonts w:hint="eastAsia" w:ascii="宋体" w:hAnsi="宋体"/>
                <w:szCs w:val="21"/>
              </w:rPr>
            </w:pPr>
            <w:r>
              <w:rPr>
                <w:rFonts w:hint="eastAsia" w:ascii="宋体" w:hAnsi="宋体"/>
                <w:szCs w:val="21"/>
              </w:rPr>
              <w:t>存储温湿度: -30 ℃~60 ℃，湿度小于95%（无凝结）</w:t>
            </w:r>
          </w:p>
          <w:p>
            <w:pPr>
              <w:rPr>
                <w:rFonts w:hint="eastAsia" w:ascii="宋体" w:hAnsi="宋体"/>
                <w:szCs w:val="21"/>
              </w:rPr>
            </w:pPr>
            <w:r>
              <w:rPr>
                <w:rFonts w:hint="eastAsia" w:ascii="宋体" w:hAnsi="宋体"/>
                <w:szCs w:val="21"/>
              </w:rPr>
              <w:t>启动和工作温湿度: -30 ℃~60 ℃，湿度小于95%（无凝结）</w:t>
            </w:r>
          </w:p>
          <w:p>
            <w:pPr>
              <w:rPr>
                <w:rFonts w:hint="eastAsia" w:ascii="宋体" w:hAnsi="宋体"/>
                <w:szCs w:val="21"/>
              </w:rPr>
            </w:pPr>
            <w:r>
              <w:rPr>
                <w:rFonts w:hint="eastAsia" w:ascii="宋体" w:hAnsi="宋体"/>
                <w:szCs w:val="21"/>
              </w:rPr>
              <w:t>供电方式: DC：12 V ± 25%，支持防反接保护</w:t>
            </w:r>
          </w:p>
          <w:p>
            <w:pPr>
              <w:rPr>
                <w:rFonts w:hint="eastAsia" w:ascii="宋体" w:hAnsi="宋体"/>
                <w:szCs w:val="21"/>
              </w:rPr>
            </w:pPr>
            <w:r>
              <w:rPr>
                <w:rFonts w:hint="eastAsia" w:ascii="宋体" w:hAnsi="宋体"/>
                <w:szCs w:val="21"/>
              </w:rPr>
              <w:t>电流及功耗: DC：12 V，0.41 A，最大功耗：5 W</w:t>
            </w:r>
          </w:p>
          <w:p>
            <w:pPr>
              <w:rPr>
                <w:rFonts w:hint="eastAsia" w:ascii="宋体" w:hAnsi="宋体"/>
                <w:szCs w:val="21"/>
              </w:rPr>
            </w:pPr>
            <w:r>
              <w:rPr>
                <w:rFonts w:hint="eastAsia" w:ascii="宋体" w:hAnsi="宋体"/>
                <w:szCs w:val="21"/>
              </w:rPr>
              <w:t xml:space="preserve">产品尺寸: </w:t>
            </w:r>
            <w:r>
              <w:rPr>
                <w:rFonts w:hint="eastAsia" w:ascii="宋体" w:hAnsi="宋体"/>
                <w:szCs w:val="21"/>
                <w:lang w:val="en-US" w:eastAsia="zh-CN"/>
              </w:rPr>
              <w:t>约为</w:t>
            </w:r>
            <w:r>
              <w:rPr>
                <w:rFonts w:hint="eastAsia" w:ascii="宋体" w:hAnsi="宋体"/>
                <w:szCs w:val="21"/>
              </w:rPr>
              <w:t>186.6 × 92.7 × 87.6 mm</w:t>
            </w:r>
          </w:p>
          <w:p>
            <w:pP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rPr>
              <w:t>防护: IP66</w:t>
            </w:r>
          </w:p>
        </w:tc>
        <w:tc>
          <w:tcPr>
            <w:tcW w:w="532"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32</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硬盘录像机</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2U机架式9盘位嵌入式网络硬盘录像机，整机采用短机箱设计，搭载高性能ATX电源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接入带有温度报警、烟雾报警、障碍物遮挡报警、移动报警、防拆报警、紧急报警的智慧消防相机，当触发报警时，样机可联动录像、抓拍并保存图片、弹出报警画面、声音警告、上传中心、发送邮件、触发报警输出，并按通道、时间、类型检索报警图片，录像搜索结果支持图片和列表两种展现形式；</w:t>
            </w:r>
            <w:r>
              <w:rPr>
                <w:rFonts w:hint="eastAsia" w:ascii="宋体" w:hAnsi="宋体"/>
                <w:szCs w:val="21"/>
                <w:lang w:val="en-US" w:eastAsia="zh-CN"/>
              </w:rPr>
              <w:t>(提供</w:t>
            </w:r>
            <w:r>
              <w:rPr>
                <w:rFonts w:hint="eastAsia" w:ascii="宋体" w:hAnsi="宋体"/>
                <w:szCs w:val="21"/>
              </w:rPr>
              <w:t>检测报告）</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szCs w:val="21"/>
              </w:rPr>
            </w:pPr>
            <w:r>
              <w:rPr>
                <w:rFonts w:hint="eastAsia" w:ascii="宋体" w:hAnsi="宋体"/>
                <w:szCs w:val="21"/>
              </w:rPr>
              <w:t>设备具有2个HDMI接口，2个VGA接口，1个CVBS接口，支持3组异源输出，每组输出可独立配置全局音频预览；（CVBS接口选配支持）</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szCs w:val="21"/>
              </w:rPr>
            </w:pPr>
            <w:r>
              <w:rPr>
                <w:rFonts w:hint="eastAsia" w:ascii="宋体" w:hAnsi="宋体"/>
                <w:szCs w:val="21"/>
              </w:rPr>
              <w:t>具有2个HDMI接口、2个VGA接口、2个RJ45千兆网络接口、2个USB2.0接口、2个USB3.0接口、1个RS232接口、1个RS485接口（可接入RS485键盘）、1个eSata接口；具有1路音频输入接口、2路音频输出接口，可内置9个SATA接口硬盘；</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szCs w:val="21"/>
              </w:rPr>
            </w:pPr>
            <w:r>
              <w:rPr>
                <w:rFonts w:hint="eastAsia" w:ascii="宋体" w:hAnsi="宋体"/>
                <w:szCs w:val="21"/>
              </w:rPr>
              <w:t>具有16路报警输入接口、9路报警输出接口（其中第9路支持受控直流12V输出）；具有1路直流12V输出接口；</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存储接口：9个SATA接口，可满配12TB硬盘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视频接口：2×HDMI，2×VGA</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网络接口：2×RJ45 10/100/1000Mbps自适应以太网口</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报警接口：16路报警输入，4路报警输出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串行接口：1路RS-232接口，1路全双工RS-485接口</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USB接口：2×USB 2.0，2×USB 3.0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【产品性能】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接入能力：64路H.264、H.265格式高清码流接入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解码能力：最大支持32×1080P</w:t>
            </w:r>
          </w:p>
          <w:p>
            <w:pPr>
              <w:pStyle w:val="174"/>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rPr>
              <w:t>RAID模式：RAID0、RAID1、RAID5、RAID6、RAID10，</w:t>
            </w:r>
            <w:r>
              <w:rPr>
                <w:rFonts w:hint="eastAsia" w:ascii="宋体" w:hAnsi="宋体" w:eastAsia="宋体" w:cs="Times New Roman"/>
                <w:kern w:val="2"/>
                <w:sz w:val="21"/>
                <w:szCs w:val="21"/>
                <w:lang w:val="en-US" w:eastAsia="zh-CN" w:bidi="ar-SA"/>
              </w:rPr>
              <w:t>支持全局热备</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33</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sz w:val="21"/>
                <w:szCs w:val="21"/>
                <w:lang w:val="en-US" w:eastAsia="zh-CN"/>
              </w:rPr>
              <w:t>监控显示器</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★显示单元支持软关机记忆功能，若屏幕在断电前处于待机状态，下一次上电后，仍然处于待机状态。提供封面首页具有CNAS、CMA标识的第三方检测报告复印件。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具有调整γ曲线的功能。支持3840*2160@60Hz超高清显示;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采用超宽视角屏幕（上下左右）178°;</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3D数字图象降噪处理技术，画质更真实更清晰;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支持HDR显示标准，画面更细腻;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内置喇叭及功放，支持3.5 mm音频输入;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支持U盘点播，含文本、图片、音频、视频等多种格式多媒体播放;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实时监控设备温度，高温报警;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显示尺寸：55 inch</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物理分辨率：3840 × 2160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屏幕可视区域：1209.6 (H) mm x 680.4 (V) mm</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像素间距：0.315 (H) mm x 0.315 (V) mm</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亮度：450 cd/m²</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可视角：178° (H)/178° (V)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色深度：10 bit, 1.07B</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对比度：1200 : 1</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音视频输入接口：HDMI 2.0 × 1，VGA×1，DP1.2×1，AUDIO IN×1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音视频输出接口：AUDIO OUT × 1，Speaker(8Ω 5W) × 2</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数据传输接口：USB2.0  × 1(支持程序升级及U盘播放)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 控制接口：RS232 IN×1，RS232 OUT×1 </w:t>
            </w:r>
          </w:p>
          <w:p>
            <w:pPr>
              <w:pStyle w:val="174"/>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szCs w:val="21"/>
              </w:rPr>
              <w:t>电源：100~240 V , 50/60Hz</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34</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UPS电源</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额定容量</w:t>
            </w:r>
            <w:r>
              <w:rPr>
                <w:rFonts w:hint="eastAsia" w:ascii="宋体" w:hAnsi="宋体"/>
                <w:szCs w:val="21"/>
                <w:lang w:val="en-US" w:eastAsia="zh-CN"/>
              </w:rPr>
              <w:t>≥</w:t>
            </w:r>
            <w:r>
              <w:rPr>
                <w:rFonts w:hint="eastAsia" w:ascii="宋体" w:hAnsi="宋体"/>
                <w:szCs w:val="21"/>
              </w:rPr>
              <w:t xml:space="preserve">6000VA / 5400W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输入电压范围：80～275Vac</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相数：单相三线</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输入频率范围：50/60±10%（自适应）</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★输入功率因数：&gt;0.9</w:t>
            </w:r>
            <w:r>
              <w:rPr>
                <w:rFonts w:hint="eastAsia" w:ascii="宋体" w:hAnsi="宋体"/>
                <w:szCs w:val="21"/>
                <w:lang w:val="en-US" w:eastAsia="zh-CN"/>
              </w:rPr>
              <w:t>5</w:t>
            </w:r>
            <w:r>
              <w:rPr>
                <w:rFonts w:hint="eastAsia" w:ascii="宋体" w:hAnsi="宋体"/>
                <w:szCs w:val="21"/>
              </w:rPr>
              <w:t>（满载）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输出电压：208/220/230/240±1%</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支持</w:t>
            </w:r>
            <w:r>
              <w:rPr>
                <w:rFonts w:hint="eastAsia" w:ascii="宋体" w:hAnsi="宋体"/>
                <w:szCs w:val="21"/>
              </w:rPr>
              <w:t>电池欠压保护、过载保护、短路保护、过温保护、输入过压保护</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通信功能：RS232，EPO（标配），可选配USB、SNMP、干接点等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电池：</w:t>
            </w:r>
            <w:r>
              <w:rPr>
                <w:rFonts w:hint="eastAsia" w:ascii="宋体" w:hAnsi="宋体"/>
                <w:szCs w:val="21"/>
              </w:rPr>
              <w:t>1、额定电压：</w:t>
            </w:r>
            <w:r>
              <w:rPr>
                <w:rFonts w:hint="eastAsia" w:ascii="宋体" w:hAnsi="宋体"/>
                <w:szCs w:val="21"/>
                <w:lang w:val="en-US" w:eastAsia="zh-CN"/>
              </w:rPr>
              <w:t>≥</w:t>
            </w:r>
            <w:r>
              <w:rPr>
                <w:rFonts w:hint="eastAsia" w:ascii="宋体" w:hAnsi="宋体"/>
                <w:szCs w:val="21"/>
              </w:rPr>
              <w:t>12V</w:t>
            </w:r>
          </w:p>
          <w:p>
            <w:pPr>
              <w:keepNext w:val="0"/>
              <w:keepLines w:val="0"/>
              <w:pageBreakBefore w:val="0"/>
              <w:widowControl w:val="0"/>
              <w:kinsoku/>
              <w:wordWrap/>
              <w:overflowPunct/>
              <w:topLinePunct w:val="0"/>
              <w:autoSpaceDE/>
              <w:autoSpaceDN/>
              <w:bidi w:val="0"/>
              <w:adjustRightInd/>
              <w:snapToGrid/>
              <w:spacing w:line="288" w:lineRule="auto"/>
              <w:ind w:firstLine="630" w:firstLineChars="30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rPr>
              <w:t>2、额定容量：</w:t>
            </w:r>
            <w:r>
              <w:rPr>
                <w:rFonts w:hint="eastAsia" w:ascii="宋体" w:hAnsi="宋体"/>
                <w:szCs w:val="21"/>
                <w:lang w:val="en-US" w:eastAsia="zh-CN"/>
              </w:rPr>
              <w:t>≥</w:t>
            </w:r>
            <w:r>
              <w:rPr>
                <w:rFonts w:hint="eastAsia" w:ascii="宋体" w:hAnsi="宋体"/>
                <w:szCs w:val="21"/>
              </w:rPr>
              <w:t>38AH</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35</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监控材料及施工</w:t>
            </w:r>
          </w:p>
        </w:tc>
        <w:tc>
          <w:tcPr>
            <w:tcW w:w="3136" w:type="pct"/>
            <w:shd w:val="clear" w:color="D9E1F4" w:fill="auto"/>
            <w:noWrap/>
            <w:vAlign w:val="center"/>
          </w:tcPr>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线缆及辅材。</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批</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36</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highlight w:val="none"/>
                <w:lang w:val="en-US" w:eastAsia="zh-CN"/>
              </w:rPr>
              <w:t>台式电脑</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1、处理器：≥Intel Core I5-12400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、内存：≥8G DDR4 3200MHz 内存，提供双内存槽位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、硬盘：512G固态硬盘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4</w:t>
            </w:r>
            <w:r>
              <w:rPr>
                <w:rFonts w:hint="eastAsia" w:ascii="宋体" w:hAnsi="宋体"/>
                <w:szCs w:val="21"/>
              </w:rPr>
              <w:t>、显卡：核心显卡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5</w:t>
            </w:r>
            <w:r>
              <w:rPr>
                <w:rFonts w:hint="eastAsia" w:ascii="宋体" w:hAnsi="宋体"/>
                <w:szCs w:val="21"/>
              </w:rPr>
              <w:t>、声卡：集成声卡，共3个音频接口</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6</w:t>
            </w:r>
            <w:r>
              <w:rPr>
                <w:rFonts w:hint="eastAsia" w:ascii="宋体" w:hAnsi="宋体"/>
                <w:szCs w:val="21"/>
              </w:rPr>
              <w:t>、网卡：集成10/100/1000M以太网卡；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7</w:t>
            </w:r>
            <w:r>
              <w:rPr>
                <w:rFonts w:hint="eastAsia" w:ascii="宋体" w:hAnsi="宋体"/>
                <w:szCs w:val="21"/>
              </w:rPr>
              <w:t>、键鼠：防水、抗菌；标配键盘开机功能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szCs w:val="21"/>
                <w:lang w:val="en-US" w:eastAsia="zh-CN"/>
              </w:rPr>
            </w:pPr>
            <w:r>
              <w:rPr>
                <w:rFonts w:hint="eastAsia" w:ascii="宋体" w:hAnsi="宋体"/>
                <w:szCs w:val="21"/>
                <w:lang w:val="en-US" w:eastAsia="zh-CN"/>
              </w:rPr>
              <w:t>8</w:t>
            </w:r>
            <w:r>
              <w:rPr>
                <w:rFonts w:hint="eastAsia" w:ascii="宋体" w:hAnsi="宋体"/>
                <w:szCs w:val="21"/>
              </w:rPr>
              <w:t>、显示器：≥21.45寸显示器 ,具备低蓝光护眼功能</w:t>
            </w:r>
            <w:r>
              <w:rPr>
                <w:rFonts w:hint="eastAsia" w:ascii="宋体" w:hAnsi="宋体"/>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lang w:val="en-US" w:eastAsia="zh-CN"/>
              </w:rPr>
              <w:t>9</w:t>
            </w:r>
            <w:r>
              <w:rPr>
                <w:rFonts w:hint="eastAsia" w:ascii="宋体" w:hAnsi="宋体"/>
                <w:szCs w:val="21"/>
              </w:rPr>
              <w:t xml:space="preserve">、接口：≥6个USB接口（其中至少4个USB 3.2 Gen1）、1*VGA接口、1*HDMI接口（VGA非转接）；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10</w:t>
            </w:r>
            <w:r>
              <w:rPr>
                <w:rFonts w:hint="eastAsia" w:ascii="宋体" w:hAnsi="宋体"/>
                <w:szCs w:val="21"/>
              </w:rPr>
              <w:t>、机箱：顶置电源开关键</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37</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笔记本电脑</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显示屏： 14” LED雾面防眩光液晶显示屏（1920x1080），屏幕</w:t>
            </w:r>
            <w:r>
              <w:rPr>
                <w:rFonts w:hint="eastAsia" w:ascii="宋体" w:hAnsi="宋体"/>
                <w:szCs w:val="21"/>
                <w:lang w:val="en-US" w:eastAsia="zh-CN"/>
              </w:rPr>
              <w:t>可</w:t>
            </w:r>
            <w:r>
              <w:rPr>
                <w:rFonts w:hint="eastAsia" w:ascii="宋体" w:hAnsi="宋体"/>
                <w:szCs w:val="21"/>
              </w:rPr>
              <w:t>180度平放，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CPU：≥Intel十代酷睿i5-1035G1处理器；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内存：≥8G DDR4 2666MHz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硬盘：≥512G M.2 PCIe NVME SSD硬盘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显卡：集成显卡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网卡：集成100/1000MB自适应网卡；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网卡： 802.11 2x2无线网卡（集成蓝牙功能）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声卡：High Definition Audio声卡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摄像头：720P高清摄像头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 xml:space="preserve">体积：重量≤1.5KG（含电池），厚度≤18mm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szCs w:val="21"/>
                <w:lang w:val="en-US" w:eastAsia="zh-CN"/>
              </w:rPr>
            </w:pPr>
            <w:r>
              <w:rPr>
                <w:rFonts w:hint="eastAsia" w:ascii="宋体" w:hAnsi="宋体"/>
                <w:szCs w:val="21"/>
              </w:rPr>
              <w:t>接口：≥1个USB2.0，2个USB3.0接口，</w:t>
            </w:r>
            <w:r>
              <w:rPr>
                <w:rFonts w:hint="eastAsia" w:ascii="宋体" w:hAnsi="宋体"/>
                <w:szCs w:val="21"/>
                <w:lang w:val="en-US" w:eastAsia="zh-CN"/>
              </w:rPr>
              <w:t>1</w:t>
            </w:r>
            <w:r>
              <w:rPr>
                <w:rFonts w:hint="eastAsia" w:ascii="宋体" w:hAnsi="宋体"/>
                <w:szCs w:val="21"/>
              </w:rPr>
              <w:t>个type-C接口；HDMI接口</w:t>
            </w:r>
            <w:r>
              <w:rPr>
                <w:rFonts w:hint="eastAsia" w:ascii="宋体" w:hAnsi="宋体"/>
                <w:szCs w:val="21"/>
                <w:lang w:val="en-US" w:eastAsia="zh-CN"/>
              </w:rPr>
              <w:t>.</w:t>
            </w:r>
          </w:p>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210" w:firstLineChars="10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rPr>
              <w:t xml:space="preserve">操作系统：原厂预装正版Windows 10 Home操作系统 </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38</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速印机</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复印类型：黑白自动批量复印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复印速度：≥60-100张每分钟</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纸张容量≥1000张</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分辨率≥300dpi*300dpi</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图像处理模式支持文字、照片、图文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油墨供给：全自动</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39</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A3黑白打印机</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A3数码多功能一体机，打印/复印/扫描；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打印速度：24PPM；最佳打印分辨率：1200x1200dpi；首页打印时间； 黑白(A4，就绪模式)：少于8.6秒；自动双面打印；打印语言：PCL6, PS(仿真)；内存：256MB，处理器：600MHz；输入：100页多用途纸盒，250页纸盒，可选购250页纸盒（需选择金牌服务）；输出：250页输出纸盒；打印负荷50，000页/月；复印速度：24PPM（A4）；首页复印时间：7.1秒(A4，就绪模式)；复印分辨率：600X600dpi；复印缩放比例：25%到400%；100页自动翻转型双面送稿器；扫描速度：A4：高达 33 面/分钟(黑白和彩色)；A3：高达 21/14 面/分钟(黑白/彩色)；扫描分辨率：光学600dpi；标准接口：高速USB 2.0 ，以太网 10/100 Base TX；介质尺寸支持125x 102 到 297 x 914毫米</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Times New Roman"/>
                <w:kern w:val="2"/>
                <w:sz w:val="21"/>
                <w:szCs w:val="21"/>
                <w:lang w:val="en-US" w:eastAsia="zh-CN" w:bidi="ar-SA"/>
              </w:rPr>
            </w:pPr>
            <w:r>
              <w:rPr>
                <w:rFonts w:hint="eastAsia" w:ascii="宋体" w:hAnsi="宋体"/>
                <w:szCs w:val="21"/>
              </w:rPr>
              <w:t>保修：一年上门有限保修</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40</w:t>
            </w:r>
          </w:p>
        </w:tc>
        <w:tc>
          <w:tcPr>
            <w:tcW w:w="563" w:type="pct"/>
            <w:shd w:val="clear" w:color="D9E1F4" w:fill="auto"/>
            <w:noWrap/>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黑白激光打印机</w:t>
            </w:r>
          </w:p>
        </w:tc>
        <w:tc>
          <w:tcPr>
            <w:tcW w:w="3136" w:type="pct"/>
            <w:shd w:val="clear" w:color="D9E1F4" w:fill="auto"/>
            <w:noWrap/>
            <w:vAlign w:val="center"/>
          </w:tcPr>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rPr>
              <w:t>激光多功能一体机 ：黑白打印/复印/扫描多功能一体机,首页输出：8.3秒(A4，就绪模式)/18秒(A4，睡眠模式)；打印精度： 最佳模式：高达1200x1200dpi，正常模式：高达600x600dpi；打印语言：GDI(基于主机语言)；打印速度：20页/分钟；处理器速度：600 MHz；内存： 128MB；纸张处理：进纸盒：150页；出纸盒：100页；介质重量：60～163克/平方米；复印速度：正常模式、A4：高达 20 份/分钟；首页复印输出时间黑白(A4)：仅8.9秒；黑白(A4，睡眠模式)：最快17秒；复印缩小/放大设置：25% 到 400%；复印量（最大）：高达 99 份； 扫描类型：平板；硬件：高达4,800x4,800dpi；光学分辨率：高达600x600dpi；增强：高达4,800x4,800dpi； 最大扫描尺寸：216x297毫米；灰度级：256；位深：8位(黑白)；16位(彩色)；接口：高速USB 2.0端口；</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41</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彩色激光打印机</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rPr>
            </w:pPr>
            <w:r>
              <w:rPr>
                <w:rFonts w:hint="eastAsia" w:ascii="宋体" w:hAnsi="宋体"/>
                <w:szCs w:val="21"/>
              </w:rPr>
              <w:t>A4彩色打印/复印/扫描一体机</w:t>
            </w:r>
          </w:p>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rPr>
              <w:t>首页输出时间：黑白</w:t>
            </w:r>
            <w:r>
              <w:rPr>
                <w:rFonts w:hint="default" w:ascii="Arial" w:hAnsi="Arial" w:cs="Arial"/>
                <w:szCs w:val="21"/>
              </w:rPr>
              <w:t>≤</w:t>
            </w:r>
            <w:r>
              <w:rPr>
                <w:rFonts w:hint="eastAsia" w:ascii="宋体" w:hAnsi="宋体"/>
                <w:szCs w:val="21"/>
              </w:rPr>
              <w:t>11.8秒，彩色</w:t>
            </w:r>
            <w:r>
              <w:rPr>
                <w:rFonts w:hint="default" w:ascii="Arial" w:hAnsi="Arial" w:cs="Arial"/>
                <w:szCs w:val="21"/>
              </w:rPr>
              <w:t>≤</w:t>
            </w:r>
            <w:r>
              <w:rPr>
                <w:rFonts w:hint="eastAsia" w:ascii="宋体" w:hAnsi="宋体"/>
                <w:szCs w:val="21"/>
              </w:rPr>
              <w:t>13.7秒；打印速度：黑白16PPM，彩色16PPM；打印分辨率：600dpi；内存：</w:t>
            </w:r>
            <w:r>
              <w:rPr>
                <w:rFonts w:hint="default" w:ascii="Arial" w:hAnsi="Arial" w:cs="Arial"/>
                <w:szCs w:val="21"/>
              </w:rPr>
              <w:t>≥</w:t>
            </w:r>
            <w:r>
              <w:rPr>
                <w:rFonts w:hint="eastAsia" w:ascii="宋体" w:hAnsi="宋体"/>
                <w:szCs w:val="21"/>
              </w:rPr>
              <w:t>256 MB DDR，</w:t>
            </w:r>
            <w:r>
              <w:rPr>
                <w:rFonts w:hint="default" w:ascii="Arial" w:hAnsi="Arial" w:cs="Arial"/>
                <w:szCs w:val="21"/>
              </w:rPr>
              <w:t>≥</w:t>
            </w:r>
            <w:r>
              <w:rPr>
                <w:rFonts w:hint="eastAsia" w:ascii="宋体" w:hAnsi="宋体"/>
                <w:szCs w:val="21"/>
              </w:rPr>
              <w:t>128 MB闪存；处理器：</w:t>
            </w:r>
            <w:r>
              <w:rPr>
                <w:rFonts w:hint="default" w:ascii="Arial" w:hAnsi="Arial" w:cs="Arial"/>
                <w:szCs w:val="21"/>
              </w:rPr>
              <w:t>≥</w:t>
            </w:r>
            <w:r>
              <w:rPr>
                <w:rFonts w:hint="eastAsia" w:ascii="宋体" w:hAnsi="宋体"/>
                <w:szCs w:val="21"/>
              </w:rPr>
              <w:t>800MHz；进纸器容量：150页进纸盒，100页出纸盒；打印负荷：30000页/月；接口：高速 USB 2.0 端口； 1 个快速以太网 10/100Base-TX 端口；复印速度：黑白16PPM，彩色16PPM；复印分辨率：600dpi；扫描分辨率：1200dpi；自动开机关机；平板扫描。纸张处理：150页进纸盒；100页出纸盒保修</w:t>
            </w:r>
            <w:r>
              <w:rPr>
                <w:rFonts w:hint="eastAsia" w:ascii="宋体" w:hAnsi="宋体"/>
                <w:szCs w:val="21"/>
                <w:lang w:eastAsia="zh-CN"/>
              </w:rPr>
              <w:t>；</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42</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highlight w:val="none"/>
                <w:lang w:val="en-US" w:eastAsia="zh-CN"/>
              </w:rPr>
              <w:t>单人桌椅</w:t>
            </w:r>
            <w:bookmarkStart w:id="65" w:name="_GoBack"/>
            <w:bookmarkEnd w:id="65"/>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课桌面：尺寸为600mm*400mm，，高度为660—780mm，采用</w:t>
            </w:r>
            <w:r>
              <w:rPr>
                <w:rFonts w:hint="default" w:ascii="Arial" w:hAnsi="Arial" w:cs="Arial"/>
                <w:szCs w:val="21"/>
                <w:lang w:val="en-US" w:eastAsia="zh-CN"/>
              </w:rPr>
              <w:t>≥</w:t>
            </w:r>
            <w:r>
              <w:rPr>
                <w:rFonts w:hint="eastAsia" w:ascii="宋体" w:hAnsi="宋体"/>
                <w:szCs w:val="21"/>
                <w:lang w:val="en-US" w:eastAsia="zh-CN"/>
              </w:rPr>
              <w:t>18mm厚实木颗粒板PP注塑包边一体注塑成型，桌面正前方设有笔槽，四周圆角。</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课桌斗:单斗结构，采用优质冷轧钢板经模具冲压成型，斗箱内尺寸为：宽度470mm*深度290mm*高度160mm。冷轧钢板外露边缘界面做卷边处理，防止意外刮伤。冷轧板抽屉底板压折而成，底板有两道压轨。侧板采用：</w:t>
            </w:r>
            <w:r>
              <w:rPr>
                <w:rFonts w:hint="default" w:ascii="Arial" w:hAnsi="Arial" w:cs="Arial"/>
                <w:szCs w:val="21"/>
                <w:lang w:val="en-US" w:eastAsia="zh-CN"/>
              </w:rPr>
              <w:t>≥</w:t>
            </w:r>
            <w:r>
              <w:rPr>
                <w:rFonts w:hint="eastAsia" w:ascii="宋体" w:hAnsi="宋体"/>
                <w:szCs w:val="21"/>
                <w:lang w:val="en-US" w:eastAsia="zh-CN"/>
              </w:rPr>
              <w:t>0.8mm优质冷轧钢板成型，底板和中隔板采用：0.6mm优质冷轧板压折而成，底板及隔板有两道压轨。边沿部位折叠加强，可自由调节高度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课桌立柱：桌子地脚采用：20*49*1.1mm优质扁圆管，桌子横档采用20*49*1.1mm优质扁圆管，立柱采用：20*49*1.1mm优质扁圆管，双立柱结构。课桌斗侧板设1个采用环保PP工程塑料制成的挂钩，可拆卸。脚垫采用环保PP工程塑料注塑成形，颜色为蓝色。</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凳面尺寸：240mm*340mm，</w:t>
            </w:r>
            <w:r>
              <w:rPr>
                <w:rFonts w:hint="eastAsia" w:ascii="宋体" w:hAnsi="宋体" w:cs="宋体"/>
                <w:sz w:val="21"/>
                <w:szCs w:val="21"/>
                <w:lang w:val="en-US" w:eastAsia="zh-CN"/>
              </w:rPr>
              <w:t>高度为380-420mm，</w:t>
            </w:r>
            <w:r>
              <w:rPr>
                <w:rFonts w:hint="eastAsia" w:ascii="宋体" w:hAnsi="宋体"/>
                <w:szCs w:val="21"/>
                <w:lang w:val="en-US" w:eastAsia="zh-CN"/>
              </w:rPr>
              <w:t>采用</w:t>
            </w:r>
            <w:r>
              <w:rPr>
                <w:rFonts w:hint="default" w:ascii="Arial" w:hAnsi="Arial" w:cs="Arial"/>
                <w:szCs w:val="21"/>
                <w:lang w:val="en-US" w:eastAsia="zh-CN"/>
              </w:rPr>
              <w:t>≥</w:t>
            </w:r>
            <w:r>
              <w:rPr>
                <w:rFonts w:hint="eastAsia" w:ascii="宋体" w:hAnsi="宋体"/>
                <w:szCs w:val="21"/>
                <w:lang w:val="en-US" w:eastAsia="zh-CN"/>
              </w:rPr>
              <w:t>18mm厚实木颗粒板PP塑料注塑包边一次成型，面板四周圆角，贴面颜色与桌面搭配协调，无裂缝、变形，表面平整、边缘光滑无毛刺。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凳子升降片：上宽190mm,下宽165mm,总高210mm。材质采用：01.0mm厚优质冷轧钢板经模具冲压成型加强筋，冷轧钢板外露边缘界面做卷边处理，防止意外刮伤。双排升降孔，每排设有7个方形孔位，可自由调节高度。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凳架：地脚采用20*49*1.1mm扁圆管，立焊。双立柱结构：采用20*49*1.1mm扁圆管，横档采用：20*49*1.1mm扁圆管，采用二氧化碳保护焊接，保证无稀焊、漏焊。</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课凳脚套：材质采用PP工程塑料注塑成型。</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43</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卷闸门</w:t>
            </w:r>
          </w:p>
        </w:tc>
        <w:tc>
          <w:tcPr>
            <w:tcW w:w="3136" w:type="pct"/>
            <w:shd w:val="clear" w:color="D9E1F4" w:fill="auto"/>
            <w:noWrap/>
            <w:vAlign w:val="center"/>
          </w:tcPr>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210" w:firstLineChars="10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3M*3M铝合金电动门</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44</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单色显示LED屏</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1.5M*12M LED显示屏高亮灯珠包含线材改造及施工。</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45</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移动教师工作终端</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1、处理器：≥i7-1255处理器；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2、内存：≥16G DDR4 3200MHz 内存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 xml:space="preserve">3、硬盘： ≥512G M.2 PCIe NVME SSD硬盘  ；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 xml:space="preserve">4、显示屏：14” LED雾面防眩光液晶显示屏（1920x1080）， 配置合金转轴，屏幕180度平放。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5、显卡：</w:t>
            </w:r>
            <w:r>
              <w:rPr>
                <w:rFonts w:hint="default" w:ascii="Arial" w:hAnsi="Arial" w:cs="Arial"/>
                <w:szCs w:val="21"/>
                <w:lang w:val="en-US" w:eastAsia="zh-CN"/>
              </w:rPr>
              <w:t>≥</w:t>
            </w:r>
            <w:r>
              <w:rPr>
                <w:rFonts w:hint="eastAsia" w:ascii="宋体" w:hAnsi="宋体"/>
                <w:szCs w:val="21"/>
                <w:lang w:val="en-US" w:eastAsia="zh-CN"/>
              </w:rPr>
              <w:t xml:space="preserve">2GB独显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6、网卡：配置802.11 AX无线网卡,支持最新WIFI6标准，2400Mbps传输速率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7、声卡;​High Definition Audio声卡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8、键盘：防泼溅背光键盘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9、定位设备：多点触控触摸板</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10、摄像头：≥720P高清摄像头 ，支持物理防窥功能，保护个人隐私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11、接口：≥2 USB3.2 Gen1，2Type-C（含1个USB3.2 Gen2全功能+1个雷电4)；HDMI接口、原生RJ45接口、电脑锁孔、读卡器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12、电池：≥内置60WHr及以上锂电池</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13、体积:重量≤1.46KG（含电池），厚度≤17.9mm</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 xml:space="preserve">14、操作系统:配置 Windows 11 操作系统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15、功能：开盖开机功能，笔记本电脑机身表面雕刻或喷涂学院logo。</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szCs w:val="21"/>
                <w:lang w:val="en-US" w:eastAsia="zh-CN"/>
              </w:rPr>
            </w:pPr>
            <w:r>
              <w:rPr>
                <w:rFonts w:hint="eastAsia" w:ascii="宋体" w:hAnsi="宋体"/>
                <w:szCs w:val="21"/>
                <w:lang w:val="en-US" w:eastAsia="zh-CN"/>
              </w:rPr>
              <w:t>16、服务：生产厂商整机1年有限保修，1年上门服务。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17、投标产品需通过平均无故障使用大于等于80万小时认证。</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46</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highlight w:val="none"/>
                <w:lang w:val="en-US" w:eastAsia="zh-CN"/>
              </w:rPr>
              <w:t>无人机</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小巧便携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highlight w:val="none"/>
                <w:lang w:val="en-US" w:eastAsia="zh-CN"/>
              </w:rPr>
            </w:pPr>
            <w:r>
              <w:rPr>
                <w:rFonts w:hint="eastAsia" w:ascii="宋体" w:hAnsi="宋体"/>
                <w:szCs w:val="21"/>
                <w:highlight w:val="none"/>
                <w:lang w:val="en-US" w:eastAsia="zh-CN"/>
              </w:rPr>
              <w:t>重量</w:t>
            </w:r>
            <w:r>
              <w:rPr>
                <w:rFonts w:hint="default" w:ascii="Arial" w:hAnsi="Arial" w:cs="Arial"/>
                <w:szCs w:val="21"/>
                <w:highlight w:val="none"/>
                <w:lang w:val="en-US" w:eastAsia="zh-CN"/>
              </w:rPr>
              <w:t>≤</w:t>
            </w:r>
            <w:r>
              <w:rPr>
                <w:rFonts w:hint="eastAsia" w:ascii="宋体" w:hAnsi="宋体"/>
                <w:szCs w:val="21"/>
                <w:highlight w:val="none"/>
                <w:lang w:val="en-US" w:eastAsia="zh-CN"/>
              </w:rPr>
              <w:t>1000g</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不小于45分钟续航</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4/3英寸CMOS广角相机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最高支持56倍混合变焦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RTK厘米级定位</w:t>
            </w:r>
          </w:p>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含640*512热成相机</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47</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武术短兵护具</w:t>
            </w:r>
          </w:p>
        </w:tc>
        <w:tc>
          <w:tcPr>
            <w:tcW w:w="3136" w:type="pct"/>
            <w:shd w:val="clear" w:color="D9E1F4" w:fill="auto"/>
            <w:noWrap/>
            <w:vAlign w:val="center"/>
          </w:tcPr>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少年款红色（XS）码</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套</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48</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朗读亭</w:t>
            </w:r>
          </w:p>
        </w:tc>
        <w:tc>
          <w:tcPr>
            <w:tcW w:w="3136" w:type="pct"/>
            <w:shd w:val="clear" w:color="D9E1F4" w:fill="auto"/>
            <w:noWrap/>
            <w:vAlign w:val="center"/>
          </w:tcPr>
          <w:p>
            <w:pPr>
              <w:pStyle w:val="2"/>
              <w:keepNext w:val="0"/>
              <w:keepLines w:val="0"/>
              <w:pageBreakBefore w:val="0"/>
              <w:widowControl w:val="0"/>
              <w:kinsoku/>
              <w:wordWrap/>
              <w:overflowPunct/>
              <w:topLinePunct w:val="0"/>
              <w:autoSpaceDE/>
              <w:autoSpaceDN/>
              <w:bidi w:val="0"/>
              <w:adjustRightInd/>
              <w:snapToGrid/>
              <w:spacing w:before="65" w:line="288" w:lineRule="auto"/>
              <w:jc w:val="left"/>
              <w:textAlignment w:val="auto"/>
              <w:outlineLvl w:val="0"/>
              <w:rPr>
                <w:rFonts w:hint="eastAsia"/>
                <w:b/>
                <w:bCs/>
                <w:spacing w:val="9"/>
                <w:sz w:val="21"/>
                <w:szCs w:val="21"/>
                <w:lang w:val="en-US" w:eastAsia="zh-CN"/>
              </w:rPr>
            </w:pPr>
            <w:r>
              <w:rPr>
                <w:rFonts w:hint="eastAsia"/>
                <w:b/>
                <w:bCs/>
                <w:spacing w:val="9"/>
                <w:sz w:val="21"/>
                <w:szCs w:val="21"/>
                <w:lang w:val="en-US" w:eastAsia="zh-CN"/>
              </w:rPr>
              <w:t>一、朗读部分：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spacing w:val="9"/>
                <w:sz w:val="21"/>
                <w:szCs w:val="21"/>
                <w:lang w:val="en-US" w:eastAsia="zh-CN"/>
              </w:rPr>
              <w:t>1.</w:t>
            </w:r>
            <w:r>
              <w:rPr>
                <w:rFonts w:hint="eastAsia" w:ascii="宋体" w:hAnsi="宋体"/>
                <w:szCs w:val="21"/>
                <w:lang w:val="en-US" w:eastAsia="zh-CN"/>
              </w:rPr>
              <w:t>登陆方式：支持三种登陆方式：①微信登陆 ②刷卡登陆 ③号码登陆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主要功能：1.朗读、党建、唱歌、健心、阅读、听书、应用七大模块。</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 作品管理：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支持自动录制音频作品，作品可作如下管理: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（1）试听。</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（2）下载（U 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（3）生成留声卡（需配置留声墙使用）。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（4）参加“活动版块 ”内的活动。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 自动保存至草稿箱。</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（6）发布作品。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3.快速朗读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支持两种快速朗读方式：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（1）随机朗读，系统随机推荐一篇素材搭配推荐背景音乐。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 自由朗读，支持用户自带素材朗读、即兴朗读。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4.作品评分：</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szCs w:val="21"/>
                <w:lang w:val="en-US" w:eastAsia="zh-CN"/>
              </w:rPr>
            </w:pPr>
            <w:r>
              <w:rPr>
                <w:rFonts w:hint="eastAsia" w:ascii="宋体" w:hAnsi="宋体"/>
                <w:szCs w:val="21"/>
                <w:lang w:val="en-US" w:eastAsia="zh-CN"/>
              </w:rPr>
              <w:t>读者朗读完成后，系统支持从完整度、流利分、发音分、声调分多维度进行加权计算 最终显示作品分数。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5.保存及分享：</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szCs w:val="21"/>
                <w:lang w:val="en-US" w:eastAsia="zh-CN"/>
              </w:rPr>
            </w:pPr>
            <w:r>
              <w:rPr>
                <w:rFonts w:hint="eastAsia" w:ascii="宋体" w:hAnsi="宋体"/>
                <w:szCs w:val="21"/>
                <w:lang w:val="en-US" w:eastAsia="zh-CN"/>
              </w:rPr>
              <w:t>用户录制作品后（包含音频、绘本、配音作品），该作品自动保存至个人中心（朗 读机、小程序、公众号三端同步保存）。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6.制作留声卡（需配置留声墙）：</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（1）有不少于 9 个主题分类的模板图片，可实时预览留声卡效果。 （2）支持用户扫码上传手机图片制作个性化留声卡。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（3）机构管理员可在后台上传本机构专属模板图片。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（4）可打印留声卡。</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7.个人中心（配合小程序使用）：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（1）我的作品（草稿箱、已发布、参赛作品、已上墙作品）。</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（2）测评中心，记录用户测评历史及测评分数结果。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（3）我的留声卡，显示用户生成的留声卡，可保存至手机。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（4）支持编辑个人头像和昵称：可从手机本地上传图片作为头像，用户可设置昵称。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8.普通话考试模拟功能：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（1）严格参照普通话考试流程和标准设定。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（2）支持单音节词、多音节、篇章模式。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（3）测试完成显示得分、并生成报告。</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9.测评：</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szCs w:val="21"/>
                <w:lang w:val="en-US" w:eastAsia="zh-CN"/>
              </w:rPr>
            </w:pPr>
            <w:r>
              <w:rPr>
                <w:rFonts w:hint="eastAsia" w:ascii="宋体" w:hAnsi="宋体"/>
                <w:szCs w:val="21"/>
                <w:lang w:val="en-US" w:eastAsia="zh-CN"/>
              </w:rPr>
              <w:t>英语口语类为朗读亭特色资源。英语测评包含了系统批改、语音识别与分析等技术，可 实现朗读口语自动评分、智能纠错等。</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szCs w:val="21"/>
                <w:lang w:val="en-US" w:eastAsia="zh-CN"/>
              </w:rPr>
            </w:pPr>
            <w:r>
              <w:rPr>
                <w:rFonts w:hint="eastAsia" w:ascii="宋体" w:hAnsi="宋体"/>
                <w:szCs w:val="21"/>
                <w:lang w:val="en-US" w:eastAsia="zh-CN"/>
              </w:rPr>
              <w:t>普通话水平测试练习包含字词句段模式，可通过流利度、准确度、声调、发音、完整度 分析，且能够将读错词汇汇总供读者知晓，提供练习结果反馈。</w:t>
            </w:r>
          </w:p>
          <w:p>
            <w:pPr>
              <w:pStyle w:val="2"/>
              <w:keepNext w:val="0"/>
              <w:keepLines w:val="0"/>
              <w:pageBreakBefore w:val="0"/>
              <w:widowControl w:val="0"/>
              <w:kinsoku/>
              <w:wordWrap/>
              <w:overflowPunct/>
              <w:topLinePunct w:val="0"/>
              <w:autoSpaceDE/>
              <w:autoSpaceDN/>
              <w:bidi w:val="0"/>
              <w:adjustRightInd/>
              <w:snapToGrid/>
              <w:spacing w:before="167" w:line="288" w:lineRule="auto"/>
              <w:jc w:val="left"/>
              <w:textAlignment w:val="auto"/>
              <w:rPr>
                <w:spacing w:val="7"/>
                <w:sz w:val="21"/>
                <w:szCs w:val="21"/>
              </w:rPr>
            </w:pPr>
            <w:r>
              <w:rPr>
                <w:spacing w:val="7"/>
                <w:sz w:val="21"/>
                <w:szCs w:val="21"/>
              </w:rPr>
              <w:t>本功能由两部份组成</w:t>
            </w:r>
            <w:r>
              <w:rPr>
                <w:spacing w:val="-52"/>
                <w:sz w:val="21"/>
                <w:szCs w:val="21"/>
              </w:rPr>
              <w:t xml:space="preserve"> </w:t>
            </w:r>
            <w:r>
              <w:rPr>
                <w:spacing w:val="7"/>
                <w:sz w:val="21"/>
                <w:szCs w:val="21"/>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spacing w:val="7"/>
                <w:sz w:val="21"/>
                <w:szCs w:val="21"/>
              </w:rPr>
              <w:t>（1）普通话评测。测评功能：1.普通话测评包括字词模式、篇章模式、考试模式；2.</w:t>
            </w:r>
            <w:r>
              <w:rPr>
                <w:sz w:val="21"/>
                <w:szCs w:val="21"/>
              </w:rPr>
              <w:t xml:space="preserve"> </w:t>
            </w:r>
            <w:r>
              <w:rPr>
                <w:spacing w:val="10"/>
                <w:sz w:val="21"/>
                <w:szCs w:val="21"/>
              </w:rPr>
              <w:t>字词模式测评前可逐字点击进行试听。测评维度包括发音分、声调分、</w:t>
            </w:r>
            <w:r>
              <w:rPr>
                <w:spacing w:val="9"/>
                <w:sz w:val="21"/>
                <w:szCs w:val="21"/>
              </w:rPr>
              <w:t>音素分、音节分。支持重练，试听每个字词的标准发音、用户发音。3.</w:t>
            </w:r>
            <w:r>
              <w:rPr>
                <w:spacing w:val="12"/>
                <w:sz w:val="21"/>
                <w:szCs w:val="21"/>
              </w:rPr>
              <w:t xml:space="preserve"> </w:t>
            </w:r>
            <w:r>
              <w:rPr>
                <w:spacing w:val="10"/>
                <w:sz w:val="21"/>
                <w:szCs w:val="21"/>
              </w:rPr>
              <w:t>篇章模式测评内容包括单字测评、词语测评、</w:t>
            </w:r>
            <w:r>
              <w:rPr>
                <w:spacing w:val="9"/>
                <w:sz w:val="21"/>
                <w:szCs w:val="21"/>
              </w:rPr>
              <w:t>文章测评。测评前可逐句</w:t>
            </w:r>
            <w:r>
              <w:rPr>
                <w:sz w:val="21"/>
                <w:szCs w:val="21"/>
              </w:rPr>
              <w:t xml:space="preserve"> </w:t>
            </w:r>
            <w:r>
              <w:rPr>
                <w:spacing w:val="9"/>
                <w:sz w:val="21"/>
                <w:szCs w:val="21"/>
              </w:rPr>
              <w:t>点击进行试听。提供三种测评方式：短句测评、选段、篇章测评。4.考</w:t>
            </w:r>
            <w:r>
              <w:rPr>
                <w:spacing w:val="10"/>
                <w:sz w:val="21"/>
                <w:szCs w:val="21"/>
              </w:rPr>
              <w:t>试模式测评支持分为三题进行考试：单音节词、多音节词、文章朗读。</w:t>
            </w:r>
            <w:r>
              <w:rPr>
                <w:spacing w:val="9"/>
                <w:sz w:val="21"/>
                <w:szCs w:val="21"/>
              </w:rPr>
              <w:t>每题均可试听音频，查看详细报告。5.普通话考</w:t>
            </w:r>
            <w:r>
              <w:rPr>
                <w:rFonts w:hint="eastAsia" w:ascii="宋体" w:hAnsi="宋体"/>
                <w:szCs w:val="21"/>
                <w:lang w:val="en-US" w:eastAsia="zh-CN"/>
              </w:rPr>
              <w:t>试模拟功能：①严格参照普通话考试流程和标准设定；②支持单音节词、多音节、篇章模式；③测试完成后，显示得分并生成报告。</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（2）英语评测：1.英语测评内容包括单词测评、单句测评、文章测评；2.英语测评 结束后显示评分情况、总分；3 评价维度包括：准确度、流利度、完整度，单句测评；4.支持在原文中用不同颜色标注出准确、不准、读错的单词； 5.全篇测评支持显示全篇所有读错、不准、漏读、回读的词汇统计报告。</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10.背诵功能：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 xml:space="preserve">（1）文章内容：根据语文教学大纲要求，包含小学、初中、高中所需全部背诵文章。 </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（2）背诵时上屏会自动屏蔽字幕，待用户背诵该句之后才会显示出来。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（3）背诵文章报告：包含背诵得分、错字数、漏字数。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11.电影配音：（1)支持影视、动漫经典片段原声观看，支持试听他人进行配音模仿学习，开始配音后消除人声保留背景声音。</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（2)影视、动漫画面支持放大模式，配音作品自动同步到小程序端，支持微信小程序端作品查看、评论、转发分享。</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12. 绘本配音：</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（1）用户可根据绘本内容进行配音录制，支持试听他人进行配  音模仿学习，绘本支持手动翻页，绘本图片全屏模式，显示当前页数及 总页数，绘本文字经过提取加 工处理，形成字幕方便配音。</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（2）支持多人亲子绘本配音。绘本配音作品自动同步到小程序端，支持微信小程序端 作品查看、评论、转发分享。</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13.其他功能：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（1）音量调节 :调节耳机音量、MIC 音量以及混响。</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（2）故障申报：用户选择故障类型上报后，系统可收到故障信息。</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14.活动版块：</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（1）本级机构或上级机构活动轮播展示。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（2）报名参加本级机构或上级机构活动。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（3）支持展示活动详情，内容支持多段标题（如组织单位、参与方式、活动时间、活动规则、活动评奖等）。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（4）对活动内的作品投票点赞。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（5）支持活动作品试听、投票功能。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15.离线功能：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（1）离线配乐朗读：断网状态下，用户仍可选择素材和配乐朗读。</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（2）离线配音：断网状态下，用户仍可选择视频或绘本素材进行配音演绎。</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（3）离线作品 U 盘导出：断网状态下，用户朗读完成后，可通过外置数据接口，将朗 读作品导出到个人 U 盘。</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（4）离线作品保存：断网状态下，用户朗读的作品可保存在作品中心。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16.延时自动退出登录：用户超时未退出时，系统将自动进行退出操作，保证用户数据安全。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17.绑定手机号，朗读机新用户登录时，完成手机号验证后，录制的作品可在小程序的个人中心同步管理，手机号信息同时用于完善用户信息。</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b/>
                <w:bCs/>
                <w:szCs w:val="21"/>
                <w:lang w:val="en-US" w:eastAsia="zh-CN"/>
              </w:rPr>
            </w:pPr>
            <w:r>
              <w:rPr>
                <w:rFonts w:hint="eastAsia" w:ascii="宋体" w:hAnsi="宋体"/>
                <w:b/>
                <w:bCs/>
                <w:szCs w:val="21"/>
                <w:lang w:val="en-US" w:eastAsia="zh-CN"/>
              </w:rPr>
              <w:t>二、移动终端（小程序）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1.支持移动端扫码试听留声卡作品、进行点赞、评论、转发等操作。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2.登录小程序后，学习党建文章，听党建相关的音频、看党建相关的视频，有声书在线听。</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3.动态展示最新的朗读作品，可点赞、可评论、可转发；展示热门的读者作品、作品排行榜。</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4.小程序朗读：选择文章、诗词、散文或文学选段后，可直接朗读，朗读完成后，朗读作品保存的“我的作品 ”中，可发布，可推送上留声墙。</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5.视频配音：支持双音轨视频配音。</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6.活动展示：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（1）本级机构或上级机构活动轮播展示。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（2）报名参加本级机构或上级机构活动。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（3）支持展示活动详情，内容支持多段标题（如组织单位、参与方式、活动时间、活动规则、活动评奖等）。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（4）对活动内的作品投票点赞。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（5）支持活动作品试听、投票功能。</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7.我的作品管理：我的作品、我的收藏、我的活动、点赞记录、朗读档案、朗读报告、朗读 任务、测评中心、背诵记录。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b/>
                <w:bCs/>
                <w:szCs w:val="21"/>
                <w:lang w:val="en-US" w:eastAsia="zh-CN"/>
              </w:rPr>
            </w:pPr>
            <w:r>
              <w:rPr>
                <w:rFonts w:hint="eastAsia" w:ascii="宋体" w:hAnsi="宋体"/>
                <w:b/>
                <w:bCs/>
                <w:szCs w:val="21"/>
                <w:lang w:val="en-US" w:eastAsia="zh-CN"/>
              </w:rPr>
              <w:t>三、管理后台</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1.可通过后台注册，生成机构管理员账号，供用户管理设备。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2.用户可根据需要，新增子级管理员， 自定义分配子级管理员的功能权限。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3.支持管理帐户自定义修改以下内容：</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（1）学习机的 logo。</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（2）留声墙上本机构的宣传视频和图片。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（3）留声卡背景图片。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（4）学习机内的素材。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4.登陆管理：支持自定义设置单次登陆时长限制、再次登陆间隔、未操作退出时长。</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5.留声卡审核方式自定义（需配置留声墙使用）：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（1）人工审核。</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 自动审核。</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6.设备管理：包括设备基本信息、在线状态、备注、故障上报。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7.素材管理：管理员可自由添加本机构专属的文本、音频、视频、背景音乐等素材。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8.用户统计：机构管理账户可统计本机构的用户登陆时间、学习朗读内容、评测结论、退出时间等信息，并导出电子表格。</w:t>
            </w:r>
          </w:p>
          <w:p>
            <w:pPr>
              <w:pStyle w:val="2"/>
              <w:keepNext w:val="0"/>
              <w:keepLines w:val="0"/>
              <w:pageBreakBefore w:val="0"/>
              <w:widowControl w:val="0"/>
              <w:kinsoku/>
              <w:wordWrap/>
              <w:overflowPunct/>
              <w:topLinePunct w:val="0"/>
              <w:autoSpaceDE/>
              <w:autoSpaceDN/>
              <w:bidi w:val="0"/>
              <w:adjustRightInd/>
              <w:snapToGrid/>
              <w:spacing w:before="65" w:line="288" w:lineRule="auto"/>
              <w:ind w:right="70"/>
              <w:jc w:val="left"/>
              <w:textAlignment w:val="auto"/>
              <w:rPr>
                <w:sz w:val="21"/>
                <w:szCs w:val="21"/>
              </w:rPr>
            </w:pPr>
            <w:r>
              <w:rPr>
                <w:spacing w:val="17"/>
                <w:sz w:val="21"/>
                <w:szCs w:val="21"/>
              </w:rPr>
              <w:t>9.用户管理：</w:t>
            </w:r>
            <w:r>
              <w:rPr>
                <w:spacing w:val="-59"/>
                <w:sz w:val="21"/>
                <w:szCs w:val="21"/>
              </w:rPr>
              <w:t xml:space="preserve"> </w:t>
            </w:r>
            <w:r>
              <w:rPr>
                <w:spacing w:val="17"/>
                <w:sz w:val="21"/>
                <w:szCs w:val="21"/>
              </w:rPr>
              <w:t>为了保证学习机的合理使用，避免被部分读者长期</w:t>
            </w:r>
            <w:r>
              <w:rPr>
                <w:spacing w:val="16"/>
                <w:sz w:val="21"/>
                <w:szCs w:val="21"/>
              </w:rPr>
              <w:t>占用，管理后台支持最</w:t>
            </w:r>
            <w:r>
              <w:rPr>
                <w:spacing w:val="8"/>
                <w:sz w:val="21"/>
                <w:szCs w:val="21"/>
              </w:rPr>
              <w:t>长使用时间设置以及使用间隔设置，设置的时间参数包含</w:t>
            </w:r>
            <w:r>
              <w:rPr>
                <w:spacing w:val="-32"/>
                <w:sz w:val="21"/>
                <w:szCs w:val="21"/>
              </w:rPr>
              <w:t xml:space="preserve"> </w:t>
            </w:r>
            <w:r>
              <w:rPr>
                <w:spacing w:val="8"/>
                <w:sz w:val="21"/>
                <w:szCs w:val="21"/>
              </w:rPr>
              <w:t>30</w:t>
            </w:r>
            <w:r>
              <w:rPr>
                <w:spacing w:val="-36"/>
                <w:sz w:val="21"/>
                <w:szCs w:val="21"/>
              </w:rPr>
              <w:t xml:space="preserve"> </w:t>
            </w:r>
            <w:r>
              <w:rPr>
                <w:spacing w:val="8"/>
                <w:sz w:val="21"/>
                <w:szCs w:val="21"/>
              </w:rPr>
              <w:t>分钟，</w:t>
            </w:r>
            <w:r>
              <w:rPr>
                <w:spacing w:val="7"/>
                <w:sz w:val="21"/>
                <w:szCs w:val="21"/>
              </w:rPr>
              <w:t>60</w:t>
            </w:r>
            <w:r>
              <w:rPr>
                <w:spacing w:val="-38"/>
                <w:sz w:val="21"/>
                <w:szCs w:val="21"/>
              </w:rPr>
              <w:t xml:space="preserve"> </w:t>
            </w:r>
            <w:r>
              <w:rPr>
                <w:spacing w:val="7"/>
                <w:sz w:val="21"/>
                <w:szCs w:val="21"/>
              </w:rPr>
              <w:t>分钟不等。</w:t>
            </w:r>
          </w:p>
          <w:p>
            <w:pPr>
              <w:pStyle w:val="2"/>
              <w:keepNext w:val="0"/>
              <w:keepLines w:val="0"/>
              <w:pageBreakBefore w:val="0"/>
              <w:widowControl w:val="0"/>
              <w:kinsoku/>
              <w:wordWrap/>
              <w:overflowPunct/>
              <w:topLinePunct w:val="0"/>
              <w:autoSpaceDE/>
              <w:autoSpaceDN/>
              <w:bidi w:val="0"/>
              <w:adjustRightInd/>
              <w:snapToGrid/>
              <w:spacing w:before="65" w:line="288" w:lineRule="auto"/>
              <w:jc w:val="left"/>
              <w:textAlignment w:val="auto"/>
              <w:rPr>
                <w:sz w:val="21"/>
                <w:szCs w:val="21"/>
              </w:rPr>
            </w:pPr>
            <w:r>
              <w:rPr>
                <w:spacing w:val="4"/>
                <w:sz w:val="21"/>
                <w:szCs w:val="21"/>
              </w:rPr>
              <w:t>10.学习活动管理：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（1）新增发布活动、查找活动、编辑活动、启用停用活动、查看作品、指定素材。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（2）机构用户设置好学习活动之后可在后台查看活动报名情况的汇总情况，包括姓名、 电话、参数类别等信息。</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11.管理员可实时统计显示机构内的设备、用户、作品、活动、排行榜各维度的具体数据指 标：</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（1）设备数据：在用设备、在线设备、过期设备、近 7 天平均使用时长。</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（2）用户分析（可筛选总量、昨天、近 7 天、近 30 天）：访问量、总用户量、累计用户量。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（3）作品分析（可筛选总量、昨天、近 7 天、近 30 天）：作品数量、留声卡数量、作品播放量、作品点赞量、作品分享量。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（4）活动分析：活动数量（即将开始、进行中、已结束）、累计举办活动场次、累计活动访问量、累计活动参与人数、累计活动作品数量、累计活动投票数量。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（5）排行榜（可筛选总量、昨天、近 7 天、近 30 天）：热门素材 top10、作品播放 top10、 作品点赞 top10。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12.作品审核发布机制：机构可选择“先发布后审核 ”或者“先审核后发布 ”模式。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b/>
                <w:bCs/>
                <w:szCs w:val="21"/>
                <w:lang w:val="en-US" w:eastAsia="zh-CN"/>
              </w:rPr>
            </w:pPr>
            <w:r>
              <w:rPr>
                <w:rFonts w:hint="eastAsia" w:ascii="宋体" w:hAnsi="宋体"/>
                <w:b/>
                <w:bCs/>
                <w:szCs w:val="21"/>
                <w:lang w:val="en-US" w:eastAsia="zh-CN"/>
              </w:rPr>
              <w:t>四、资源库</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spacing w:val="2"/>
                <w:sz w:val="21"/>
                <w:szCs w:val="21"/>
              </w:rPr>
              <w:t>1.文</w:t>
            </w:r>
            <w:r>
              <w:rPr>
                <w:rFonts w:hint="eastAsia" w:ascii="宋体" w:hAnsi="宋体"/>
                <w:szCs w:val="21"/>
                <w:lang w:val="en-US" w:eastAsia="zh-CN"/>
              </w:rPr>
              <w:t xml:space="preserve">章类 </w:t>
            </w:r>
            <w:r>
              <w:rPr>
                <w:rFonts w:hint="default" w:ascii="宋体" w:hAnsi="宋体"/>
                <w:szCs w:val="21"/>
                <w:lang w:val="en-US" w:eastAsia="zh-CN"/>
              </w:rPr>
              <w:t>≥</w:t>
            </w:r>
            <w:r>
              <w:rPr>
                <w:rFonts w:hint="eastAsia" w:ascii="宋体" w:hAnsi="宋体"/>
                <w:szCs w:val="21"/>
                <w:lang w:val="en-US" w:eastAsia="zh-CN"/>
              </w:rPr>
              <w:t>500000。</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szCs w:val="21"/>
                <w:lang w:val="en-US" w:eastAsia="zh-CN"/>
              </w:rPr>
            </w:pPr>
            <w:r>
              <w:rPr>
                <w:rFonts w:hint="eastAsia" w:ascii="宋体" w:hAnsi="宋体"/>
                <w:szCs w:val="21"/>
                <w:lang w:val="en-US" w:eastAsia="zh-CN"/>
              </w:rPr>
              <w:t>包含以下分类：党的二十大、红色经典、红色家书、平语近人、两学一做、党建文化、 学习四史、党章、党性教育、人文修养、学习求是、诗词精选、时事新闻、唐诗宋词、英语 名篇、童话寓言、文人巨匠、雷锋日记、诗歌散文、国学经典、经典文学选段、绕口令、歌颂祖国、毛泽东诗词、名家经典、历史风貌、节日素材等；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2.视频 5000+、音频 10000+。</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3.背景音乐储备 5000+、前端展示 2000+。包括安静、轻快、史诗、感人、进取、浪漫、悲伤等多种类型，用户可根据不同主题的内容选择不同的背景配乐。</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4.中国地方方言朗读 400+，为更好的保护中国非物质文化的方言，朗读资源中需包含广东话、东北话、江南话、闽南话、湖南话、客家话、江西话、四川话等。</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5.英语口语测评 500 篇以上；普通话测评 40000+（字库）、100000+（词库）、330+（篇章）。</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49</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sz w:val="21"/>
                <w:szCs w:val="21"/>
                <w:lang w:val="en-US" w:eastAsia="zh-CN"/>
              </w:rPr>
              <w:t>壁挂广告机</w:t>
            </w:r>
          </w:p>
        </w:tc>
        <w:tc>
          <w:tcPr>
            <w:tcW w:w="3136" w:type="pct"/>
            <w:shd w:val="clear" w:color="D9E1F4" w:fill="auto"/>
            <w:noWrap/>
            <w:vAlign w:val="center"/>
          </w:tcPr>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kern w:val="0"/>
                <w:szCs w:val="21"/>
                <w:lang w:val="en-US" w:eastAsia="zh-CN"/>
              </w:rPr>
              <w:t>65寸</w:t>
            </w:r>
            <w:r>
              <w:rPr>
                <w:kern w:val="0"/>
                <w:szCs w:val="21"/>
              </w:rPr>
              <w:t>LED</w:t>
            </w:r>
            <w:r>
              <w:rPr>
                <w:rFonts w:hAnsi="宋体"/>
                <w:kern w:val="0"/>
                <w:szCs w:val="21"/>
              </w:rPr>
              <w:t>屏</w:t>
            </w:r>
            <w:r>
              <w:rPr>
                <w:rFonts w:hint="eastAsia" w:hAnsi="宋体"/>
                <w:kern w:val="0"/>
                <w:szCs w:val="21"/>
                <w:lang w:eastAsia="zh-CN"/>
              </w:rPr>
              <w:t>，</w:t>
            </w:r>
            <w:r>
              <w:rPr>
                <w:rFonts w:hAnsi="宋体"/>
                <w:kern w:val="0"/>
                <w:szCs w:val="21"/>
              </w:rPr>
              <w:t>分辨率</w:t>
            </w:r>
            <w:r>
              <w:rPr>
                <w:kern w:val="0"/>
                <w:szCs w:val="21"/>
              </w:rPr>
              <w:t>1920×1080</w:t>
            </w:r>
            <w:r>
              <w:rPr>
                <w:rFonts w:hint="eastAsia"/>
                <w:kern w:val="0"/>
                <w:szCs w:val="21"/>
                <w:lang w:val="en-US" w:eastAsia="zh-CN"/>
              </w:rPr>
              <w:t>以上</w:t>
            </w:r>
            <w:r>
              <w:rPr>
                <w:rFonts w:hint="eastAsia"/>
                <w:kern w:val="0"/>
                <w:szCs w:val="21"/>
                <w:lang w:eastAsia="zh-CN"/>
              </w:rPr>
              <w:t>，</w:t>
            </w:r>
            <w:r>
              <w:rPr>
                <w:rFonts w:hAnsi="宋体"/>
                <w:kern w:val="0"/>
                <w:szCs w:val="21"/>
              </w:rPr>
              <w:t>亮度</w:t>
            </w:r>
            <w:r>
              <w:rPr>
                <w:rFonts w:hint="eastAsia" w:ascii="宋体" w:hAnsi="宋体" w:cs="宋体"/>
                <w:kern w:val="0"/>
                <w:szCs w:val="21"/>
              </w:rPr>
              <w:t>≥</w:t>
            </w:r>
            <w:r>
              <w:rPr>
                <w:kern w:val="0"/>
                <w:szCs w:val="21"/>
              </w:rPr>
              <w:t>550cd/</w:t>
            </w:r>
            <w:r>
              <w:rPr>
                <w:rFonts w:hAnsi="宋体"/>
                <w:kern w:val="0"/>
                <w:szCs w:val="21"/>
              </w:rPr>
              <w:t>㎡</w:t>
            </w:r>
            <w:r>
              <w:rPr>
                <w:rFonts w:hint="eastAsia" w:hAnsi="宋体"/>
                <w:kern w:val="0"/>
                <w:szCs w:val="21"/>
                <w:lang w:eastAsia="zh-CN"/>
              </w:rPr>
              <w:t>。</w:t>
            </w:r>
            <w:r>
              <w:rPr>
                <w:rFonts w:hAnsi="宋体"/>
                <w:color w:val="000000"/>
                <w:kern w:val="0"/>
                <w:szCs w:val="21"/>
              </w:rPr>
              <w:t>开机自循环播放，单曲或多曲循环播放，支持图片模式、音乐模式、视频模式、混合模式</w:t>
            </w:r>
            <w:r>
              <w:rPr>
                <w:color w:val="000000"/>
                <w:kern w:val="0"/>
                <w:szCs w:val="21"/>
              </w:rPr>
              <w:t>(</w:t>
            </w:r>
            <w:r>
              <w:rPr>
                <w:rFonts w:hAnsi="宋体"/>
                <w:color w:val="000000"/>
                <w:kern w:val="0"/>
                <w:szCs w:val="21"/>
              </w:rPr>
              <w:t>图片</w:t>
            </w:r>
            <w:r>
              <w:rPr>
                <w:color w:val="000000"/>
                <w:kern w:val="0"/>
                <w:szCs w:val="21"/>
              </w:rPr>
              <w:t>+</w:t>
            </w:r>
            <w:r>
              <w:rPr>
                <w:rFonts w:hAnsi="宋体"/>
                <w:color w:val="000000"/>
                <w:kern w:val="0"/>
                <w:szCs w:val="21"/>
              </w:rPr>
              <w:t>音乐</w:t>
            </w:r>
            <w:r>
              <w:rPr>
                <w:color w:val="000000"/>
                <w:kern w:val="0"/>
                <w:szCs w:val="21"/>
              </w:rPr>
              <w:t>)</w:t>
            </w:r>
            <w:r>
              <w:rPr>
                <w:rFonts w:hAnsi="宋体"/>
                <w:color w:val="000000"/>
                <w:kern w:val="0"/>
                <w:szCs w:val="21"/>
              </w:rPr>
              <w:t>，支持定点定时文件播放模式与同步播放模式，手动编程播放列表播放，</w:t>
            </w:r>
            <w:r>
              <w:rPr>
                <w:rFonts w:hAnsi="宋体"/>
                <w:kern w:val="0"/>
                <w:szCs w:val="21"/>
              </w:rPr>
              <w:t>每天可设置播放指定文件</w:t>
            </w:r>
            <w:r>
              <w:rPr>
                <w:rFonts w:hAnsi="宋体"/>
                <w:color w:val="000000"/>
                <w:kern w:val="0"/>
                <w:szCs w:val="21"/>
              </w:rPr>
              <w:t>。节目更新：</w:t>
            </w:r>
            <w:r>
              <w:rPr>
                <w:rFonts w:hint="eastAsia" w:hAnsi="宋体"/>
                <w:kern w:val="0"/>
                <w:szCs w:val="21"/>
              </w:rPr>
              <w:t>后台操作编辑节目通过网络</w:t>
            </w:r>
            <w:r>
              <w:rPr>
                <w:rFonts w:hAnsi="宋体"/>
                <w:color w:val="000000"/>
                <w:kern w:val="0"/>
                <w:szCs w:val="21"/>
              </w:rPr>
              <w:t>更新播放内容，</w:t>
            </w:r>
            <w:r>
              <w:rPr>
                <w:rFonts w:hAnsi="宋体"/>
                <w:kern w:val="0"/>
                <w:szCs w:val="21"/>
              </w:rPr>
              <w:t>播放图片具有幻灯片模式，换片效果可选，图片</w:t>
            </w:r>
            <w:r>
              <w:rPr>
                <w:kern w:val="0"/>
                <w:szCs w:val="21"/>
              </w:rPr>
              <w:t>90°</w:t>
            </w:r>
            <w:r>
              <w:rPr>
                <w:rFonts w:hAnsi="宋体"/>
                <w:kern w:val="0"/>
                <w:szCs w:val="21"/>
              </w:rPr>
              <w:t>、</w:t>
            </w:r>
            <w:r>
              <w:rPr>
                <w:kern w:val="0"/>
                <w:szCs w:val="21"/>
              </w:rPr>
              <w:t>180°</w:t>
            </w:r>
            <w:r>
              <w:rPr>
                <w:rFonts w:hAnsi="宋体"/>
                <w:kern w:val="0"/>
                <w:szCs w:val="21"/>
              </w:rPr>
              <w:t>、</w:t>
            </w:r>
            <w:r>
              <w:rPr>
                <w:kern w:val="0"/>
                <w:szCs w:val="21"/>
              </w:rPr>
              <w:t>270°</w:t>
            </w:r>
            <w:r>
              <w:rPr>
                <w:rFonts w:hAnsi="宋体"/>
                <w:kern w:val="0"/>
                <w:szCs w:val="21"/>
              </w:rPr>
              <w:t>旋转功能。图片放大，移动看图。支持断电记忆功能，节目内容密码保护</w:t>
            </w:r>
            <w:r>
              <w:rPr>
                <w:rFonts w:hint="eastAsia" w:hAnsi="宋体"/>
                <w:kern w:val="0"/>
                <w:szCs w:val="21"/>
                <w:lang w:eastAsia="zh-CN"/>
              </w:rPr>
              <w:t>，</w:t>
            </w:r>
            <w:r>
              <w:rPr>
                <w:rFonts w:hAnsi="宋体"/>
                <w:kern w:val="0"/>
                <w:szCs w:val="21"/>
              </w:rPr>
              <w:t>滚动字幕，台标，分时音量，动态横竖</w:t>
            </w:r>
            <w:r>
              <w:rPr>
                <w:kern w:val="0"/>
                <w:szCs w:val="21"/>
              </w:rPr>
              <w:t>UI</w:t>
            </w:r>
            <w:r>
              <w:rPr>
                <w:rFonts w:hAnsi="宋体"/>
                <w:kern w:val="0"/>
                <w:szCs w:val="21"/>
              </w:rPr>
              <w:t>播放，更换节目时无须拔卡</w:t>
            </w:r>
            <w:r>
              <w:rPr>
                <w:rFonts w:hint="eastAsia" w:hAnsi="宋体"/>
                <w:kern w:val="0"/>
                <w:szCs w:val="21"/>
                <w:lang w:eastAsia="zh-CN"/>
              </w:rPr>
              <w:t>。</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50</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电子借阅机</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sz w:val="21"/>
                <w:szCs w:val="21"/>
              </w:rPr>
            </w:pPr>
            <w:r>
              <w:rPr>
                <w:rFonts w:hint="eastAsia"/>
                <w:sz w:val="21"/>
                <w:szCs w:val="21"/>
              </w:rPr>
              <w:t>数字借阅软件功能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1、阅读应用软件锁屏功能，管理员输入账号和密码才能退出。</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2、支持在线阅读。wifi连接或连上网线后，开机即能自动进入阅读应用主页。</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3、支持离线阅读，内置离线版本。根据网络自动切换在线或离线状态。</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4、云图书支持书名、作者、关键词等图书搜索。</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5、定制显示</w:t>
            </w:r>
            <w:r>
              <w:rPr>
                <w:rFonts w:hint="eastAsia"/>
                <w:sz w:val="21"/>
                <w:szCs w:val="21"/>
                <w:lang w:val="en-US" w:eastAsia="zh-CN"/>
              </w:rPr>
              <w:t>学校</w:t>
            </w:r>
            <w:r>
              <w:rPr>
                <w:rFonts w:hint="eastAsia"/>
                <w:sz w:val="21"/>
                <w:szCs w:val="21"/>
              </w:rPr>
              <w:t>名称。</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6、数字资源模块的增减配置功能。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7、资源提供二维码供移动扫码借阅。</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8 、支持安卓和Windows系统。</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9、支持图书、期刊、报纸、音频、视频、绘本、动画等各种资源的使用。</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10、能语音朗读报纸、期刊。</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sz w:val="21"/>
                <w:szCs w:val="21"/>
              </w:rPr>
            </w:pPr>
            <w:r>
              <w:rPr>
                <w:rFonts w:hint="eastAsia"/>
                <w:sz w:val="21"/>
                <w:szCs w:val="21"/>
              </w:rPr>
              <w:t>11、提供软件著作权证书。</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sz w:val="21"/>
                <w:szCs w:val="21"/>
              </w:rPr>
            </w:pPr>
            <w:r>
              <w:rPr>
                <w:rFonts w:hint="eastAsia"/>
                <w:sz w:val="21"/>
                <w:szCs w:val="21"/>
                <w:lang w:val="en-US" w:eastAsia="zh-CN"/>
              </w:rPr>
              <w:t>阅读</w:t>
            </w:r>
            <w:r>
              <w:rPr>
                <w:rFonts w:hint="eastAsia"/>
                <w:sz w:val="21"/>
                <w:szCs w:val="21"/>
              </w:rPr>
              <w:t>手机APP功能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1、自由注册和登录功能。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2、二维码扫码功能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3、个人书架，支持图书和音频的收藏功能。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4、书架收藏文件的删减编辑功能。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5、包含5大数字内容模块：图书、音频、视频、期刊、报纸。</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6、阅读页面字号放大缩小功能。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7、阅读页码跟踪功能。</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8、支持安卓和iOS手机使用。</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9、支持特定授权账号登录直接使用全部数字资源，不需扫码。</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sz w:val="21"/>
                <w:szCs w:val="21"/>
              </w:rPr>
            </w:pPr>
            <w:r>
              <w:rPr>
                <w:rFonts w:hint="eastAsia"/>
                <w:sz w:val="21"/>
                <w:szCs w:val="21"/>
              </w:rPr>
              <w:t>10、有推荐图书、阅读榜和新书上架等模块。</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sz w:val="21"/>
                <w:szCs w:val="21"/>
              </w:rPr>
            </w:pPr>
            <w:r>
              <w:rPr>
                <w:rFonts w:hint="eastAsia"/>
                <w:sz w:val="21"/>
                <w:szCs w:val="21"/>
              </w:rPr>
              <w:t>数字内容资源</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一、图书</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1、内置</w:t>
            </w:r>
            <w:r>
              <w:rPr>
                <w:rFonts w:hint="default" w:ascii="Arial" w:hAnsi="Arial" w:cs="Arial"/>
                <w:sz w:val="21"/>
                <w:szCs w:val="21"/>
              </w:rPr>
              <w:t>≥</w:t>
            </w:r>
            <w:r>
              <w:rPr>
                <w:rFonts w:hint="eastAsia"/>
                <w:sz w:val="21"/>
                <w:szCs w:val="21"/>
              </w:rPr>
              <w:t>5</w:t>
            </w:r>
            <w:r>
              <w:rPr>
                <w:sz w:val="21"/>
                <w:szCs w:val="21"/>
              </w:rPr>
              <w:t>000</w:t>
            </w:r>
            <w:r>
              <w:rPr>
                <w:rFonts w:hint="eastAsia"/>
                <w:sz w:val="21"/>
                <w:szCs w:val="21"/>
              </w:rPr>
              <w:t>本，云端</w:t>
            </w:r>
            <w:r>
              <w:rPr>
                <w:rFonts w:hint="default" w:ascii="Arial" w:hAnsi="Arial" w:cs="Arial"/>
                <w:sz w:val="21"/>
                <w:szCs w:val="21"/>
              </w:rPr>
              <w:t>≥</w:t>
            </w:r>
            <w:r>
              <w:rPr>
                <w:rFonts w:hint="eastAsia"/>
                <w:sz w:val="21"/>
                <w:szCs w:val="21"/>
                <w:lang w:val="en-US" w:eastAsia="zh-CN"/>
              </w:rPr>
              <w:t>5</w:t>
            </w:r>
            <w:r>
              <w:rPr>
                <w:sz w:val="21"/>
                <w:szCs w:val="21"/>
              </w:rPr>
              <w:t>0000</w:t>
            </w:r>
            <w:r>
              <w:rPr>
                <w:rFonts w:hint="eastAsia"/>
                <w:sz w:val="21"/>
                <w:szCs w:val="21"/>
              </w:rPr>
              <w:t>本，支持离线或在线使用。</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2、中图法分类：如文学小说、社会科学、政治、军事、医疗养生、计算机与网络、科普百科、经济管理、外语学习、历史地理等。</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3、原版正规封面。</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4、每年更新图书数量不少于1000本。</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5、习主席著作《治国理政》等阅读专题。</w:t>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30" w:leftChars="0" w:firstLine="240" w:firstLineChars="0"/>
              <w:textAlignment w:val="auto"/>
              <w:rPr>
                <w:rFonts w:hint="eastAsia"/>
                <w:sz w:val="21"/>
                <w:szCs w:val="21"/>
              </w:rPr>
            </w:pPr>
            <w:r>
              <w:rPr>
                <w:rFonts w:hint="eastAsia"/>
                <w:sz w:val="21"/>
                <w:szCs w:val="21"/>
              </w:rPr>
              <w:t>党政学习、健康养生、创业创新、国学新读等独立的专题。</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210" w:firstLineChars="100"/>
              <w:textAlignment w:val="auto"/>
              <w:rPr>
                <w:rFonts w:hint="default" w:eastAsiaTheme="minorEastAsia"/>
                <w:sz w:val="21"/>
                <w:szCs w:val="21"/>
                <w:lang w:val="en-US" w:eastAsia="zh-CN"/>
              </w:rPr>
            </w:pPr>
            <w:r>
              <w:rPr>
                <w:rFonts w:hint="eastAsia"/>
                <w:sz w:val="21"/>
                <w:szCs w:val="21"/>
                <w:lang w:val="en-US" w:eastAsia="zh-CN"/>
              </w:rPr>
              <w:t>7、内置图书可以语音朗读。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420" w:leftChars="0"/>
              <w:textAlignment w:val="auto"/>
              <w:rPr>
                <w:rFonts w:hint="eastAsia"/>
                <w:sz w:val="21"/>
                <w:szCs w:val="21"/>
              </w:rPr>
            </w:pPr>
            <w:r>
              <w:rPr>
                <w:rFonts w:hint="eastAsia"/>
                <w:sz w:val="21"/>
                <w:szCs w:val="21"/>
              </w:rPr>
              <w:t>支持主流浏览器，免插件，通用可编辑PDF和TXT格式</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sz w:val="21"/>
                <w:szCs w:val="21"/>
              </w:rPr>
              <w:t>二、音频</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1、不少于2000小时音频资源。MP3格式。</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2、包括小说、评书、经管、健康、戏曲、音乐等种类。</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3、要有适合儿童用的诗词、寓言、故事等。</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100"/>
              <w:textAlignment w:val="auto"/>
              <w:rPr>
                <w:rFonts w:hint="eastAsia"/>
                <w:sz w:val="21"/>
                <w:szCs w:val="21"/>
              </w:rPr>
            </w:pPr>
            <w:r>
              <w:rPr>
                <w:rFonts w:hint="eastAsia"/>
                <w:sz w:val="21"/>
                <w:szCs w:val="21"/>
              </w:rPr>
              <w:t>4、非软件合成声音，要人工录制，达到电子出版物的质量要求。</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sz w:val="21"/>
                <w:szCs w:val="21"/>
              </w:rPr>
              <w:t>三</w:t>
            </w:r>
            <w:r>
              <w:rPr>
                <w:rFonts w:hint="eastAsia"/>
                <w:sz w:val="21"/>
                <w:szCs w:val="21"/>
              </w:rPr>
              <w:t>、</w:t>
            </w:r>
            <w:r>
              <w:rPr>
                <w:sz w:val="21"/>
                <w:szCs w:val="21"/>
              </w:rPr>
              <w:t>视频</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1、不少于2000个。MP4格式。</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2、内容包括百家讲坛、学术讲座、科普、唐诗、宋词、绘画、书法、儿童英语、成语故事、游戏等。适合从幼儿到成人浏览。</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3、要求资源的清晰度不低于144DPI。</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sz w:val="21"/>
                <w:szCs w:val="21"/>
              </w:rPr>
            </w:pPr>
            <w:r>
              <w:rPr>
                <w:rFonts w:hint="eastAsia"/>
                <w:sz w:val="21"/>
                <w:szCs w:val="21"/>
              </w:rPr>
              <w:t>4、所有资源不含广告。</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四、</w:t>
            </w:r>
            <w:r>
              <w:rPr>
                <w:sz w:val="21"/>
                <w:szCs w:val="21"/>
              </w:rPr>
              <w:t>期刊</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1、在线期刊不少于300种。</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2、分类：人物、经济、法制、文学、生活、科技、军事和时尚等。</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3、每月自动更新。</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4、有适合手机阅读纯文字版本。</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5、有原版原貌阅读版本。</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sz w:val="21"/>
                <w:szCs w:val="21"/>
              </w:rPr>
            </w:pPr>
            <w:r>
              <w:rPr>
                <w:rFonts w:hint="eastAsia"/>
                <w:sz w:val="21"/>
                <w:szCs w:val="21"/>
              </w:rPr>
              <w:t>6、期刊版权授权合同。</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五、</w:t>
            </w:r>
            <w:r>
              <w:rPr>
                <w:sz w:val="21"/>
                <w:szCs w:val="21"/>
              </w:rPr>
              <w:t>报纸</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1、不少于500份报纸，</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sz w:val="21"/>
                <w:szCs w:val="21"/>
              </w:rPr>
            </w:pPr>
            <w:r>
              <w:rPr>
                <w:rFonts w:hint="eastAsia"/>
                <w:sz w:val="21"/>
                <w:szCs w:val="21"/>
              </w:rPr>
              <w:t>2、每日自动更新，</w:t>
            </w:r>
          </w:p>
          <w:p>
            <w:pPr>
              <w:keepNext w:val="0"/>
              <w:keepLines w:val="0"/>
              <w:pageBreakBefore w:val="0"/>
              <w:widowControl w:val="0"/>
              <w:kinsoku/>
              <w:wordWrap/>
              <w:overflowPunct/>
              <w:topLinePunct w:val="0"/>
              <w:autoSpaceDE/>
              <w:autoSpaceDN/>
              <w:bidi w:val="0"/>
              <w:adjustRightInd/>
              <w:snapToGrid/>
              <w:spacing w:line="288" w:lineRule="auto"/>
              <w:ind w:firstLine="210" w:firstLineChars="10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sz w:val="21"/>
                <w:szCs w:val="21"/>
              </w:rPr>
              <w:t>3、地域分类、包括核心和主流报纸。</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台</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51</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办公档案柜</w:t>
            </w:r>
          </w:p>
        </w:tc>
        <w:tc>
          <w:tcPr>
            <w:tcW w:w="3136" w:type="pct"/>
            <w:shd w:val="clear" w:color="D9E1F4" w:fill="auto"/>
            <w:noWrap/>
            <w:vAlign w:val="center"/>
          </w:tcPr>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尺寸：约1800*850*390</w:t>
            </w:r>
          </w:p>
        </w:tc>
        <w:tc>
          <w:tcPr>
            <w:tcW w:w="532" w:type="pct"/>
            <w:shd w:val="clear" w:color="D9E1F4" w:fill="auto"/>
            <w:noWrap/>
            <w:vAlign w:val="center"/>
          </w:tcPr>
          <w:p>
            <w:pPr>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组</w:t>
            </w:r>
          </w:p>
        </w:tc>
        <w:tc>
          <w:tcPr>
            <w:tcW w:w="397" w:type="pct"/>
            <w:shd w:val="clear" w:color="D9E1F4" w:fill="auto"/>
            <w:noWrap/>
            <w:vAlign w:val="center"/>
          </w:tcPr>
          <w:p>
            <w:pPr>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52</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sz w:val="21"/>
                <w:szCs w:val="21"/>
                <w:lang w:val="en-US" w:eastAsia="zh-CN"/>
              </w:rPr>
              <w:t>讲桌</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1.外形尺寸：约≥800×560×950mm，讲台桌面采用平面设计，可以放置不同型号笔记本电脑，桌面四周半包围结构；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2.讲台前面设置隐藏式抽拉储物盒，可放置键盘鼠标、板擦、粉笔等教学用具；</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3.讲桌扶手及桌面采用木质材料，颜色为木纹色，下台体采用钢制结构；</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4.整体冲压成型，整体结构紧凑，空间设计合理；</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szCs w:val="21"/>
                <w:lang w:val="en-US" w:eastAsia="zh-CN"/>
              </w:rPr>
            </w:pPr>
            <w:r>
              <w:rPr>
                <w:rFonts w:hint="eastAsia" w:ascii="宋体" w:hAnsi="宋体"/>
                <w:szCs w:val="21"/>
                <w:lang w:val="en-US" w:eastAsia="zh-CN"/>
              </w:rPr>
              <w:t>5.讲台下体有柜门可打开，下体可作为储物柜使用；</w:t>
            </w:r>
          </w:p>
          <w:p>
            <w:pPr>
              <w:pStyle w:val="148"/>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szCs w:val="21"/>
                <w:lang w:val="en-US" w:eastAsia="zh-CN"/>
              </w:rPr>
              <w:t>6.采用两面进线结构，所有布线孔均采用绝缘品装置隔离电源线；</w:t>
            </w:r>
          </w:p>
        </w:tc>
        <w:tc>
          <w:tcPr>
            <w:tcW w:w="532"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张</w:t>
            </w:r>
          </w:p>
        </w:tc>
        <w:tc>
          <w:tcPr>
            <w:tcW w:w="397" w:type="pct"/>
            <w:shd w:val="clear" w:color="D9E1F4"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53</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长笛</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一体键盖16孔C调镀银长笛</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54</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短笛</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短笛C调西洋乐器</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55</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双簧管</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未诺双簧管乐器C调半自动oboe镀银</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56</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单簧管</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17键双二节 胶木单簧管</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57</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大管</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C调镀银巴松大管</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58</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萨克斯</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降E调中音萨克斯乐器</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59</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小号</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小号乐器 降B调小号</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60</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圆号</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单排圆号乐器</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61</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长号</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长号降B调转F调中音次中音拉管</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62</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次中音号</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次中音号降B调抱号</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63</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大号</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降B调铜管乐器大号</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64</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大军鼓</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24英寸大军鼓</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65</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小军鼓</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小军鼓</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66</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马林巴</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37音木琴</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67</w:t>
            </w:r>
          </w:p>
        </w:tc>
        <w:tc>
          <w:tcPr>
            <w:tcW w:w="563"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三角铁</w:t>
            </w:r>
          </w:p>
        </w:tc>
        <w:tc>
          <w:tcPr>
            <w:tcW w:w="3136" w:type="pct"/>
            <w:shd w:val="clear" w:color="D9E1F4" w:fill="auto"/>
            <w:noWrap/>
            <w:vAlign w:val="top"/>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三角铃专业小打乐器配件</w:t>
            </w:r>
          </w:p>
        </w:tc>
        <w:tc>
          <w:tcPr>
            <w:tcW w:w="532"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个</w:t>
            </w:r>
          </w:p>
        </w:tc>
        <w:tc>
          <w:tcPr>
            <w:tcW w:w="397" w:type="pct"/>
            <w:shd w:val="clear" w:color="D9E1F4" w:fill="auto"/>
            <w:noWrap/>
            <w:vAlign w:val="top"/>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68</w:t>
            </w:r>
          </w:p>
        </w:tc>
        <w:tc>
          <w:tcPr>
            <w:tcW w:w="563"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cs="宋体"/>
                <w:sz w:val="21"/>
                <w:szCs w:val="21"/>
                <w:lang w:val="en-US" w:eastAsia="zh-CN"/>
              </w:rPr>
            </w:pPr>
            <w:r>
              <w:rPr>
                <w:rFonts w:hint="eastAsia" w:ascii="宋体" w:hAnsi="宋体" w:cs="宋体"/>
                <w:sz w:val="21"/>
                <w:szCs w:val="21"/>
                <w:lang w:val="en-US" w:eastAsia="zh-CN"/>
              </w:rPr>
              <w:t>双人课桌</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szCs w:val="21"/>
                <w:lang w:val="en-US" w:eastAsia="zh-CN"/>
              </w:rPr>
            </w:pPr>
            <w:r>
              <w:rPr>
                <w:rFonts w:hint="eastAsia" w:ascii="宋体" w:hAnsi="宋体"/>
                <w:szCs w:val="21"/>
                <w:lang w:val="en-US" w:eastAsia="zh-CN"/>
              </w:rPr>
              <w:t>木质、颜色木纹色、大小：约1200*400*750（高度可调）；</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szCs w:val="21"/>
                <w:lang w:val="en-US" w:eastAsia="zh-CN"/>
              </w:rPr>
            </w:pPr>
            <w:r>
              <w:rPr>
                <w:rFonts w:hint="eastAsia" w:ascii="宋体" w:hAnsi="宋体"/>
                <w:szCs w:val="21"/>
                <w:lang w:val="en-US" w:eastAsia="zh-CN"/>
              </w:rPr>
              <w:t>桌面:面板厚度不小于18mm厚高密度板；桌面前后上方带笔槽;</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szCs w:val="21"/>
                <w:lang w:val="en-US" w:eastAsia="zh-CN"/>
              </w:rPr>
            </w:pPr>
            <w:r>
              <w:rPr>
                <w:rFonts w:hint="eastAsia" w:ascii="宋体" w:hAnsi="宋体"/>
                <w:szCs w:val="21"/>
                <w:lang w:val="en-US" w:eastAsia="zh-CN"/>
              </w:rPr>
              <w:t>坐板、椅背：采用实木多层板(椅背厚度为12mm，坐板厚度18mm)；</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宋体" w:hAnsi="宋体" w:cs="宋体"/>
                <w:sz w:val="21"/>
                <w:szCs w:val="21"/>
                <w:lang w:val="en-US" w:eastAsia="zh-CN"/>
              </w:rPr>
            </w:pPr>
            <w:r>
              <w:rPr>
                <w:rFonts w:hint="eastAsia" w:ascii="宋体" w:hAnsi="宋体"/>
                <w:szCs w:val="21"/>
                <w:lang w:val="en-US" w:eastAsia="zh-CN"/>
              </w:rPr>
              <w:t>课桌架立柱：20x40x1.2nm和25*54*.12mm，面板两侧配置书包挂钩。</w:t>
            </w:r>
          </w:p>
        </w:tc>
        <w:tc>
          <w:tcPr>
            <w:tcW w:w="532" w:type="pct"/>
            <w:shd w:val="clear" w:color="D9E1F4" w:fill="auto"/>
            <w:noWrap/>
            <w:vAlign w:val="center"/>
          </w:tcPr>
          <w:p>
            <w:pPr>
              <w:jc w:val="center"/>
              <w:rPr>
                <w:rFonts w:hint="eastAsia" w:ascii="宋体" w:hAnsi="宋体" w:cs="宋体"/>
                <w:sz w:val="21"/>
                <w:szCs w:val="21"/>
                <w:lang w:val="en-US" w:eastAsia="zh-CN"/>
              </w:rPr>
            </w:pPr>
            <w:r>
              <w:rPr>
                <w:rFonts w:hint="eastAsia"/>
                <w:vertAlign w:val="baseline"/>
                <w:lang w:val="en-US" w:eastAsia="zh-CN"/>
              </w:rPr>
              <w:t>件</w:t>
            </w:r>
          </w:p>
        </w:tc>
        <w:tc>
          <w:tcPr>
            <w:tcW w:w="397"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69</w:t>
            </w:r>
          </w:p>
        </w:tc>
        <w:tc>
          <w:tcPr>
            <w:tcW w:w="563" w:type="pct"/>
            <w:shd w:val="clear" w:color="D9E1F4" w:fill="auto"/>
            <w:noWrap/>
            <w:vAlign w:val="center"/>
          </w:tcPr>
          <w:p>
            <w:pPr>
              <w:jc w:val="center"/>
              <w:rPr>
                <w:rFonts w:hint="eastAsia" w:ascii="宋体" w:hAnsi="宋体" w:eastAsia="宋体" w:cs="Arial"/>
                <w:color w:val="000000"/>
                <w:kern w:val="2"/>
                <w:sz w:val="21"/>
                <w:szCs w:val="21"/>
                <w:highlight w:val="none"/>
                <w:lang w:val="en-US" w:eastAsia="zh-CN" w:bidi="ar-SA"/>
              </w:rPr>
            </w:pPr>
            <w:r>
              <w:rPr>
                <w:rFonts w:hint="eastAsia" w:ascii="宋体" w:hAnsi="宋体" w:cs="宋体"/>
                <w:sz w:val="21"/>
                <w:szCs w:val="21"/>
                <w:lang w:val="en-US" w:eastAsia="zh-CN"/>
              </w:rPr>
              <w:t>双人椅子</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lang w:val="en-US" w:eastAsia="zh-CN"/>
              </w:rPr>
            </w:pPr>
            <w:r>
              <w:rPr>
                <w:rFonts w:hint="eastAsia" w:ascii="宋体" w:hAnsi="宋体"/>
                <w:szCs w:val="21"/>
                <w:lang w:val="en-US" w:eastAsia="zh-CN"/>
              </w:rPr>
              <w:t>木质。颜色木纹色；</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lang w:val="en-US" w:eastAsia="zh-CN"/>
              </w:rPr>
            </w:pPr>
            <w:r>
              <w:rPr>
                <w:rFonts w:hint="eastAsia" w:ascii="宋体" w:hAnsi="宋体"/>
                <w:szCs w:val="21"/>
                <w:lang w:val="en-US" w:eastAsia="zh-CN"/>
              </w:rPr>
              <w:t>椅座下部设置置物蓝，便于放置物品。</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ascii="宋体" w:hAnsi="宋体" w:eastAsia="宋体" w:cs="Arial"/>
                <w:color w:val="000000"/>
                <w:kern w:val="0"/>
                <w:sz w:val="21"/>
                <w:szCs w:val="21"/>
                <w:highlight w:val="none"/>
                <w:lang w:val="en-US" w:eastAsia="zh-CN" w:bidi="ar-SA"/>
              </w:rPr>
            </w:pPr>
            <w:r>
              <w:rPr>
                <w:rFonts w:hint="eastAsia" w:ascii="宋体" w:hAnsi="宋体"/>
                <w:szCs w:val="21"/>
                <w:lang w:val="en-US" w:eastAsia="zh-CN"/>
              </w:rPr>
              <w:t>椅背采用20x20x1.2mm椭圆管弯管机压弯成型。上20*40*1.2mm椭圆管，下半25*54*1.2椭圆管，可升降（高度可调）。</w:t>
            </w:r>
          </w:p>
        </w:tc>
        <w:tc>
          <w:tcPr>
            <w:tcW w:w="532" w:type="pct"/>
            <w:shd w:val="clear" w:color="D9E1F4" w:fill="auto"/>
            <w:noWrap/>
            <w:vAlign w:val="center"/>
          </w:tcPr>
          <w:p>
            <w:pPr>
              <w:jc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vertAlign w:val="baseline"/>
                <w:lang w:val="en-US" w:eastAsia="zh-CN"/>
              </w:rPr>
              <w:t>件</w:t>
            </w:r>
          </w:p>
        </w:tc>
        <w:tc>
          <w:tcPr>
            <w:tcW w:w="397"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70</w:t>
            </w:r>
          </w:p>
        </w:tc>
        <w:tc>
          <w:tcPr>
            <w:tcW w:w="563" w:type="pct"/>
            <w:shd w:val="clear" w:color="D9E1F4" w:fill="auto"/>
            <w:noWrap/>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激光打印机</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Arial" w:hAnsi="Arial" w:eastAsia="宋体" w:cs="Arial"/>
                <w:i w:val="0"/>
                <w:iCs w:val="0"/>
                <w:caps w:val="0"/>
                <w:color w:val="000000"/>
                <w:spacing w:val="0"/>
                <w:sz w:val="21"/>
                <w:szCs w:val="21"/>
                <w:lang w:eastAsia="zh-CN"/>
              </w:rPr>
            </w:pPr>
            <w:r>
              <w:rPr>
                <w:rFonts w:hint="eastAsia" w:ascii="Arial" w:hAnsi="Arial" w:eastAsia="宋体" w:cs="Arial"/>
                <w:i w:val="0"/>
                <w:iCs w:val="0"/>
                <w:caps w:val="0"/>
                <w:color w:val="000000"/>
                <w:spacing w:val="0"/>
                <w:sz w:val="21"/>
                <w:szCs w:val="21"/>
                <w:lang w:val="en-US" w:eastAsia="zh-CN"/>
              </w:rPr>
              <w:t>A4</w:t>
            </w:r>
            <w:r>
              <w:rPr>
                <w:rFonts w:hint="eastAsia" w:ascii="Arial" w:hAnsi="Arial" w:eastAsia="宋体" w:cs="Arial"/>
                <w:i w:val="0"/>
                <w:iCs w:val="0"/>
                <w:caps w:val="0"/>
                <w:color w:val="000000"/>
                <w:spacing w:val="0"/>
                <w:sz w:val="21"/>
                <w:szCs w:val="21"/>
              </w:rPr>
              <w:t>黑白激光打印机</w:t>
            </w:r>
            <w:r>
              <w:rPr>
                <w:rFonts w:hint="eastAsia" w:ascii="Arial" w:hAnsi="Arial" w:eastAsia="宋体" w:cs="Arial"/>
                <w:i w:val="0"/>
                <w:iCs w:val="0"/>
                <w:caps w:val="0"/>
                <w:color w:val="000000"/>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Arial" w:hAnsi="Arial" w:eastAsia="宋体" w:cs="Arial"/>
                <w:i w:val="0"/>
                <w:iCs w:val="0"/>
                <w:caps w:val="0"/>
                <w:color w:val="000000"/>
                <w:spacing w:val="0"/>
                <w:sz w:val="21"/>
                <w:szCs w:val="21"/>
                <w:lang w:eastAsia="zh-CN"/>
              </w:rPr>
            </w:pPr>
            <w:r>
              <w:rPr>
                <w:rFonts w:hint="eastAsia" w:ascii="Arial" w:hAnsi="Arial" w:eastAsia="宋体" w:cs="Arial"/>
                <w:i w:val="0"/>
                <w:iCs w:val="0"/>
                <w:caps w:val="0"/>
                <w:color w:val="000000"/>
                <w:spacing w:val="0"/>
                <w:sz w:val="21"/>
                <w:szCs w:val="21"/>
                <w:lang w:val="en-US" w:eastAsia="zh-CN"/>
              </w:rPr>
              <w:t>黑白打印速度</w:t>
            </w:r>
            <w:r>
              <w:rPr>
                <w:rFonts w:hint="default" w:ascii="Arial" w:hAnsi="Arial" w:eastAsia="宋体" w:cs="Arial"/>
                <w:i w:val="0"/>
                <w:iCs w:val="0"/>
                <w:caps w:val="0"/>
                <w:color w:val="000000"/>
                <w:spacing w:val="0"/>
                <w:sz w:val="21"/>
                <w:szCs w:val="21"/>
                <w:lang w:val="en-US" w:eastAsia="zh-CN"/>
              </w:rPr>
              <w:t>≥</w:t>
            </w:r>
            <w:r>
              <w:rPr>
                <w:rFonts w:hint="eastAsia" w:ascii="Arial" w:hAnsi="Arial" w:eastAsia="宋体" w:cs="Arial"/>
                <w:i w:val="0"/>
                <w:iCs w:val="0"/>
                <w:caps w:val="0"/>
                <w:color w:val="000000"/>
                <w:spacing w:val="0"/>
                <w:sz w:val="21"/>
                <w:szCs w:val="21"/>
                <w:lang w:val="en-US" w:eastAsia="zh-CN"/>
              </w:rPr>
              <w:t>25ppm,最高分辨率</w:t>
            </w:r>
            <w:r>
              <w:rPr>
                <w:rFonts w:hint="default" w:ascii="Arial" w:hAnsi="Arial" w:eastAsia="宋体" w:cs="Arial"/>
                <w:i w:val="0"/>
                <w:iCs w:val="0"/>
                <w:caps w:val="0"/>
                <w:color w:val="000000"/>
                <w:spacing w:val="0"/>
                <w:sz w:val="21"/>
                <w:szCs w:val="21"/>
                <w:lang w:val="en-US" w:eastAsia="zh-CN"/>
              </w:rPr>
              <w:t>≥</w:t>
            </w:r>
            <w:r>
              <w:rPr>
                <w:rFonts w:hint="eastAsia" w:ascii="Arial" w:hAnsi="Arial" w:eastAsia="宋体" w:cs="Arial"/>
                <w:i w:val="0"/>
                <w:iCs w:val="0"/>
                <w:caps w:val="0"/>
                <w:color w:val="000000"/>
                <w:spacing w:val="0"/>
                <w:sz w:val="21"/>
                <w:szCs w:val="21"/>
              </w:rPr>
              <w:t>600×600dpi（图像增强可达2400×600dpi）</w:t>
            </w:r>
            <w:r>
              <w:rPr>
                <w:rFonts w:hint="eastAsia" w:ascii="Arial" w:hAnsi="Arial" w:eastAsia="宋体" w:cs="Arial"/>
                <w:i w:val="0"/>
                <w:iCs w:val="0"/>
                <w:caps w:val="0"/>
                <w:color w:val="000000"/>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lang w:val="en-US" w:eastAsia="zh-CN"/>
              </w:rPr>
            </w:pPr>
            <w:r>
              <w:rPr>
                <w:rFonts w:hint="eastAsia" w:ascii="Arial" w:hAnsi="Arial" w:eastAsia="宋体" w:cs="Arial"/>
                <w:i w:val="0"/>
                <w:iCs w:val="0"/>
                <w:caps w:val="0"/>
                <w:color w:val="000000"/>
                <w:spacing w:val="0"/>
                <w:sz w:val="21"/>
                <w:szCs w:val="21"/>
                <w:lang w:val="en-US" w:eastAsia="zh-CN"/>
              </w:rPr>
              <w:t>接口类型：</w:t>
            </w:r>
            <w:r>
              <w:rPr>
                <w:rFonts w:hint="eastAsia" w:ascii="Arial" w:hAnsi="Arial" w:eastAsia="宋体" w:cs="Arial"/>
                <w:i w:val="0"/>
                <w:iCs w:val="0"/>
                <w:caps w:val="0"/>
                <w:color w:val="000000"/>
                <w:spacing w:val="0"/>
                <w:sz w:val="21"/>
                <w:szCs w:val="21"/>
              </w:rPr>
              <w:t>高速USB2.0 10Base-T/100Base-TX(RJ-45)</w:t>
            </w:r>
            <w:r>
              <w:rPr>
                <w:rFonts w:hint="eastAsia" w:ascii="Arial" w:hAnsi="Arial" w:eastAsia="宋体" w:cs="Arial"/>
                <w:i w:val="0"/>
                <w:iCs w:val="0"/>
                <w:caps w:val="0"/>
                <w:color w:val="000000"/>
                <w:spacing w:val="0"/>
                <w:sz w:val="21"/>
                <w:szCs w:val="21"/>
                <w:lang w:eastAsia="zh-CN"/>
              </w:rPr>
              <w:t>。</w:t>
            </w:r>
            <w:r>
              <w:rPr>
                <w:rFonts w:hint="eastAsia" w:ascii="Arial" w:hAnsi="Arial" w:eastAsia="宋体" w:cs="Arial"/>
                <w:i w:val="0"/>
                <w:iCs w:val="0"/>
                <w:caps w:val="0"/>
                <w:color w:val="000000"/>
                <w:spacing w:val="0"/>
                <w:sz w:val="21"/>
                <w:szCs w:val="21"/>
                <w:lang w:val="en-US" w:eastAsia="zh-CN"/>
              </w:rPr>
              <w:t>双面打印：自动。首页打印时间：</w:t>
            </w:r>
            <w:r>
              <w:rPr>
                <w:rFonts w:hint="eastAsia" w:ascii="Arial" w:hAnsi="Arial" w:eastAsia="宋体" w:cs="Arial"/>
                <w:i w:val="0"/>
                <w:iCs w:val="0"/>
                <w:caps w:val="0"/>
                <w:color w:val="000000"/>
                <w:spacing w:val="0"/>
                <w:sz w:val="21"/>
                <w:szCs w:val="21"/>
              </w:rPr>
              <w:t>约</w:t>
            </w:r>
            <w:r>
              <w:rPr>
                <w:rFonts w:hint="default" w:ascii="Arial" w:hAnsi="Arial" w:eastAsia="宋体" w:cs="Arial"/>
                <w:i w:val="0"/>
                <w:iCs w:val="0"/>
                <w:caps w:val="0"/>
                <w:color w:val="000000"/>
                <w:spacing w:val="0"/>
                <w:sz w:val="21"/>
                <w:szCs w:val="21"/>
              </w:rPr>
              <w:t>≤</w:t>
            </w:r>
            <w:r>
              <w:rPr>
                <w:rFonts w:hint="eastAsia" w:ascii="Arial" w:hAnsi="Arial" w:eastAsia="宋体" w:cs="Arial"/>
                <w:i w:val="0"/>
                <w:iCs w:val="0"/>
                <w:caps w:val="0"/>
                <w:color w:val="000000"/>
                <w:spacing w:val="0"/>
                <w:sz w:val="21"/>
                <w:szCs w:val="21"/>
              </w:rPr>
              <w:t>6.0秒</w:t>
            </w:r>
            <w:r>
              <w:rPr>
                <w:rFonts w:hint="eastAsia" w:ascii="Arial" w:hAnsi="Arial" w:eastAsia="宋体" w:cs="Arial"/>
                <w:i w:val="0"/>
                <w:iCs w:val="0"/>
                <w:caps w:val="0"/>
                <w:color w:val="000000"/>
                <w:spacing w:val="0"/>
                <w:sz w:val="21"/>
                <w:szCs w:val="21"/>
                <w:lang w:eastAsia="zh-CN"/>
              </w:rPr>
              <w:t>。</w:t>
            </w:r>
            <w:r>
              <w:rPr>
                <w:rFonts w:hint="eastAsia" w:ascii="Arial" w:hAnsi="Arial" w:eastAsia="宋体" w:cs="Arial"/>
                <w:i w:val="0"/>
                <w:iCs w:val="0"/>
                <w:caps w:val="0"/>
                <w:color w:val="000000"/>
                <w:spacing w:val="0"/>
                <w:sz w:val="21"/>
                <w:szCs w:val="21"/>
                <w:lang w:val="en-US" w:eastAsia="zh-CN"/>
              </w:rPr>
              <w:t>打印方式：</w:t>
            </w:r>
            <w:r>
              <w:rPr>
                <w:rFonts w:hint="eastAsia" w:ascii="Arial" w:hAnsi="Arial" w:eastAsia="宋体" w:cs="Arial"/>
                <w:i w:val="0"/>
                <w:iCs w:val="0"/>
                <w:caps w:val="0"/>
                <w:color w:val="000000"/>
                <w:spacing w:val="0"/>
                <w:sz w:val="21"/>
                <w:szCs w:val="21"/>
              </w:rPr>
              <w:t>双面打印/网络打印/缩放打印/多合一打印/分套/分组打印/海报打印/水印打印/手册打印/省墨打印/组合打印/移动打印</w:t>
            </w:r>
          </w:p>
        </w:tc>
        <w:tc>
          <w:tcPr>
            <w:tcW w:w="532" w:type="pct"/>
            <w:shd w:val="clear" w:color="D9E1F4" w:fill="auto"/>
            <w:noWrap/>
            <w:vAlign w:val="center"/>
          </w:tcPr>
          <w:p>
            <w:pPr>
              <w:jc w:val="center"/>
              <w:rPr>
                <w:rFonts w:hint="eastAsia"/>
                <w:vertAlign w:val="baseline"/>
                <w:lang w:val="en-US" w:eastAsia="zh-CN"/>
              </w:rPr>
            </w:pPr>
            <w:r>
              <w:rPr>
                <w:rFonts w:hint="eastAsia"/>
                <w:vertAlign w:val="baseline"/>
                <w:lang w:val="en-US" w:eastAsia="zh-CN"/>
              </w:rPr>
              <w:t>台</w:t>
            </w:r>
          </w:p>
        </w:tc>
        <w:tc>
          <w:tcPr>
            <w:tcW w:w="397" w:type="pct"/>
            <w:shd w:val="clear" w:color="D9E1F4" w:fill="auto"/>
            <w:noWrap/>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0"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71</w:t>
            </w:r>
          </w:p>
        </w:tc>
        <w:tc>
          <w:tcPr>
            <w:tcW w:w="563" w:type="pct"/>
            <w:shd w:val="clear" w:color="D9E1F4" w:fill="auto"/>
            <w:noWrap/>
            <w:vAlign w:val="center"/>
          </w:tcPr>
          <w:p>
            <w:pPr>
              <w:jc w:val="center"/>
              <w:rPr>
                <w:rFonts w:hint="eastAsia" w:ascii="宋体" w:hAnsi="宋体" w:cs="宋体"/>
                <w:sz w:val="21"/>
                <w:szCs w:val="21"/>
                <w:lang w:val="en-US" w:eastAsia="zh-CN"/>
              </w:rPr>
            </w:pPr>
            <w:r>
              <w:rPr>
                <w:rFonts w:hint="eastAsia" w:ascii="宋体" w:hAnsi="宋体" w:cs="宋体"/>
                <w:sz w:val="21"/>
                <w:szCs w:val="21"/>
                <w:lang w:val="en-US" w:eastAsia="zh-CN"/>
              </w:rPr>
              <w:t>智慧放学系统</w:t>
            </w:r>
          </w:p>
        </w:tc>
        <w:tc>
          <w:tcPr>
            <w:tcW w:w="3136" w:type="pct"/>
            <w:shd w:val="clear" w:color="D9E1F4" w:fill="auto"/>
            <w:noWrap/>
            <w:vAlign w:val="center"/>
          </w:tcPr>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一：</w:t>
            </w:r>
            <w:r>
              <w:rPr>
                <w:rFonts w:hint="eastAsia" w:ascii="宋体" w:hAnsi="宋体" w:eastAsia="宋体" w:cs="宋体"/>
                <w:sz w:val="21"/>
                <w:szCs w:val="21"/>
              </w:rPr>
              <w:t>前端放学系统展示（放学时间、班级等信息展示）。权限管理，中控通信程序对接、支持显示屏板卡通信或者扩展发布显示，支持一卡通打卡程序。放学系统通过设置在校门口的 LED 显示屏即时显示：即将出校的班级；正在出校的班级；已经出校的班级等。</w:t>
            </w:r>
          </w:p>
          <w:p>
            <w:pPr>
              <w:keepNext w:val="0"/>
              <w:keepLines w:val="0"/>
              <w:pageBreakBefore w:val="0"/>
              <w:widowControl w:val="0"/>
              <w:numPr>
                <w:ilvl w:val="0"/>
                <w:numId w:val="15"/>
              </w:numPr>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显示信息变化时，辅助语音提醒。信息更新及时知道，更可无障碍直达。 </w:t>
            </w:r>
          </w:p>
          <w:p>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可设置多个显示屏对应多点接送，信息显示无死角。家长仅需要在接送点放心等候即可。</w:t>
            </w:r>
          </w:p>
          <w:p>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无需布通讯线，仅电源到位即可。实施方便，适用于各种实际环境。 </w:t>
            </w:r>
          </w:p>
          <w:p>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系统对显示屏的尺寸、大小、 种类无特定要求，对原有 LED 电子屏的学校可以使用已有的屏。 </w:t>
            </w:r>
          </w:p>
          <w:p>
            <w:pPr>
              <w:keepNext w:val="0"/>
              <w:keepLines w:val="0"/>
              <w:pageBreakBefore w:val="0"/>
              <w:widowControl w:val="0"/>
              <w:numPr>
                <w:ilvl w:val="0"/>
                <w:numId w:val="15"/>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显示的方式可以是表格或者文字。同时支持多窗口显示。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6</w:t>
            </w:r>
            <w:r>
              <w:rPr>
                <w:rFonts w:hint="eastAsia" w:ascii="宋体" w:hAnsi="宋体" w:eastAsia="宋体" w:cs="宋体"/>
                <w:sz w:val="21"/>
                <w:szCs w:val="21"/>
              </w:rPr>
              <w:t>.显示支持横屏、竖屏、表格等方式</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标准读卡器一台，支持协议标准ISO/IEC1443A协议、EM/TK 系列，支持RS232传输刷卡信息</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二：网络模块：</w:t>
            </w:r>
            <w:r>
              <w:rPr>
                <w:rFonts w:hint="eastAsia" w:ascii="宋体" w:hAnsi="宋体" w:eastAsia="宋体" w:cs="宋体"/>
                <w:sz w:val="21"/>
                <w:szCs w:val="21"/>
                <w:lang w:eastAsia="zh-CN"/>
              </w:rPr>
              <w:t>232转网络模块，100M高速网卡，10/100M自适应以太网接口；</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1、支持AUTO MDI/MDIX，可使用交叉网线或平行网络连接；</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2、UART波特率从1200 bps 到2.6 Mbps 可设置；</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3、工作方式 TCP Client、TCP Server、UDP等工作模式；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4、支持虚拟串口工作模式；</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5、可以跨越网关，跨越交换机，路由器；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6、可工作于局域网，也可以工作于互联网；</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7、工作端口，目标IP地址和端口均可自行设定；</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8、网络断开后自动断开连接，保证整个网络可靠的建立TCP连接；</w:t>
            </w:r>
          </w:p>
          <w:p>
            <w:pPr>
              <w:keepNext w:val="0"/>
              <w:keepLines w:val="0"/>
              <w:pageBreakBefore w:val="0"/>
              <w:widowControl w:val="0"/>
              <w:numPr>
                <w:ilvl w:val="0"/>
                <w:numId w:val="16"/>
              </w:numPr>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灵活的串口数据分帧设置，满足用户各种分包需求；</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三：移动端：支持app操作，支持教师登录放学，具备权限管理，一个管理员可同时属于多个组别。手机、平板、PC自动适配</w:t>
            </w:r>
            <w:r>
              <w:rPr>
                <w:rFonts w:hint="eastAsia" w:ascii="宋体" w:hAnsi="宋体" w:cs="宋体"/>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支持文件更新检测及自动加载</w:t>
            </w:r>
            <w:r>
              <w:rPr>
                <w:rFonts w:hint="eastAsia" w:ascii="宋体" w:hAnsi="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szCs w:val="21"/>
                <w:lang w:val="en-US" w:eastAsia="zh-CN"/>
              </w:rPr>
            </w:pPr>
            <w:r>
              <w:rPr>
                <w:rFonts w:hint="eastAsia" w:ascii="宋体" w:hAnsi="宋体" w:eastAsia="宋体" w:cs="宋体"/>
                <w:sz w:val="21"/>
                <w:szCs w:val="21"/>
                <w:lang w:val="en-US" w:eastAsia="zh-CN"/>
              </w:rPr>
              <w:t>四：</w:t>
            </w:r>
            <w:r>
              <w:rPr>
                <w:rFonts w:hint="default" w:ascii="宋体" w:hAnsi="宋体" w:eastAsia="宋体" w:cs="宋体"/>
                <w:sz w:val="21"/>
                <w:szCs w:val="21"/>
                <w:lang w:val="en-US" w:eastAsia="zh-CN"/>
              </w:rPr>
              <w:t>工控电脑</w:t>
            </w:r>
            <w:r>
              <w:rPr>
                <w:rFonts w:hint="eastAsia" w:ascii="宋体" w:hAnsi="宋体" w:eastAsia="宋体" w:cs="宋体"/>
                <w:sz w:val="21"/>
                <w:szCs w:val="21"/>
                <w:lang w:val="en-US" w:eastAsia="zh-CN"/>
              </w:rPr>
              <w:t>一台，</w:t>
            </w:r>
            <w:r>
              <w:rPr>
                <w:rFonts w:hint="default" w:ascii="宋体" w:hAnsi="宋体" w:eastAsia="宋体" w:cs="宋体"/>
                <w:sz w:val="21"/>
                <w:szCs w:val="21"/>
                <w:lang w:val="en-US" w:eastAsia="zh-CN"/>
              </w:rPr>
              <w:t>主机配置，</w:t>
            </w:r>
            <w:r>
              <w:rPr>
                <w:rFonts w:hint="eastAsia" w:ascii="宋体" w:hAnsi="宋体" w:cs="宋体"/>
                <w:sz w:val="21"/>
                <w:szCs w:val="21"/>
                <w:lang w:val="en-US" w:eastAsia="zh-CN"/>
              </w:rPr>
              <w:t>CPU</w:t>
            </w:r>
            <w:r>
              <w:rPr>
                <w:rFonts w:hint="default" w:ascii="Arial" w:hAnsi="Arial" w:eastAsia="宋体" w:cs="Arial"/>
                <w:sz w:val="21"/>
                <w:szCs w:val="21"/>
                <w:lang w:val="en-US" w:eastAsia="zh-CN"/>
              </w:rPr>
              <w:t>≥</w:t>
            </w:r>
            <w:r>
              <w:rPr>
                <w:rFonts w:hint="eastAsia" w:ascii="Arial" w:hAnsi="Arial" w:cs="Arial"/>
                <w:sz w:val="21"/>
                <w:szCs w:val="21"/>
                <w:lang w:val="en-US" w:eastAsia="zh-CN"/>
              </w:rPr>
              <w:t>i510代，硬盘</w:t>
            </w:r>
            <w:r>
              <w:rPr>
                <w:rFonts w:hint="default" w:ascii="Arial" w:hAnsi="Arial" w:eastAsia="宋体" w:cs="Arial"/>
                <w:sz w:val="21"/>
                <w:szCs w:val="21"/>
                <w:lang w:val="en-US" w:eastAsia="zh-CN"/>
              </w:rPr>
              <w:t>≥</w:t>
            </w:r>
            <w:r>
              <w:rPr>
                <w:rFonts w:hint="default" w:ascii="宋体" w:hAnsi="宋体" w:eastAsia="宋体" w:cs="宋体"/>
                <w:sz w:val="21"/>
                <w:szCs w:val="21"/>
                <w:lang w:val="en-US" w:eastAsia="zh-CN"/>
              </w:rPr>
              <w:t>128G，</w:t>
            </w:r>
            <w:r>
              <w:rPr>
                <w:rFonts w:hint="eastAsia" w:ascii="宋体" w:hAnsi="宋体" w:cs="宋体"/>
                <w:sz w:val="21"/>
                <w:szCs w:val="21"/>
                <w:lang w:val="en-US" w:eastAsia="zh-CN"/>
              </w:rPr>
              <w:t>内存</w:t>
            </w:r>
            <w:r>
              <w:rPr>
                <w:rFonts w:hint="default" w:ascii="Arial" w:hAnsi="Arial" w:eastAsia="宋体" w:cs="Arial"/>
                <w:sz w:val="21"/>
                <w:szCs w:val="21"/>
                <w:lang w:val="en-US" w:eastAsia="zh-CN"/>
              </w:rPr>
              <w:t>≥</w:t>
            </w:r>
            <w:r>
              <w:rPr>
                <w:rFonts w:hint="default" w:ascii="宋体" w:hAnsi="宋体" w:eastAsia="宋体" w:cs="宋体"/>
                <w:sz w:val="21"/>
                <w:szCs w:val="21"/>
                <w:lang w:val="en-US" w:eastAsia="zh-CN"/>
              </w:rPr>
              <w:t>4G</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19寸</w:t>
            </w:r>
            <w:r>
              <w:rPr>
                <w:rFonts w:hint="eastAsia" w:ascii="宋体" w:hAnsi="宋体" w:eastAsia="宋体" w:cs="宋体"/>
                <w:sz w:val="21"/>
                <w:szCs w:val="21"/>
                <w:lang w:val="en-US" w:eastAsia="zh-CN"/>
              </w:rPr>
              <w:t>显示器</w:t>
            </w:r>
            <w:r>
              <w:rPr>
                <w:rFonts w:hint="eastAsia" w:ascii="宋体" w:hAnsi="宋体" w:cs="宋体"/>
                <w:sz w:val="21"/>
                <w:szCs w:val="21"/>
                <w:lang w:val="en-US" w:eastAsia="zh-CN"/>
              </w:rPr>
              <w:t>。</w:t>
            </w:r>
          </w:p>
        </w:tc>
        <w:tc>
          <w:tcPr>
            <w:tcW w:w="532" w:type="pct"/>
            <w:shd w:val="clear" w:color="D9E1F4" w:fill="auto"/>
            <w:noWrap/>
            <w:vAlign w:val="center"/>
          </w:tcPr>
          <w:p>
            <w:pPr>
              <w:jc w:val="center"/>
              <w:rPr>
                <w:rFonts w:hint="default"/>
                <w:vertAlign w:val="baseline"/>
                <w:lang w:val="en-US" w:eastAsia="zh-CN"/>
              </w:rPr>
            </w:pPr>
            <w:r>
              <w:rPr>
                <w:rFonts w:hint="eastAsia"/>
                <w:vertAlign w:val="baseline"/>
                <w:lang w:val="en-US" w:eastAsia="zh-CN"/>
              </w:rPr>
              <w:t>套</w:t>
            </w:r>
          </w:p>
        </w:tc>
        <w:tc>
          <w:tcPr>
            <w:tcW w:w="397" w:type="pct"/>
            <w:shd w:val="clear" w:color="D9E1F4" w:fill="auto"/>
            <w:noWrap/>
            <w:vAlign w:val="center"/>
          </w:tcPr>
          <w:p>
            <w:pPr>
              <w:keepNext w:val="0"/>
              <w:keepLines w:val="0"/>
              <w:pageBreakBefore w:val="0"/>
              <w:kinsoku/>
              <w:wordWrap/>
              <w:overflowPunct/>
              <w:topLinePunct w:val="0"/>
              <w:autoSpaceDE/>
              <w:autoSpaceDN/>
              <w:bidi w:val="0"/>
              <w:adjustRightInd/>
              <w:snapToGrid/>
              <w:spacing w:line="288"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1</w:t>
            </w:r>
          </w:p>
        </w:tc>
      </w:tr>
    </w:tbl>
    <w:p>
      <w:pPr>
        <w:numPr>
          <w:ilvl w:val="0"/>
          <w:numId w:val="0"/>
        </w:numPr>
        <w:spacing w:before="240" w:after="120" w:line="360" w:lineRule="auto"/>
        <w:jc w:val="left"/>
        <w:outlineLvl w:val="2"/>
        <w:rPr>
          <w:rFonts w:hint="default" w:ascii="宋体" w:hAnsi="宋体" w:cs="宋体"/>
          <w:b/>
          <w:bCs/>
          <w:color w:val="000000"/>
          <w:kern w:val="0"/>
          <w:sz w:val="24"/>
          <w:szCs w:val="24"/>
          <w:highlight w:val="none"/>
          <w:lang w:val="en-US" w:eastAsia="zh-CN" w:bidi="ar-SA"/>
        </w:rPr>
      </w:pPr>
      <w:r>
        <w:rPr>
          <w:rFonts w:hint="eastAsia" w:ascii="宋体" w:hAnsi="宋体" w:cs="宋体"/>
          <w:b/>
          <w:bCs/>
          <w:color w:val="000000"/>
          <w:sz w:val="28"/>
          <w:highlight w:val="none"/>
          <w:lang w:val="en-US" w:eastAsia="zh-CN"/>
        </w:rPr>
        <w:t>三、</w:t>
      </w:r>
      <w:r>
        <w:rPr>
          <w:rFonts w:hint="default" w:ascii="宋体" w:hAnsi="宋体" w:cs="宋体"/>
          <w:b/>
          <w:bCs/>
          <w:color w:val="000000"/>
          <w:sz w:val="28"/>
          <w:highlight w:val="none"/>
          <w:lang w:val="en-US" w:eastAsia="zh-CN"/>
        </w:rPr>
        <w:t>商务要求</w:t>
      </w:r>
    </w:p>
    <w:p>
      <w:pPr>
        <w:pStyle w:val="6"/>
        <w:numPr>
          <w:ilvl w:val="0"/>
          <w:numId w:val="0"/>
        </w:numPr>
        <w:ind w:leftChars="0"/>
        <w:jc w:val="both"/>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val="en-US" w:eastAsia="zh-CN" w:bidi="ar-SA"/>
        </w:rPr>
        <w:t>1、货物（产品）交货时间（期限）及地点</w:t>
      </w:r>
    </w:p>
    <w:p>
      <w:pPr>
        <w:numPr>
          <w:ilvl w:val="0"/>
          <w:numId w:val="0"/>
        </w:numPr>
        <w:tabs>
          <w:tab w:val="left" w:pos="425"/>
        </w:tabs>
        <w:spacing w:line="360" w:lineRule="auto"/>
        <w:ind w:firstLine="210" w:firstLineChars="100"/>
        <w:rPr>
          <w:rFonts w:hint="eastAsia" w:cs="Times New Roman"/>
          <w:color w:val="auto"/>
          <w:sz w:val="21"/>
          <w:szCs w:val="21"/>
          <w:highlight w:val="none"/>
          <w:lang w:eastAsia="zh-CN"/>
        </w:rPr>
      </w:pPr>
      <w:r>
        <w:rPr>
          <w:rFonts w:hint="eastAsia" w:ascii="Times New Roman" w:hAnsi="Times New Roman" w:eastAsia="宋体" w:cs="Times New Roman"/>
          <w:b w:val="0"/>
          <w:bCs w:val="0"/>
          <w:color w:val="000000"/>
          <w:sz w:val="21"/>
          <w:szCs w:val="21"/>
          <w:highlight w:val="none"/>
          <w:lang w:val="en-US" w:eastAsia="zh-CN"/>
        </w:rPr>
        <w:t>1、</w:t>
      </w:r>
      <w:r>
        <w:rPr>
          <w:rFonts w:hint="default" w:ascii="Times New Roman" w:hAnsi="Times New Roman" w:eastAsia="宋体" w:cs="Times New Roman"/>
          <w:b w:val="0"/>
          <w:bCs w:val="0"/>
          <w:color w:val="000000"/>
          <w:sz w:val="21"/>
          <w:szCs w:val="21"/>
          <w:highlight w:val="none"/>
        </w:rPr>
        <w:t>交货时间（期</w:t>
      </w:r>
      <w:r>
        <w:rPr>
          <w:rFonts w:hint="default" w:ascii="Times New Roman" w:hAnsi="Times New Roman" w:eastAsia="宋体" w:cs="Times New Roman"/>
          <w:b w:val="0"/>
          <w:bCs w:val="0"/>
          <w:color w:val="auto"/>
          <w:sz w:val="21"/>
          <w:szCs w:val="21"/>
          <w:highlight w:val="none"/>
        </w:rPr>
        <w:t>限）：</w:t>
      </w:r>
      <w:r>
        <w:rPr>
          <w:rFonts w:hint="eastAsia" w:ascii="宋体" w:hAnsi="宋体" w:eastAsia="宋体" w:cs="宋体"/>
          <w:color w:val="auto"/>
          <w:highlight w:val="none"/>
          <w:lang w:eastAsia="zh-CN"/>
        </w:rPr>
        <w:t>合同签订后</w:t>
      </w:r>
      <w:r>
        <w:rPr>
          <w:rFonts w:hint="eastAsia" w:ascii="宋体" w:hAnsi="宋体" w:cs="宋体"/>
          <w:color w:val="auto"/>
          <w:highlight w:val="none"/>
          <w:lang w:val="en-US" w:eastAsia="zh-CN"/>
        </w:rPr>
        <w:t>20</w:t>
      </w:r>
      <w:r>
        <w:rPr>
          <w:rFonts w:hint="eastAsia" w:ascii="宋体" w:hAnsi="宋体" w:eastAsia="宋体" w:cs="宋体"/>
          <w:color w:val="auto"/>
          <w:highlight w:val="none"/>
          <w:lang w:eastAsia="zh-CN"/>
        </w:rPr>
        <w:t>个日历</w:t>
      </w:r>
      <w:r>
        <w:rPr>
          <w:rFonts w:hint="eastAsia" w:ascii="宋体" w:hAnsi="宋体" w:cs="宋体"/>
          <w:color w:val="auto"/>
          <w:highlight w:val="none"/>
          <w:lang w:val="en-US" w:eastAsia="zh-CN"/>
        </w:rPr>
        <w:t>天</w:t>
      </w:r>
      <w:r>
        <w:rPr>
          <w:rFonts w:hint="eastAsia" w:ascii="宋体" w:hAnsi="宋体" w:eastAsia="宋体" w:cs="宋体"/>
          <w:color w:val="auto"/>
          <w:highlight w:val="none"/>
          <w:lang w:eastAsia="zh-CN"/>
        </w:rPr>
        <w:t>供货安装调试完毕</w:t>
      </w:r>
      <w:r>
        <w:rPr>
          <w:rFonts w:hint="eastAsia" w:cs="Times New Roman"/>
          <w:color w:val="auto"/>
          <w:sz w:val="21"/>
          <w:szCs w:val="21"/>
          <w:highlight w:val="none"/>
          <w:lang w:eastAsia="zh-CN"/>
        </w:rPr>
        <w:t>。</w:t>
      </w:r>
    </w:p>
    <w:p>
      <w:pPr>
        <w:numPr>
          <w:ilvl w:val="0"/>
          <w:numId w:val="0"/>
        </w:numPr>
        <w:tabs>
          <w:tab w:val="left" w:pos="425"/>
        </w:tabs>
        <w:spacing w:line="360" w:lineRule="auto"/>
        <w:ind w:firstLine="210" w:firstLineChars="100"/>
        <w:rPr>
          <w:rFonts w:hint="eastAsia" w:cs="Times New Roman"/>
          <w:color w:val="auto"/>
          <w:sz w:val="21"/>
          <w:szCs w:val="21"/>
          <w:lang w:eastAsia="zh-CN"/>
        </w:rPr>
      </w:pPr>
      <w:r>
        <w:rPr>
          <w:rFonts w:hint="eastAsia" w:ascii="宋体" w:hAnsi="宋体" w:cs="宋体"/>
          <w:sz w:val="21"/>
          <w:szCs w:val="21"/>
          <w:highlight w:val="none"/>
          <w:lang w:val="en-US" w:eastAsia="zh-CN"/>
        </w:rPr>
        <w:t>2、</w:t>
      </w:r>
      <w:r>
        <w:rPr>
          <w:rFonts w:hint="eastAsia" w:cs="Times New Roman"/>
          <w:color w:val="auto"/>
          <w:sz w:val="21"/>
          <w:szCs w:val="21"/>
          <w:lang w:eastAsia="zh-CN"/>
        </w:rPr>
        <w:t>交货地点：</w:t>
      </w:r>
      <w:r>
        <w:rPr>
          <w:rFonts w:hint="eastAsia" w:cs="Times New Roman"/>
          <w:color w:val="auto"/>
          <w:sz w:val="21"/>
          <w:szCs w:val="21"/>
          <w:lang w:val="en-US" w:eastAsia="zh-CN"/>
        </w:rPr>
        <w:t>西安市长安区教育局</w:t>
      </w:r>
      <w:r>
        <w:rPr>
          <w:rFonts w:hint="eastAsia" w:cs="Times New Roman"/>
          <w:color w:val="auto"/>
          <w:sz w:val="21"/>
          <w:szCs w:val="21"/>
          <w:lang w:eastAsia="zh-CN"/>
        </w:rPr>
        <w:t>指定地点。</w:t>
      </w:r>
    </w:p>
    <w:p>
      <w:pPr>
        <w:pStyle w:val="12"/>
        <w:spacing w:line="360" w:lineRule="auto"/>
        <w:ind w:left="0" w:leftChars="0" w:firstLine="0" w:firstLineChars="0"/>
        <w:rPr>
          <w:rFonts w:hint="default" w:ascii="宋体" w:hAnsi="宋体" w:cs="宋体"/>
          <w:b/>
          <w:bCs/>
          <w:color w:val="auto"/>
          <w:kern w:val="0"/>
          <w:sz w:val="24"/>
          <w:szCs w:val="24"/>
          <w:lang w:val="en-US" w:eastAsia="zh-CN" w:bidi="ar-SA"/>
        </w:rPr>
      </w:pPr>
      <w:r>
        <w:rPr>
          <w:rFonts w:hint="default" w:ascii="宋体" w:hAnsi="宋体" w:cs="宋体"/>
          <w:b/>
          <w:bCs/>
          <w:color w:val="auto"/>
          <w:kern w:val="0"/>
          <w:sz w:val="24"/>
          <w:szCs w:val="24"/>
          <w:lang w:val="en-US" w:eastAsia="zh-CN" w:bidi="ar-SA"/>
        </w:rPr>
        <w:t>2、运输、安装调试：</w:t>
      </w:r>
    </w:p>
    <w:p>
      <w:pPr>
        <w:pStyle w:val="6"/>
        <w:numPr>
          <w:ilvl w:val="0"/>
          <w:numId w:val="0"/>
        </w:numPr>
        <w:ind w:leftChars="0" w:firstLine="420" w:firstLineChars="200"/>
        <w:jc w:val="both"/>
        <w:rPr>
          <w:rFonts w:hint="eastAsia"/>
        </w:rPr>
      </w:pPr>
      <w:r>
        <w:rPr>
          <w:rFonts w:hint="default" w:ascii="Times New Roman" w:hAnsi="Times New Roman" w:eastAsia="宋体" w:cs="Times New Roman"/>
          <w:color w:val="auto"/>
          <w:sz w:val="21"/>
          <w:szCs w:val="21"/>
        </w:rPr>
        <w:t>货物（产品）运输、安装、调试及使用单位人员的培训由中标人负责。采用公路或铁路运输方式，选择风险小、运费低和运距短的运输路线。运杂费一次性包死在总价内，采购人不再额外支付，包括从生产厂家到使用（安装）现场的包装、装载、运输、卸载、现场保管、二次倒运等费用。</w:t>
      </w:r>
    </w:p>
    <w:p>
      <w:pPr>
        <w:keepLines w:val="0"/>
        <w:pageBreakBefore w:val="0"/>
        <w:widowControl w:val="0"/>
        <w:numPr>
          <w:ilvl w:val="0"/>
          <w:numId w:val="0"/>
        </w:numPr>
        <w:shd w:val="clear"/>
        <w:kinsoku/>
        <w:wordWrap/>
        <w:overflowPunct/>
        <w:topLinePunct w:val="0"/>
        <w:bidi w:val="0"/>
        <w:snapToGrid/>
        <w:spacing w:line="440" w:lineRule="exact"/>
        <w:ind w:right="0" w:firstLine="241" w:firstLineChars="100"/>
        <w:textAlignment w:val="auto"/>
        <w:rPr>
          <w:rFonts w:hint="default"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3、付款方式：</w:t>
      </w:r>
    </w:p>
    <w:p>
      <w:pPr>
        <w:keepLines w:val="0"/>
        <w:pageBreakBefore w:val="0"/>
        <w:widowControl w:val="0"/>
        <w:numPr>
          <w:ilvl w:val="0"/>
          <w:numId w:val="0"/>
        </w:numPr>
        <w:shd w:val="clear"/>
        <w:kinsoku/>
        <w:wordWrap/>
        <w:overflowPunct/>
        <w:topLinePunct w:val="0"/>
        <w:bidi w:val="0"/>
        <w:snapToGrid/>
        <w:spacing w:line="440" w:lineRule="exact"/>
        <w:ind w:right="0" w:firstLine="630" w:firstLineChars="30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1.本次</w:t>
      </w:r>
      <w:r>
        <w:rPr>
          <w:rFonts w:hint="eastAsia" w:cs="Times New Roman"/>
          <w:b w:val="0"/>
          <w:bCs w:val="0"/>
          <w:color w:val="auto"/>
          <w:kern w:val="2"/>
          <w:sz w:val="21"/>
          <w:szCs w:val="21"/>
          <w:highlight w:val="none"/>
          <w:lang w:val="en-US" w:eastAsia="zh-CN" w:bidi="ar-SA"/>
        </w:rPr>
        <w:t>中标价格</w:t>
      </w:r>
      <w:r>
        <w:rPr>
          <w:rFonts w:hint="eastAsia" w:ascii="Times New Roman" w:hAnsi="Times New Roman" w:eastAsia="宋体" w:cs="Times New Roman"/>
          <w:b w:val="0"/>
          <w:bCs w:val="0"/>
          <w:color w:val="auto"/>
          <w:kern w:val="2"/>
          <w:sz w:val="21"/>
          <w:szCs w:val="21"/>
          <w:highlight w:val="none"/>
          <w:lang w:val="en-US" w:eastAsia="zh-CN" w:bidi="ar-SA"/>
        </w:rPr>
        <w:t xml:space="preserve">，包含完成所有本次项目内容所需的全部费用。 </w:t>
      </w:r>
    </w:p>
    <w:p>
      <w:pPr>
        <w:keepLines w:val="0"/>
        <w:pageBreakBefore w:val="0"/>
        <w:widowControl w:val="0"/>
        <w:numPr>
          <w:ilvl w:val="0"/>
          <w:numId w:val="0"/>
        </w:numPr>
        <w:shd w:val="clear"/>
        <w:kinsoku/>
        <w:wordWrap/>
        <w:overflowPunct/>
        <w:topLinePunct w:val="0"/>
        <w:bidi w:val="0"/>
        <w:snapToGrid/>
        <w:spacing w:line="440" w:lineRule="exact"/>
        <w:ind w:right="0" w:firstLine="630" w:firstLineChars="300"/>
        <w:textAlignment w:val="auto"/>
        <w:rPr>
          <w:rFonts w:hint="eastAsia" w:ascii="宋体" w:hAnsi="宋体" w:cs="宋体"/>
          <w:sz w:val="21"/>
          <w:szCs w:val="21"/>
          <w:highlight w:val="none"/>
          <w:lang w:val="en-US" w:eastAsia="zh-CN"/>
        </w:rPr>
      </w:pPr>
      <w:r>
        <w:rPr>
          <w:rFonts w:hint="eastAsia" w:cs="Times New Roman"/>
          <w:b w:val="0"/>
          <w:bCs w:val="0"/>
          <w:color w:val="auto"/>
          <w:kern w:val="2"/>
          <w:sz w:val="21"/>
          <w:szCs w:val="21"/>
          <w:highlight w:val="none"/>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2.付款方式和程序：</w:t>
      </w:r>
    </w:p>
    <w:p>
      <w:pPr>
        <w:keepLines w:val="0"/>
        <w:pageBreakBefore w:val="0"/>
        <w:widowControl w:val="0"/>
        <w:numPr>
          <w:ilvl w:val="0"/>
          <w:numId w:val="0"/>
        </w:numPr>
        <w:shd w:val="clear"/>
        <w:kinsoku/>
        <w:wordWrap/>
        <w:overflowPunct/>
        <w:topLinePunct w:val="0"/>
        <w:bidi w:val="0"/>
        <w:snapToGrid/>
        <w:spacing w:line="440" w:lineRule="exact"/>
        <w:ind w:left="0" w:leftChars="0" w:right="0" w:firstLine="630" w:firstLineChars="30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2.1 由采购人负责结算，在付款前，供应商必须开具全额发票给采购人（附详细</w:t>
      </w:r>
      <w:r>
        <w:rPr>
          <w:rFonts w:hint="eastAsia" w:cs="Times New Roman"/>
          <w:b w:val="0"/>
          <w:bCs w:val="0"/>
          <w:color w:val="auto"/>
          <w:kern w:val="2"/>
          <w:sz w:val="21"/>
          <w:szCs w:val="21"/>
          <w:highlight w:val="none"/>
          <w:lang w:val="en-US" w:eastAsia="zh-CN" w:bidi="ar-SA"/>
        </w:rPr>
        <w:t>供货</w:t>
      </w:r>
      <w:r>
        <w:rPr>
          <w:rFonts w:hint="eastAsia" w:ascii="Times New Roman" w:hAnsi="Times New Roman" w:eastAsia="宋体" w:cs="Times New Roman"/>
          <w:b w:val="0"/>
          <w:bCs w:val="0"/>
          <w:color w:val="auto"/>
          <w:kern w:val="2"/>
          <w:sz w:val="21"/>
          <w:szCs w:val="21"/>
          <w:highlight w:val="none"/>
          <w:lang w:val="en-US" w:eastAsia="zh-CN" w:bidi="ar-SA"/>
        </w:rPr>
        <w:t>清单）</w:t>
      </w:r>
      <w:r>
        <w:rPr>
          <w:rFonts w:hint="eastAsia" w:cs="Times New Roman"/>
          <w:b w:val="0"/>
          <w:bCs w:val="0"/>
          <w:color w:val="auto"/>
          <w:kern w:val="2"/>
          <w:sz w:val="21"/>
          <w:szCs w:val="21"/>
          <w:highlight w:val="none"/>
          <w:lang w:val="en-US" w:eastAsia="zh-CN" w:bidi="ar-SA"/>
        </w:rPr>
        <w:t>；</w:t>
      </w:r>
      <w:r>
        <w:rPr>
          <w:rFonts w:hint="eastAsia" w:ascii="Times New Roman" w:hAnsi="Times New Roman" w:eastAsia="宋体" w:cs="Times New Roman"/>
          <w:b w:val="0"/>
          <w:bCs w:val="0"/>
          <w:color w:val="auto"/>
          <w:kern w:val="2"/>
          <w:sz w:val="21"/>
          <w:szCs w:val="21"/>
          <w:highlight w:val="none"/>
          <w:lang w:val="en-US" w:eastAsia="zh-CN" w:bidi="ar-SA"/>
        </w:rPr>
        <w:t xml:space="preserve"> </w:t>
      </w:r>
    </w:p>
    <w:p>
      <w:pPr>
        <w:shd w:val="clear"/>
        <w:spacing w:line="360" w:lineRule="auto"/>
        <w:ind w:firstLine="630" w:firstLineChars="30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2.2 付款方式：项目整体经采购人验收合格</w:t>
      </w:r>
      <w:r>
        <w:rPr>
          <w:rFonts w:hint="eastAsia" w:cs="Times New Roman"/>
          <w:b w:val="0"/>
          <w:bCs w:val="0"/>
          <w:color w:val="auto"/>
          <w:kern w:val="2"/>
          <w:sz w:val="21"/>
          <w:szCs w:val="21"/>
          <w:highlight w:val="none"/>
          <w:lang w:val="en-US" w:eastAsia="zh-CN" w:bidi="ar-SA"/>
        </w:rPr>
        <w:t>后</w:t>
      </w:r>
      <w:r>
        <w:rPr>
          <w:rFonts w:hint="eastAsia" w:ascii="Times New Roman" w:hAnsi="Times New Roman" w:eastAsia="宋体" w:cs="Times New Roman"/>
          <w:b w:val="0"/>
          <w:bCs w:val="0"/>
          <w:color w:val="auto"/>
          <w:kern w:val="2"/>
          <w:sz w:val="21"/>
          <w:szCs w:val="21"/>
          <w:highlight w:val="none"/>
          <w:lang w:val="en-US" w:eastAsia="zh-CN" w:bidi="ar-SA"/>
        </w:rPr>
        <w:t>，采购人向供应商支付至合同总价的100%；</w:t>
      </w:r>
    </w:p>
    <w:p>
      <w:pPr>
        <w:keepLines w:val="0"/>
        <w:pageBreakBefore w:val="0"/>
        <w:widowControl w:val="0"/>
        <w:numPr>
          <w:ilvl w:val="0"/>
          <w:numId w:val="0"/>
        </w:numPr>
        <w:shd w:val="clear"/>
        <w:kinsoku/>
        <w:wordWrap/>
        <w:overflowPunct/>
        <w:topLinePunct w:val="0"/>
        <w:bidi w:val="0"/>
        <w:snapToGrid/>
        <w:spacing w:line="440" w:lineRule="exact"/>
        <w:ind w:right="0" w:firstLine="630" w:firstLineChars="30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2.3 支付方式：银行转账</w:t>
      </w:r>
    </w:p>
    <w:p>
      <w:pPr>
        <w:spacing w:line="480" w:lineRule="exact"/>
        <w:rPr>
          <w:rFonts w:hint="default" w:ascii="宋体" w:hAnsi="宋体" w:cs="宋体"/>
          <w:b/>
          <w:bCs/>
          <w:color w:val="auto"/>
          <w:kern w:val="0"/>
          <w:sz w:val="24"/>
          <w:szCs w:val="24"/>
          <w:lang w:val="en-US" w:eastAsia="zh-CN" w:bidi="ar-SA"/>
        </w:rPr>
      </w:pPr>
      <w:r>
        <w:rPr>
          <w:rFonts w:hint="default" w:ascii="宋体" w:hAnsi="宋体" w:cs="宋体"/>
          <w:b/>
          <w:bCs/>
          <w:color w:val="auto"/>
          <w:kern w:val="0"/>
          <w:sz w:val="24"/>
          <w:szCs w:val="24"/>
          <w:lang w:val="en-US" w:eastAsia="zh-CN" w:bidi="ar-SA"/>
        </w:rPr>
        <w:t>4、货物（产品）的验收：</w:t>
      </w:r>
    </w:p>
    <w:p>
      <w:pPr>
        <w:adjustRightInd w:val="0"/>
        <w:snapToGrid w:val="0"/>
        <w:spacing w:line="500" w:lineRule="exact"/>
        <w:rPr>
          <w:szCs w:val="21"/>
        </w:rPr>
      </w:pPr>
      <w:r>
        <w:rPr>
          <w:rFonts w:hint="eastAsia" w:ascii="Times New Roman" w:hAnsi="Times New Roman" w:eastAsia="宋体" w:cs="Times New Roman"/>
          <w:color w:val="auto"/>
          <w:sz w:val="21"/>
          <w:szCs w:val="21"/>
          <w:lang w:val="en-US" w:eastAsia="zh-CN"/>
        </w:rPr>
        <w:t xml:space="preserve">  </w:t>
      </w:r>
      <w:r>
        <w:rPr>
          <w:rFonts w:hint="eastAsia"/>
          <w:szCs w:val="21"/>
        </w:rPr>
        <w:t xml:space="preserve"> </w:t>
      </w:r>
      <w:r>
        <w:rPr>
          <w:rFonts w:hint="eastAsia"/>
          <w:szCs w:val="21"/>
          <w:lang w:val="en-US" w:eastAsia="zh-CN"/>
        </w:rPr>
        <w:t>货物</w:t>
      </w:r>
      <w:r>
        <w:rPr>
          <w:szCs w:val="21"/>
        </w:rPr>
        <w:t>验收</w:t>
      </w:r>
      <w:r>
        <w:rPr>
          <w:rFonts w:hint="eastAsia"/>
          <w:szCs w:val="21"/>
        </w:rPr>
        <w:t>：</w:t>
      </w:r>
    </w:p>
    <w:p>
      <w:pPr>
        <w:spacing w:line="480" w:lineRule="exact"/>
        <w:ind w:firstLine="420" w:firstLineChars="200"/>
        <w:rPr>
          <w:rFonts w:hint="eastAsia" w:ascii="宋体" w:hAnsi="宋体" w:eastAsia="宋体" w:cs="宋体"/>
          <w:sz w:val="21"/>
          <w:szCs w:val="21"/>
          <w:highlight w:val="red"/>
        </w:rPr>
      </w:pPr>
      <w:r>
        <w:rPr>
          <w:rFonts w:hint="eastAsia" w:ascii="宋体" w:hAnsi="宋体" w:eastAsia="宋体" w:cs="宋体"/>
          <w:sz w:val="21"/>
          <w:szCs w:val="21"/>
          <w:highlight w:val="none"/>
        </w:rPr>
        <w:t>通过检验的货物方可进行安装、调试、达到使用条件时由甲方负责组织验收；验收合格须交接项目实施的全部资料，并填写政府采购项目验收报告单。</w:t>
      </w:r>
    </w:p>
    <w:p>
      <w:pPr>
        <w:spacing w:line="480" w:lineRule="exact"/>
        <w:rPr>
          <w:rFonts w:hint="default" w:ascii="宋体" w:hAnsi="宋体" w:cs="宋体"/>
          <w:b/>
          <w:bCs/>
          <w:color w:val="auto"/>
          <w:kern w:val="0"/>
          <w:sz w:val="24"/>
          <w:szCs w:val="24"/>
          <w:lang w:val="en-US" w:eastAsia="zh-CN" w:bidi="ar-SA"/>
        </w:rPr>
      </w:pPr>
      <w:r>
        <w:rPr>
          <w:rFonts w:hint="default" w:ascii="宋体" w:hAnsi="宋体" w:cs="宋体"/>
          <w:b/>
          <w:bCs/>
          <w:color w:val="auto"/>
          <w:kern w:val="0"/>
          <w:sz w:val="24"/>
          <w:szCs w:val="24"/>
          <w:lang w:val="en-US" w:eastAsia="zh-CN" w:bidi="ar-SA"/>
        </w:rPr>
        <w:t>5、货物（产品）验收依据：</w:t>
      </w:r>
    </w:p>
    <w:p>
      <w:pPr>
        <w:adjustRightInd w:val="0"/>
        <w:snapToGrid w:val="0"/>
        <w:spacing w:line="460" w:lineRule="exact"/>
        <w:ind w:firstLine="411" w:firstLineChars="19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合同文本及合同补充文件（条款）。</w:t>
      </w:r>
    </w:p>
    <w:p>
      <w:pPr>
        <w:adjustRightInd w:val="0"/>
        <w:snapToGrid w:val="0"/>
        <w:spacing w:line="460" w:lineRule="exact"/>
        <w:ind w:firstLine="411" w:firstLineChars="19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招标文件。</w:t>
      </w:r>
    </w:p>
    <w:p>
      <w:pPr>
        <w:adjustRightInd w:val="0"/>
        <w:snapToGrid w:val="0"/>
        <w:spacing w:line="460" w:lineRule="exact"/>
        <w:ind w:firstLine="411" w:firstLineChars="19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中标人的投标文件。</w:t>
      </w:r>
    </w:p>
    <w:p>
      <w:pPr>
        <w:adjustRightInd w:val="0"/>
        <w:snapToGrid w:val="0"/>
        <w:spacing w:line="460" w:lineRule="exact"/>
        <w:ind w:firstLine="411" w:firstLineChars="19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合同货物清单。</w:t>
      </w:r>
    </w:p>
    <w:p>
      <w:pPr>
        <w:pStyle w:val="5"/>
        <w:keepNext/>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 xml:space="preserve"> 相关证明文件及</w:t>
      </w:r>
      <w:r>
        <w:rPr>
          <w:rFonts w:hint="default" w:ascii="Times New Roman" w:hAnsi="Times New Roman" w:eastAsia="宋体" w:cs="Times New Roman"/>
          <w:color w:val="auto"/>
          <w:kern w:val="2"/>
          <w:sz w:val="21"/>
          <w:szCs w:val="21"/>
          <w:lang w:val="en-US" w:eastAsia="zh-CN" w:bidi="ar-SA"/>
        </w:rPr>
        <w:t>执行标准。</w:t>
      </w:r>
    </w:p>
    <w:p>
      <w:pPr>
        <w:spacing w:line="480" w:lineRule="exact"/>
        <w:rPr>
          <w:rFonts w:hint="default" w:ascii="宋体" w:hAnsi="宋体" w:cs="宋体"/>
          <w:b/>
          <w:bCs/>
          <w:color w:val="auto"/>
          <w:kern w:val="0"/>
          <w:sz w:val="24"/>
          <w:szCs w:val="24"/>
          <w:lang w:val="en-US" w:eastAsia="zh-CN" w:bidi="ar-SA"/>
        </w:rPr>
      </w:pPr>
      <w:r>
        <w:rPr>
          <w:rFonts w:hint="eastAsia" w:ascii="宋体" w:hAnsi="宋体" w:cs="宋体"/>
          <w:b/>
          <w:bCs/>
          <w:kern w:val="0"/>
          <w:sz w:val="24"/>
          <w:szCs w:val="24"/>
          <w:lang w:val="en-US" w:eastAsia="zh-CN" w:bidi="ar-SA"/>
        </w:rPr>
        <w:t>6</w:t>
      </w:r>
      <w:r>
        <w:rPr>
          <w:rFonts w:hint="default" w:ascii="宋体" w:hAnsi="宋体" w:cs="宋体"/>
          <w:b/>
          <w:bCs/>
          <w:kern w:val="0"/>
          <w:sz w:val="24"/>
          <w:szCs w:val="24"/>
          <w:lang w:val="en-US" w:eastAsia="zh-CN" w:bidi="ar-SA"/>
        </w:rPr>
        <w:t>、产品的</w:t>
      </w:r>
      <w:r>
        <w:rPr>
          <w:rFonts w:hint="default" w:ascii="宋体" w:hAnsi="宋体" w:cs="宋体"/>
          <w:b/>
          <w:bCs/>
          <w:color w:val="auto"/>
          <w:kern w:val="0"/>
          <w:sz w:val="24"/>
          <w:szCs w:val="24"/>
          <w:lang w:val="en-US" w:eastAsia="zh-CN" w:bidi="ar-SA"/>
        </w:rPr>
        <w:t>质量保证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imes New Roman"/>
          <w:highlight w:val="yellow"/>
          <w:lang w:val="en-US" w:eastAsia="zh-CN"/>
        </w:rPr>
      </w:pPr>
      <w:r>
        <w:rPr>
          <w:rFonts w:hint="eastAsia"/>
          <w:color w:val="auto"/>
          <w:szCs w:val="21"/>
          <w:lang w:eastAsia="zh-CN"/>
        </w:rPr>
        <w:t>（</w:t>
      </w:r>
      <w:r>
        <w:rPr>
          <w:rFonts w:hint="eastAsia"/>
          <w:color w:val="auto"/>
          <w:szCs w:val="21"/>
          <w:lang w:val="en-US" w:eastAsia="zh-CN"/>
        </w:rPr>
        <w:t>1</w:t>
      </w:r>
      <w:r>
        <w:rPr>
          <w:rFonts w:hint="eastAsia"/>
          <w:color w:val="auto"/>
          <w:szCs w:val="21"/>
          <w:highlight w:val="none"/>
          <w:lang w:eastAsia="zh-CN"/>
        </w:rPr>
        <w:t>）</w:t>
      </w:r>
      <w:r>
        <w:rPr>
          <w:b/>
          <w:bCs/>
          <w:color w:val="auto"/>
          <w:szCs w:val="21"/>
          <w:highlight w:val="none"/>
        </w:rPr>
        <w:t>质保期</w:t>
      </w:r>
      <w:r>
        <w:rPr>
          <w:rFonts w:hint="eastAsia"/>
          <w:b/>
          <w:bCs/>
          <w:color w:val="auto"/>
          <w:szCs w:val="21"/>
          <w:highlight w:val="none"/>
          <w:lang w:eastAsia="zh-CN"/>
        </w:rPr>
        <w:t>：</w:t>
      </w:r>
      <w:r>
        <w:rPr>
          <w:rFonts w:hint="eastAsia" w:ascii="Times New Roman" w:hAnsi="Times New Roman" w:eastAsia="宋体" w:cs="Times New Roman"/>
          <w:highlight w:val="none"/>
          <w:lang w:val="en-US" w:eastAsia="zh-CN"/>
        </w:rPr>
        <w:t>自验收合格之日起</w:t>
      </w:r>
      <w:r>
        <w:rPr>
          <w:rFonts w:hint="eastAsia" w:cs="Times New Roman"/>
          <w:highlight w:val="none"/>
          <w:lang w:val="en-US" w:eastAsia="zh-CN"/>
        </w:rPr>
        <w:t>3</w:t>
      </w:r>
      <w:r>
        <w:rPr>
          <w:rFonts w:hint="eastAsia" w:ascii="Times New Roman" w:hAnsi="Times New Roman" w:eastAsia="宋体" w:cs="Times New Roman"/>
          <w:highlight w:val="none"/>
          <w:lang w:val="en-US" w:eastAsia="zh-CN"/>
        </w:rPr>
        <w:t>年</w:t>
      </w:r>
      <w:r>
        <w:rPr>
          <w:rFonts w:hint="eastAsia" w:cs="Times New Roman"/>
          <w:highlight w:val="none"/>
          <w:lang w:val="en-US" w:eastAsia="zh-CN"/>
        </w:rPr>
        <w:t xml:space="preserve">，空调6年。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（2）保证技术指标先进、质量性能可靠，全面满足采购要求。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（3）符合国家有关规范要求，确保达到最佳使用状态。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（4）环保要求：符合国家安全环保标准、国家有关产品质量认证标准。没有国家标准的，采用该产品有关行业标准（取较高标准）。</w:t>
      </w:r>
    </w:p>
    <w:p>
      <w:pPr>
        <w:spacing w:line="440" w:lineRule="exact"/>
        <w:ind w:firstLine="482" w:firstLineChars="200"/>
        <w:rPr>
          <w:szCs w:val="21"/>
        </w:rPr>
      </w:pPr>
      <w:r>
        <w:rPr>
          <w:rFonts w:hint="eastAsia" w:ascii="宋体" w:hAnsi="宋体" w:cs="宋体"/>
          <w:b/>
          <w:bCs/>
          <w:color w:val="auto"/>
          <w:kern w:val="0"/>
          <w:sz w:val="24"/>
          <w:highlight w:val="none"/>
        </w:rPr>
        <w:t>注：供应商</w:t>
      </w:r>
      <w:r>
        <w:rPr>
          <w:rFonts w:hint="eastAsia" w:ascii="宋体" w:hAnsi="宋体" w:cs="宋体"/>
          <w:b/>
          <w:bCs/>
          <w:color w:val="auto"/>
          <w:kern w:val="0"/>
          <w:sz w:val="24"/>
          <w:highlight w:val="none"/>
          <w:lang w:eastAsia="zh-CN"/>
        </w:rPr>
        <w:t>提供的证明资料</w:t>
      </w:r>
      <w:r>
        <w:rPr>
          <w:rFonts w:hint="eastAsia" w:ascii="宋体" w:hAnsi="宋体" w:cs="宋体"/>
          <w:b/>
          <w:bCs/>
          <w:color w:val="auto"/>
          <w:kern w:val="0"/>
          <w:sz w:val="24"/>
          <w:highlight w:val="none"/>
        </w:rPr>
        <w:t>须</w:t>
      </w:r>
      <w:r>
        <w:rPr>
          <w:rFonts w:hint="eastAsia" w:ascii="宋体" w:hAnsi="宋体" w:cs="宋体"/>
          <w:b/>
          <w:bCs/>
          <w:color w:val="auto"/>
          <w:kern w:val="0"/>
          <w:sz w:val="24"/>
          <w:highlight w:val="none"/>
          <w:lang w:eastAsia="zh-CN"/>
        </w:rPr>
        <w:t>真实有效</w:t>
      </w:r>
      <w:r>
        <w:rPr>
          <w:rFonts w:hint="eastAsia" w:ascii="宋体" w:hAnsi="宋体" w:cs="宋体"/>
          <w:b/>
          <w:bCs/>
          <w:color w:val="auto"/>
          <w:kern w:val="0"/>
          <w:sz w:val="24"/>
          <w:highlight w:val="none"/>
        </w:rPr>
        <w:t>，</w:t>
      </w:r>
      <w:r>
        <w:rPr>
          <w:rFonts w:hint="eastAsia" w:ascii="宋体" w:hAnsi="宋体" w:cs="宋体"/>
          <w:b/>
          <w:bCs/>
          <w:color w:val="auto"/>
          <w:kern w:val="0"/>
          <w:sz w:val="24"/>
          <w:highlight w:val="none"/>
          <w:lang w:eastAsia="zh-CN"/>
        </w:rPr>
        <w:t>如提供虚假资料</w:t>
      </w:r>
      <w:r>
        <w:rPr>
          <w:rFonts w:hint="eastAsia" w:ascii="宋体" w:hAnsi="宋体" w:cs="宋体"/>
          <w:b/>
          <w:bCs/>
          <w:color w:val="auto"/>
          <w:kern w:val="0"/>
          <w:sz w:val="24"/>
          <w:highlight w:val="none"/>
        </w:rPr>
        <w:t>按</w:t>
      </w:r>
      <w:r>
        <w:rPr>
          <w:rFonts w:hint="eastAsia" w:ascii="宋体" w:hAnsi="宋体" w:cs="宋体"/>
          <w:b/>
          <w:bCs/>
          <w:color w:val="auto"/>
          <w:kern w:val="0"/>
          <w:sz w:val="24"/>
          <w:highlight w:val="none"/>
          <w:lang w:eastAsia="zh-CN"/>
        </w:rPr>
        <w:t>无效响应文件</w:t>
      </w:r>
      <w:r>
        <w:rPr>
          <w:rFonts w:hint="eastAsia" w:ascii="宋体" w:hAnsi="宋体" w:cs="宋体"/>
          <w:b/>
          <w:bCs/>
          <w:color w:val="auto"/>
          <w:kern w:val="0"/>
          <w:sz w:val="24"/>
          <w:highlight w:val="none"/>
        </w:rPr>
        <w:t>处理。</w:t>
      </w:r>
    </w:p>
    <w:p>
      <w:pPr>
        <w:pStyle w:val="5"/>
        <w:keepNext/>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7、质保期内</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提供系统的安装培训等服务，项目完成后要确保设备的正常运行，能完全满足学校的需求；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在项目实施过程中及售后服务期内，投标人需承诺指定专人负责与用户保持长期的联系与服务。免费提供完整的配套产品资料，包括系统安装使用手册、系统功能 模块说明书、用户使用手册、帮助文档等。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zh-TW" w:eastAsia="zh-TW"/>
        </w:rPr>
      </w:pPr>
      <w:r>
        <w:rPr>
          <w:rFonts w:hint="eastAsia"/>
          <w:lang w:val="en-US" w:eastAsia="zh-CN"/>
        </w:rPr>
        <w:t>投标人必须提供 7*24小时技术支持服务，出现故障报修后，</w:t>
      </w:r>
      <w:r>
        <w:rPr>
          <w:rFonts w:hint="eastAsia"/>
          <w:lang w:val="zh-TW" w:eastAsia="zh-TW"/>
        </w:rPr>
        <w:t>通过</w:t>
      </w:r>
      <w:r>
        <w:rPr>
          <w:rFonts w:hint="eastAsia"/>
          <w:lang w:val="en-US" w:eastAsia="zh-CN"/>
        </w:rPr>
        <w:t>以下常规技术服务方式，如电话支持、电子邮件支持、远程维护</w:t>
      </w:r>
      <w:r>
        <w:rPr>
          <w:rFonts w:hint="eastAsia"/>
          <w:lang w:val="zh-TW" w:eastAsia="zh-TW"/>
        </w:rPr>
        <w:t>无法解决的问题，</w:t>
      </w:r>
      <w:r>
        <w:rPr>
          <w:rFonts w:hint="eastAsia"/>
          <w:lang w:val="en-US" w:eastAsia="zh-CN"/>
        </w:rPr>
        <w:t>则必须在2小时内响应，</w:t>
      </w:r>
      <w:r>
        <w:rPr>
          <w:rFonts w:hint="eastAsia" w:ascii="宋体" w:hAnsi="宋体" w:cs="宋体"/>
          <w:szCs w:val="21"/>
        </w:rPr>
        <w:t>及时派遣维护服务人员进行现场问题排查和解决</w:t>
      </w:r>
      <w:r>
        <w:rPr>
          <w:rFonts w:hint="eastAsia"/>
          <w:lang w:val="en-US" w:eastAsia="zh-CN"/>
        </w:rPr>
        <w:t>。</w:t>
      </w:r>
      <w:r>
        <w:rPr>
          <w:rFonts w:hint="eastAsia" w:ascii="宋体" w:hAnsi="宋体" w:cs="宋体"/>
          <w:szCs w:val="21"/>
        </w:rPr>
        <w:t>对于系统灾难性故障，立即安排维护服务人员到现场进行系统恢复，现场响应时间：7*24小时。保修期内售后服务产生的费用（包括材料）由中标人承担。</w:t>
      </w:r>
    </w:p>
    <w:p>
      <w:pPr>
        <w:pStyle w:val="12"/>
        <w:spacing w:line="440" w:lineRule="exact"/>
        <w:ind w:firstLine="420" w:firstLineChars="200"/>
        <w:rPr>
          <w:rFonts w:hint="eastAsia"/>
          <w:lang w:val="en-US" w:eastAsia="zh-CN"/>
        </w:rPr>
      </w:pPr>
      <w:r>
        <w:rPr>
          <w:rFonts w:hint="eastAsia"/>
          <w:lang w:val="en-US" w:eastAsia="zh-CN"/>
        </w:rPr>
        <w:t>培训：</w:t>
      </w:r>
      <w:r>
        <w:rPr>
          <w:rFonts w:hint="eastAsia"/>
          <w:szCs w:val="21"/>
        </w:rPr>
        <w:t xml:space="preserve"> </w:t>
      </w:r>
      <w:r>
        <w:rPr>
          <w:szCs w:val="21"/>
        </w:rPr>
        <w:t>所有设备安装、调试开始前，</w:t>
      </w:r>
      <w:r>
        <w:rPr>
          <w:rFonts w:hint="eastAsia"/>
          <w:szCs w:val="21"/>
          <w:lang w:val="en-US" w:eastAsia="zh-CN"/>
        </w:rPr>
        <w:t>中标</w:t>
      </w:r>
      <w:r>
        <w:rPr>
          <w:rFonts w:hint="eastAsia"/>
          <w:szCs w:val="21"/>
        </w:rPr>
        <w:t>单位应对</w:t>
      </w:r>
      <w:r>
        <w:rPr>
          <w:szCs w:val="21"/>
        </w:rPr>
        <w:t>采购方维修技术人员进行</w:t>
      </w:r>
      <w:r>
        <w:rPr>
          <w:rFonts w:hint="eastAsia"/>
          <w:szCs w:val="21"/>
        </w:rPr>
        <w:t>技术</w:t>
      </w:r>
      <w:r>
        <w:rPr>
          <w:szCs w:val="21"/>
        </w:rPr>
        <w:t>培训；在设备安装调试期间或以后，</w:t>
      </w:r>
      <w:r>
        <w:rPr>
          <w:rFonts w:hint="eastAsia"/>
          <w:szCs w:val="21"/>
          <w:lang w:val="en-US" w:eastAsia="zh-CN"/>
        </w:rPr>
        <w:t>中标</w:t>
      </w:r>
      <w:r>
        <w:rPr>
          <w:rFonts w:hint="eastAsia"/>
          <w:szCs w:val="21"/>
        </w:rPr>
        <w:t>单位</w:t>
      </w:r>
      <w:r>
        <w:rPr>
          <w:szCs w:val="21"/>
        </w:rPr>
        <w:t>必须安排技术人员现场对采购方</w:t>
      </w:r>
      <w:r>
        <w:rPr>
          <w:rFonts w:hint="eastAsia"/>
          <w:szCs w:val="21"/>
        </w:rPr>
        <w:t>的</w:t>
      </w:r>
      <w:r>
        <w:rPr>
          <w:szCs w:val="21"/>
        </w:rPr>
        <w:t>维护技术人员进行操作应用及维护保养等方面更深入的技能培训，使他们具备操作和必要的调整、维护技能。</w:t>
      </w:r>
      <w:r>
        <w:rPr>
          <w:rFonts w:hint="eastAsia"/>
          <w:szCs w:val="21"/>
        </w:rPr>
        <w:t>培训所发生的一切费用由</w:t>
      </w:r>
      <w:r>
        <w:rPr>
          <w:rFonts w:hint="eastAsia"/>
          <w:szCs w:val="21"/>
          <w:lang w:val="en-US" w:eastAsia="zh-CN"/>
        </w:rPr>
        <w:t>中标</w:t>
      </w:r>
      <w:r>
        <w:rPr>
          <w:rFonts w:hint="eastAsia"/>
          <w:szCs w:val="21"/>
        </w:rPr>
        <w:t>单位负责。</w:t>
      </w:r>
    </w:p>
    <w:p>
      <w:pPr>
        <w:pStyle w:val="5"/>
        <w:keepNext/>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8、质保期满后</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宋体" w:hAnsi="宋体" w:cs="宋体"/>
          <w:b/>
          <w:bCs/>
          <w:color w:val="auto"/>
          <w:kern w:val="0"/>
          <w:sz w:val="24"/>
          <w:highlight w:val="none"/>
          <w:lang w:val="en-US" w:eastAsia="zh-CN"/>
        </w:rPr>
      </w:pPr>
      <w:r>
        <w:rPr>
          <w:rFonts w:hint="eastAsia" w:ascii="Times New Roman" w:hAnsi="Times New Roman" w:cs="Times New Roman"/>
          <w:b w:val="0"/>
          <w:bCs w:val="0"/>
          <w:color w:val="auto"/>
          <w:kern w:val="2"/>
          <w:sz w:val="21"/>
          <w:szCs w:val="21"/>
          <w:highlight w:val="none"/>
          <w:lang w:val="en-US" w:eastAsia="zh-CN" w:bidi="ar-SA"/>
        </w:rPr>
        <w:t>中标单位</w:t>
      </w:r>
      <w:r>
        <w:rPr>
          <w:rFonts w:hint="eastAsia" w:ascii="Times New Roman" w:hAnsi="Times New Roman" w:eastAsia="宋体" w:cs="Times New Roman"/>
          <w:b w:val="0"/>
          <w:bCs w:val="0"/>
          <w:color w:val="auto"/>
          <w:kern w:val="2"/>
          <w:sz w:val="21"/>
          <w:szCs w:val="21"/>
          <w:highlight w:val="none"/>
          <w:lang w:val="en-US" w:eastAsia="zh-CN" w:bidi="ar-SA"/>
        </w:rPr>
        <w:t>提供终身上门维护的服务，维护（修）服务按模块收取，可根据市场行情按最优惠的价格收取。保证以合理的价格提供维护，当发生故障时，</w:t>
      </w:r>
      <w:r>
        <w:rPr>
          <w:rFonts w:hint="eastAsia" w:cs="Times New Roman"/>
          <w:b w:val="0"/>
          <w:bCs w:val="0"/>
          <w:color w:val="auto"/>
          <w:kern w:val="2"/>
          <w:sz w:val="21"/>
          <w:szCs w:val="21"/>
          <w:highlight w:val="none"/>
          <w:lang w:val="en-US" w:eastAsia="zh-CN" w:bidi="ar-SA"/>
        </w:rPr>
        <w:t>中标单位</w:t>
      </w:r>
      <w:r>
        <w:rPr>
          <w:rFonts w:hint="eastAsia" w:ascii="Times New Roman" w:hAnsi="Times New Roman" w:eastAsia="宋体" w:cs="Times New Roman"/>
          <w:b w:val="0"/>
          <w:bCs w:val="0"/>
          <w:color w:val="auto"/>
          <w:kern w:val="2"/>
          <w:sz w:val="21"/>
          <w:szCs w:val="21"/>
          <w:highlight w:val="none"/>
          <w:lang w:val="en-US" w:eastAsia="zh-CN" w:bidi="ar-SA"/>
        </w:rPr>
        <w:t>应按质保期内同样的要求进行维护处理。</w:t>
      </w:r>
    </w:p>
    <w:p>
      <w:pPr>
        <w:bidi w:val="0"/>
        <w:rPr>
          <w:rFonts w:hint="eastAsia"/>
          <w:lang w:val="en-US" w:eastAsia="zh-CN"/>
        </w:rPr>
      </w:pPr>
    </w:p>
    <w:p>
      <w:pPr>
        <w:keepLines w:val="0"/>
        <w:pageBreakBefore w:val="0"/>
        <w:widowControl w:val="0"/>
        <w:numPr>
          <w:ilvl w:val="0"/>
          <w:numId w:val="0"/>
        </w:numPr>
        <w:kinsoku/>
        <w:wordWrap/>
        <w:overflowPunct/>
        <w:topLinePunct w:val="0"/>
        <w:bidi w:val="0"/>
        <w:snapToGrid/>
        <w:spacing w:line="440" w:lineRule="exact"/>
        <w:ind w:right="0" w:firstLine="630" w:firstLineChars="300"/>
        <w:textAlignment w:val="auto"/>
        <w:rPr>
          <w:rFonts w:hint="eastAsia" w:eastAsia="宋体" w:cs="Times New Roman"/>
          <w:b w:val="0"/>
          <w:bCs w:val="0"/>
          <w:color w:val="auto"/>
          <w:kern w:val="2"/>
          <w:sz w:val="21"/>
          <w:szCs w:val="21"/>
          <w:highlight w:val="none"/>
          <w:lang w:val="en-US" w:eastAsia="zh-CN" w:bidi="ar-SA"/>
        </w:rPr>
      </w:pPr>
    </w:p>
    <w:p>
      <w:pP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both"/>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rPr>
          <w:rFonts w:hint="eastAsia" w:ascii="宋体" w:hAnsi="宋体" w:eastAsia="宋体" w:cs="宋体"/>
          <w:b/>
          <w:bCs/>
          <w:color w:val="auto"/>
          <w:sz w:val="36"/>
          <w:szCs w:val="36"/>
          <w:highlight w:val="none"/>
          <w:lang w:eastAsia="zh-CN"/>
        </w:rPr>
      </w:pPr>
    </w:p>
    <w:p>
      <w:pPr>
        <w:rPr>
          <w:rFonts w:hint="eastAsia" w:ascii="宋体" w:hAnsi="宋体" w:eastAsia="宋体" w:cs="宋体"/>
          <w:b/>
          <w:bCs/>
          <w:color w:val="auto"/>
          <w:sz w:val="36"/>
          <w:szCs w:val="36"/>
          <w:highlight w:val="none"/>
          <w:lang w:eastAsia="zh-CN"/>
        </w:rPr>
      </w:pPr>
    </w:p>
    <w:p>
      <w:pPr>
        <w:pStyle w:val="19"/>
        <w:rPr>
          <w:rFonts w:hint="eastAsia" w:ascii="宋体" w:hAnsi="宋体" w:eastAsia="宋体" w:cs="宋体"/>
          <w:b/>
          <w:bCs/>
          <w:color w:val="auto"/>
          <w:sz w:val="36"/>
          <w:szCs w:val="36"/>
          <w:highlight w:val="none"/>
          <w:lang w:eastAsia="zh-CN"/>
        </w:rPr>
      </w:pPr>
    </w:p>
    <w:p>
      <w:pPr>
        <w:pStyle w:val="19"/>
        <w:rPr>
          <w:rFonts w:hint="eastAsia" w:ascii="宋体" w:hAnsi="宋体" w:eastAsia="宋体" w:cs="宋体"/>
          <w:b/>
          <w:bCs/>
          <w:color w:val="auto"/>
          <w:sz w:val="36"/>
          <w:szCs w:val="36"/>
          <w:highlight w:val="none"/>
          <w:lang w:eastAsia="zh-CN"/>
        </w:rPr>
      </w:pPr>
    </w:p>
    <w:p>
      <w:pPr>
        <w:pStyle w:val="19"/>
        <w:rPr>
          <w:rFonts w:hint="eastAsia" w:ascii="宋体" w:hAnsi="宋体" w:eastAsia="宋体" w:cs="宋体"/>
          <w:b/>
          <w:bCs/>
          <w:color w:val="auto"/>
          <w:sz w:val="36"/>
          <w:szCs w:val="36"/>
          <w:highlight w:val="none"/>
          <w:lang w:eastAsia="zh-CN"/>
        </w:rPr>
      </w:pPr>
    </w:p>
    <w:p>
      <w:pPr>
        <w:pStyle w:val="19"/>
        <w:rPr>
          <w:rFonts w:hint="eastAsia" w:ascii="宋体" w:hAnsi="宋体" w:eastAsia="宋体" w:cs="宋体"/>
          <w:b/>
          <w:bCs/>
          <w:color w:val="auto"/>
          <w:sz w:val="36"/>
          <w:szCs w:val="36"/>
          <w:highlight w:val="none"/>
          <w:lang w:eastAsia="zh-CN"/>
        </w:rPr>
      </w:pPr>
    </w:p>
    <w:p>
      <w:pPr>
        <w:pStyle w:val="19"/>
        <w:rPr>
          <w:rFonts w:hint="eastAsia" w:ascii="宋体" w:hAnsi="宋体" w:eastAsia="宋体" w:cs="宋体"/>
          <w:b/>
          <w:bCs/>
          <w:color w:val="auto"/>
          <w:sz w:val="36"/>
          <w:szCs w:val="36"/>
          <w:highlight w:val="none"/>
          <w:lang w:eastAsia="zh-CN"/>
        </w:rPr>
      </w:pPr>
    </w:p>
    <w:p>
      <w:pPr>
        <w:pStyle w:val="19"/>
        <w:rPr>
          <w:rFonts w:hint="eastAsia" w:ascii="宋体" w:hAnsi="宋体" w:eastAsia="宋体" w:cs="宋体"/>
          <w:b/>
          <w:bCs/>
          <w:color w:val="auto"/>
          <w:sz w:val="36"/>
          <w:szCs w:val="36"/>
          <w:highlight w:val="none"/>
          <w:lang w:eastAsia="zh-CN"/>
        </w:rPr>
      </w:pPr>
    </w:p>
    <w:p>
      <w:pPr>
        <w:pStyle w:val="19"/>
        <w:rPr>
          <w:rFonts w:hint="eastAsia" w:ascii="宋体" w:hAnsi="宋体" w:eastAsia="宋体" w:cs="宋体"/>
          <w:b/>
          <w:bCs/>
          <w:color w:val="auto"/>
          <w:sz w:val="36"/>
          <w:szCs w:val="36"/>
          <w:highlight w:val="none"/>
          <w:lang w:eastAsia="zh-CN"/>
        </w:rPr>
      </w:pPr>
    </w:p>
    <w:p>
      <w:pPr>
        <w:pStyle w:val="19"/>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both"/>
        <w:rPr>
          <w:rFonts w:hint="eastAsia" w:ascii="宋体" w:hAnsi="宋体" w:eastAsia="宋体" w:cs="宋体"/>
          <w:b/>
          <w:bCs/>
          <w:color w:val="auto"/>
          <w:sz w:val="36"/>
          <w:szCs w:val="36"/>
          <w:highlight w:val="none"/>
          <w:lang w:eastAsia="zh-CN"/>
        </w:rPr>
      </w:pPr>
      <w:bookmarkStart w:id="42" w:name="_Toc16370"/>
    </w:p>
    <w:p>
      <w:pPr>
        <w:rPr>
          <w:rFonts w:hint="eastAsia"/>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rPr>
          <w:rFonts w:hint="eastAsia"/>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p>
    <w:p>
      <w:pPr>
        <w:pStyle w:val="3"/>
        <w:numPr>
          <w:ilvl w:val="0"/>
          <w:numId w:val="0"/>
        </w:numPr>
        <w:tabs>
          <w:tab w:val="clear" w:pos="324"/>
        </w:tabs>
        <w:ind w:leftChars="0"/>
        <w:jc w:val="both"/>
        <w:rPr>
          <w:rFonts w:hint="eastAsia" w:ascii="宋体" w:hAnsi="宋体" w:eastAsia="宋体" w:cs="宋体"/>
          <w:b/>
          <w:bCs/>
          <w:color w:val="auto"/>
          <w:sz w:val="36"/>
          <w:szCs w:val="36"/>
          <w:highlight w:val="none"/>
          <w:lang w:eastAsia="zh-CN"/>
        </w:rPr>
      </w:pPr>
    </w:p>
    <w:p>
      <w:pPr>
        <w:rPr>
          <w:rFonts w:hint="eastAsia"/>
          <w:lang w:eastAsia="zh-CN"/>
        </w:rPr>
      </w:pPr>
    </w:p>
    <w:p>
      <w:pPr>
        <w:pStyle w:val="3"/>
        <w:numPr>
          <w:ilvl w:val="0"/>
          <w:numId w:val="0"/>
        </w:numPr>
        <w:tabs>
          <w:tab w:val="clear" w:pos="324"/>
        </w:tabs>
        <w:ind w:leftChars="0"/>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第五章</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合同条款</w:t>
      </w:r>
      <w:bookmarkEnd w:id="42"/>
    </w:p>
    <w:p>
      <w:pPr>
        <w:rPr>
          <w:rFonts w:hint="eastAsia"/>
          <w:highlight w:val="none"/>
          <w:lang w:eastAsia="zh-CN"/>
        </w:rPr>
      </w:pPr>
    </w:p>
    <w:p>
      <w:pPr>
        <w:rPr>
          <w:rFonts w:hint="eastAsia" w:asciiTheme="minorEastAsia" w:hAnsiTheme="minorEastAsia" w:eastAsiaTheme="minorEastAsia" w:cstheme="minorEastAsia"/>
          <w:b/>
          <w:bCs/>
          <w:sz w:val="32"/>
          <w:szCs w:val="32"/>
          <w:highlight w:val="none"/>
          <w:lang w:val="zh-TW" w:eastAsia="zh-CN"/>
        </w:rPr>
      </w:pPr>
      <w:r>
        <w:rPr>
          <w:rFonts w:hint="eastAsia" w:asciiTheme="minorEastAsia" w:hAnsiTheme="minorEastAsia" w:eastAsiaTheme="minorEastAsia" w:cstheme="minorEastAsia"/>
          <w:b/>
          <w:bCs/>
          <w:sz w:val="32"/>
          <w:szCs w:val="32"/>
          <w:highlight w:val="none"/>
          <w:lang w:val="zh-TW" w:eastAsia="zh-CN"/>
        </w:rPr>
        <w:br w:type="page"/>
      </w:r>
    </w:p>
    <w:p>
      <w:pPr>
        <w:widowControl/>
        <w:spacing w:line="1100" w:lineRule="exact"/>
        <w:rPr>
          <w:rFonts w:ascii="宋体"/>
          <w:b/>
          <w:kern w:val="0"/>
          <w:sz w:val="32"/>
          <w:szCs w:val="32"/>
        </w:rPr>
      </w:pPr>
      <w:r>
        <w:rPr>
          <w:color w:val="auto"/>
          <w:sz w:val="36"/>
          <w:highlight w:val="none"/>
        </w:rPr>
        <mc:AlternateContent>
          <mc:Choice Requires="wps">
            <w:drawing>
              <wp:anchor distT="0" distB="0" distL="0" distR="0" simplePos="0" relativeHeight="251662336" behindDoc="0" locked="0" layoutInCell="1" allowOverlap="1">
                <wp:simplePos x="0" y="0"/>
                <wp:positionH relativeFrom="column">
                  <wp:posOffset>21590</wp:posOffset>
                </wp:positionH>
                <wp:positionV relativeFrom="paragraph">
                  <wp:posOffset>252730</wp:posOffset>
                </wp:positionV>
                <wp:extent cx="1641475" cy="499110"/>
                <wp:effectExtent l="7620" t="7620" r="8255" b="26670"/>
                <wp:wrapNone/>
                <wp:docPr id="3" name="自选图形 11"/>
                <wp:cNvGraphicFramePr/>
                <a:graphic xmlns:a="http://schemas.openxmlformats.org/drawingml/2006/main">
                  <a:graphicData uri="http://schemas.microsoft.com/office/word/2010/wordprocessingShape">
                    <wps:wsp>
                      <wps:cNvSpPr/>
                      <wps:spPr>
                        <a:xfrm>
                          <a:off x="0" y="0"/>
                          <a:ext cx="1641475" cy="499110"/>
                        </a:xfrm>
                        <a:prstGeom prst="roundRect">
                          <a:avLst>
                            <a:gd name="adj" fmla="val 16667"/>
                          </a:avLst>
                        </a:prstGeom>
                        <a:solidFill>
                          <a:srgbClr val="EEECE1"/>
                        </a:solidFill>
                        <a:ln w="15875"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华文中宋" w:hAnsi="华文中宋" w:eastAsia="华文中宋" w:cs="华文中宋"/>
                                <w:b/>
                                <w:bCs/>
                                <w:sz w:val="36"/>
                                <w:szCs w:val="36"/>
                                <w:lang w:eastAsia="zh-CN"/>
                              </w:rPr>
                            </w:pPr>
                            <w:r>
                              <w:rPr>
                                <w:rFonts w:hint="eastAsia" w:ascii="华文中宋" w:hAnsi="华文中宋" w:eastAsia="华文中宋" w:cs="华文中宋"/>
                                <w:b/>
                                <w:bCs/>
                                <w:sz w:val="36"/>
                                <w:szCs w:val="36"/>
                                <w:lang w:eastAsia="zh-CN"/>
                              </w:rPr>
                              <w:t>政府采购项目</w:t>
                            </w:r>
                          </w:p>
                        </w:txbxContent>
                      </wps:txbx>
                      <wps:bodyPr wrap="square" upright="1"/>
                    </wps:wsp>
                  </a:graphicData>
                </a:graphic>
              </wp:anchor>
            </w:drawing>
          </mc:Choice>
          <mc:Fallback>
            <w:pict>
              <v:roundrect id="自选图形 11" o:spid="_x0000_s1026" o:spt="2" style="position:absolute;left:0pt;margin-left:1.7pt;margin-top:19.9pt;height:39.3pt;width:129.25pt;z-index:251662336;mso-width-relative:page;mso-height-relative:page;" fillcolor="#EEECE1" filled="t" stroked="t" coordsize="21600,21600" arcsize="0.166666666666667" o:gfxdata="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F9PctYAAAAIAQAADwAAAAAAAAABACAAAAAiAAAAZHJzL2Rvd25yZXYu&#10;eG1sUEsBAhQAFAAAAAgAh07iQIO+cXU2AgAAcAQAAA4AAAAAAAAAAQAgAAAAJQEAAGRycy9lMm9E&#10;b2MueG1sUEsFBgAAAAAGAAYAWQEAAM0FAAAAAA==&#10;">
                <v:fill on="t" focussize="0,0"/>
                <v:stroke weight="1.2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华文中宋" w:hAnsi="华文中宋" w:eastAsia="华文中宋" w:cs="华文中宋"/>
                          <w:b/>
                          <w:bCs/>
                          <w:sz w:val="36"/>
                          <w:szCs w:val="36"/>
                          <w:lang w:eastAsia="zh-CN"/>
                        </w:rPr>
                      </w:pPr>
                      <w:r>
                        <w:rPr>
                          <w:rFonts w:hint="eastAsia" w:ascii="华文中宋" w:hAnsi="华文中宋" w:eastAsia="华文中宋" w:cs="华文中宋"/>
                          <w:b/>
                          <w:bCs/>
                          <w:sz w:val="36"/>
                          <w:szCs w:val="36"/>
                          <w:lang w:eastAsia="zh-CN"/>
                        </w:rPr>
                        <w:t>政府采购项目</w:t>
                      </w:r>
                    </w:p>
                  </w:txbxContent>
                </v:textbox>
              </v:roundrect>
            </w:pict>
          </mc:Fallback>
        </mc:AlternateContent>
      </w:r>
      <w:r>
        <w:rPr>
          <w:rFonts w:hint="eastAsia" w:ascii="宋体"/>
          <w:b/>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color w:val="auto"/>
          <w:sz w:val="36"/>
          <w:szCs w:val="36"/>
          <w:highlight w:val="none"/>
          <w:lang w:eastAsia="zh-CN"/>
        </w:rPr>
      </w:pPr>
      <w:r>
        <w:rPr>
          <w:rFonts w:hint="eastAsia" w:ascii="宋体" w:hAnsi="宋体" w:eastAsia="宋体"/>
          <w:b/>
          <w:color w:val="auto"/>
          <w:sz w:val="36"/>
          <w:szCs w:val="36"/>
          <w:highlight w:val="none"/>
          <w:lang w:val="en-US" w:eastAsia="zh-CN"/>
        </w:rPr>
        <w:t xml:space="preserve">                            </w:t>
      </w:r>
      <w:r>
        <w:rPr>
          <w:rFonts w:hint="eastAsia" w:ascii="宋体" w:hAnsi="宋体" w:eastAsia="宋体"/>
          <w:b/>
          <w:color w:val="auto"/>
          <w:sz w:val="36"/>
          <w:szCs w:val="36"/>
          <w:highlight w:val="none"/>
          <w:lang w:eastAsia="zh-CN"/>
        </w:rPr>
        <w:t>（编号：</w:t>
      </w:r>
      <w:r>
        <w:rPr>
          <w:rFonts w:hint="eastAsia" w:ascii="宋体" w:hAnsi="宋体"/>
          <w:b/>
          <w:color w:val="auto"/>
          <w:sz w:val="36"/>
          <w:szCs w:val="36"/>
          <w:highlight w:val="none"/>
          <w:lang w:eastAsia="zh-CN"/>
        </w:rPr>
        <w:t>GXZB2023-067Z.1B1</w:t>
      </w:r>
      <w:r>
        <w:rPr>
          <w:rFonts w:hint="eastAsia" w:ascii="宋体" w:hAnsi="宋体" w:eastAsia="宋体"/>
          <w:b/>
          <w:color w:val="auto"/>
          <w:sz w:val="36"/>
          <w:szCs w:val="36"/>
          <w:highlight w:val="none"/>
          <w:lang w:eastAsia="zh-CN"/>
        </w:rPr>
        <w:t>）</w:t>
      </w:r>
    </w:p>
    <w:p>
      <w:pPr>
        <w:widowControl/>
        <w:tabs>
          <w:tab w:val="left" w:pos="7815"/>
        </w:tabs>
        <w:spacing w:line="1100" w:lineRule="exact"/>
        <w:ind w:left="-424" w:leftChars="-202" w:right="-197" w:rightChars="-94"/>
        <w:jc w:val="center"/>
        <w:rPr>
          <w:rFonts w:hint="eastAsia" w:ascii="华文中宋" w:hAnsi="华文中宋" w:eastAsia="华文中宋"/>
          <w:b/>
          <w:color w:val="auto"/>
          <w:sz w:val="48"/>
          <w:szCs w:val="48"/>
          <w:highlight w:val="none"/>
          <w:lang w:eastAsia="zh-CN"/>
        </w:rPr>
      </w:pPr>
      <w:r>
        <w:rPr>
          <w:rFonts w:hint="eastAsia" w:ascii="华文中宋" w:hAnsi="华文中宋" w:eastAsia="华文中宋"/>
          <w:b/>
          <w:color w:val="auto"/>
          <w:sz w:val="48"/>
          <w:szCs w:val="48"/>
          <w:highlight w:val="none"/>
          <w:lang w:eastAsia="zh-CN"/>
        </w:rPr>
        <w:t>2023年长安区太乙街道中心学校、黄良街道湖村小学等5所学校设备采购项目（二次）</w:t>
      </w:r>
    </w:p>
    <w:p>
      <w:pPr>
        <w:pStyle w:val="19"/>
        <w:rPr>
          <w:rFonts w:hint="eastAsia" w:ascii="华文中宋" w:hAnsi="华文中宋" w:eastAsia="华文中宋"/>
          <w:b/>
          <w:color w:val="auto"/>
          <w:sz w:val="48"/>
          <w:szCs w:val="48"/>
          <w:highlight w:val="none"/>
          <w:lang w:eastAsia="zh-CN"/>
        </w:rPr>
      </w:pPr>
    </w:p>
    <w:p>
      <w:pPr>
        <w:pStyle w:val="19"/>
        <w:rPr>
          <w:rFonts w:hint="eastAsia" w:ascii="华文中宋" w:hAnsi="华文中宋" w:eastAsia="华文中宋"/>
          <w:b/>
          <w:color w:val="auto"/>
          <w:sz w:val="48"/>
          <w:szCs w:val="48"/>
          <w:highlight w:val="none"/>
          <w:lang w:eastAsia="zh-CN"/>
        </w:rPr>
      </w:pPr>
    </w:p>
    <w:p>
      <w:pPr>
        <w:widowControl/>
        <w:tabs>
          <w:tab w:val="left" w:pos="7815"/>
        </w:tabs>
        <w:spacing w:line="1100" w:lineRule="exact"/>
        <w:ind w:left="-424" w:leftChars="-202" w:right="-197" w:rightChars="-94"/>
        <w:jc w:val="center"/>
        <w:rPr>
          <w:rFonts w:ascii="黑体" w:hAnsi="黑体" w:eastAsia="黑体"/>
          <w:b/>
          <w:bCs/>
          <w:kern w:val="0"/>
          <w:sz w:val="72"/>
          <w:szCs w:val="72"/>
        </w:rPr>
      </w:pPr>
      <w:r>
        <w:rPr>
          <w:rFonts w:hint="eastAsia" w:ascii="华文中宋" w:hAnsi="华文中宋" w:eastAsia="华文中宋"/>
          <w:b/>
          <w:color w:val="auto"/>
          <w:sz w:val="72"/>
          <w:szCs w:val="72"/>
          <w:highlight w:val="none"/>
          <w:lang w:eastAsia="zh-CN"/>
        </w:rPr>
        <w:t>供 货 合 同</w:t>
      </w:r>
    </w:p>
    <w:p>
      <w:pPr>
        <w:widowControl/>
        <w:spacing w:line="360" w:lineRule="auto"/>
        <w:jc w:val="center"/>
        <w:rPr>
          <w:rFonts w:hint="eastAsia" w:asciiTheme="majorEastAsia" w:hAnsiTheme="majorEastAsia" w:eastAsiaTheme="majorEastAsia"/>
          <w:b/>
          <w:bCs/>
          <w:kern w:val="0"/>
          <w:sz w:val="48"/>
          <w:szCs w:val="48"/>
          <w:highlight w:val="none"/>
        </w:rPr>
      </w:pPr>
    </w:p>
    <w:p>
      <w:pPr>
        <w:widowControl/>
        <w:spacing w:line="360" w:lineRule="auto"/>
        <w:rPr>
          <w:rFonts w:ascii="宋体"/>
          <w:b/>
          <w:bCs/>
          <w:kern w:val="0"/>
          <w:sz w:val="44"/>
          <w:szCs w:val="44"/>
        </w:rPr>
      </w:pPr>
    </w:p>
    <w:p>
      <w:pPr>
        <w:spacing w:after="48" w:afterLines="20"/>
        <w:jc w:val="center"/>
        <w:rPr>
          <w:rFonts w:hint="eastAsia" w:ascii="宋体" w:hAnsi="宋体" w:eastAsia="宋体" w:cs="宋体"/>
          <w:b/>
          <w:sz w:val="52"/>
          <w:szCs w:val="18"/>
          <w:highlight w:val="none"/>
        </w:rPr>
      </w:pPr>
      <w:r>
        <w:rPr>
          <w:rFonts w:hint="eastAsia" w:ascii="宋体" w:hAnsi="宋体" w:eastAsia="宋体" w:cs="宋体"/>
          <w:b/>
          <w:sz w:val="52"/>
          <w:szCs w:val="18"/>
          <w:highlight w:val="none"/>
        </w:rPr>
        <w:t>合 同 样 本</w:t>
      </w:r>
    </w:p>
    <w:p>
      <w:pPr>
        <w:widowControl/>
        <w:rPr>
          <w:rFonts w:ascii="宋体" w:hAnsi="Calibri"/>
          <w:kern w:val="0"/>
          <w:sz w:val="34"/>
          <w:szCs w:val="34"/>
        </w:rPr>
      </w:pPr>
    </w:p>
    <w:p>
      <w:pPr>
        <w:widowControl/>
        <w:rPr>
          <w:rFonts w:ascii="宋体" w:hAnsi="Calibri"/>
          <w:kern w:val="0"/>
          <w:sz w:val="34"/>
          <w:szCs w:val="34"/>
        </w:rPr>
      </w:pPr>
    </w:p>
    <w:p>
      <w:pPr>
        <w:widowControl/>
        <w:rPr>
          <w:rFonts w:ascii="宋体" w:hAnsi="Calibri"/>
          <w:kern w:val="0"/>
          <w:sz w:val="34"/>
          <w:szCs w:val="3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30"/>
          <w:highlight w:val="none"/>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30"/>
          <w:highlight w:val="none"/>
        </w:rPr>
      </w:pPr>
      <w:r>
        <w:rPr>
          <w:rFonts w:hint="eastAsia" w:ascii="宋体" w:hAnsi="宋体" w:eastAsia="宋体" w:cs="宋体"/>
          <w:b/>
          <w:bCs/>
          <w:sz w:val="30"/>
          <w:highlight w:val="none"/>
        </w:rPr>
        <w:t>甲方：西安市长安区教育局</w:t>
      </w:r>
    </w:p>
    <w:p>
      <w:pPr>
        <w:keepNext w:val="0"/>
        <w:keepLines w:val="0"/>
        <w:pageBreakBefore w:val="0"/>
        <w:widowControl w:val="0"/>
        <w:kinsoku/>
        <w:wordWrap/>
        <w:overflowPunct/>
        <w:topLinePunct w:val="0"/>
        <w:autoSpaceDE/>
        <w:autoSpaceDN/>
        <w:bidi w:val="0"/>
        <w:adjustRightInd/>
        <w:snapToGrid/>
        <w:ind w:firstLine="3012" w:firstLineChars="1000"/>
        <w:textAlignment w:val="auto"/>
        <w:rPr>
          <w:rFonts w:hint="default" w:ascii="宋体" w:hAnsi="宋体" w:eastAsia="宋体" w:cs="宋体"/>
          <w:b/>
          <w:bCs/>
          <w:sz w:val="30"/>
          <w:highlight w:val="none"/>
          <w:lang w:val="en-US" w:eastAsia="zh-CN"/>
        </w:rPr>
      </w:pPr>
      <w:r>
        <w:rPr>
          <w:rFonts w:hint="eastAsia" w:ascii="宋体" w:hAnsi="宋体" w:eastAsia="宋体" w:cs="宋体"/>
          <w:b/>
          <w:bCs/>
          <w:sz w:val="30"/>
          <w:highlight w:val="none"/>
        </w:rPr>
        <w:t>乙方：</w:t>
      </w:r>
      <w:r>
        <w:rPr>
          <w:rFonts w:hint="eastAsia" w:ascii="宋体" w:hAnsi="宋体" w:eastAsia="宋体" w:cs="宋体"/>
          <w:b/>
          <w:bCs/>
          <w:sz w:val="3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3012" w:firstLineChars="1000"/>
        <w:textAlignment w:val="auto"/>
        <w:rPr>
          <w:rFonts w:hint="eastAsia" w:ascii="宋体" w:hAnsi="宋体" w:eastAsia="宋体" w:cs="宋体"/>
          <w:b/>
          <w:bCs/>
          <w:sz w:val="30"/>
          <w:highlight w:val="none"/>
        </w:rPr>
      </w:pPr>
      <w:r>
        <w:rPr>
          <w:rFonts w:hint="eastAsia" w:ascii="宋体" w:hAnsi="宋体" w:eastAsia="宋体" w:cs="宋体"/>
          <w:b/>
          <w:bCs/>
          <w:sz w:val="30"/>
          <w:highlight w:val="none"/>
        </w:rPr>
        <w:t>日期：    年     月   日</w:t>
      </w:r>
    </w:p>
    <w:p>
      <w:pPr>
        <w:pStyle w:val="36"/>
      </w:pPr>
    </w:p>
    <w:p>
      <w:pPr>
        <w:pStyle w:val="33"/>
        <w:spacing w:line="0" w:lineRule="atLeast"/>
        <w:rPr>
          <w:rFonts w:hint="eastAsia" w:ascii="宋体" w:hAnsi="宋体" w:eastAsia="宋体" w:cs="宋体"/>
          <w:sz w:val="36"/>
          <w:szCs w:val="36"/>
        </w:rPr>
      </w:pPr>
      <w:r>
        <w:rPr>
          <w:rFonts w:hint="eastAsia" w:ascii="宋体" w:hAnsi="宋体" w:cs="宋体"/>
          <w:sz w:val="36"/>
          <w:szCs w:val="36"/>
          <w:lang w:eastAsia="zh-CN"/>
        </w:rPr>
        <w:t>2023年长安区太乙街道中心学校、黄良街道湖村小学等5所学校设备采购项目（二次）</w:t>
      </w:r>
    </w:p>
    <w:p>
      <w:pPr>
        <w:pStyle w:val="33"/>
        <w:spacing w:line="0" w:lineRule="atLeast"/>
        <w:rPr>
          <w:rFonts w:hint="eastAsia" w:ascii="宋体" w:hAnsi="宋体" w:eastAsia="宋体" w:cs="宋体"/>
          <w:sz w:val="44"/>
          <w:szCs w:val="44"/>
        </w:rPr>
      </w:pPr>
      <w:r>
        <w:rPr>
          <w:rFonts w:hint="eastAsia" w:ascii="宋体" w:hAnsi="宋体" w:eastAsia="宋体" w:cs="宋体"/>
          <w:sz w:val="44"/>
          <w:szCs w:val="44"/>
        </w:rPr>
        <w:t>采 购 合 同</w:t>
      </w:r>
    </w:p>
    <w:p>
      <w:pPr>
        <w:pStyle w:val="63"/>
        <w:ind w:firstLine="480"/>
        <w:rPr>
          <w:rFonts w:hint="eastAsia" w:ascii="宋体" w:hAnsi="宋体" w:eastAsia="宋体" w:cs="宋体"/>
        </w:rPr>
      </w:pPr>
    </w:p>
    <w:p>
      <w:pPr>
        <w:pStyle w:val="63"/>
        <w:ind w:firstLine="480"/>
        <w:rPr>
          <w:rFonts w:hint="eastAsia" w:ascii="宋体" w:hAnsi="宋体" w:eastAsia="宋体" w:cs="宋体"/>
          <w:sz w:val="21"/>
          <w:szCs w:val="21"/>
        </w:rPr>
      </w:pPr>
      <w:r>
        <w:rPr>
          <w:rFonts w:hint="eastAsia" w:ascii="宋体" w:hAnsi="宋体" w:eastAsia="宋体" w:cs="宋体"/>
          <w:sz w:val="21"/>
          <w:szCs w:val="21"/>
        </w:rPr>
        <w:t>甲方：西安市长安区教育局</w:t>
      </w:r>
    </w:p>
    <w:p>
      <w:pPr>
        <w:pStyle w:val="63"/>
        <w:ind w:firstLine="480"/>
        <w:rPr>
          <w:rFonts w:hint="eastAsia" w:ascii="宋体" w:hAnsi="宋体" w:eastAsia="宋体" w:cs="宋体"/>
          <w:sz w:val="21"/>
          <w:szCs w:val="21"/>
        </w:rPr>
      </w:pPr>
      <w:r>
        <w:rPr>
          <w:rFonts w:hint="eastAsia" w:ascii="宋体" w:hAnsi="宋体" w:eastAsia="宋体" w:cs="宋体"/>
          <w:sz w:val="21"/>
          <w:szCs w:val="21"/>
        </w:rPr>
        <w:t xml:space="preserve">乙方： </w:t>
      </w:r>
    </w:p>
    <w:p>
      <w:pPr>
        <w:spacing w:line="400" w:lineRule="exact"/>
        <w:rPr>
          <w:rFonts w:hint="eastAsia" w:ascii="宋体" w:hAnsi="宋体" w:eastAsia="宋体" w:cs="宋体"/>
          <w:sz w:val="21"/>
          <w:szCs w:val="21"/>
        </w:rPr>
      </w:pPr>
    </w:p>
    <w:p>
      <w:pPr>
        <w:pStyle w:val="63"/>
        <w:ind w:firstLine="480"/>
        <w:jc w:val="left"/>
        <w:rPr>
          <w:rFonts w:hint="eastAsia" w:ascii="宋体" w:hAnsi="宋体" w:eastAsia="宋体" w:cs="宋体"/>
          <w:sz w:val="21"/>
          <w:szCs w:val="21"/>
          <w:highlight w:val="none"/>
        </w:rPr>
      </w:pPr>
      <w:r>
        <w:rPr>
          <w:rFonts w:hint="eastAsia" w:ascii="宋体" w:hAnsi="宋体" w:eastAsia="宋体" w:cs="宋体"/>
          <w:sz w:val="21"/>
          <w:szCs w:val="21"/>
        </w:rPr>
        <w:t>在西安市长安区财政局的监督管理下，按照政府采购程序组织招标，确定乙方为</w:t>
      </w:r>
      <w:r>
        <w:rPr>
          <w:rFonts w:hint="eastAsia" w:ascii="宋体" w:hAnsi="宋体" w:cs="宋体"/>
          <w:sz w:val="21"/>
          <w:szCs w:val="21"/>
          <w:u w:val="single"/>
          <w:lang w:eastAsia="zh-CN"/>
        </w:rPr>
        <w:t>2023年长安区太乙街道中心学校、黄良街道湖村小学等5所学校设备采购项目（二次）</w:t>
      </w:r>
      <w:r>
        <w:rPr>
          <w:rFonts w:hint="eastAsia" w:ascii="宋体" w:hAnsi="宋体" w:eastAsia="宋体" w:cs="宋体"/>
          <w:sz w:val="21"/>
          <w:szCs w:val="21"/>
          <w:highlight w:val="none"/>
        </w:rPr>
        <w:t>（项目编号：</w:t>
      </w:r>
      <w:r>
        <w:rPr>
          <w:rFonts w:hint="eastAsia" w:ascii="宋体" w:hAnsi="宋体" w:cs="宋体"/>
          <w:sz w:val="21"/>
          <w:szCs w:val="21"/>
          <w:highlight w:val="none"/>
          <w:lang w:eastAsia="zh-CN"/>
        </w:rPr>
        <w:t>GXZB2023-067Z.1B1</w:t>
      </w:r>
      <w:r>
        <w:rPr>
          <w:rFonts w:hint="eastAsia" w:ascii="宋体" w:hAnsi="宋体" w:eastAsia="宋体" w:cs="宋体"/>
          <w:sz w:val="21"/>
          <w:szCs w:val="21"/>
          <w:highlight w:val="none"/>
        </w:rPr>
        <w:t>）中标供应商。根据《中华人民共和国政府采购法》、《中华人民共和国合同法》已及(</w:t>
      </w:r>
      <w:r>
        <w:rPr>
          <w:rFonts w:hint="eastAsia" w:ascii="宋体" w:hAnsi="宋体" w:eastAsia="宋体" w:cs="宋体"/>
          <w:sz w:val="21"/>
          <w:szCs w:val="21"/>
          <w:highlight w:val="none"/>
          <w:lang w:eastAsia="zh-CN"/>
        </w:rPr>
        <w:t>陕西国信招标有限公司</w:t>
      </w:r>
      <w:r>
        <w:rPr>
          <w:rFonts w:hint="eastAsia" w:ascii="宋体" w:hAnsi="宋体" w:eastAsia="宋体" w:cs="宋体"/>
          <w:sz w:val="21"/>
          <w:szCs w:val="21"/>
          <w:highlight w:val="none"/>
        </w:rPr>
        <w:t>招标公司)招标文件，中标通知书。经甲、乙双方协商。达成如下合同条款：</w:t>
      </w:r>
    </w:p>
    <w:p>
      <w:pPr>
        <w:pStyle w:val="63"/>
        <w:ind w:firstLine="480"/>
        <w:jc w:val="left"/>
        <w:rPr>
          <w:rFonts w:hint="eastAsia" w:ascii="宋体" w:hAnsi="宋体" w:eastAsia="宋体" w:cs="宋体"/>
          <w:sz w:val="21"/>
          <w:szCs w:val="21"/>
          <w:highlight w:val="none"/>
        </w:rPr>
      </w:pPr>
    </w:p>
    <w:p>
      <w:pPr>
        <w:pStyle w:val="4"/>
        <w:numPr>
          <w:ilvl w:val="0"/>
          <w:numId w:val="17"/>
        </w:numPr>
        <w:tabs>
          <w:tab w:val="left" w:pos="862"/>
        </w:tabs>
        <w:spacing w:line="360" w:lineRule="auto"/>
        <w:jc w:val="left"/>
        <w:rPr>
          <w:rFonts w:hint="eastAsia" w:ascii="宋体" w:hAnsi="宋体" w:eastAsia="宋体" w:cs="宋体"/>
          <w:b/>
          <w:bCs/>
          <w:sz w:val="21"/>
          <w:szCs w:val="21"/>
        </w:rPr>
      </w:pPr>
      <w:bookmarkStart w:id="43" w:name="_Toc217446107"/>
      <w:r>
        <w:rPr>
          <w:rFonts w:hint="eastAsia" w:ascii="宋体" w:hAnsi="宋体" w:eastAsia="宋体" w:cs="宋体"/>
          <w:b/>
          <w:bCs/>
          <w:sz w:val="21"/>
          <w:szCs w:val="21"/>
        </w:rPr>
        <w:t>合同货物</w:t>
      </w:r>
      <w:bookmarkEnd w:id="43"/>
    </w:p>
    <w:p>
      <w:pPr>
        <w:numPr>
          <w:ilvl w:val="0"/>
          <w:numId w:val="18"/>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产品技术规格、数量：</w:t>
      </w:r>
    </w:p>
    <w:tbl>
      <w:tblPr>
        <w:tblStyle w:val="37"/>
        <w:tblW w:w="9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198"/>
        <w:gridCol w:w="993"/>
        <w:gridCol w:w="1559"/>
        <w:gridCol w:w="850"/>
        <w:gridCol w:w="993"/>
        <w:gridCol w:w="850"/>
        <w:gridCol w:w="1276"/>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8" w:hRule="atLeast"/>
          <w:jc w:val="center"/>
        </w:trPr>
        <w:tc>
          <w:tcPr>
            <w:tcW w:w="49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9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产品</w:t>
            </w:r>
          </w:p>
          <w:p>
            <w:pPr>
              <w:jc w:val="center"/>
              <w:rPr>
                <w:rFonts w:hint="eastAsia" w:ascii="宋体" w:hAnsi="宋体" w:eastAsia="宋体" w:cs="宋体"/>
                <w:sz w:val="21"/>
                <w:szCs w:val="21"/>
              </w:rPr>
            </w:pPr>
            <w:r>
              <w:rPr>
                <w:rFonts w:hint="eastAsia" w:ascii="宋体" w:hAnsi="宋体" w:eastAsia="宋体" w:cs="宋体"/>
                <w:sz w:val="21"/>
                <w:szCs w:val="21"/>
              </w:rPr>
              <w:t>名称</w:t>
            </w:r>
          </w:p>
        </w:tc>
        <w:tc>
          <w:tcPr>
            <w:tcW w:w="99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品牌</w:t>
            </w:r>
          </w:p>
        </w:tc>
        <w:tc>
          <w:tcPr>
            <w:tcW w:w="155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规格型号</w:t>
            </w:r>
          </w:p>
        </w:tc>
        <w:tc>
          <w:tcPr>
            <w:tcW w:w="85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产地</w:t>
            </w:r>
          </w:p>
        </w:tc>
        <w:tc>
          <w:tcPr>
            <w:tcW w:w="99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85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1276"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单价</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（万元）</w:t>
            </w:r>
          </w:p>
        </w:tc>
        <w:tc>
          <w:tcPr>
            <w:tcW w:w="1299"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合计</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498" w:type="dxa"/>
            <w:vAlign w:val="center"/>
          </w:tcPr>
          <w:p>
            <w:pPr>
              <w:jc w:val="both"/>
              <w:rPr>
                <w:rFonts w:hint="eastAsia" w:ascii="宋体" w:hAnsi="宋体" w:eastAsia="宋体" w:cs="宋体"/>
                <w:sz w:val="21"/>
                <w:szCs w:val="21"/>
              </w:rPr>
            </w:pPr>
          </w:p>
        </w:tc>
        <w:tc>
          <w:tcPr>
            <w:tcW w:w="1198" w:type="dxa"/>
            <w:vAlign w:val="center"/>
          </w:tcPr>
          <w:p>
            <w:pPr>
              <w:jc w:val="cente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1559" w:type="dxa"/>
            <w:vAlign w:val="center"/>
          </w:tcPr>
          <w:p>
            <w:pPr>
              <w:jc w:val="center"/>
              <w:rPr>
                <w:rFonts w:hint="eastAsia" w:ascii="宋体" w:hAnsi="宋体" w:eastAsia="宋体" w:cs="宋体"/>
                <w:sz w:val="21"/>
                <w:szCs w:val="21"/>
              </w:rPr>
            </w:pPr>
          </w:p>
        </w:tc>
        <w:tc>
          <w:tcPr>
            <w:tcW w:w="850" w:type="dxa"/>
            <w:vAlign w:val="center"/>
          </w:tcPr>
          <w:p>
            <w:pPr>
              <w:pStyle w:val="19"/>
              <w:rPr>
                <w:rFonts w:hint="eastAsia" w:ascii="宋体" w:hAnsi="宋体" w:eastAsia="宋体" w:cs="宋体"/>
                <w:sz w:val="21"/>
                <w:szCs w:val="21"/>
              </w:rPr>
            </w:pPr>
          </w:p>
        </w:tc>
        <w:tc>
          <w:tcPr>
            <w:tcW w:w="993" w:type="dxa"/>
            <w:vAlign w:val="center"/>
          </w:tcPr>
          <w:p>
            <w:pPr>
              <w:pStyle w:val="19"/>
              <w:rPr>
                <w:rFonts w:hint="eastAsia" w:ascii="宋体" w:hAnsi="宋体" w:eastAsia="宋体" w:cs="宋体"/>
                <w:sz w:val="21"/>
                <w:szCs w:val="21"/>
              </w:rPr>
            </w:pPr>
          </w:p>
        </w:tc>
        <w:tc>
          <w:tcPr>
            <w:tcW w:w="850" w:type="dxa"/>
            <w:vAlign w:val="center"/>
          </w:tcPr>
          <w:p>
            <w:pPr>
              <w:pStyle w:val="19"/>
              <w:rPr>
                <w:rFonts w:hint="eastAsia" w:ascii="宋体" w:hAnsi="宋体" w:eastAsia="宋体" w:cs="宋体"/>
                <w:sz w:val="21"/>
                <w:szCs w:val="21"/>
              </w:rPr>
            </w:pPr>
          </w:p>
        </w:tc>
        <w:tc>
          <w:tcPr>
            <w:tcW w:w="1276" w:type="dxa"/>
            <w:vAlign w:val="center"/>
          </w:tcPr>
          <w:p>
            <w:pPr>
              <w:pStyle w:val="19"/>
              <w:jc w:val="center"/>
              <w:rPr>
                <w:rFonts w:hint="eastAsia" w:ascii="宋体" w:hAnsi="宋体" w:eastAsia="宋体" w:cs="宋体"/>
                <w:sz w:val="21"/>
                <w:szCs w:val="21"/>
              </w:rPr>
            </w:pPr>
          </w:p>
        </w:tc>
        <w:tc>
          <w:tcPr>
            <w:tcW w:w="1299" w:type="dxa"/>
            <w:vAlign w:val="center"/>
          </w:tcPr>
          <w:p>
            <w:pPr>
              <w:pStyle w:val="19"/>
              <w:rPr>
                <w:rFonts w:hint="eastAsia" w:ascii="宋体" w:hAnsi="宋体" w:eastAsia="宋体" w:cs="宋体"/>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98" w:type="dxa"/>
            <w:vAlign w:val="center"/>
          </w:tcPr>
          <w:p>
            <w:pPr>
              <w:jc w:val="center"/>
              <w:rPr>
                <w:rFonts w:hint="eastAsia" w:ascii="宋体" w:hAnsi="宋体" w:eastAsia="宋体" w:cs="宋体"/>
                <w:sz w:val="21"/>
                <w:szCs w:val="21"/>
              </w:rPr>
            </w:pPr>
          </w:p>
        </w:tc>
        <w:tc>
          <w:tcPr>
            <w:tcW w:w="1198" w:type="dxa"/>
            <w:vAlign w:val="center"/>
          </w:tcPr>
          <w:p>
            <w:pPr>
              <w:jc w:val="cente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1559" w:type="dxa"/>
            <w:vAlign w:val="center"/>
          </w:tcPr>
          <w:p>
            <w:pPr>
              <w:jc w:val="center"/>
              <w:rPr>
                <w:rFonts w:hint="eastAsia" w:ascii="宋体" w:hAnsi="宋体" w:eastAsia="宋体" w:cs="宋体"/>
                <w:sz w:val="21"/>
                <w:szCs w:val="21"/>
              </w:rPr>
            </w:pPr>
          </w:p>
        </w:tc>
        <w:tc>
          <w:tcPr>
            <w:tcW w:w="850" w:type="dxa"/>
            <w:vAlign w:val="center"/>
          </w:tcPr>
          <w:p>
            <w:pPr>
              <w:pStyle w:val="19"/>
              <w:rPr>
                <w:rFonts w:hint="eastAsia" w:ascii="宋体" w:hAnsi="宋体" w:eastAsia="宋体" w:cs="宋体"/>
                <w:sz w:val="21"/>
                <w:szCs w:val="21"/>
              </w:rPr>
            </w:pPr>
          </w:p>
        </w:tc>
        <w:tc>
          <w:tcPr>
            <w:tcW w:w="993" w:type="dxa"/>
            <w:vAlign w:val="center"/>
          </w:tcPr>
          <w:p>
            <w:pPr>
              <w:pStyle w:val="19"/>
              <w:rPr>
                <w:rFonts w:hint="eastAsia" w:ascii="宋体" w:hAnsi="宋体" w:eastAsia="宋体" w:cs="宋体"/>
                <w:sz w:val="21"/>
                <w:szCs w:val="21"/>
              </w:rPr>
            </w:pPr>
          </w:p>
        </w:tc>
        <w:tc>
          <w:tcPr>
            <w:tcW w:w="850" w:type="dxa"/>
            <w:vAlign w:val="center"/>
          </w:tcPr>
          <w:p>
            <w:pPr>
              <w:pStyle w:val="19"/>
              <w:rPr>
                <w:rFonts w:hint="eastAsia" w:ascii="宋体" w:hAnsi="宋体" w:eastAsia="宋体" w:cs="宋体"/>
                <w:sz w:val="21"/>
                <w:szCs w:val="21"/>
              </w:rPr>
            </w:pPr>
          </w:p>
        </w:tc>
        <w:tc>
          <w:tcPr>
            <w:tcW w:w="1276" w:type="dxa"/>
            <w:vAlign w:val="center"/>
          </w:tcPr>
          <w:p>
            <w:pPr>
              <w:pStyle w:val="19"/>
              <w:jc w:val="center"/>
              <w:rPr>
                <w:rFonts w:hint="eastAsia" w:ascii="宋体" w:hAnsi="宋体" w:eastAsia="宋体" w:cs="宋体"/>
                <w:b/>
                <w:bCs/>
                <w:sz w:val="21"/>
                <w:szCs w:val="21"/>
              </w:rPr>
            </w:pPr>
          </w:p>
        </w:tc>
        <w:tc>
          <w:tcPr>
            <w:tcW w:w="1299" w:type="dxa"/>
            <w:vAlign w:val="center"/>
          </w:tcPr>
          <w:p>
            <w:pPr>
              <w:pStyle w:val="19"/>
              <w:rPr>
                <w:rFonts w:hint="eastAsia" w:ascii="宋体" w:hAnsi="宋体" w:eastAsia="宋体" w:cs="宋体"/>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98" w:type="dxa"/>
            <w:vAlign w:val="center"/>
          </w:tcPr>
          <w:p>
            <w:pPr>
              <w:jc w:val="center"/>
              <w:rPr>
                <w:rFonts w:hint="eastAsia" w:ascii="宋体" w:hAnsi="宋体" w:eastAsia="宋体" w:cs="宋体"/>
                <w:sz w:val="21"/>
                <w:szCs w:val="21"/>
              </w:rPr>
            </w:pPr>
          </w:p>
        </w:tc>
        <w:tc>
          <w:tcPr>
            <w:tcW w:w="1198" w:type="dxa"/>
            <w:vAlign w:val="center"/>
          </w:tcPr>
          <w:p>
            <w:pPr>
              <w:jc w:val="cente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1559" w:type="dxa"/>
            <w:vAlign w:val="center"/>
          </w:tcPr>
          <w:p>
            <w:pPr>
              <w:jc w:val="center"/>
              <w:rPr>
                <w:rFonts w:hint="eastAsia" w:ascii="宋体" w:hAnsi="宋体" w:eastAsia="宋体" w:cs="宋体"/>
                <w:sz w:val="21"/>
                <w:szCs w:val="21"/>
              </w:rPr>
            </w:pPr>
          </w:p>
        </w:tc>
        <w:tc>
          <w:tcPr>
            <w:tcW w:w="850" w:type="dxa"/>
            <w:vAlign w:val="center"/>
          </w:tcPr>
          <w:p>
            <w:pPr>
              <w:pStyle w:val="19"/>
              <w:rPr>
                <w:rFonts w:hint="eastAsia" w:ascii="宋体" w:hAnsi="宋体" w:eastAsia="宋体" w:cs="宋体"/>
                <w:sz w:val="21"/>
                <w:szCs w:val="21"/>
              </w:rPr>
            </w:pPr>
          </w:p>
        </w:tc>
        <w:tc>
          <w:tcPr>
            <w:tcW w:w="993" w:type="dxa"/>
            <w:vAlign w:val="center"/>
          </w:tcPr>
          <w:p>
            <w:pPr>
              <w:pStyle w:val="19"/>
              <w:rPr>
                <w:rFonts w:hint="eastAsia" w:ascii="宋体" w:hAnsi="宋体" w:eastAsia="宋体" w:cs="宋体"/>
                <w:sz w:val="21"/>
                <w:szCs w:val="21"/>
              </w:rPr>
            </w:pPr>
          </w:p>
        </w:tc>
        <w:tc>
          <w:tcPr>
            <w:tcW w:w="850" w:type="dxa"/>
            <w:vAlign w:val="center"/>
          </w:tcPr>
          <w:p>
            <w:pPr>
              <w:pStyle w:val="19"/>
              <w:rPr>
                <w:rFonts w:hint="eastAsia" w:ascii="宋体" w:hAnsi="宋体" w:eastAsia="宋体" w:cs="宋体"/>
                <w:sz w:val="21"/>
                <w:szCs w:val="21"/>
              </w:rPr>
            </w:pPr>
          </w:p>
        </w:tc>
        <w:tc>
          <w:tcPr>
            <w:tcW w:w="1276" w:type="dxa"/>
            <w:vAlign w:val="center"/>
          </w:tcPr>
          <w:p>
            <w:pPr>
              <w:pStyle w:val="19"/>
              <w:jc w:val="center"/>
              <w:rPr>
                <w:rFonts w:hint="eastAsia" w:ascii="宋体" w:hAnsi="宋体" w:eastAsia="宋体" w:cs="宋体"/>
                <w:sz w:val="21"/>
                <w:szCs w:val="21"/>
              </w:rPr>
            </w:pPr>
          </w:p>
        </w:tc>
        <w:tc>
          <w:tcPr>
            <w:tcW w:w="1299" w:type="dxa"/>
            <w:vAlign w:val="center"/>
          </w:tcPr>
          <w:p>
            <w:pPr>
              <w:pStyle w:val="19"/>
              <w:rPr>
                <w:rFonts w:hint="eastAsia" w:ascii="宋体" w:hAnsi="宋体" w:eastAsia="宋体" w:cs="宋体"/>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98" w:type="dxa"/>
            <w:vAlign w:val="center"/>
          </w:tcPr>
          <w:p>
            <w:pPr>
              <w:jc w:val="center"/>
              <w:rPr>
                <w:rFonts w:hint="eastAsia" w:ascii="宋体" w:hAnsi="宋体" w:eastAsia="宋体" w:cs="宋体"/>
                <w:sz w:val="21"/>
                <w:szCs w:val="21"/>
              </w:rPr>
            </w:pPr>
          </w:p>
        </w:tc>
        <w:tc>
          <w:tcPr>
            <w:tcW w:w="1198" w:type="dxa"/>
            <w:vAlign w:val="center"/>
          </w:tcPr>
          <w:p>
            <w:pPr>
              <w:jc w:val="cente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1559" w:type="dxa"/>
            <w:vAlign w:val="center"/>
          </w:tcPr>
          <w:p>
            <w:pPr>
              <w:jc w:val="center"/>
              <w:rPr>
                <w:rFonts w:hint="eastAsia" w:ascii="宋体" w:hAnsi="宋体" w:eastAsia="宋体" w:cs="宋体"/>
                <w:sz w:val="21"/>
                <w:szCs w:val="21"/>
              </w:rPr>
            </w:pPr>
          </w:p>
        </w:tc>
        <w:tc>
          <w:tcPr>
            <w:tcW w:w="850" w:type="dxa"/>
            <w:vAlign w:val="center"/>
          </w:tcPr>
          <w:p>
            <w:pP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850" w:type="dxa"/>
            <w:vAlign w:val="center"/>
          </w:tcPr>
          <w:p>
            <w:pPr>
              <w:jc w:val="center"/>
              <w:rPr>
                <w:rFonts w:hint="eastAsia" w:ascii="宋体" w:hAnsi="宋体" w:eastAsia="宋体" w:cs="宋体"/>
                <w:sz w:val="21"/>
                <w:szCs w:val="21"/>
              </w:rPr>
            </w:pPr>
          </w:p>
        </w:tc>
        <w:tc>
          <w:tcPr>
            <w:tcW w:w="1276" w:type="dxa"/>
            <w:vAlign w:val="center"/>
          </w:tcPr>
          <w:p>
            <w:pPr>
              <w:jc w:val="center"/>
              <w:rPr>
                <w:rFonts w:hint="eastAsia" w:ascii="宋体" w:hAnsi="宋体" w:eastAsia="宋体" w:cs="宋体"/>
                <w:sz w:val="21"/>
                <w:szCs w:val="21"/>
              </w:rPr>
            </w:pPr>
          </w:p>
        </w:tc>
        <w:tc>
          <w:tcPr>
            <w:tcW w:w="1299" w:type="dxa"/>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98" w:type="dxa"/>
            <w:vAlign w:val="center"/>
          </w:tcPr>
          <w:p>
            <w:pPr>
              <w:jc w:val="center"/>
              <w:rPr>
                <w:rFonts w:hint="eastAsia" w:ascii="宋体" w:hAnsi="宋体" w:eastAsia="宋体" w:cs="宋体"/>
                <w:sz w:val="21"/>
                <w:szCs w:val="21"/>
              </w:rPr>
            </w:pPr>
          </w:p>
        </w:tc>
        <w:tc>
          <w:tcPr>
            <w:tcW w:w="1198" w:type="dxa"/>
            <w:vAlign w:val="center"/>
          </w:tcPr>
          <w:p>
            <w:pPr>
              <w:jc w:val="cente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1559" w:type="dxa"/>
            <w:vAlign w:val="center"/>
          </w:tcPr>
          <w:p>
            <w:pPr>
              <w:jc w:val="center"/>
              <w:rPr>
                <w:rFonts w:hint="eastAsia" w:ascii="宋体" w:hAnsi="宋体" w:eastAsia="宋体" w:cs="宋体"/>
                <w:sz w:val="21"/>
                <w:szCs w:val="21"/>
              </w:rPr>
            </w:pPr>
          </w:p>
        </w:tc>
        <w:tc>
          <w:tcPr>
            <w:tcW w:w="850" w:type="dxa"/>
            <w:vAlign w:val="center"/>
          </w:tcPr>
          <w:p>
            <w:pPr>
              <w:jc w:val="cente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850" w:type="dxa"/>
            <w:vAlign w:val="center"/>
          </w:tcPr>
          <w:p>
            <w:pPr>
              <w:jc w:val="center"/>
              <w:rPr>
                <w:rFonts w:hint="eastAsia" w:ascii="宋体" w:hAnsi="宋体" w:eastAsia="宋体" w:cs="宋体"/>
                <w:sz w:val="21"/>
                <w:szCs w:val="21"/>
              </w:rPr>
            </w:pPr>
          </w:p>
        </w:tc>
        <w:tc>
          <w:tcPr>
            <w:tcW w:w="1276" w:type="dxa"/>
            <w:vAlign w:val="center"/>
          </w:tcPr>
          <w:p>
            <w:pPr>
              <w:jc w:val="center"/>
              <w:rPr>
                <w:rFonts w:hint="eastAsia" w:ascii="宋体" w:hAnsi="宋体" w:eastAsia="宋体" w:cs="宋体"/>
                <w:sz w:val="21"/>
                <w:szCs w:val="21"/>
              </w:rPr>
            </w:pPr>
          </w:p>
        </w:tc>
        <w:tc>
          <w:tcPr>
            <w:tcW w:w="1299" w:type="dxa"/>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98" w:type="dxa"/>
            <w:vAlign w:val="center"/>
          </w:tcPr>
          <w:p>
            <w:pPr>
              <w:jc w:val="center"/>
              <w:rPr>
                <w:rFonts w:hint="eastAsia" w:ascii="宋体" w:hAnsi="宋体" w:eastAsia="宋体" w:cs="宋体"/>
                <w:sz w:val="21"/>
                <w:szCs w:val="21"/>
              </w:rPr>
            </w:pPr>
          </w:p>
        </w:tc>
        <w:tc>
          <w:tcPr>
            <w:tcW w:w="1198" w:type="dxa"/>
            <w:vAlign w:val="center"/>
          </w:tcPr>
          <w:p>
            <w:pPr>
              <w:jc w:val="cente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1559" w:type="dxa"/>
            <w:vAlign w:val="center"/>
          </w:tcPr>
          <w:p>
            <w:pPr>
              <w:ind w:firstLine="420" w:firstLineChars="200"/>
              <w:rPr>
                <w:rFonts w:hint="eastAsia" w:ascii="宋体" w:hAnsi="宋体" w:eastAsia="宋体" w:cs="宋体"/>
                <w:sz w:val="21"/>
                <w:szCs w:val="21"/>
              </w:rPr>
            </w:pPr>
          </w:p>
        </w:tc>
        <w:tc>
          <w:tcPr>
            <w:tcW w:w="850" w:type="dxa"/>
            <w:vAlign w:val="center"/>
          </w:tcPr>
          <w:p>
            <w:pPr>
              <w:jc w:val="center"/>
              <w:rPr>
                <w:rFonts w:hint="eastAsia" w:ascii="宋体" w:hAnsi="宋体" w:eastAsia="宋体" w:cs="宋体"/>
                <w:sz w:val="21"/>
                <w:szCs w:val="21"/>
              </w:rPr>
            </w:pPr>
          </w:p>
        </w:tc>
        <w:tc>
          <w:tcPr>
            <w:tcW w:w="993" w:type="dxa"/>
            <w:vAlign w:val="center"/>
          </w:tcPr>
          <w:p>
            <w:pPr>
              <w:jc w:val="center"/>
              <w:rPr>
                <w:rFonts w:hint="eastAsia" w:ascii="宋体" w:hAnsi="宋体" w:eastAsia="宋体" w:cs="宋体"/>
                <w:sz w:val="21"/>
                <w:szCs w:val="21"/>
              </w:rPr>
            </w:pPr>
          </w:p>
        </w:tc>
        <w:tc>
          <w:tcPr>
            <w:tcW w:w="850" w:type="dxa"/>
            <w:vAlign w:val="center"/>
          </w:tcPr>
          <w:p>
            <w:pPr>
              <w:jc w:val="center"/>
              <w:rPr>
                <w:rFonts w:hint="eastAsia" w:ascii="宋体" w:hAnsi="宋体" w:eastAsia="宋体" w:cs="宋体"/>
                <w:sz w:val="21"/>
                <w:szCs w:val="21"/>
              </w:rPr>
            </w:pPr>
          </w:p>
        </w:tc>
        <w:tc>
          <w:tcPr>
            <w:tcW w:w="1276" w:type="dxa"/>
            <w:vAlign w:val="center"/>
          </w:tcPr>
          <w:p>
            <w:pPr>
              <w:jc w:val="center"/>
              <w:rPr>
                <w:rFonts w:hint="eastAsia" w:ascii="宋体" w:hAnsi="宋体" w:eastAsia="宋体" w:cs="宋体"/>
                <w:sz w:val="21"/>
                <w:szCs w:val="21"/>
              </w:rPr>
            </w:pPr>
          </w:p>
        </w:tc>
        <w:tc>
          <w:tcPr>
            <w:tcW w:w="1299" w:type="dxa"/>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516" w:type="dxa"/>
            <w:gridSpan w:val="9"/>
            <w:vAlign w:val="center"/>
          </w:tcPr>
          <w:p>
            <w:pPr>
              <w:pStyle w:val="19"/>
              <w:ind w:firstLine="616"/>
              <w:jc w:val="center"/>
              <w:rPr>
                <w:rFonts w:hint="eastAsia" w:ascii="宋体" w:hAnsi="宋体" w:eastAsia="宋体" w:cs="宋体"/>
                <w:spacing w:val="-6"/>
                <w:sz w:val="21"/>
                <w:szCs w:val="21"/>
              </w:rPr>
            </w:pPr>
            <w:r>
              <w:rPr>
                <w:rFonts w:hint="eastAsia" w:ascii="宋体" w:hAnsi="宋体" w:eastAsia="宋体" w:cs="宋体"/>
                <w:spacing w:val="-6"/>
                <w:sz w:val="21"/>
                <w:szCs w:val="21"/>
              </w:rPr>
              <w:t>合同总价（人民币大写）：</w:t>
            </w:r>
            <w:r>
              <w:rPr>
                <w:rFonts w:hint="eastAsia" w:ascii="宋体" w:hAnsi="宋体" w:eastAsia="宋体" w:cs="宋体"/>
                <w:sz w:val="21"/>
                <w:szCs w:val="21"/>
              </w:rPr>
              <w:t xml:space="preserve">         元整 </w:t>
            </w:r>
            <w:r>
              <w:rPr>
                <w:rFonts w:hint="eastAsia" w:ascii="宋体" w:hAnsi="宋体" w:eastAsia="宋体" w:cs="宋体"/>
                <w:spacing w:val="-6"/>
                <w:sz w:val="21"/>
                <w:szCs w:val="21"/>
              </w:rPr>
              <w:t>（￥     万元）</w:t>
            </w:r>
          </w:p>
        </w:tc>
      </w:tr>
    </w:tbl>
    <w:p>
      <w:pPr>
        <w:rPr>
          <w:rFonts w:hint="eastAsia" w:ascii="宋体" w:hAnsi="宋体" w:eastAsia="宋体" w:cs="宋体"/>
          <w:b/>
          <w:bCs/>
          <w:sz w:val="21"/>
          <w:szCs w:val="21"/>
        </w:rPr>
      </w:pPr>
    </w:p>
    <w:p>
      <w:pPr>
        <w:pStyle w:val="4"/>
        <w:numPr>
          <w:ilvl w:val="0"/>
          <w:numId w:val="0"/>
        </w:numPr>
        <w:tabs>
          <w:tab w:val="left" w:pos="862"/>
        </w:tabs>
        <w:spacing w:line="400" w:lineRule="exact"/>
        <w:jc w:val="both"/>
        <w:rPr>
          <w:rFonts w:hint="eastAsia" w:ascii="宋体" w:hAnsi="宋体" w:eastAsia="宋体" w:cs="宋体"/>
          <w:b/>
          <w:bCs/>
          <w:sz w:val="21"/>
          <w:szCs w:val="21"/>
        </w:rPr>
      </w:pPr>
      <w:bookmarkStart w:id="44" w:name="_Toc217446108"/>
      <w:r>
        <w:rPr>
          <w:rFonts w:hint="eastAsia" w:ascii="宋体" w:hAnsi="宋体" w:eastAsia="宋体" w:cs="宋体"/>
          <w:b/>
          <w:bCs/>
          <w:sz w:val="21"/>
          <w:szCs w:val="21"/>
        </w:rPr>
        <w:t>二、合同总价</w:t>
      </w:r>
      <w:bookmarkEnd w:id="44"/>
    </w:p>
    <w:p>
      <w:pPr>
        <w:pStyle w:val="12"/>
        <w:spacing w:line="400"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合同总价为人民币大写：</w:t>
      </w:r>
      <w:r>
        <w:rPr>
          <w:rFonts w:hint="eastAsia" w:ascii="宋体" w:hAnsi="宋体" w:eastAsia="宋体" w:cs="宋体"/>
          <w:b/>
          <w:bCs/>
          <w:sz w:val="21"/>
          <w:szCs w:val="21"/>
          <w:u w:val="single"/>
        </w:rPr>
        <w:t xml:space="preserve">           </w:t>
      </w:r>
      <w:r>
        <w:rPr>
          <w:rFonts w:hint="eastAsia" w:ascii="宋体" w:hAnsi="宋体" w:eastAsia="宋体" w:cs="宋体"/>
          <w:b w:val="0"/>
          <w:bCs w:val="0"/>
          <w:sz w:val="21"/>
          <w:szCs w:val="21"/>
          <w:u w:val="none"/>
        </w:rPr>
        <w:t>元整</w:t>
      </w:r>
      <w:r>
        <w:rPr>
          <w:rFonts w:hint="eastAsia" w:ascii="宋体" w:hAnsi="宋体" w:eastAsia="宋体" w:cs="宋体"/>
          <w:sz w:val="21"/>
          <w:szCs w:val="21"/>
        </w:rPr>
        <w:t>，即RMB￥</w:t>
      </w:r>
      <w:r>
        <w:rPr>
          <w:rFonts w:hint="eastAsia" w:ascii="宋体" w:hAnsi="宋体" w:eastAsia="宋体" w:cs="宋体"/>
          <w:sz w:val="21"/>
          <w:szCs w:val="21"/>
          <w:u w:val="single"/>
        </w:rPr>
        <w:t xml:space="preserve"> </w:t>
      </w:r>
      <w:r>
        <w:rPr>
          <w:rFonts w:hint="eastAsia" w:ascii="宋体" w:hAnsi="宋体" w:eastAsia="宋体" w:cs="宋体"/>
          <w:b/>
          <w:bCs/>
          <w:sz w:val="21"/>
          <w:szCs w:val="21"/>
          <w:u w:val="single"/>
        </w:rPr>
        <w:t xml:space="preserve">    </w:t>
      </w:r>
      <w:r>
        <w:rPr>
          <w:rFonts w:hint="eastAsia" w:ascii="宋体" w:hAnsi="宋体" w:eastAsia="宋体" w:cs="宋体"/>
          <w:sz w:val="21"/>
          <w:szCs w:val="21"/>
        </w:rPr>
        <w:t>万元；该合同总价已包括货物设计、材料、制造、包装、运输、安装、调试、检测、验收合格交付使用之前及保修期内保修服务与备用物件等等所有其他有关各项的费用。本合同执行期间合同总价不变，甲方无须另向乙方支付本合同规定之外的其他任何费用。</w:t>
      </w:r>
    </w:p>
    <w:p>
      <w:pPr>
        <w:spacing w:line="360" w:lineRule="auto"/>
        <w:rPr>
          <w:rFonts w:hint="eastAsia" w:ascii="宋体" w:hAnsi="宋体" w:eastAsia="宋体" w:cs="宋体"/>
          <w:b/>
          <w:bCs/>
          <w:sz w:val="21"/>
          <w:szCs w:val="21"/>
        </w:rPr>
      </w:pPr>
      <w:bookmarkStart w:id="45" w:name="_Toc217446109"/>
      <w:r>
        <w:rPr>
          <w:rFonts w:hint="eastAsia" w:ascii="宋体" w:hAnsi="宋体" w:eastAsia="宋体" w:cs="宋体"/>
          <w:b/>
          <w:bCs/>
          <w:sz w:val="21"/>
          <w:szCs w:val="21"/>
        </w:rPr>
        <w:t>三、商务条款：</w:t>
      </w:r>
    </w:p>
    <w:p>
      <w:pPr>
        <w:spacing w:line="360" w:lineRule="auto"/>
        <w:ind w:firstLine="48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b/>
          <w:bCs/>
          <w:sz w:val="21"/>
          <w:szCs w:val="21"/>
          <w:lang w:val="en-US" w:eastAsia="zh-CN"/>
        </w:rPr>
        <w:t>交货</w:t>
      </w:r>
      <w:r>
        <w:rPr>
          <w:rFonts w:hint="eastAsia" w:ascii="宋体" w:hAnsi="宋体" w:eastAsia="宋体" w:cs="宋体"/>
          <w:b/>
          <w:bCs/>
          <w:sz w:val="21"/>
          <w:szCs w:val="21"/>
        </w:rPr>
        <w:t>期：</w:t>
      </w:r>
      <w:r>
        <w:rPr>
          <w:rFonts w:hint="eastAsia" w:ascii="宋体" w:hAnsi="宋体" w:eastAsia="宋体" w:cs="宋体"/>
          <w:sz w:val="21"/>
          <w:szCs w:val="21"/>
        </w:rPr>
        <w:t xml:space="preserve"> </w:t>
      </w:r>
    </w:p>
    <w:p>
      <w:pPr>
        <w:spacing w:line="360" w:lineRule="auto"/>
        <w:ind w:firstLine="420" w:firstLineChars="200"/>
        <w:rPr>
          <w:rFonts w:hint="eastAsia" w:ascii="宋体" w:hAnsi="宋体" w:eastAsia="宋体" w:cs="宋体"/>
          <w:b/>
          <w:bCs/>
          <w:sz w:val="21"/>
          <w:szCs w:val="21"/>
        </w:rPr>
      </w:pPr>
      <w:r>
        <w:rPr>
          <w:rFonts w:hint="eastAsia" w:ascii="宋体" w:hAnsi="宋体" w:eastAsia="宋体" w:cs="宋体"/>
          <w:sz w:val="21"/>
          <w:szCs w:val="21"/>
        </w:rPr>
        <w:t>2、</w:t>
      </w:r>
      <w:r>
        <w:rPr>
          <w:rFonts w:hint="eastAsia" w:ascii="宋体" w:hAnsi="宋体" w:cs="宋体"/>
          <w:b/>
          <w:bCs/>
          <w:sz w:val="21"/>
          <w:szCs w:val="21"/>
          <w:lang w:val="en-US" w:eastAsia="zh-CN"/>
        </w:rPr>
        <w:t>交货</w:t>
      </w:r>
      <w:r>
        <w:rPr>
          <w:rFonts w:hint="eastAsia" w:ascii="宋体" w:hAnsi="宋体" w:eastAsia="宋体" w:cs="宋体"/>
          <w:b/>
          <w:bCs/>
          <w:sz w:val="21"/>
          <w:szCs w:val="21"/>
        </w:rPr>
        <w:t xml:space="preserve">地点: </w:t>
      </w:r>
      <w:r>
        <w:rPr>
          <w:rFonts w:hint="eastAsia" w:ascii="宋体" w:hAnsi="宋体" w:eastAsia="宋体" w:cs="宋体"/>
          <w:sz w:val="21"/>
          <w:szCs w:val="21"/>
          <w:u w:val="single"/>
        </w:rPr>
        <w:t>根据甲方指定交货地点交货</w:t>
      </w:r>
    </w:p>
    <w:p>
      <w:pPr>
        <w:spacing w:line="360" w:lineRule="auto"/>
        <w:ind w:firstLine="48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b/>
          <w:bCs/>
          <w:sz w:val="21"/>
          <w:szCs w:val="21"/>
        </w:rPr>
        <w:t>付款方式：</w:t>
      </w:r>
    </w:p>
    <w:p>
      <w:pPr>
        <w:numPr>
          <w:ilvl w:val="0"/>
          <w:numId w:val="0"/>
        </w:numPr>
        <w:spacing w:line="360" w:lineRule="auto"/>
        <w:ind w:left="210" w:leftChars="0"/>
        <w:rPr>
          <w:rFonts w:hint="eastAsia" w:ascii="宋体" w:hAnsi="宋体" w:eastAsia="宋体" w:cs="宋体"/>
          <w:sz w:val="21"/>
          <w:szCs w:val="21"/>
        </w:rPr>
      </w:pPr>
      <w:r>
        <w:rPr>
          <w:rFonts w:hint="eastAsia" w:ascii="宋体" w:hAnsi="宋体" w:eastAsia="宋体" w:cs="宋体"/>
          <w:sz w:val="21"/>
          <w:szCs w:val="21"/>
          <w:highlight w:val="none"/>
        </w:rPr>
        <w:t>所有产品验收合格后，</w:t>
      </w:r>
      <w:r>
        <w:rPr>
          <w:rFonts w:hint="eastAsia" w:ascii="宋体" w:hAnsi="宋体" w:eastAsia="宋体" w:cs="宋体"/>
          <w:sz w:val="21"/>
          <w:szCs w:val="21"/>
          <w:highlight w:val="none"/>
          <w:lang w:val="en-US" w:eastAsia="zh-CN"/>
        </w:rPr>
        <w:t>由乙方开具真实发票</w:t>
      </w:r>
      <w:r>
        <w:rPr>
          <w:rFonts w:hint="eastAsia" w:ascii="宋体" w:hAnsi="宋体" w:cs="宋体"/>
          <w:sz w:val="21"/>
          <w:szCs w:val="21"/>
          <w:highlight w:val="none"/>
          <w:lang w:val="en-US" w:eastAsia="zh-CN"/>
        </w:rPr>
        <w:t>后</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支付合同总价的</w:t>
      </w:r>
      <w:r>
        <w:rPr>
          <w:rFonts w:hint="eastAsia" w:ascii="宋体" w:hAnsi="宋体" w:eastAsia="宋体" w:cs="宋体"/>
          <w:sz w:val="21"/>
          <w:szCs w:val="21"/>
          <w:highlight w:val="none"/>
          <w:lang w:val="en-US" w:eastAsia="zh-CN"/>
        </w:rPr>
        <w:t>100</w:t>
      </w:r>
      <w:r>
        <w:rPr>
          <w:rFonts w:hint="eastAsia" w:ascii="宋体" w:hAnsi="宋体" w:eastAsia="宋体" w:cs="宋体"/>
          <w:sz w:val="21"/>
          <w:szCs w:val="21"/>
          <w:highlight w:val="none"/>
        </w:rPr>
        <w:t>%。</w:t>
      </w:r>
      <w:r>
        <w:rPr>
          <w:rFonts w:hint="eastAsia" w:ascii="宋体" w:hAnsi="宋体" w:eastAsia="宋体" w:cs="宋体"/>
          <w:sz w:val="21"/>
          <w:szCs w:val="21"/>
        </w:rPr>
        <w:t>即</w:t>
      </w:r>
      <w:r>
        <w:rPr>
          <w:rFonts w:hint="eastAsia" w:ascii="宋体" w:hAnsi="宋体" w:eastAsia="宋体" w:cs="宋体"/>
          <w:b w:val="0"/>
          <w:bCs w:val="0"/>
          <w:sz w:val="21"/>
          <w:szCs w:val="21"/>
          <w:u w:val="single"/>
        </w:rPr>
        <w:t>人民币     元（大写：       元整）</w:t>
      </w:r>
      <w:r>
        <w:rPr>
          <w:rFonts w:hint="eastAsia" w:ascii="宋体" w:hAnsi="宋体" w:eastAsia="宋体" w:cs="宋体"/>
          <w:b w:val="0"/>
          <w:bCs w:val="0"/>
          <w:sz w:val="21"/>
          <w:szCs w:val="21"/>
          <w:lang w:eastAsia="zh-CN"/>
        </w:rPr>
        <w:t>。</w:t>
      </w:r>
    </w:p>
    <w:p>
      <w:pPr>
        <w:pStyle w:val="4"/>
        <w:numPr>
          <w:ilvl w:val="0"/>
          <w:numId w:val="0"/>
        </w:numPr>
        <w:tabs>
          <w:tab w:val="left" w:pos="862"/>
        </w:tabs>
        <w:spacing w:line="400" w:lineRule="exact"/>
        <w:jc w:val="left"/>
        <w:rPr>
          <w:rFonts w:hint="eastAsia" w:ascii="宋体" w:hAnsi="宋体" w:eastAsia="宋体" w:cs="宋体"/>
          <w:b/>
          <w:bCs/>
          <w:sz w:val="21"/>
          <w:szCs w:val="21"/>
        </w:rPr>
      </w:pPr>
      <w:r>
        <w:rPr>
          <w:rFonts w:hint="eastAsia" w:ascii="宋体" w:hAnsi="宋体" w:eastAsia="宋体" w:cs="宋体"/>
          <w:b/>
          <w:bCs/>
          <w:sz w:val="21"/>
          <w:szCs w:val="21"/>
        </w:rPr>
        <w:t>四、 质量</w:t>
      </w:r>
      <w:bookmarkEnd w:id="45"/>
      <w:r>
        <w:rPr>
          <w:rFonts w:hint="eastAsia" w:ascii="宋体" w:hAnsi="宋体" w:eastAsia="宋体" w:cs="宋体"/>
          <w:b/>
          <w:bCs/>
          <w:sz w:val="21"/>
          <w:szCs w:val="21"/>
        </w:rPr>
        <w:t>保证</w:t>
      </w:r>
    </w:p>
    <w:p>
      <w:pPr>
        <w:spacing w:line="360" w:lineRule="auto"/>
        <w:ind w:firstLine="420" w:firstLineChars="200"/>
        <w:rPr>
          <w:rFonts w:hint="eastAsia" w:ascii="宋体" w:hAnsi="宋体" w:eastAsia="宋体" w:cs="宋体"/>
          <w:color w:val="000000"/>
          <w:sz w:val="21"/>
          <w:szCs w:val="21"/>
        </w:rPr>
      </w:pPr>
      <w:bookmarkStart w:id="46" w:name="_Toc217446110"/>
      <w:r>
        <w:rPr>
          <w:rFonts w:hint="eastAsia" w:ascii="宋体" w:hAnsi="宋体" w:eastAsia="宋体" w:cs="宋体"/>
          <w:color w:val="000000"/>
          <w:sz w:val="21"/>
          <w:szCs w:val="21"/>
        </w:rPr>
        <w:t>1、</w:t>
      </w:r>
      <w:r>
        <w:rPr>
          <w:rFonts w:hint="eastAsia" w:ascii="宋体" w:hAnsi="宋体" w:eastAsia="宋体" w:cs="宋体"/>
          <w:sz w:val="21"/>
          <w:szCs w:val="21"/>
        </w:rPr>
        <w:t>质量保证期为最终验收合格后</w:t>
      </w:r>
      <w:r>
        <w:rPr>
          <w:rFonts w:hint="eastAsia" w:ascii="宋体" w:hAnsi="宋体" w:eastAsia="宋体" w:cs="宋体"/>
          <w:sz w:val="21"/>
          <w:szCs w:val="21"/>
          <w:u w:val="single"/>
        </w:rPr>
        <w:t xml:space="preserve">       </w:t>
      </w:r>
      <w:r>
        <w:rPr>
          <w:rFonts w:hint="eastAsia" w:ascii="宋体" w:hAnsi="宋体" w:eastAsia="宋体" w:cs="宋体"/>
          <w:sz w:val="21"/>
          <w:szCs w:val="21"/>
        </w:rPr>
        <w:t>个月。</w:t>
      </w:r>
    </w:p>
    <w:p>
      <w:pPr>
        <w:spacing w:line="360" w:lineRule="auto"/>
        <w:ind w:firstLine="480"/>
        <w:rPr>
          <w:rFonts w:hint="eastAsia" w:ascii="宋体" w:hAnsi="宋体" w:eastAsia="宋体" w:cs="宋体"/>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质量保证期内，乙方负责免费维修，承担包括设备的零配件及不能解决的故障需要返回制造厂维修时所发生的一切费用。质量保修期满，乙方负责设备的终身维修。甲方如需更换设备的零配件，乙方只应收取零配件的成本费，并负责更换。</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3、包装：包装必须适应货物特性和交通运输要求，以及国家有关标准或企业标准或合同要求。乙方应承担于包装、防护措施不妥引起的所有损失的责任和费用。</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4、运输：乙方可根据完工期、运输条件自行选择运输方式（另有规定的除外），承担一切运输费用。</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5、技术保障：乙方应随同货物提供相应的中文技术文件（包括产品合格证、装箱清单、操作手册、使用说明、检测报告、维护手册、服务指南等资料）,现场安装、调试、试运行技术保障服务。</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6、人员培训：提供免费培训，人数、地点按采购人的要求约定。</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7、采购项目执行内容需要调整时，经采购人同意后，可以对相应的原材料进行调整，并协商确定价格差额计算方法和负担办法。</w:t>
      </w:r>
    </w:p>
    <w:p>
      <w:pPr>
        <w:pStyle w:val="4"/>
        <w:numPr>
          <w:ilvl w:val="0"/>
          <w:numId w:val="0"/>
        </w:numPr>
        <w:tabs>
          <w:tab w:val="left" w:pos="862"/>
        </w:tabs>
        <w:spacing w:line="400" w:lineRule="exact"/>
        <w:jc w:val="left"/>
        <w:rPr>
          <w:rFonts w:hint="eastAsia" w:ascii="宋体" w:hAnsi="宋体" w:eastAsia="宋体" w:cs="宋体"/>
          <w:b/>
          <w:bCs/>
          <w:sz w:val="21"/>
          <w:szCs w:val="21"/>
        </w:rPr>
      </w:pPr>
      <w:r>
        <w:rPr>
          <w:rFonts w:hint="eastAsia" w:ascii="宋体" w:hAnsi="宋体" w:eastAsia="宋体" w:cs="宋体"/>
          <w:b/>
          <w:bCs/>
          <w:sz w:val="21"/>
          <w:szCs w:val="21"/>
        </w:rPr>
        <w:t>五、</w:t>
      </w:r>
      <w:bookmarkEnd w:id="46"/>
      <w:r>
        <w:rPr>
          <w:rFonts w:hint="eastAsia" w:ascii="宋体" w:hAnsi="宋体" w:eastAsia="宋体" w:cs="宋体"/>
          <w:b/>
          <w:bCs/>
          <w:sz w:val="21"/>
          <w:szCs w:val="21"/>
        </w:rPr>
        <w:t>售后服务要求</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sz w:val="21"/>
          <w:szCs w:val="21"/>
        </w:rPr>
        <w:t>乙方保证提供的</w:t>
      </w:r>
      <w:bookmarkStart w:id="47" w:name="_Hlk27046681"/>
      <w:r>
        <w:rPr>
          <w:rFonts w:hint="eastAsia" w:ascii="宋体" w:hAnsi="宋体" w:eastAsia="宋体" w:cs="宋体"/>
          <w:sz w:val="21"/>
          <w:szCs w:val="21"/>
        </w:rPr>
        <w:t>产品</w:t>
      </w:r>
      <w:bookmarkEnd w:id="47"/>
      <w:r>
        <w:rPr>
          <w:rFonts w:hint="eastAsia" w:ascii="宋体" w:hAnsi="宋体" w:eastAsia="宋体" w:cs="宋体"/>
          <w:sz w:val="21"/>
          <w:szCs w:val="21"/>
        </w:rPr>
        <w:t>是通过正常渠道获得的、全新的、未使用过的合格产品；其有关技术、专利、检验、商务等均要符合中华人民共和国的有关法律、法规；乙方必须承担因所供产品而引起的全部法律责任。</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sz w:val="21"/>
          <w:szCs w:val="21"/>
        </w:rPr>
        <w:t>2、乙方的责任包括从产品交付到整个项目（安装调试完毕）的交付使用，质量保证期内的免费维护和修理，质量保证期内的维护指导和维修等。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3、乙方应保证设备在进行安装、调试和使用等过程中损坏的或有缺陷的部件可方便地得到免费修理和免费更换。</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4、乙方使用的原材料应提供清单，并在到货24小时内通知甲方代表检验核实（校方自行验收）。</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6、在质保期内，如果发现货物的质量、规格、技术指标等存在与合同中任何一项不符，甲方应在最短时间内，以书面形式向乙方提出索赔。同时通告采购代理机构。</w:t>
      </w:r>
    </w:p>
    <w:p>
      <w:pPr>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7、保修期内，损坏部件的修理费、往返运保费等均由乙方承担。保修期外，按照第四条质量保证第2小项执行。</w:t>
      </w:r>
    </w:p>
    <w:p>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六、验收</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通过检验的货物方可进行安装、调试、达到使用条件时由甲方负责组织验收；验收合格须交接项目实施的全部资料，并填写政府采购项目验收报告单。验收须以合同、招投标文件、澄清、及国家相应的标准、规范等为依据。</w:t>
      </w:r>
    </w:p>
    <w:p>
      <w:pPr>
        <w:pStyle w:val="4"/>
        <w:numPr>
          <w:ilvl w:val="0"/>
          <w:numId w:val="0"/>
        </w:numPr>
        <w:tabs>
          <w:tab w:val="left" w:pos="862"/>
        </w:tabs>
        <w:spacing w:line="400" w:lineRule="exact"/>
        <w:jc w:val="left"/>
        <w:rPr>
          <w:rFonts w:hint="eastAsia" w:ascii="宋体" w:hAnsi="宋体" w:eastAsia="宋体" w:cs="宋体"/>
          <w:b/>
          <w:bCs/>
          <w:sz w:val="21"/>
          <w:szCs w:val="21"/>
          <w:highlight w:val="none"/>
        </w:rPr>
      </w:pPr>
      <w:bookmarkStart w:id="48" w:name="_Toc217446114"/>
      <w:r>
        <w:rPr>
          <w:rFonts w:hint="eastAsia" w:ascii="宋体" w:hAnsi="宋体" w:eastAsia="宋体" w:cs="宋体"/>
          <w:b/>
          <w:bCs/>
          <w:sz w:val="21"/>
          <w:szCs w:val="21"/>
          <w:highlight w:val="none"/>
        </w:rPr>
        <w:t>七、争议解决办法</w:t>
      </w:r>
      <w:bookmarkEnd w:id="48"/>
    </w:p>
    <w:p>
      <w:pPr>
        <w:pStyle w:val="63"/>
        <w:spacing w:line="360" w:lineRule="auto"/>
        <w:ind w:firstLine="48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1、乙方未征得甲方同意和谅解而单方面延迟完工，将按违约终止合同。</w:t>
      </w:r>
    </w:p>
    <w:p>
      <w:pPr>
        <w:pStyle w:val="63"/>
        <w:spacing w:line="360" w:lineRule="auto"/>
        <w:ind w:firstLine="48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乙方遇到可能妨碍按时完工和提供服务的情况，应当及时以书面形式通知甲方，说明原由、拖延的期限等；甲方在收到通知后，尽快进行情况评估并确定是否通过修改合同，酌情延长完工时间或者通过协商加收误期赔偿金。</w:t>
      </w:r>
    </w:p>
    <w:p>
      <w:pPr>
        <w:pStyle w:val="63"/>
        <w:spacing w:line="360" w:lineRule="auto"/>
        <w:ind w:firstLine="48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3、因货物的质量问题发生争议，由质量技术监督部门或其指定的质量鉴定机构进行质量鉴定。鉴定费由乙方承担。</w:t>
      </w:r>
    </w:p>
    <w:p>
      <w:pPr>
        <w:pStyle w:val="63"/>
        <w:spacing w:line="360" w:lineRule="auto"/>
        <w:ind w:firstLine="48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4、合同履行期间,若双方发生争议，可协商或由有关部门调解解决，协商或调解不成的，由当事人依法维护其合法权益。</w:t>
      </w:r>
    </w:p>
    <w:p>
      <w:pPr>
        <w:pStyle w:val="4"/>
        <w:numPr>
          <w:ilvl w:val="0"/>
          <w:numId w:val="0"/>
        </w:numPr>
        <w:tabs>
          <w:tab w:val="left" w:pos="862"/>
        </w:tabs>
        <w:spacing w:line="400" w:lineRule="exact"/>
        <w:jc w:val="left"/>
        <w:rPr>
          <w:rFonts w:hint="eastAsia" w:ascii="宋体" w:hAnsi="宋体" w:eastAsia="宋体" w:cs="宋体"/>
          <w:b/>
          <w:bCs/>
          <w:sz w:val="21"/>
          <w:szCs w:val="21"/>
          <w:highlight w:val="none"/>
        </w:rPr>
      </w:pPr>
      <w:bookmarkStart w:id="49" w:name="_Toc217446115"/>
      <w:r>
        <w:rPr>
          <w:rFonts w:hint="eastAsia" w:ascii="宋体" w:hAnsi="宋体" w:eastAsia="宋体" w:cs="宋体"/>
          <w:b/>
          <w:bCs/>
          <w:sz w:val="21"/>
          <w:szCs w:val="21"/>
          <w:highlight w:val="none"/>
        </w:rPr>
        <w:t>八、其他</w:t>
      </w:r>
      <w:bookmarkEnd w:id="49"/>
    </w:p>
    <w:p>
      <w:pPr>
        <w:pStyle w:val="63"/>
        <w:spacing w:line="360" w:lineRule="auto"/>
        <w:ind w:firstLine="48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1、如有未尽事宜，由双方依法订立补充合同。</w:t>
      </w:r>
    </w:p>
    <w:p>
      <w:pPr>
        <w:pStyle w:val="63"/>
        <w:spacing w:line="360" w:lineRule="auto"/>
        <w:ind w:firstLine="48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2、本合同一式捌份，甲方、乙方、采购代理机构各执贰份，政府采购管理部门备案贰份。签字盖章后生效，合同执行完毕自动失效。（合同的服务承诺则长期有效）。</w:t>
      </w:r>
    </w:p>
    <w:p>
      <w:pPr>
        <w:pStyle w:val="63"/>
        <w:spacing w:line="360" w:lineRule="auto"/>
        <w:ind w:firstLine="480"/>
        <w:rPr>
          <w:rFonts w:hint="eastAsia" w:ascii="宋体" w:hAnsi="宋体" w:eastAsia="宋体" w:cs="宋体"/>
          <w:color w:val="000000"/>
          <w:kern w:val="2"/>
          <w:sz w:val="21"/>
          <w:szCs w:val="21"/>
          <w:lang w:val="en-US" w:eastAsia="zh-CN" w:bidi="ar-SA"/>
        </w:rPr>
      </w:pPr>
    </w:p>
    <w:p>
      <w:pPr>
        <w:pStyle w:val="63"/>
        <w:spacing w:line="360" w:lineRule="auto"/>
        <w:ind w:firstLine="480"/>
        <w:rPr>
          <w:rFonts w:hint="eastAsia" w:ascii="宋体" w:hAnsi="宋体" w:eastAsia="宋体" w:cs="宋体"/>
          <w:color w:val="000000"/>
          <w:kern w:val="2"/>
          <w:sz w:val="21"/>
          <w:szCs w:val="21"/>
          <w:lang w:val="en-US" w:eastAsia="zh-CN" w:bidi="ar-SA"/>
        </w:rPr>
      </w:pPr>
    </w:p>
    <w:p>
      <w:pPr>
        <w:pStyle w:val="63"/>
        <w:spacing w:line="360" w:lineRule="auto"/>
        <w:ind w:firstLine="480"/>
        <w:rPr>
          <w:rFonts w:hint="eastAsia" w:ascii="宋体" w:hAnsi="宋体" w:eastAsia="宋体" w:cs="宋体"/>
          <w:color w:val="000000"/>
          <w:kern w:val="2"/>
          <w:sz w:val="21"/>
          <w:szCs w:val="21"/>
          <w:lang w:val="en-US" w:eastAsia="zh-CN" w:bidi="ar-SA"/>
        </w:rPr>
      </w:pPr>
    </w:p>
    <w:p>
      <w:pPr>
        <w:pStyle w:val="63"/>
        <w:spacing w:line="360" w:lineRule="auto"/>
        <w:ind w:firstLine="480"/>
        <w:rPr>
          <w:rFonts w:hint="eastAsia" w:ascii="宋体" w:hAnsi="宋体" w:eastAsia="宋体" w:cs="宋体"/>
          <w:color w:val="000000"/>
          <w:kern w:val="2"/>
          <w:sz w:val="21"/>
          <w:szCs w:val="21"/>
          <w:lang w:val="en-US" w:eastAsia="zh-CN" w:bidi="ar-SA"/>
        </w:rPr>
      </w:pPr>
    </w:p>
    <w:p>
      <w:pPr>
        <w:pStyle w:val="63"/>
        <w:spacing w:line="360" w:lineRule="auto"/>
        <w:ind w:firstLine="480"/>
        <w:rPr>
          <w:rFonts w:hint="eastAsia" w:ascii="宋体" w:hAnsi="宋体" w:eastAsia="宋体" w:cs="宋体"/>
          <w:color w:val="000000"/>
          <w:kern w:val="2"/>
          <w:sz w:val="21"/>
          <w:szCs w:val="21"/>
          <w:lang w:val="en-US" w:eastAsia="zh-CN" w:bidi="ar-SA"/>
        </w:rPr>
      </w:pPr>
    </w:p>
    <w:p>
      <w:pPr>
        <w:pStyle w:val="63"/>
        <w:spacing w:line="360" w:lineRule="auto"/>
        <w:ind w:firstLine="480"/>
        <w:rPr>
          <w:rFonts w:hint="eastAsia" w:ascii="宋体" w:hAnsi="宋体" w:eastAsia="宋体" w:cs="宋体"/>
          <w:color w:val="000000"/>
          <w:kern w:val="2"/>
          <w:sz w:val="21"/>
          <w:szCs w:val="21"/>
          <w:lang w:val="en-US" w:eastAsia="zh-CN" w:bidi="ar-SA"/>
        </w:rPr>
      </w:pPr>
    </w:p>
    <w:p>
      <w:pPr>
        <w:pStyle w:val="63"/>
        <w:spacing w:line="360" w:lineRule="auto"/>
        <w:ind w:firstLine="480"/>
        <w:rPr>
          <w:rFonts w:hint="eastAsia" w:ascii="宋体" w:hAnsi="宋体" w:eastAsia="宋体" w:cs="宋体"/>
          <w:color w:val="000000"/>
          <w:kern w:val="2"/>
          <w:sz w:val="21"/>
          <w:szCs w:val="21"/>
          <w:lang w:val="en-US" w:eastAsia="zh-CN" w:bidi="ar-SA"/>
        </w:rPr>
      </w:pPr>
    </w:p>
    <w:p>
      <w:pPr>
        <w:pStyle w:val="63"/>
        <w:spacing w:line="360" w:lineRule="auto"/>
        <w:ind w:firstLine="480"/>
        <w:rPr>
          <w:rFonts w:hint="eastAsia" w:ascii="宋体" w:hAnsi="宋体" w:eastAsia="宋体" w:cs="宋体"/>
          <w:color w:val="000000"/>
          <w:kern w:val="2"/>
          <w:sz w:val="21"/>
          <w:szCs w:val="21"/>
          <w:lang w:val="en-US" w:eastAsia="zh-CN" w:bidi="ar-SA"/>
        </w:rPr>
      </w:pPr>
    </w:p>
    <w:p>
      <w:pPr>
        <w:pStyle w:val="63"/>
        <w:spacing w:line="360" w:lineRule="auto"/>
        <w:ind w:firstLine="480"/>
        <w:rPr>
          <w:rFonts w:hint="eastAsia" w:ascii="宋体" w:hAnsi="宋体" w:eastAsia="宋体" w:cs="宋体"/>
          <w:color w:val="000000"/>
          <w:kern w:val="2"/>
          <w:sz w:val="21"/>
          <w:szCs w:val="21"/>
          <w:lang w:val="en-US" w:eastAsia="zh-CN" w:bidi="ar-SA"/>
        </w:rPr>
      </w:pPr>
    </w:p>
    <w:p>
      <w:pPr>
        <w:spacing w:line="480" w:lineRule="auto"/>
        <w:rPr>
          <w:rFonts w:hint="eastAsia" w:ascii="宋体" w:hAnsi="宋体" w:eastAsia="宋体" w:cs="宋体"/>
          <w:sz w:val="21"/>
          <w:szCs w:val="21"/>
        </w:rPr>
      </w:pPr>
      <w:r>
        <w:rPr>
          <w:rFonts w:hint="eastAsia" w:ascii="宋体" w:hAnsi="宋体" w:eastAsia="宋体" w:cs="宋体"/>
          <w:sz w:val="21"/>
          <w:szCs w:val="21"/>
        </w:rPr>
        <w:t xml:space="preserve">甲方：西安市长安区教育局（盖章）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乙方：            （盖章）            </w:t>
      </w:r>
    </w:p>
    <w:p>
      <w:pPr>
        <w:spacing w:line="480" w:lineRule="auto"/>
        <w:ind w:firstLine="630" w:firstLineChars="300"/>
        <w:rPr>
          <w:rFonts w:hint="eastAsia" w:ascii="宋体" w:hAnsi="宋体" w:eastAsia="宋体" w:cs="宋体"/>
          <w:sz w:val="21"/>
          <w:szCs w:val="21"/>
        </w:rPr>
      </w:pPr>
    </w:p>
    <w:p>
      <w:pPr>
        <w:spacing w:line="480" w:lineRule="auto"/>
        <w:rPr>
          <w:rFonts w:hint="eastAsia" w:ascii="宋体" w:hAnsi="宋体" w:eastAsia="宋体" w:cs="宋体"/>
          <w:sz w:val="21"/>
          <w:szCs w:val="21"/>
        </w:rPr>
      </w:pPr>
      <w:r>
        <w:rPr>
          <w:rFonts w:hint="eastAsia" w:ascii="宋体" w:hAnsi="宋体" w:eastAsia="宋体" w:cs="宋体"/>
          <w:sz w:val="21"/>
          <w:szCs w:val="21"/>
        </w:rPr>
        <w:t xml:space="preserve">法定代表人：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法定代表人：</w:t>
      </w:r>
    </w:p>
    <w:p>
      <w:pPr>
        <w:spacing w:line="480" w:lineRule="auto"/>
        <w:rPr>
          <w:rFonts w:hint="eastAsia" w:ascii="宋体" w:hAnsi="宋体" w:eastAsia="宋体" w:cs="宋体"/>
          <w:sz w:val="21"/>
          <w:szCs w:val="21"/>
        </w:rPr>
      </w:pPr>
      <w:r>
        <w:rPr>
          <w:rFonts w:hint="eastAsia" w:ascii="宋体" w:hAnsi="宋体" w:eastAsia="宋体" w:cs="宋体"/>
          <w:sz w:val="21"/>
          <w:szCs w:val="21"/>
        </w:rPr>
        <w:t xml:space="preserve">代理人：（签字）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代理人：（签字）</w:t>
      </w:r>
    </w:p>
    <w:p>
      <w:pPr>
        <w:spacing w:line="480" w:lineRule="auto"/>
        <w:rPr>
          <w:rFonts w:hint="eastAsia" w:ascii="宋体" w:hAnsi="宋体" w:eastAsia="宋体" w:cs="宋体"/>
          <w:sz w:val="21"/>
          <w:szCs w:val="21"/>
        </w:rPr>
      </w:pPr>
      <w:r>
        <w:rPr>
          <w:rFonts w:hint="eastAsia" w:ascii="宋体" w:hAnsi="宋体" w:eastAsia="宋体" w:cs="宋体"/>
          <w:sz w:val="21"/>
          <w:szCs w:val="21"/>
        </w:rPr>
        <w:t>电</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话：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电</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话：</w:t>
      </w:r>
    </w:p>
    <w:p>
      <w:pPr>
        <w:spacing w:line="360" w:lineRule="auto"/>
        <w:rPr>
          <w:rFonts w:hint="eastAsia" w:ascii="宋体" w:hAnsi="宋体" w:eastAsia="宋体" w:cs="宋体"/>
          <w:sz w:val="21"/>
          <w:szCs w:val="21"/>
        </w:rPr>
      </w:pPr>
      <w:r>
        <w:rPr>
          <w:rFonts w:hint="eastAsia" w:ascii="宋体" w:hAnsi="宋体" w:eastAsia="宋体" w:cs="宋体"/>
          <w:sz w:val="21"/>
          <w:szCs w:val="21"/>
        </w:rPr>
        <w:t>开户行：中国建设银行股份有限公司</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开户行： </w:t>
      </w:r>
    </w:p>
    <w:p>
      <w:pPr>
        <w:spacing w:line="360" w:lineRule="auto"/>
        <w:ind w:firstLine="1260" w:firstLineChars="600"/>
        <w:rPr>
          <w:rFonts w:hint="eastAsia" w:ascii="宋体" w:hAnsi="宋体" w:eastAsia="宋体" w:cs="宋体"/>
          <w:sz w:val="21"/>
          <w:szCs w:val="21"/>
        </w:rPr>
      </w:pPr>
      <w:r>
        <w:rPr>
          <w:rFonts w:hint="eastAsia" w:ascii="宋体" w:hAnsi="宋体" w:eastAsia="宋体" w:cs="宋体"/>
          <w:sz w:val="21"/>
          <w:szCs w:val="21"/>
        </w:rPr>
        <w:t xml:space="preserve">西安长安区支行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号： 6100 1705 2050 5000 4974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账  号：</w:t>
      </w:r>
    </w:p>
    <w:p>
      <w:pPr>
        <w:spacing w:line="48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  址 ：  西安市长安区长兴南路1号          地  址：</w:t>
      </w:r>
    </w:p>
    <w:p>
      <w:pPr>
        <w:spacing w:line="480" w:lineRule="auto"/>
        <w:rPr>
          <w:rFonts w:hint="eastAsia" w:ascii="宋体" w:hAnsi="宋体" w:eastAsia="宋体" w:cs="宋体"/>
          <w:sz w:val="21"/>
          <w:szCs w:val="21"/>
        </w:rPr>
      </w:pPr>
      <w:r>
        <w:rPr>
          <w:rFonts w:hint="eastAsia" w:ascii="宋体" w:hAnsi="宋体" w:eastAsia="宋体" w:cs="宋体"/>
          <w:sz w:val="21"/>
          <w:szCs w:val="21"/>
        </w:rPr>
        <w:t>日</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期：    年   月    日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期：  年   月    日</w:t>
      </w:r>
    </w:p>
    <w:p>
      <w:pPr>
        <w:spacing w:line="480" w:lineRule="auto"/>
        <w:rPr>
          <w:rFonts w:hint="eastAsia" w:ascii="宋体" w:hAnsi="宋体" w:eastAsia="宋体" w:cs="宋体"/>
        </w:rPr>
      </w:pPr>
    </w:p>
    <w:p>
      <w:pPr>
        <w:spacing w:line="600" w:lineRule="exact"/>
        <w:ind w:firstLine="723" w:firstLineChars="200"/>
        <w:jc w:val="both"/>
        <w:rPr>
          <w:rFonts w:hint="eastAsia" w:ascii="宋体" w:hAnsi="宋体" w:cs="宋体"/>
          <w:b/>
          <w:bCs/>
          <w:color w:val="000000"/>
          <w:sz w:val="36"/>
          <w:szCs w:val="36"/>
        </w:rPr>
      </w:pPr>
    </w:p>
    <w:p>
      <w:pPr>
        <w:bidi w:val="0"/>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pStyle w:val="3"/>
        <w:numPr>
          <w:ilvl w:val="0"/>
          <w:numId w:val="0"/>
        </w:numPr>
        <w:tabs>
          <w:tab w:val="clear" w:pos="324"/>
        </w:tabs>
        <w:ind w:leftChars="0"/>
        <w:jc w:val="center"/>
        <w:rPr>
          <w:rFonts w:hint="eastAsia" w:ascii="宋体" w:hAnsi="宋体" w:eastAsia="宋体" w:cs="宋体"/>
          <w:b/>
          <w:bCs/>
          <w:sz w:val="36"/>
          <w:szCs w:val="36"/>
          <w:highlight w:val="none"/>
        </w:rPr>
      </w:pPr>
    </w:p>
    <w:p>
      <w:pPr>
        <w:pStyle w:val="3"/>
        <w:numPr>
          <w:ilvl w:val="0"/>
          <w:numId w:val="0"/>
        </w:numPr>
        <w:tabs>
          <w:tab w:val="clear" w:pos="324"/>
        </w:tabs>
        <w:ind w:leftChars="0"/>
        <w:jc w:val="center"/>
        <w:rPr>
          <w:rFonts w:hint="eastAsia" w:ascii="宋体" w:hAnsi="宋体" w:eastAsia="宋体" w:cs="宋体"/>
          <w:b/>
          <w:bCs/>
          <w:sz w:val="36"/>
          <w:szCs w:val="36"/>
          <w:highlight w:val="none"/>
        </w:rPr>
      </w:pPr>
    </w:p>
    <w:p>
      <w:pPr>
        <w:rPr>
          <w:rFonts w:hint="eastAsia" w:ascii="宋体" w:hAnsi="宋体" w:eastAsia="宋体" w:cs="宋体"/>
          <w:b/>
          <w:bCs/>
          <w:sz w:val="36"/>
          <w:szCs w:val="36"/>
          <w:highlight w:val="none"/>
        </w:rPr>
      </w:pPr>
    </w:p>
    <w:p>
      <w:pPr>
        <w:pStyle w:val="19"/>
        <w:rPr>
          <w:rFonts w:hint="eastAsia" w:ascii="宋体" w:hAnsi="宋体" w:eastAsia="宋体" w:cs="宋体"/>
          <w:b/>
          <w:bCs/>
          <w:sz w:val="36"/>
          <w:szCs w:val="36"/>
          <w:highlight w:val="none"/>
        </w:rPr>
      </w:pPr>
    </w:p>
    <w:p>
      <w:pPr>
        <w:pStyle w:val="19"/>
        <w:rPr>
          <w:rFonts w:hint="eastAsia" w:ascii="宋体" w:hAnsi="宋体" w:eastAsia="宋体" w:cs="宋体"/>
          <w:b/>
          <w:bCs/>
          <w:sz w:val="36"/>
          <w:szCs w:val="36"/>
          <w:highlight w:val="none"/>
        </w:rPr>
      </w:pPr>
    </w:p>
    <w:p>
      <w:pPr>
        <w:pStyle w:val="19"/>
        <w:rPr>
          <w:rFonts w:hint="eastAsia" w:ascii="宋体" w:hAnsi="宋体" w:eastAsia="宋体" w:cs="宋体"/>
          <w:b/>
          <w:bCs/>
          <w:sz w:val="36"/>
          <w:szCs w:val="36"/>
          <w:highlight w:val="none"/>
        </w:rPr>
      </w:pPr>
    </w:p>
    <w:p>
      <w:pPr>
        <w:pStyle w:val="19"/>
        <w:rPr>
          <w:rFonts w:hint="eastAsia" w:ascii="宋体" w:hAnsi="宋体" w:eastAsia="宋体" w:cs="宋体"/>
          <w:b/>
          <w:bCs/>
          <w:sz w:val="36"/>
          <w:szCs w:val="36"/>
          <w:highlight w:val="none"/>
        </w:rPr>
      </w:pPr>
    </w:p>
    <w:p>
      <w:pPr>
        <w:pStyle w:val="19"/>
        <w:rPr>
          <w:rFonts w:hint="eastAsia" w:ascii="宋体" w:hAnsi="宋体" w:eastAsia="宋体" w:cs="宋体"/>
          <w:b/>
          <w:bCs/>
          <w:sz w:val="36"/>
          <w:szCs w:val="36"/>
          <w:highlight w:val="none"/>
        </w:rPr>
      </w:pPr>
    </w:p>
    <w:p>
      <w:pPr>
        <w:pStyle w:val="19"/>
        <w:rPr>
          <w:rFonts w:hint="eastAsia" w:ascii="宋体" w:hAnsi="宋体" w:eastAsia="宋体" w:cs="宋体"/>
          <w:b/>
          <w:bCs/>
          <w:sz w:val="36"/>
          <w:szCs w:val="36"/>
          <w:highlight w:val="none"/>
        </w:rPr>
      </w:pPr>
    </w:p>
    <w:p>
      <w:pPr>
        <w:pStyle w:val="3"/>
        <w:numPr>
          <w:ilvl w:val="0"/>
          <w:numId w:val="0"/>
        </w:numPr>
        <w:tabs>
          <w:tab w:val="clear" w:pos="324"/>
        </w:tabs>
        <w:ind w:leftChars="0"/>
        <w:jc w:val="center"/>
        <w:rPr>
          <w:rFonts w:hint="eastAsia" w:ascii="宋体" w:hAnsi="宋体" w:eastAsia="宋体" w:cs="宋体"/>
          <w:b/>
          <w:bCs/>
          <w:sz w:val="36"/>
          <w:szCs w:val="36"/>
          <w:highlight w:val="none"/>
        </w:rPr>
      </w:pPr>
      <w:bookmarkStart w:id="50" w:name="_Toc11644"/>
    </w:p>
    <w:p>
      <w:pPr>
        <w:pStyle w:val="3"/>
        <w:numPr>
          <w:ilvl w:val="0"/>
          <w:numId w:val="0"/>
        </w:numPr>
        <w:tabs>
          <w:tab w:val="clear" w:pos="324"/>
        </w:tabs>
        <w:ind w:leftChars="0"/>
        <w:jc w:val="center"/>
        <w:rPr>
          <w:rFonts w:hint="eastAsia" w:ascii="宋体" w:hAnsi="宋体" w:eastAsia="宋体" w:cs="宋体"/>
          <w:b/>
          <w:bCs/>
          <w:sz w:val="36"/>
          <w:szCs w:val="36"/>
          <w:highlight w:val="none"/>
        </w:rPr>
      </w:pPr>
    </w:p>
    <w:p>
      <w:pPr>
        <w:pStyle w:val="3"/>
        <w:numPr>
          <w:ilvl w:val="0"/>
          <w:numId w:val="0"/>
        </w:numPr>
        <w:tabs>
          <w:tab w:val="clear" w:pos="324"/>
        </w:tabs>
        <w:ind w:leftChars="0"/>
        <w:jc w:val="both"/>
        <w:rPr>
          <w:rFonts w:hint="eastAsia" w:ascii="宋体" w:hAnsi="宋体" w:eastAsia="宋体" w:cs="宋体"/>
          <w:b/>
          <w:bCs/>
          <w:sz w:val="36"/>
          <w:szCs w:val="36"/>
          <w:highlight w:val="none"/>
        </w:rPr>
      </w:pPr>
    </w:p>
    <w:p>
      <w:pPr>
        <w:pStyle w:val="3"/>
        <w:numPr>
          <w:ilvl w:val="0"/>
          <w:numId w:val="0"/>
        </w:numPr>
        <w:tabs>
          <w:tab w:val="clear" w:pos="324"/>
        </w:tabs>
        <w:ind w:leftChars="0"/>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第</w:t>
      </w:r>
      <w:r>
        <w:rPr>
          <w:rFonts w:hint="eastAsia" w:ascii="宋体" w:hAnsi="宋体" w:eastAsia="宋体" w:cs="宋体"/>
          <w:b/>
          <w:bCs/>
          <w:sz w:val="36"/>
          <w:szCs w:val="36"/>
          <w:highlight w:val="none"/>
          <w:lang w:eastAsia="zh-CN"/>
        </w:rPr>
        <w:t>六</w:t>
      </w:r>
      <w:r>
        <w:rPr>
          <w:rFonts w:hint="eastAsia" w:ascii="宋体" w:hAnsi="宋体" w:eastAsia="宋体" w:cs="宋体"/>
          <w:b/>
          <w:bCs/>
          <w:sz w:val="36"/>
          <w:szCs w:val="36"/>
          <w:highlight w:val="none"/>
        </w:rPr>
        <w:t>章  投标文件格式</w:t>
      </w:r>
      <w:bookmarkEnd w:id="50"/>
    </w:p>
    <w:p>
      <w:pPr>
        <w:bidi w:val="0"/>
        <w:rPr>
          <w:rFonts w:hint="eastAsia"/>
          <w:highlight w:val="none"/>
        </w:rPr>
      </w:pPr>
    </w:p>
    <w:p>
      <w:pPr>
        <w:bidi w:val="0"/>
        <w:rPr>
          <w:highlight w:val="none"/>
        </w:rPr>
      </w:pPr>
    </w:p>
    <w:p>
      <w:pPr>
        <w:rPr>
          <w:rFonts w:hint="eastAsia" w:ascii="宋体" w:hAnsi="宋体"/>
          <w:b/>
          <w:sz w:val="36"/>
          <w:szCs w:val="36"/>
          <w:highlight w:val="none"/>
        </w:rPr>
      </w:pPr>
      <w:r>
        <w:rPr>
          <w:rFonts w:hint="eastAsia" w:ascii="宋体" w:hAnsi="宋体"/>
          <w:b/>
          <w:sz w:val="36"/>
          <w:szCs w:val="36"/>
          <w:highlight w:val="none"/>
        </w:rPr>
        <w:br w:type="page"/>
      </w:r>
    </w:p>
    <w:p>
      <w:pPr>
        <w:spacing w:after="360" w:afterLines="150" w:line="900" w:lineRule="exact"/>
        <w:jc w:val="center"/>
        <w:rPr>
          <w:rFonts w:hint="eastAsia" w:ascii="宋体" w:hAnsi="宋体"/>
          <w:b/>
          <w:sz w:val="36"/>
          <w:szCs w:val="36"/>
          <w:highlight w:val="none"/>
        </w:rPr>
      </w:pPr>
      <w:r>
        <w:rPr>
          <w:color w:val="auto"/>
          <w:sz w:val="36"/>
          <w:highlight w:val="none"/>
        </w:rPr>
        <mc:AlternateContent>
          <mc:Choice Requires="wps">
            <w:drawing>
              <wp:anchor distT="0" distB="0" distL="0" distR="0" simplePos="0" relativeHeight="251661312" behindDoc="0" locked="0" layoutInCell="1" allowOverlap="1">
                <wp:simplePos x="0" y="0"/>
                <wp:positionH relativeFrom="column">
                  <wp:posOffset>-19685</wp:posOffset>
                </wp:positionH>
                <wp:positionV relativeFrom="paragraph">
                  <wp:posOffset>45085</wp:posOffset>
                </wp:positionV>
                <wp:extent cx="1641475" cy="499110"/>
                <wp:effectExtent l="7620" t="7620" r="8255" b="26669"/>
                <wp:wrapNone/>
                <wp:docPr id="1028" name="自选图形 11"/>
                <wp:cNvGraphicFramePr/>
                <a:graphic xmlns:a="http://schemas.openxmlformats.org/drawingml/2006/main">
                  <a:graphicData uri="http://schemas.microsoft.com/office/word/2010/wordprocessingShape">
                    <wps:wsp>
                      <wps:cNvSpPr/>
                      <wps:spPr>
                        <a:xfrm>
                          <a:off x="0" y="0"/>
                          <a:ext cx="1641475" cy="499110"/>
                        </a:xfrm>
                        <a:prstGeom prst="roundRect">
                          <a:avLst>
                            <a:gd name="adj" fmla="val 16667"/>
                          </a:avLst>
                        </a:prstGeom>
                        <a:solidFill>
                          <a:srgbClr val="EEECE1"/>
                        </a:solidFill>
                        <a:ln w="15875"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华文中宋" w:hAnsi="华文中宋" w:eastAsia="华文中宋" w:cs="华文中宋"/>
                                <w:b/>
                                <w:bCs/>
                                <w:sz w:val="36"/>
                                <w:szCs w:val="36"/>
                                <w:lang w:eastAsia="zh-CN"/>
                              </w:rPr>
                            </w:pPr>
                            <w:r>
                              <w:rPr>
                                <w:rFonts w:hint="eastAsia" w:ascii="华文中宋" w:hAnsi="华文中宋" w:eastAsia="华文中宋" w:cs="华文中宋"/>
                                <w:b/>
                                <w:bCs/>
                                <w:sz w:val="36"/>
                                <w:szCs w:val="36"/>
                                <w:lang w:eastAsia="zh-CN"/>
                              </w:rPr>
                              <w:t>政府采购项目</w:t>
                            </w:r>
                          </w:p>
                        </w:txbxContent>
                      </wps:txbx>
                      <wps:bodyPr wrap="square" upright="1"/>
                    </wps:wsp>
                  </a:graphicData>
                </a:graphic>
              </wp:anchor>
            </w:drawing>
          </mc:Choice>
          <mc:Fallback>
            <w:pict>
              <v:roundrect id="自选图形 11" o:spid="_x0000_s1026" o:spt="2" style="position:absolute;left:0pt;margin-left:-1.55pt;margin-top:3.55pt;height:39.3pt;width:129.25pt;z-index:251661312;mso-width-relative:page;mso-height-relative:page;" fillcolor="#EEECE1" filled="t" stroked="t" coordsize="21600,21600" arcsize="0.166666666666667" o:gfxdata="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kTjl1gAAAAcBAAAPAAAAAAAAAAEAIAAAACIAAABkcnMvZG93bnJl&#10;di54bWxQSwECFAAUAAAACACHTuJAYo5CxzgCAABzBAAADgAAAAAAAAABACAAAAAlAQAAZHJzL2Uy&#10;b0RvYy54bWxQSwUGAAAAAAYABgBZAQAAzwUAAAAA&#10;">
                <v:fill on="t" focussize="0,0"/>
                <v:stroke weight="1.2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华文中宋" w:hAnsi="华文中宋" w:eastAsia="华文中宋" w:cs="华文中宋"/>
                          <w:b/>
                          <w:bCs/>
                          <w:sz w:val="36"/>
                          <w:szCs w:val="36"/>
                          <w:lang w:eastAsia="zh-CN"/>
                        </w:rPr>
                      </w:pPr>
                      <w:r>
                        <w:rPr>
                          <w:rFonts w:hint="eastAsia" w:ascii="华文中宋" w:hAnsi="华文中宋" w:eastAsia="华文中宋" w:cs="华文中宋"/>
                          <w:b/>
                          <w:bCs/>
                          <w:sz w:val="36"/>
                          <w:szCs w:val="36"/>
                          <w:lang w:eastAsia="zh-CN"/>
                        </w:rPr>
                        <w:t>政府采购项目</w:t>
                      </w:r>
                    </w:p>
                  </w:txbxContent>
                </v:textbox>
              </v:roundrect>
            </w:pict>
          </mc:Fallback>
        </mc:AlternateContent>
      </w:r>
      <w:r>
        <w:rPr>
          <w:rFonts w:hint="eastAsia" w:ascii="宋体" w:hAnsi="宋体"/>
          <w:b/>
          <w:sz w:val="36"/>
          <w:szCs w:val="36"/>
          <w:highlight w:val="none"/>
        </w:rPr>
        <w:t xml:space="preserve">                                【正(副)本】</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b/>
          <w:color w:val="auto"/>
          <w:sz w:val="36"/>
          <w:szCs w:val="36"/>
          <w:highlight w:val="none"/>
          <w:lang w:val="en-US"/>
        </w:rPr>
      </w:pPr>
      <w:r>
        <w:rPr>
          <w:rFonts w:hint="eastAsia" w:ascii="宋体" w:hAnsi="宋体"/>
          <w:b/>
          <w:sz w:val="36"/>
          <w:szCs w:val="36"/>
          <w:highlight w:val="none"/>
        </w:rPr>
        <w:t>项目编号:</w:t>
      </w:r>
      <w:r>
        <w:rPr>
          <w:rFonts w:hint="eastAsia" w:ascii="宋体" w:hAnsi="宋体"/>
          <w:b/>
          <w:color w:val="auto"/>
          <w:sz w:val="36"/>
          <w:szCs w:val="36"/>
          <w:highlight w:val="none"/>
        </w:rPr>
        <w:t xml:space="preserve"> </w:t>
      </w:r>
      <w:r>
        <w:rPr>
          <w:rFonts w:hint="eastAsia" w:ascii="宋体" w:hAnsi="宋体"/>
          <w:b/>
          <w:color w:val="auto"/>
          <w:sz w:val="36"/>
          <w:szCs w:val="36"/>
          <w:highlight w:val="none"/>
          <w:lang w:eastAsia="zh-CN"/>
        </w:rPr>
        <w:t>GXZB2023-067Z.1B1</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华文中宋" w:hAnsi="华文中宋" w:eastAsia="华文中宋"/>
          <w:b/>
          <w:color w:val="auto"/>
          <w:sz w:val="52"/>
          <w:szCs w:val="52"/>
          <w:highlight w:val="none"/>
          <w:lang w:eastAsia="zh-CN"/>
        </w:rPr>
      </w:pPr>
    </w:p>
    <w:p>
      <w:pPr>
        <w:spacing w:line="360" w:lineRule="auto"/>
        <w:jc w:val="center"/>
        <w:rPr>
          <w:rFonts w:hint="eastAsia" w:ascii="华文中宋" w:hAnsi="华文中宋" w:eastAsia="华文中宋"/>
          <w:b/>
          <w:color w:val="auto"/>
          <w:sz w:val="52"/>
          <w:szCs w:val="52"/>
          <w:highlight w:val="none"/>
          <w:lang w:eastAsia="zh-CN"/>
        </w:rPr>
      </w:pPr>
      <w:r>
        <w:rPr>
          <w:rFonts w:hint="eastAsia" w:ascii="华文中宋" w:hAnsi="华文中宋" w:eastAsia="华文中宋"/>
          <w:b/>
          <w:color w:val="auto"/>
          <w:sz w:val="52"/>
          <w:szCs w:val="52"/>
          <w:highlight w:val="none"/>
          <w:lang w:eastAsia="zh-CN"/>
        </w:rPr>
        <w:t>2023年长安区太乙街道中心学校、黄良街道湖村小学等5所学校设备采购项目（二次）</w:t>
      </w:r>
    </w:p>
    <w:p>
      <w:pPr>
        <w:pStyle w:val="35"/>
        <w:ind w:left="0" w:leftChars="0" w:firstLine="0" w:firstLineChars="0"/>
        <w:rPr>
          <w:rFonts w:hint="eastAsia" w:ascii="宋体" w:hAnsi="宋体" w:eastAsia="宋体"/>
          <w:b/>
          <w:sz w:val="36"/>
          <w:highlight w:val="none"/>
          <w:lang w:eastAsia="zh-CN"/>
        </w:rPr>
      </w:pPr>
    </w:p>
    <w:p>
      <w:pPr>
        <w:pStyle w:val="35"/>
        <w:rPr>
          <w:rFonts w:hint="eastAsia" w:ascii="宋体" w:hAnsi="宋体" w:eastAsia="宋体"/>
          <w:b/>
          <w:sz w:val="36"/>
          <w:highlight w:val="none"/>
          <w:lang w:eastAsia="zh-CN"/>
        </w:rPr>
      </w:pPr>
    </w:p>
    <w:p>
      <w:pPr>
        <w:spacing w:after="48" w:afterLines="20"/>
        <w:jc w:val="center"/>
        <w:rPr>
          <w:rFonts w:hint="eastAsia" w:ascii="宋体" w:hAnsi="宋体" w:eastAsia="宋体" w:cs="宋体"/>
          <w:b/>
          <w:sz w:val="104"/>
          <w:highlight w:val="none"/>
        </w:rPr>
      </w:pPr>
      <w:r>
        <w:rPr>
          <w:rFonts w:hint="eastAsia" w:ascii="宋体" w:hAnsi="宋体" w:eastAsia="宋体" w:cs="宋体"/>
          <w:b/>
          <w:sz w:val="104"/>
          <w:highlight w:val="none"/>
        </w:rPr>
        <w:t>投标文件</w:t>
      </w:r>
    </w:p>
    <w:p>
      <w:pPr>
        <w:rPr>
          <w:rFonts w:hint="default" w:ascii="宋体" w:hAnsi="宋体" w:cs="宋体"/>
          <w:b/>
          <w:sz w:val="44"/>
          <w:szCs w:val="44"/>
          <w:highlight w:val="none"/>
          <w:u w:val="none"/>
          <w:lang w:val="en-US" w:eastAsia="zh-CN"/>
        </w:rPr>
      </w:pPr>
      <w:r>
        <w:rPr>
          <w:rFonts w:hint="eastAsia" w:ascii="宋体" w:hAnsi="宋体" w:cs="宋体"/>
          <w:b/>
          <w:sz w:val="44"/>
          <w:szCs w:val="44"/>
          <w:highlight w:val="none"/>
          <w:u w:val="none"/>
          <w:lang w:val="en-US" w:eastAsia="zh-CN"/>
        </w:rPr>
        <w:t xml:space="preserve">                 </w:t>
      </w:r>
    </w:p>
    <w:p>
      <w:pPr>
        <w:rPr>
          <w:rFonts w:hint="eastAsia"/>
          <w:sz w:val="30"/>
          <w:highlight w:val="none"/>
        </w:rPr>
      </w:pPr>
      <w:r>
        <w:rPr>
          <w:rFonts w:hint="eastAsia"/>
          <w:sz w:val="30"/>
          <w:highlight w:val="none"/>
        </w:rPr>
        <w:t xml:space="preserve">           </w:t>
      </w:r>
    </w:p>
    <w:p>
      <w:pPr>
        <w:rPr>
          <w:rFonts w:hint="eastAsia"/>
          <w:sz w:val="30"/>
          <w:highlight w:val="none"/>
        </w:rPr>
      </w:pPr>
    </w:p>
    <w:p>
      <w:pPr>
        <w:rPr>
          <w:rFonts w:hint="eastAsia"/>
          <w:sz w:val="30"/>
          <w:highlight w:val="none"/>
        </w:rPr>
      </w:pPr>
      <w:r>
        <w:rPr>
          <w:rFonts w:hint="eastAsia"/>
          <w:sz w:val="30"/>
          <w:highlight w:val="none"/>
        </w:rPr>
        <w:t xml:space="preserve"> </w:t>
      </w:r>
    </w:p>
    <w:p>
      <w:pPr>
        <w:spacing w:after="192" w:afterLines="80"/>
        <w:ind w:firstLine="1506" w:firstLineChars="500"/>
        <w:rPr>
          <w:rFonts w:hint="eastAsia" w:ascii="宋体" w:hAnsi="宋体" w:cs="宋体"/>
          <w:b/>
          <w:bCs/>
          <w:sz w:val="30"/>
          <w:highlight w:val="none"/>
          <w:u w:val="single"/>
        </w:rPr>
      </w:pPr>
      <w:r>
        <w:rPr>
          <w:rFonts w:hint="eastAsia" w:ascii="宋体" w:hAnsi="宋体" w:cs="宋体"/>
          <w:b/>
          <w:bCs/>
          <w:sz w:val="30"/>
          <w:highlight w:val="none"/>
        </w:rPr>
        <w:t>投标人：</w:t>
      </w:r>
      <w:r>
        <w:rPr>
          <w:rFonts w:hint="eastAsia" w:ascii="宋体" w:hAnsi="宋体" w:cs="宋体"/>
          <w:b/>
          <w:bCs/>
          <w:sz w:val="30"/>
          <w:highlight w:val="none"/>
          <w:u w:val="single"/>
        </w:rPr>
        <w:t xml:space="preserve">                           </w:t>
      </w:r>
      <w:r>
        <w:rPr>
          <w:rFonts w:hint="eastAsia" w:ascii="宋体" w:hAnsi="宋体" w:cs="宋体"/>
          <w:b/>
          <w:bCs/>
          <w:sz w:val="30"/>
          <w:highlight w:val="none"/>
        </w:rPr>
        <w:t>（盖章）</w:t>
      </w:r>
    </w:p>
    <w:p>
      <w:pPr>
        <w:ind w:firstLine="1506" w:firstLineChars="500"/>
        <w:rPr>
          <w:rFonts w:hint="eastAsia" w:ascii="宋体" w:hAnsi="宋体" w:cs="宋体"/>
          <w:b/>
          <w:bCs/>
          <w:sz w:val="30"/>
          <w:highlight w:val="none"/>
        </w:rPr>
      </w:pPr>
      <w:r>
        <w:rPr>
          <w:rFonts w:hint="eastAsia" w:ascii="宋体" w:hAnsi="宋体" w:cs="宋体"/>
          <w:b/>
          <w:bCs/>
          <w:sz w:val="30"/>
          <w:highlight w:val="none"/>
        </w:rPr>
        <w:t>法定代表人或其委托代理人：</w:t>
      </w:r>
      <w:r>
        <w:rPr>
          <w:rFonts w:hint="eastAsia" w:ascii="宋体" w:hAnsi="宋体" w:cs="宋体"/>
          <w:b/>
          <w:bCs/>
          <w:sz w:val="30"/>
          <w:highlight w:val="none"/>
          <w:u w:val="single"/>
        </w:rPr>
        <w:t xml:space="preserve">        </w:t>
      </w:r>
      <w:r>
        <w:rPr>
          <w:rFonts w:hint="eastAsia" w:ascii="宋体" w:hAnsi="宋体" w:cs="宋体"/>
          <w:b/>
          <w:bCs/>
          <w:sz w:val="30"/>
          <w:highlight w:val="none"/>
        </w:rPr>
        <w:t>（</w:t>
      </w:r>
      <w:r>
        <w:rPr>
          <w:rFonts w:hint="eastAsia" w:ascii="宋体" w:hAnsi="宋体" w:cs="宋体"/>
          <w:b/>
          <w:bCs/>
          <w:sz w:val="30"/>
          <w:highlight w:val="none"/>
          <w:lang w:eastAsia="zh-CN"/>
        </w:rPr>
        <w:t>盖章或</w:t>
      </w:r>
      <w:r>
        <w:rPr>
          <w:rFonts w:hint="eastAsia" w:ascii="宋体" w:hAnsi="宋体" w:cs="宋体"/>
          <w:b/>
          <w:bCs/>
          <w:sz w:val="30"/>
          <w:highlight w:val="none"/>
        </w:rPr>
        <w:t>签字）</w:t>
      </w:r>
    </w:p>
    <w:p>
      <w:pPr>
        <w:spacing w:before="240" w:beforeLines="100"/>
        <w:jc w:val="center"/>
        <w:rPr>
          <w:rFonts w:hint="eastAsia" w:ascii="宋体" w:hAnsi="宋体" w:cs="宋体"/>
          <w:b/>
          <w:bCs/>
          <w:sz w:val="30"/>
          <w:highlight w:val="none"/>
        </w:rPr>
      </w:pPr>
      <w:r>
        <w:rPr>
          <w:rFonts w:hint="eastAsia" w:ascii="宋体" w:hAnsi="宋体" w:cs="宋体"/>
          <w:b/>
          <w:bCs/>
          <w:sz w:val="30"/>
          <w:highlight w:val="none"/>
        </w:rPr>
        <w:t xml:space="preserve">   </w:t>
      </w:r>
      <w:r>
        <w:rPr>
          <w:rFonts w:hint="eastAsia" w:ascii="宋体" w:hAnsi="宋体" w:cs="宋体"/>
          <w:b/>
          <w:bCs/>
          <w:sz w:val="30"/>
          <w:highlight w:val="none"/>
          <w:u w:val="single"/>
        </w:rPr>
        <w:t xml:space="preserve">        </w:t>
      </w:r>
      <w:r>
        <w:rPr>
          <w:rFonts w:hint="eastAsia" w:ascii="宋体" w:hAnsi="宋体" w:cs="宋体"/>
          <w:b/>
          <w:bCs/>
          <w:sz w:val="30"/>
          <w:highlight w:val="none"/>
        </w:rPr>
        <w:t>年</w:t>
      </w:r>
      <w:r>
        <w:rPr>
          <w:rFonts w:hint="eastAsia" w:ascii="宋体" w:hAnsi="宋体" w:cs="宋体"/>
          <w:b/>
          <w:bCs/>
          <w:sz w:val="30"/>
          <w:highlight w:val="none"/>
          <w:u w:val="single"/>
        </w:rPr>
        <w:t xml:space="preserve">    </w:t>
      </w:r>
      <w:r>
        <w:rPr>
          <w:rFonts w:hint="eastAsia" w:ascii="宋体" w:hAnsi="宋体" w:cs="宋体"/>
          <w:b/>
          <w:bCs/>
          <w:sz w:val="30"/>
          <w:highlight w:val="none"/>
        </w:rPr>
        <w:t>月</w:t>
      </w:r>
      <w:r>
        <w:rPr>
          <w:rFonts w:hint="eastAsia" w:ascii="宋体" w:hAnsi="宋体" w:cs="宋体"/>
          <w:b/>
          <w:bCs/>
          <w:sz w:val="30"/>
          <w:highlight w:val="none"/>
          <w:u w:val="single"/>
        </w:rPr>
        <w:t xml:space="preserve">    </w:t>
      </w:r>
      <w:r>
        <w:rPr>
          <w:rFonts w:hint="eastAsia" w:ascii="宋体" w:hAnsi="宋体" w:cs="宋体"/>
          <w:b/>
          <w:bCs/>
          <w:sz w:val="30"/>
          <w:highlight w:val="none"/>
        </w:rPr>
        <w:t>日</w:t>
      </w:r>
    </w:p>
    <w:p>
      <w:pPr>
        <w:rPr>
          <w:rFonts w:hint="eastAsia" w:ascii="宋体" w:hAnsi="宋体" w:cs="宋体"/>
          <w:b/>
          <w:bCs/>
          <w:sz w:val="30"/>
          <w:highlight w:val="none"/>
        </w:rPr>
      </w:pPr>
      <w:r>
        <w:rPr>
          <w:rFonts w:hint="eastAsia" w:ascii="宋体" w:hAnsi="宋体" w:cs="宋体"/>
          <w:b/>
          <w:bCs/>
          <w:sz w:val="30"/>
          <w:highlight w:val="none"/>
        </w:rPr>
        <w:br w:type="page"/>
      </w:r>
    </w:p>
    <w:p>
      <w:pPr>
        <w:spacing w:line="600" w:lineRule="exact"/>
        <w:jc w:val="center"/>
        <w:rPr>
          <w:rFonts w:hint="eastAsia" w:ascii="宋体" w:hAnsi="宋体" w:cs="宋体"/>
          <w:b/>
          <w:bCs/>
          <w:sz w:val="30"/>
          <w:highlight w:val="none"/>
        </w:rPr>
      </w:pPr>
      <w:r>
        <w:rPr>
          <w:rFonts w:hint="eastAsia" w:ascii="宋体" w:hAnsi="宋体" w:cs="宋体"/>
          <w:b/>
          <w:bCs/>
          <w:sz w:val="30"/>
          <w:highlight w:val="none"/>
        </w:rPr>
        <w:t>目    录</w:t>
      </w:r>
    </w:p>
    <w:p>
      <w:pPr>
        <w:spacing w:line="600" w:lineRule="exact"/>
        <w:rPr>
          <w:rFonts w:hint="eastAsia"/>
          <w:sz w:val="24"/>
          <w:highlight w:val="none"/>
        </w:rPr>
      </w:pPr>
    </w:p>
    <w:p>
      <w:pPr>
        <w:spacing w:line="480" w:lineRule="auto"/>
        <w:ind w:firstLine="1680" w:firstLineChars="800"/>
        <w:rPr>
          <w:rFonts w:hint="eastAsia"/>
          <w:color w:val="auto"/>
          <w:szCs w:val="21"/>
          <w:highlight w:val="none"/>
        </w:rPr>
      </w:pPr>
      <w:r>
        <w:rPr>
          <w:rFonts w:hint="eastAsia"/>
          <w:color w:val="auto"/>
          <w:szCs w:val="21"/>
          <w:highlight w:val="none"/>
        </w:rPr>
        <w:t>一、投标函</w:t>
      </w:r>
    </w:p>
    <w:p>
      <w:pPr>
        <w:spacing w:line="480" w:lineRule="auto"/>
        <w:ind w:firstLine="1680" w:firstLineChars="800"/>
        <w:rPr>
          <w:rFonts w:hint="eastAsia"/>
          <w:color w:val="auto"/>
          <w:szCs w:val="21"/>
          <w:highlight w:val="none"/>
        </w:rPr>
      </w:pPr>
      <w:r>
        <w:rPr>
          <w:rFonts w:hint="eastAsia"/>
          <w:color w:val="auto"/>
          <w:szCs w:val="21"/>
          <w:highlight w:val="none"/>
        </w:rPr>
        <w:t>二、开标一览表</w:t>
      </w:r>
    </w:p>
    <w:p>
      <w:pPr>
        <w:spacing w:line="480" w:lineRule="auto"/>
        <w:ind w:firstLine="1680" w:firstLineChars="800"/>
        <w:rPr>
          <w:rFonts w:hint="eastAsia"/>
          <w:color w:val="auto"/>
          <w:szCs w:val="21"/>
          <w:highlight w:val="none"/>
        </w:rPr>
      </w:pPr>
      <w:r>
        <w:rPr>
          <w:rFonts w:hint="eastAsia"/>
          <w:color w:val="auto"/>
          <w:szCs w:val="21"/>
          <w:highlight w:val="none"/>
        </w:rPr>
        <w:t>三、分项报价表</w:t>
      </w:r>
    </w:p>
    <w:p>
      <w:pPr>
        <w:spacing w:line="480" w:lineRule="auto"/>
        <w:ind w:firstLine="1680" w:firstLineChars="800"/>
        <w:rPr>
          <w:rFonts w:hint="eastAsia"/>
          <w:color w:val="auto"/>
          <w:szCs w:val="21"/>
          <w:highlight w:val="none"/>
        </w:rPr>
      </w:pPr>
      <w:r>
        <w:rPr>
          <w:rFonts w:hint="eastAsia"/>
          <w:color w:val="auto"/>
          <w:szCs w:val="21"/>
          <w:highlight w:val="none"/>
          <w:lang w:val="en-US" w:eastAsia="zh-CN"/>
        </w:rPr>
        <w:t>四、</w:t>
      </w:r>
      <w:r>
        <w:rPr>
          <w:rFonts w:hint="eastAsia"/>
          <w:color w:val="auto"/>
          <w:szCs w:val="21"/>
          <w:highlight w:val="none"/>
        </w:rPr>
        <w:t>选配件报价表</w:t>
      </w:r>
      <w:r>
        <w:rPr>
          <w:rFonts w:hint="eastAsia"/>
          <w:color w:val="auto"/>
          <w:szCs w:val="21"/>
          <w:highlight w:val="none"/>
          <w:lang w:eastAsia="zh-CN"/>
        </w:rPr>
        <w:t>（若有）</w:t>
      </w:r>
    </w:p>
    <w:p>
      <w:pPr>
        <w:spacing w:line="480" w:lineRule="auto"/>
        <w:ind w:firstLine="1680" w:firstLineChars="800"/>
        <w:rPr>
          <w:rFonts w:hint="eastAsia"/>
          <w:color w:val="auto"/>
          <w:szCs w:val="21"/>
          <w:highlight w:val="none"/>
          <w:lang w:val="en-US" w:eastAsia="zh-CN"/>
        </w:rPr>
      </w:pPr>
      <w:r>
        <w:rPr>
          <w:rFonts w:hint="eastAsia"/>
          <w:color w:val="auto"/>
          <w:szCs w:val="21"/>
          <w:highlight w:val="none"/>
          <w:lang w:val="en-US" w:eastAsia="zh-CN"/>
        </w:rPr>
        <w:t>五、</w:t>
      </w:r>
      <w:r>
        <w:rPr>
          <w:rFonts w:hint="eastAsia"/>
          <w:color w:val="auto"/>
          <w:szCs w:val="21"/>
          <w:highlight w:val="none"/>
        </w:rPr>
        <w:t>资格文</w:t>
      </w:r>
      <w:r>
        <w:rPr>
          <w:rFonts w:hint="eastAsia"/>
          <w:color w:val="auto"/>
          <w:szCs w:val="21"/>
          <w:highlight w:val="none"/>
          <w:lang w:eastAsia="zh-CN"/>
        </w:rPr>
        <w:t>件</w:t>
      </w:r>
    </w:p>
    <w:p>
      <w:pPr>
        <w:spacing w:line="480" w:lineRule="auto"/>
        <w:ind w:firstLine="1680" w:firstLineChars="800"/>
        <w:rPr>
          <w:rFonts w:hint="eastAsia"/>
          <w:color w:val="auto"/>
          <w:szCs w:val="21"/>
          <w:highlight w:val="none"/>
        </w:rPr>
      </w:pPr>
      <w:r>
        <w:rPr>
          <w:rFonts w:hint="eastAsia"/>
          <w:color w:val="auto"/>
          <w:szCs w:val="21"/>
          <w:highlight w:val="none"/>
          <w:lang w:val="en-US" w:eastAsia="zh-CN"/>
        </w:rPr>
        <w:t>六、</w:t>
      </w:r>
      <w:r>
        <w:rPr>
          <w:rFonts w:hint="eastAsia"/>
          <w:color w:val="auto"/>
          <w:szCs w:val="21"/>
          <w:highlight w:val="none"/>
          <w:lang w:eastAsia="zh-CN"/>
        </w:rPr>
        <w:t>投标方案说明书</w:t>
      </w:r>
    </w:p>
    <w:p>
      <w:pPr>
        <w:spacing w:line="480" w:lineRule="auto"/>
        <w:ind w:firstLine="1680" w:firstLineChars="800"/>
        <w:rPr>
          <w:rFonts w:hint="eastAsia"/>
          <w:color w:val="auto"/>
          <w:szCs w:val="21"/>
          <w:highlight w:val="none"/>
        </w:rPr>
      </w:pPr>
      <w:r>
        <w:rPr>
          <w:rFonts w:hint="eastAsia"/>
          <w:color w:val="auto"/>
          <w:szCs w:val="21"/>
          <w:highlight w:val="none"/>
          <w:lang w:val="en-US" w:eastAsia="zh-CN"/>
        </w:rPr>
        <w:t xml:space="preserve"> 七、</w:t>
      </w:r>
      <w:r>
        <w:rPr>
          <w:rFonts w:hint="eastAsia"/>
          <w:color w:val="auto"/>
          <w:szCs w:val="21"/>
          <w:highlight w:val="none"/>
        </w:rPr>
        <w:t>投标人认为有必要补充说明的事宜</w:t>
      </w:r>
    </w:p>
    <w:p>
      <w:pPr>
        <w:spacing w:line="480" w:lineRule="auto"/>
        <w:ind w:firstLine="1680" w:firstLineChars="800"/>
        <w:rPr>
          <w:rFonts w:hint="eastAsia"/>
          <w:color w:val="auto"/>
          <w:szCs w:val="21"/>
          <w:highlight w:val="none"/>
        </w:rPr>
      </w:pPr>
      <w:r>
        <w:rPr>
          <w:rFonts w:hint="eastAsia"/>
          <w:color w:val="auto"/>
          <w:szCs w:val="21"/>
          <w:highlight w:val="none"/>
          <w:lang w:val="en-US" w:eastAsia="zh-CN"/>
        </w:rPr>
        <w:t xml:space="preserve"> 八、</w:t>
      </w:r>
      <w:r>
        <w:rPr>
          <w:rFonts w:hint="eastAsia"/>
          <w:color w:val="auto"/>
          <w:szCs w:val="21"/>
          <w:highlight w:val="none"/>
        </w:rPr>
        <w:t>《拒绝政府采购领域商业贿赂承诺书》</w:t>
      </w:r>
    </w:p>
    <w:p>
      <w:pPr>
        <w:spacing w:line="480" w:lineRule="auto"/>
        <w:ind w:firstLine="1680" w:firstLineChars="800"/>
        <w:rPr>
          <w:rFonts w:hint="eastAsia"/>
          <w:color w:val="auto"/>
          <w:szCs w:val="21"/>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pStyle w:val="12"/>
        <w:ind w:left="0" w:leftChars="0" w:firstLine="0" w:firstLineChars="0"/>
        <w:rPr>
          <w:rFonts w:ascii="宋体" w:hAnsi="宋体" w:cs="宋体"/>
          <w:b/>
          <w:bCs/>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eastAsia="宋体" w:cs="宋体"/>
          <w:b/>
          <w:bCs/>
          <w:color w:val="000000"/>
          <w:sz w:val="36"/>
          <w:szCs w:val="36"/>
          <w:highlight w:val="none"/>
          <w:lang w:eastAsia="zh-CN"/>
        </w:rPr>
      </w:pPr>
    </w:p>
    <w:p>
      <w:pPr>
        <w:pStyle w:val="2"/>
        <w:rPr>
          <w:rFonts w:hint="eastAsia"/>
          <w:highlight w:val="none"/>
          <w:lang w:eastAsia="zh-CN"/>
        </w:rPr>
      </w:pPr>
    </w:p>
    <w:p>
      <w:pPr>
        <w:pStyle w:val="24"/>
        <w:rPr>
          <w:rFonts w:ascii="宋体" w:hAnsi="宋体" w:cs="宋体"/>
          <w:b/>
          <w:bCs/>
          <w:color w:val="000000"/>
          <w:sz w:val="36"/>
          <w:szCs w:val="36"/>
          <w:highlight w:val="none"/>
        </w:rPr>
      </w:pPr>
    </w:p>
    <w:p>
      <w:pPr>
        <w:pStyle w:val="24"/>
        <w:rPr>
          <w:rFonts w:ascii="宋体" w:hAnsi="宋体" w:cs="宋体"/>
          <w:b/>
          <w:bCs/>
          <w:color w:val="000000"/>
          <w:sz w:val="36"/>
          <w:szCs w:val="36"/>
          <w:highlight w:val="none"/>
        </w:rPr>
      </w:pPr>
    </w:p>
    <w:p>
      <w:pPr>
        <w:pStyle w:val="24"/>
        <w:rPr>
          <w:rFonts w:ascii="宋体" w:hAnsi="宋体" w:cs="宋体"/>
          <w:b/>
          <w:bCs/>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ascii="宋体" w:hAnsi="宋体" w:cs="宋体"/>
          <w:b/>
          <w:bCs/>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ascii="宋体" w:hAnsi="宋体" w:cs="宋体"/>
          <w:b/>
          <w:bCs/>
          <w:color w:val="000000"/>
          <w:sz w:val="36"/>
          <w:szCs w:val="36"/>
          <w:highlight w:val="none"/>
        </w:rPr>
      </w:pPr>
    </w:p>
    <w:p>
      <w:pPr>
        <w:pStyle w:val="35"/>
        <w:rPr>
          <w:rFonts w:ascii="宋体" w:hAnsi="宋体" w:cs="宋体"/>
          <w:b/>
          <w:bCs/>
          <w:color w:val="000000"/>
          <w:sz w:val="36"/>
          <w:szCs w:val="36"/>
          <w:highlight w:val="none"/>
        </w:rPr>
      </w:pPr>
    </w:p>
    <w:p>
      <w:pPr>
        <w:rPr>
          <w:rFonts w:ascii="宋体" w:hAnsi="宋体" w:cs="宋体"/>
          <w:b/>
          <w:bCs/>
          <w:color w:val="000000"/>
          <w:sz w:val="36"/>
          <w:szCs w:val="36"/>
          <w:highlight w:val="none"/>
        </w:rPr>
      </w:pPr>
      <w:r>
        <w:rPr>
          <w:rFonts w:ascii="宋体" w:hAnsi="宋体" w:cs="宋体"/>
          <w:b/>
          <w:bCs/>
          <w:color w:val="000000"/>
          <w:sz w:val="36"/>
          <w:szCs w:val="36"/>
          <w:highlight w:val="none"/>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ascii="宋体" w:hAnsi="宋体" w:cs="宋体"/>
          <w:b/>
          <w:bCs/>
          <w:color w:val="000000"/>
          <w:sz w:val="36"/>
          <w:szCs w:val="36"/>
          <w:highlight w:val="none"/>
        </w:rPr>
      </w:pPr>
      <w:r>
        <w:rPr>
          <w:rFonts w:ascii="宋体" w:hAnsi="宋体" w:cs="宋体"/>
          <w:b/>
          <w:bCs/>
          <w:color w:val="000000"/>
          <w:sz w:val="36"/>
          <w:szCs w:val="36"/>
          <w:highlight w:val="none"/>
        </w:rPr>
        <w:t>一、投标函</w:t>
      </w:r>
    </w:p>
    <w:p>
      <w:pPr>
        <w:pStyle w:val="21"/>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新宋体" w:hAnsi="新宋体" w:eastAsia="新宋体"/>
          <w:b/>
          <w:bCs/>
          <w:color w:val="auto"/>
          <w:szCs w:val="28"/>
          <w:highlight w:val="none"/>
        </w:rPr>
      </w:pPr>
      <w:r>
        <w:rPr>
          <w:rFonts w:hint="eastAsia" w:ascii="新宋体" w:hAnsi="新宋体" w:eastAsia="新宋体"/>
          <w:b/>
          <w:bCs/>
          <w:color w:val="auto"/>
          <w:szCs w:val="28"/>
          <w:highlight w:val="none"/>
        </w:rPr>
        <w:t>致：陕西国信招标有限公司</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both"/>
        <w:textAlignment w:val="auto"/>
        <w:outlineLvl w:val="9"/>
        <w:rPr>
          <w:rFonts w:hint="default" w:ascii="Times New Roman" w:hAnsi="Times New Roman" w:eastAsia="新宋体" w:cs="Times New Roman"/>
          <w:bCs/>
          <w:color w:val="auto"/>
          <w:szCs w:val="28"/>
          <w:highlight w:val="none"/>
        </w:rPr>
      </w:pPr>
      <w:r>
        <w:rPr>
          <w:rFonts w:hint="default" w:ascii="Times New Roman" w:hAnsi="Times New Roman" w:eastAsia="新宋体" w:cs="Times New Roman"/>
          <w:bCs/>
          <w:color w:val="auto"/>
          <w:szCs w:val="28"/>
          <w:highlight w:val="none"/>
        </w:rPr>
        <w:t>我方全面研究了</w:t>
      </w:r>
      <w:r>
        <w:rPr>
          <w:rFonts w:hint="eastAsia" w:ascii="Times New Roman" w:hAnsi="Times New Roman" w:eastAsia="新宋体" w:cs="Times New Roman"/>
          <w:bCs/>
          <w:color w:val="auto"/>
          <w:szCs w:val="28"/>
          <w:highlight w:val="none"/>
          <w:lang w:eastAsia="zh-CN"/>
        </w:rPr>
        <w:t>“</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lang w:eastAsia="zh-CN"/>
        </w:rPr>
        <w:t>”（</w:t>
      </w:r>
      <w:r>
        <w:rPr>
          <w:rFonts w:hint="eastAsia" w:ascii="Times New Roman" w:hAnsi="Times New Roman" w:eastAsia="新宋体" w:cs="Times New Roman"/>
          <w:bCs/>
          <w:color w:val="auto"/>
          <w:szCs w:val="28"/>
          <w:highlight w:val="none"/>
          <w:lang w:val="en-US" w:eastAsia="zh-CN"/>
        </w:rPr>
        <w:t>项目名称</w:t>
      </w:r>
      <w:r>
        <w:rPr>
          <w:rFonts w:hint="eastAsia" w:ascii="Times New Roman" w:hAnsi="Times New Roman" w:eastAsia="新宋体" w:cs="Times New Roman"/>
          <w:bCs/>
          <w:color w:val="auto"/>
          <w:szCs w:val="28"/>
          <w:highlight w:val="none"/>
          <w:lang w:eastAsia="zh-CN"/>
        </w:rPr>
        <w:t>）</w:t>
      </w:r>
      <w:r>
        <w:rPr>
          <w:rFonts w:hint="default" w:ascii="Times New Roman" w:hAnsi="Times New Roman" w:eastAsia="新宋体" w:cs="Times New Roman"/>
          <w:bCs/>
          <w:color w:val="auto"/>
          <w:szCs w:val="28"/>
          <w:highlight w:val="none"/>
        </w:rPr>
        <w:t>招标文件（</w:t>
      </w:r>
      <w:r>
        <w:rPr>
          <w:rFonts w:hint="eastAsia" w:ascii="Times New Roman" w:hAnsi="Times New Roman" w:eastAsia="新宋体" w:cs="Times New Roman"/>
          <w:bCs/>
          <w:color w:val="auto"/>
          <w:szCs w:val="28"/>
          <w:highlight w:val="none"/>
          <w:lang w:eastAsia="zh-CN"/>
        </w:rPr>
        <w:t>GXZB2023-067Z.1B1</w:t>
      </w:r>
      <w:r>
        <w:rPr>
          <w:rFonts w:hint="default" w:ascii="Times New Roman" w:hAnsi="Times New Roman" w:eastAsia="新宋体" w:cs="Times New Roman"/>
          <w:bCs/>
          <w:color w:val="auto"/>
          <w:szCs w:val="28"/>
          <w:highlight w:val="none"/>
        </w:rPr>
        <w:t>）的全部内容，知悉参加投标的风险，我方承诺接受招标文件的全部条款且无任何异议，决定参加贵单位组织的本项目招标。我方正式授权</w:t>
      </w:r>
      <w:r>
        <w:rPr>
          <w:rFonts w:hint="default" w:ascii="Times New Roman" w:hAnsi="Times New Roman" w:eastAsia="新宋体" w:cs="Times New Roman"/>
          <w:bCs/>
          <w:color w:val="auto"/>
          <w:szCs w:val="28"/>
          <w:highlight w:val="none"/>
          <w:u w:val="single"/>
        </w:rPr>
        <w:t>（姓名、职务）</w:t>
      </w:r>
      <w:r>
        <w:rPr>
          <w:rFonts w:hint="default" w:ascii="Times New Roman" w:hAnsi="Times New Roman" w:eastAsia="新宋体" w:cs="Times New Roman"/>
          <w:bCs/>
          <w:color w:val="auto"/>
          <w:szCs w:val="28"/>
          <w:highlight w:val="none"/>
        </w:rPr>
        <w:t>代表我方</w:t>
      </w:r>
      <w:r>
        <w:rPr>
          <w:rFonts w:hint="default" w:ascii="Times New Roman" w:hAnsi="Times New Roman" w:eastAsia="新宋体" w:cs="Times New Roman"/>
          <w:bCs/>
          <w:color w:val="auto"/>
          <w:szCs w:val="28"/>
          <w:highlight w:val="none"/>
          <w:u w:val="single"/>
        </w:rPr>
        <w:t xml:space="preserve">         </w:t>
      </w:r>
      <w:r>
        <w:rPr>
          <w:rFonts w:hint="default" w:ascii="Times New Roman" w:hAnsi="Times New Roman" w:eastAsia="新宋体" w:cs="Times New Roman"/>
          <w:bCs/>
          <w:color w:val="auto"/>
          <w:szCs w:val="28"/>
          <w:highlight w:val="none"/>
        </w:rPr>
        <w:t>（投标单位的名称）全权处理本项目投标的有关事宜。</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both"/>
        <w:textAlignment w:val="auto"/>
        <w:outlineLvl w:val="9"/>
        <w:rPr>
          <w:rFonts w:hint="default" w:ascii="Times New Roman" w:hAnsi="Times New Roman" w:eastAsia="新宋体" w:cs="Times New Roman"/>
          <w:bCs/>
          <w:color w:val="auto"/>
          <w:szCs w:val="28"/>
          <w:highlight w:val="none"/>
        </w:rPr>
      </w:pPr>
      <w:r>
        <w:rPr>
          <w:rFonts w:hint="default" w:ascii="Times New Roman" w:hAnsi="Times New Roman" w:eastAsia="新宋体" w:cs="Times New Roman"/>
          <w:bCs/>
          <w:color w:val="auto"/>
          <w:szCs w:val="28"/>
          <w:highlight w:val="none"/>
        </w:rPr>
        <w:t>在此，我方郑重声明以下诸点</w:t>
      </w:r>
      <w:r>
        <w:rPr>
          <w:rFonts w:hint="eastAsia" w:ascii="Times New Roman" w:hAnsi="Times New Roman" w:eastAsia="新宋体" w:cs="Times New Roman"/>
          <w:bCs/>
          <w:color w:val="auto"/>
          <w:szCs w:val="28"/>
          <w:highlight w:val="none"/>
          <w:lang w:eastAsia="zh-CN"/>
        </w:rPr>
        <w:t>，</w:t>
      </w:r>
      <w:r>
        <w:rPr>
          <w:rFonts w:hint="default" w:ascii="Times New Roman" w:hAnsi="Times New Roman" w:eastAsia="新宋体" w:cs="Times New Roman"/>
          <w:bCs/>
          <w:color w:val="auto"/>
          <w:szCs w:val="28"/>
          <w:highlight w:val="none"/>
        </w:rPr>
        <w:t>并负法律责任。</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both"/>
        <w:textAlignment w:val="auto"/>
        <w:outlineLvl w:val="9"/>
        <w:rPr>
          <w:rFonts w:hint="default" w:ascii="Times New Roman" w:hAnsi="Times New Roman" w:eastAsia="新宋体" w:cs="Times New Roman"/>
          <w:bCs/>
          <w:color w:val="auto"/>
          <w:szCs w:val="28"/>
          <w:highlight w:val="none"/>
        </w:rPr>
      </w:pPr>
      <w:r>
        <w:rPr>
          <w:rFonts w:hint="eastAsia" w:ascii="Times New Roman" w:hAnsi="Times New Roman" w:eastAsia="新宋体" w:cs="Times New Roman"/>
          <w:bCs/>
          <w:color w:val="auto"/>
          <w:szCs w:val="28"/>
          <w:highlight w:val="none"/>
          <w:lang w:val="en-US" w:eastAsia="zh-CN"/>
        </w:rPr>
        <w:t>1</w:t>
      </w:r>
      <w:r>
        <w:rPr>
          <w:rFonts w:hint="default" w:ascii="Times New Roman" w:hAnsi="Times New Roman" w:eastAsia="新宋体" w:cs="Times New Roman"/>
          <w:bCs/>
          <w:color w:val="auto"/>
          <w:szCs w:val="28"/>
          <w:highlight w:val="none"/>
        </w:rPr>
        <w:t>、按照招标文件的规定，我方</w:t>
      </w:r>
      <w:r>
        <w:rPr>
          <w:rFonts w:hint="eastAsia" w:ascii="Times New Roman" w:hAnsi="Times New Roman" w:eastAsia="新宋体" w:cs="Times New Roman"/>
          <w:bCs/>
          <w:color w:val="auto"/>
          <w:szCs w:val="28"/>
          <w:highlight w:val="none"/>
          <w:lang w:eastAsia="zh-CN"/>
        </w:rPr>
        <w:t>投标</w:t>
      </w:r>
      <w:r>
        <w:rPr>
          <w:rFonts w:hint="eastAsia" w:ascii="Times New Roman" w:hAnsi="Times New Roman" w:eastAsia="新宋体" w:cs="Times New Roman"/>
          <w:bCs/>
          <w:color w:val="auto"/>
          <w:szCs w:val="28"/>
          <w:highlight w:val="none"/>
          <w:lang w:val="en-US" w:eastAsia="zh-CN"/>
        </w:rPr>
        <w:t>总</w:t>
      </w:r>
      <w:r>
        <w:rPr>
          <w:rFonts w:hint="eastAsia" w:ascii="Times New Roman" w:hAnsi="Times New Roman" w:eastAsia="新宋体" w:cs="Times New Roman"/>
          <w:bCs/>
          <w:color w:val="auto"/>
          <w:szCs w:val="28"/>
          <w:highlight w:val="none"/>
          <w:lang w:eastAsia="zh-CN"/>
        </w:rPr>
        <w:t>报价</w:t>
      </w:r>
      <w:r>
        <w:rPr>
          <w:rFonts w:hint="default" w:ascii="Times New Roman" w:hAnsi="Times New Roman" w:eastAsia="新宋体" w:cs="Times New Roman"/>
          <w:bCs/>
          <w:color w:val="auto"/>
          <w:szCs w:val="28"/>
          <w:highlight w:val="none"/>
        </w:rPr>
        <w:t>为人民币：</w:t>
      </w:r>
      <w:r>
        <w:rPr>
          <w:rFonts w:hint="default" w:ascii="Arial" w:hAnsi="Arial" w:eastAsia="新宋体" w:cs="Arial"/>
          <w:bCs/>
          <w:color w:val="auto"/>
          <w:szCs w:val="28"/>
          <w:highlight w:val="none"/>
        </w:rPr>
        <w:t>¥</w:t>
      </w:r>
      <w:r>
        <w:rPr>
          <w:rFonts w:hint="default" w:ascii="Times New Roman" w:hAnsi="Times New Roman" w:eastAsia="新宋体" w:cs="Times New Roman"/>
          <w:bCs/>
          <w:color w:val="auto"/>
          <w:szCs w:val="28"/>
          <w:highlight w:val="none"/>
          <w:u w:val="single"/>
        </w:rPr>
        <w:t xml:space="preserve">          </w:t>
      </w:r>
      <w:r>
        <w:rPr>
          <w:rFonts w:hint="default" w:ascii="Times New Roman" w:hAnsi="Times New Roman" w:eastAsia="新宋体" w:cs="Times New Roman"/>
          <w:bCs/>
          <w:color w:val="auto"/>
          <w:szCs w:val="28"/>
          <w:highlight w:val="none"/>
        </w:rPr>
        <w:t>（大写：</w:t>
      </w:r>
      <w:r>
        <w:rPr>
          <w:rFonts w:hint="default" w:ascii="Times New Roman" w:hAnsi="Times New Roman" w:eastAsia="新宋体" w:cs="Times New Roman"/>
          <w:bCs/>
          <w:color w:val="auto"/>
          <w:szCs w:val="28"/>
          <w:highlight w:val="none"/>
          <w:u w:val="single"/>
        </w:rPr>
        <w:t xml:space="preserve">            </w:t>
      </w:r>
      <w:r>
        <w:rPr>
          <w:rFonts w:hint="default" w:ascii="Times New Roman" w:hAnsi="Times New Roman" w:eastAsia="新宋体" w:cs="Times New Roman"/>
          <w:bCs/>
          <w:color w:val="auto"/>
          <w:szCs w:val="28"/>
          <w:highlight w:val="none"/>
        </w:rPr>
        <w:t>元）。</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both"/>
        <w:textAlignment w:val="auto"/>
        <w:outlineLvl w:val="9"/>
        <w:rPr>
          <w:rFonts w:hint="default" w:ascii="Times New Roman" w:hAnsi="Times New Roman" w:eastAsia="新宋体" w:cs="Times New Roman"/>
          <w:bCs/>
          <w:color w:val="auto"/>
          <w:szCs w:val="28"/>
          <w:highlight w:val="none"/>
        </w:rPr>
      </w:pPr>
      <w:r>
        <w:rPr>
          <w:rFonts w:hint="eastAsia" w:ascii="Times New Roman" w:hAnsi="Times New Roman" w:eastAsia="新宋体" w:cs="Times New Roman"/>
          <w:bCs/>
          <w:color w:val="auto"/>
          <w:szCs w:val="28"/>
          <w:highlight w:val="none"/>
          <w:lang w:val="en-US" w:eastAsia="zh-CN"/>
        </w:rPr>
        <w:t>2、</w:t>
      </w:r>
      <w:r>
        <w:rPr>
          <w:rFonts w:hint="default" w:ascii="Times New Roman" w:hAnsi="Times New Roman" w:eastAsia="新宋体" w:cs="Times New Roman"/>
          <w:bCs/>
          <w:color w:val="auto"/>
          <w:szCs w:val="28"/>
          <w:highlight w:val="none"/>
        </w:rPr>
        <w:t>如果</w:t>
      </w:r>
      <w:r>
        <w:rPr>
          <w:rFonts w:hint="eastAsia" w:ascii="Times New Roman" w:hAnsi="Times New Roman" w:eastAsia="新宋体" w:cs="Times New Roman"/>
          <w:bCs/>
          <w:color w:val="auto"/>
          <w:szCs w:val="28"/>
          <w:highlight w:val="none"/>
          <w:lang w:eastAsia="zh-CN"/>
        </w:rPr>
        <w:t>我方</w:t>
      </w:r>
      <w:r>
        <w:rPr>
          <w:rFonts w:hint="default" w:ascii="Times New Roman" w:hAnsi="Times New Roman" w:eastAsia="新宋体" w:cs="Times New Roman"/>
          <w:bCs/>
          <w:color w:val="auto"/>
          <w:szCs w:val="28"/>
          <w:highlight w:val="none"/>
        </w:rPr>
        <w:t>中标，我</w:t>
      </w:r>
      <w:r>
        <w:rPr>
          <w:rFonts w:hint="eastAsia" w:ascii="Times New Roman" w:hAnsi="Times New Roman" w:eastAsia="新宋体" w:cs="Times New Roman"/>
          <w:bCs/>
          <w:color w:val="auto"/>
          <w:szCs w:val="28"/>
          <w:highlight w:val="none"/>
          <w:lang w:eastAsia="zh-CN"/>
        </w:rPr>
        <w:t>方</w:t>
      </w:r>
      <w:r>
        <w:rPr>
          <w:rFonts w:hint="default" w:ascii="Times New Roman" w:hAnsi="Times New Roman" w:eastAsia="新宋体" w:cs="Times New Roman"/>
          <w:bCs/>
          <w:color w:val="auto"/>
          <w:szCs w:val="28"/>
          <w:highlight w:val="none"/>
        </w:rPr>
        <w:t>根据招标文件的规定，履行合同的责任和义务；</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jc w:val="both"/>
        <w:textAlignment w:val="auto"/>
        <w:outlineLvl w:val="9"/>
        <w:rPr>
          <w:rFonts w:hint="default" w:ascii="Times New Roman" w:hAnsi="Times New Roman" w:eastAsia="新宋体" w:cs="Times New Roman"/>
          <w:bCs/>
          <w:color w:val="auto"/>
          <w:szCs w:val="28"/>
          <w:highlight w:val="none"/>
        </w:rPr>
      </w:pPr>
      <w:r>
        <w:rPr>
          <w:rFonts w:hint="eastAsia" w:ascii="Times New Roman" w:hAnsi="Times New Roman" w:eastAsia="新宋体" w:cs="Times New Roman"/>
          <w:bCs/>
          <w:color w:val="auto"/>
          <w:szCs w:val="28"/>
          <w:highlight w:val="none"/>
          <w:lang w:val="en-US" w:eastAsia="zh-CN"/>
        </w:rPr>
        <w:t>3</w:t>
      </w:r>
      <w:r>
        <w:rPr>
          <w:rFonts w:hint="default" w:ascii="Times New Roman" w:hAnsi="Times New Roman" w:eastAsia="新宋体" w:cs="Times New Roman"/>
          <w:bCs/>
          <w:color w:val="auto"/>
          <w:szCs w:val="28"/>
          <w:highlight w:val="none"/>
        </w:rPr>
        <w:t>、我方已仔细阅读了招标文件的全部内容</w:t>
      </w:r>
      <w:r>
        <w:rPr>
          <w:rFonts w:hint="eastAsia" w:ascii="Times New Roman" w:hAnsi="Times New Roman" w:eastAsia="新宋体" w:cs="Times New Roman"/>
          <w:bCs/>
          <w:color w:val="auto"/>
          <w:szCs w:val="28"/>
          <w:highlight w:val="none"/>
          <w:lang w:eastAsia="zh-CN"/>
        </w:rPr>
        <w:t>（含修改部分，如有的话）</w:t>
      </w:r>
      <w:r>
        <w:rPr>
          <w:rFonts w:hint="default" w:ascii="Times New Roman" w:hAnsi="Times New Roman" w:eastAsia="新宋体" w:cs="Times New Roman"/>
          <w:bCs/>
          <w:color w:val="auto"/>
          <w:szCs w:val="28"/>
          <w:highlight w:val="none"/>
        </w:rPr>
        <w:t>，完全理解并放弃提出含糊不清或易形成歧义的表述和资料</w:t>
      </w:r>
      <w:r>
        <w:rPr>
          <w:rFonts w:hint="eastAsia" w:ascii="Times New Roman" w:hAnsi="Times New Roman" w:eastAsia="新宋体" w:cs="Times New Roman"/>
          <w:bCs/>
          <w:color w:val="auto"/>
          <w:szCs w:val="28"/>
          <w:highlight w:val="none"/>
          <w:lang w:eastAsia="zh-CN"/>
        </w:rPr>
        <w:t>，</w:t>
      </w:r>
      <w:r>
        <w:rPr>
          <w:rFonts w:hint="default" w:ascii="Times New Roman" w:hAnsi="Times New Roman" w:eastAsia="新宋体" w:cs="Times New Roman"/>
          <w:bCs/>
          <w:color w:val="auto"/>
          <w:szCs w:val="28"/>
          <w:highlight w:val="none"/>
        </w:rPr>
        <w:t>同意和放弃对招标文件不明或误解而询问、质疑和投诉的权利。</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default" w:ascii="Times New Roman" w:hAnsi="Times New Roman" w:eastAsia="新宋体" w:cs="Times New Roman"/>
          <w:bCs/>
          <w:color w:val="auto"/>
          <w:szCs w:val="28"/>
          <w:highlight w:val="none"/>
        </w:rPr>
      </w:pPr>
      <w:r>
        <w:rPr>
          <w:rFonts w:hint="default" w:ascii="Times New Roman" w:hAnsi="Times New Roman" w:eastAsia="新宋体" w:cs="Times New Roman"/>
          <w:bCs/>
          <w:color w:val="auto"/>
          <w:szCs w:val="28"/>
          <w:highlight w:val="none"/>
          <w:lang w:val="en-US" w:eastAsia="zh-CN"/>
        </w:rPr>
        <w:t xml:space="preserve">    </w:t>
      </w:r>
      <w:r>
        <w:rPr>
          <w:rFonts w:hint="eastAsia" w:ascii="Times New Roman" w:hAnsi="Times New Roman" w:eastAsia="新宋体" w:cs="Times New Roman"/>
          <w:bCs/>
          <w:color w:val="auto"/>
          <w:szCs w:val="28"/>
          <w:highlight w:val="none"/>
          <w:lang w:val="en-US" w:eastAsia="zh-CN"/>
        </w:rPr>
        <w:t>4</w:t>
      </w:r>
      <w:r>
        <w:rPr>
          <w:rFonts w:hint="default" w:ascii="Times New Roman" w:hAnsi="Times New Roman" w:eastAsia="新宋体" w:cs="Times New Roman"/>
          <w:bCs/>
          <w:color w:val="auto"/>
          <w:szCs w:val="28"/>
          <w:highlight w:val="none"/>
        </w:rPr>
        <w:t>、开标后在规定的投标有效期内撤回投标，我们愿接受政府采购的有关处罚决定。</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both"/>
        <w:textAlignment w:val="auto"/>
        <w:outlineLvl w:val="9"/>
        <w:rPr>
          <w:rFonts w:hint="default" w:ascii="Times New Roman" w:hAnsi="Times New Roman" w:eastAsia="新宋体" w:cs="Times New Roman"/>
          <w:bCs/>
          <w:color w:val="auto"/>
          <w:szCs w:val="28"/>
          <w:highlight w:val="none"/>
        </w:rPr>
      </w:pPr>
      <w:r>
        <w:rPr>
          <w:rFonts w:hint="eastAsia" w:ascii="Times New Roman" w:hAnsi="Times New Roman" w:eastAsia="新宋体" w:cs="Times New Roman"/>
          <w:bCs/>
          <w:color w:val="auto"/>
          <w:szCs w:val="28"/>
          <w:highlight w:val="none"/>
          <w:lang w:val="en-US" w:eastAsia="zh-CN"/>
        </w:rPr>
        <w:t>5</w:t>
      </w:r>
      <w:r>
        <w:rPr>
          <w:rFonts w:hint="default" w:ascii="Times New Roman" w:hAnsi="Times New Roman" w:eastAsia="新宋体" w:cs="Times New Roman"/>
          <w:bCs/>
          <w:color w:val="auto"/>
          <w:szCs w:val="28"/>
          <w:highlight w:val="none"/>
        </w:rPr>
        <w:t>、同意向贵方提供可能要求的，与本次投标有关的任何证据或资料，并保证我方已提供和将要提供的文件资料是真实、准确的</w:t>
      </w:r>
      <w:r>
        <w:rPr>
          <w:rFonts w:hint="eastAsia" w:ascii="Times New Roman" w:hAnsi="Times New Roman" w:eastAsia="新宋体" w:cs="Times New Roman"/>
          <w:bCs/>
          <w:color w:val="auto"/>
          <w:szCs w:val="28"/>
          <w:highlight w:val="none"/>
          <w:lang w:eastAsia="zh-CN"/>
        </w:rPr>
        <w:t>，</w:t>
      </w:r>
      <w:r>
        <w:rPr>
          <w:rFonts w:hint="default" w:ascii="Times New Roman" w:hAnsi="Times New Roman" w:eastAsia="新宋体" w:cs="Times New Roman"/>
          <w:bCs/>
          <w:color w:val="auto"/>
          <w:szCs w:val="28"/>
          <w:highlight w:val="none"/>
        </w:rPr>
        <w:t>否则，愿承担《中华人民共和国政府采购法》第七十七条规定的法律责任。我们完全理解最低投标报价不作为中标的唯一条件，且尊重评标委员会的评标结论和定标结果。</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default" w:ascii="Times New Roman" w:hAnsi="Times New Roman" w:eastAsia="新宋体" w:cs="Times New Roman"/>
          <w:bCs/>
          <w:color w:val="auto"/>
          <w:szCs w:val="28"/>
          <w:highlight w:val="none"/>
        </w:rPr>
      </w:pPr>
      <w:r>
        <w:rPr>
          <w:rFonts w:hint="default" w:ascii="Times New Roman" w:hAnsi="Times New Roman" w:eastAsia="新宋体" w:cs="Times New Roman"/>
          <w:bCs/>
          <w:color w:val="auto"/>
          <w:szCs w:val="28"/>
          <w:highlight w:val="none"/>
          <w:lang w:val="en-US" w:eastAsia="zh-CN"/>
        </w:rPr>
        <w:t xml:space="preserve">   </w:t>
      </w:r>
      <w:r>
        <w:rPr>
          <w:rFonts w:hint="eastAsia" w:ascii="Times New Roman" w:hAnsi="Times New Roman" w:eastAsia="新宋体" w:cs="Times New Roman"/>
          <w:bCs/>
          <w:color w:val="auto"/>
          <w:szCs w:val="28"/>
          <w:highlight w:val="none"/>
          <w:lang w:val="en-US" w:eastAsia="zh-CN"/>
        </w:rPr>
        <w:t xml:space="preserve"> 6</w:t>
      </w:r>
      <w:r>
        <w:rPr>
          <w:rFonts w:hint="default" w:ascii="Times New Roman" w:hAnsi="Times New Roman" w:eastAsia="新宋体" w:cs="Times New Roman"/>
          <w:bCs/>
          <w:color w:val="auto"/>
          <w:szCs w:val="28"/>
          <w:highlight w:val="none"/>
        </w:rPr>
        <w:t>、我方的投标文件</w:t>
      </w:r>
      <w:r>
        <w:rPr>
          <w:rFonts w:hint="eastAsia" w:ascii="Times New Roman" w:hAnsi="Times New Roman" w:eastAsia="新宋体" w:cs="Times New Roman"/>
          <w:bCs/>
          <w:color w:val="auto"/>
          <w:szCs w:val="28"/>
          <w:highlight w:val="none"/>
          <w:lang w:eastAsia="zh-CN"/>
        </w:rPr>
        <w:t>在自</w:t>
      </w:r>
      <w:r>
        <w:rPr>
          <w:rFonts w:hint="default" w:ascii="Times New Roman" w:hAnsi="Times New Roman" w:eastAsia="新宋体" w:cs="Times New Roman"/>
          <w:bCs/>
          <w:color w:val="auto"/>
          <w:szCs w:val="28"/>
          <w:highlight w:val="none"/>
        </w:rPr>
        <w:t>开标</w:t>
      </w:r>
      <w:r>
        <w:rPr>
          <w:rFonts w:hint="eastAsia" w:ascii="Times New Roman" w:hAnsi="Times New Roman" w:eastAsia="新宋体" w:cs="Times New Roman"/>
          <w:bCs/>
          <w:color w:val="auto"/>
          <w:szCs w:val="28"/>
          <w:highlight w:val="none"/>
          <w:lang w:eastAsia="zh-CN"/>
        </w:rPr>
        <w:t>之日起</w:t>
      </w:r>
      <w:r>
        <w:rPr>
          <w:rFonts w:hint="default" w:ascii="Times New Roman" w:hAnsi="Times New Roman" w:eastAsia="新宋体" w:cs="Times New Roman"/>
          <w:bCs/>
          <w:color w:val="auto"/>
          <w:szCs w:val="28"/>
          <w:highlight w:val="none"/>
        </w:rPr>
        <w:t>有效期为90个日历天，若我方中标，投标文件有效期延长至合同执行完毕。</w:t>
      </w:r>
    </w:p>
    <w:p>
      <w:pPr>
        <w:pStyle w:val="2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0"/>
        <w:jc w:val="both"/>
        <w:textAlignment w:val="auto"/>
        <w:outlineLvl w:val="9"/>
        <w:rPr>
          <w:rFonts w:hint="default" w:ascii="Times New Roman" w:hAnsi="Times New Roman" w:eastAsia="新宋体" w:cs="Times New Roman"/>
          <w:bCs/>
          <w:color w:val="auto"/>
          <w:szCs w:val="28"/>
          <w:highlight w:val="none"/>
        </w:rPr>
      </w:pPr>
      <w:r>
        <w:rPr>
          <w:rFonts w:hint="eastAsia" w:ascii="Times New Roman" w:hAnsi="Times New Roman" w:eastAsia="新宋体" w:cs="Times New Roman"/>
          <w:bCs/>
          <w:color w:val="auto"/>
          <w:szCs w:val="28"/>
          <w:highlight w:val="none"/>
          <w:lang w:val="en-US" w:eastAsia="zh-CN"/>
        </w:rPr>
        <w:t>7、</w:t>
      </w:r>
      <w:r>
        <w:rPr>
          <w:rFonts w:hint="default" w:ascii="Times New Roman" w:hAnsi="Times New Roman" w:eastAsia="新宋体" w:cs="Times New Roman"/>
          <w:bCs/>
          <w:color w:val="auto"/>
          <w:szCs w:val="28"/>
          <w:highlight w:val="none"/>
        </w:rPr>
        <w:t>有关本项目的所有函电，请按下列地址联系：</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eastAsia="新宋体" w:cs="Times New Roman"/>
          <w:bCs/>
          <w:color w:val="auto"/>
          <w:szCs w:val="28"/>
          <w:highlight w:val="none"/>
        </w:rPr>
      </w:pP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jc w:val="both"/>
        <w:textAlignment w:val="auto"/>
        <w:outlineLvl w:val="9"/>
        <w:rPr>
          <w:rFonts w:hint="default" w:ascii="Times New Roman" w:hAnsi="Times New Roman" w:eastAsia="新宋体" w:cs="Times New Roman"/>
          <w:bCs/>
          <w:color w:val="auto"/>
          <w:szCs w:val="28"/>
          <w:highlight w:val="none"/>
        </w:rPr>
      </w:pPr>
      <w:r>
        <w:rPr>
          <w:rFonts w:hint="default" w:ascii="Times New Roman" w:hAnsi="Times New Roman" w:eastAsia="新宋体" w:cs="Times New Roman"/>
          <w:bCs/>
          <w:color w:val="auto"/>
          <w:szCs w:val="28"/>
          <w:highlight w:val="none"/>
        </w:rPr>
        <w:t xml:space="preserve">                        </w:t>
      </w: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投标人名称：</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r>
        <w:rPr>
          <w:rFonts w:hint="default" w:ascii="Times New Roman" w:hAnsi="Times New Roman" w:eastAsia="新宋体" w:cs="Times New Roman"/>
          <w:bCs/>
          <w:color w:val="auto"/>
          <w:szCs w:val="28"/>
          <w:highlight w:val="none"/>
        </w:rPr>
        <w:t>（盖章）</w:t>
      </w: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2520" w:firstLineChars="1200"/>
        <w:jc w:val="both"/>
        <w:textAlignment w:val="auto"/>
        <w:outlineLvl w:val="9"/>
        <w:rPr>
          <w:rFonts w:hint="default" w:ascii="Times New Roman" w:hAnsi="Times New Roman" w:eastAsia="新宋体" w:cs="Times New Roman"/>
          <w:bCs/>
          <w:color w:val="auto"/>
          <w:szCs w:val="28"/>
          <w:highlight w:val="none"/>
          <w:u w:val="single"/>
        </w:rPr>
      </w:pP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法定代表人或授权代表（</w:t>
      </w:r>
      <w:r>
        <w:rPr>
          <w:rFonts w:hint="eastAsia" w:ascii="Times New Roman" w:hAnsi="Times New Roman" w:eastAsia="新宋体" w:cs="Times New Roman"/>
          <w:bCs/>
          <w:color w:val="auto"/>
          <w:szCs w:val="28"/>
          <w:highlight w:val="none"/>
          <w:lang w:eastAsia="zh-CN"/>
        </w:rPr>
        <w:t>盖章或</w:t>
      </w:r>
      <w:r>
        <w:rPr>
          <w:rFonts w:hint="default" w:ascii="Times New Roman" w:hAnsi="Times New Roman" w:eastAsia="新宋体" w:cs="Times New Roman"/>
          <w:bCs/>
          <w:color w:val="auto"/>
          <w:szCs w:val="28"/>
          <w:highlight w:val="none"/>
        </w:rPr>
        <w:t>签字）：</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2520" w:firstLineChars="1200"/>
        <w:jc w:val="both"/>
        <w:textAlignment w:val="auto"/>
        <w:outlineLvl w:val="9"/>
        <w:rPr>
          <w:rFonts w:hint="default" w:ascii="Times New Roman" w:hAnsi="Times New Roman" w:eastAsia="新宋体" w:cs="Times New Roman"/>
          <w:bCs/>
          <w:color w:val="auto"/>
          <w:szCs w:val="28"/>
          <w:highlight w:val="none"/>
          <w:u w:val="single"/>
        </w:rPr>
      </w:pP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通讯地址：</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2520" w:firstLineChars="1200"/>
        <w:jc w:val="both"/>
        <w:textAlignment w:val="auto"/>
        <w:outlineLvl w:val="9"/>
        <w:rPr>
          <w:rFonts w:hint="default" w:ascii="Times New Roman" w:hAnsi="Times New Roman" w:eastAsia="新宋体" w:cs="Times New Roman"/>
          <w:bCs/>
          <w:color w:val="auto"/>
          <w:szCs w:val="28"/>
          <w:highlight w:val="none"/>
          <w:u w:val="single"/>
        </w:rPr>
      </w:pP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联系电话：</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2520" w:firstLineChars="1200"/>
        <w:jc w:val="both"/>
        <w:textAlignment w:val="auto"/>
        <w:outlineLvl w:val="9"/>
        <w:rPr>
          <w:rFonts w:hint="default" w:ascii="Times New Roman" w:hAnsi="Times New Roman" w:eastAsia="新宋体" w:cs="Times New Roman"/>
          <w:bCs/>
          <w:color w:val="auto"/>
          <w:szCs w:val="28"/>
          <w:highlight w:val="none"/>
          <w:u w:val="single"/>
        </w:rPr>
      </w:pP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传    真：</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2520" w:firstLineChars="1200"/>
        <w:jc w:val="both"/>
        <w:textAlignment w:val="auto"/>
        <w:outlineLvl w:val="9"/>
        <w:rPr>
          <w:rFonts w:hint="default" w:ascii="Times New Roman" w:hAnsi="Times New Roman" w:eastAsia="新宋体" w:cs="Times New Roman"/>
          <w:bCs/>
          <w:color w:val="auto"/>
          <w:szCs w:val="28"/>
          <w:highlight w:val="none"/>
          <w:u w:val="single"/>
        </w:rPr>
      </w:pP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电子邮件：</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2520" w:firstLineChars="1200"/>
        <w:jc w:val="both"/>
        <w:textAlignment w:val="auto"/>
        <w:outlineLvl w:val="9"/>
        <w:rPr>
          <w:rFonts w:hint="default" w:ascii="Times New Roman" w:hAnsi="Times New Roman" w:eastAsia="新宋体" w:cs="Times New Roman"/>
          <w:bCs/>
          <w:color w:val="auto"/>
          <w:szCs w:val="28"/>
          <w:highlight w:val="none"/>
          <w:u w:val="single"/>
        </w:rPr>
      </w:pP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开户银行</w:t>
      </w:r>
      <w:r>
        <w:rPr>
          <w:rFonts w:hint="eastAsia" w:ascii="Times New Roman" w:hAnsi="Times New Roman" w:eastAsia="新宋体" w:cs="Times New Roman"/>
          <w:bCs/>
          <w:color w:val="auto"/>
          <w:szCs w:val="28"/>
          <w:highlight w:val="none"/>
          <w:lang w:eastAsia="zh-CN"/>
        </w:rPr>
        <w:t>：</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2520" w:firstLineChars="1200"/>
        <w:jc w:val="both"/>
        <w:textAlignment w:val="auto"/>
        <w:outlineLvl w:val="9"/>
        <w:rPr>
          <w:rFonts w:hint="default" w:ascii="Times New Roman" w:hAnsi="Times New Roman" w:eastAsia="新宋体" w:cs="Times New Roman"/>
          <w:bCs/>
          <w:color w:val="auto"/>
          <w:szCs w:val="28"/>
          <w:highlight w:val="none"/>
          <w:u w:val="single"/>
        </w:rPr>
      </w:pP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帐    号：</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p>
    <w:p>
      <w:pPr>
        <w:pStyle w:val="21"/>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2520" w:firstLineChars="1200"/>
        <w:jc w:val="both"/>
        <w:textAlignment w:val="auto"/>
        <w:outlineLvl w:val="9"/>
        <w:rPr>
          <w:rFonts w:hint="eastAsia" w:ascii="宋体" w:hAnsi="宋体" w:cs="宋体"/>
          <w:b/>
          <w:bCs/>
          <w:color w:val="000000"/>
          <w:sz w:val="36"/>
          <w:szCs w:val="36"/>
          <w:highlight w:val="none"/>
        </w:rPr>
      </w:pPr>
      <w:r>
        <w:rPr>
          <w:rFonts w:hint="eastAsia" w:ascii="Times New Roman" w:hAnsi="Times New Roman" w:eastAsia="新宋体" w:cs="Times New Roman"/>
          <w:bCs/>
          <w:color w:val="auto"/>
          <w:szCs w:val="28"/>
          <w:highlight w:val="none"/>
          <w:lang w:val="en-US" w:eastAsia="zh-CN"/>
        </w:rPr>
        <w:t xml:space="preserve">                      </w:t>
      </w:r>
      <w:r>
        <w:rPr>
          <w:rFonts w:hint="default" w:ascii="Times New Roman" w:hAnsi="Times New Roman" w:eastAsia="新宋体" w:cs="Times New Roman"/>
          <w:bCs/>
          <w:color w:val="auto"/>
          <w:szCs w:val="28"/>
          <w:highlight w:val="none"/>
        </w:rPr>
        <w:t>日    期：</w:t>
      </w:r>
      <w:r>
        <w:rPr>
          <w:rFonts w:hint="default" w:ascii="Times New Roman" w:hAnsi="Times New Roman" w:eastAsia="新宋体" w:cs="Times New Roman"/>
          <w:bCs/>
          <w:color w:val="auto"/>
          <w:szCs w:val="28"/>
          <w:highlight w:val="none"/>
          <w:u w:val="single"/>
        </w:rPr>
        <w:t xml:space="preserve">                    </w:t>
      </w:r>
      <w:r>
        <w:rPr>
          <w:rFonts w:hint="eastAsia" w:ascii="Times New Roman" w:hAnsi="Times New Roman" w:eastAsia="新宋体" w:cs="Times New Roman"/>
          <w:bCs/>
          <w:color w:val="auto"/>
          <w:szCs w:val="28"/>
          <w:highlight w:val="none"/>
          <w:u w:val="single"/>
          <w:lang w:val="en-US" w:eastAsia="zh-CN"/>
        </w:rPr>
        <w:t xml:space="preserve">    </w:t>
      </w:r>
      <w:r>
        <w:rPr>
          <w:rFonts w:hint="default" w:ascii="Times New Roman" w:hAnsi="Times New Roman" w:eastAsia="新宋体" w:cs="Times New Roman"/>
          <w:bCs/>
          <w:color w:val="auto"/>
          <w:szCs w:val="28"/>
          <w:highlight w:val="none"/>
          <w:u w:val="single"/>
        </w:rPr>
        <w:t xml:space="preserve">        </w:t>
      </w:r>
    </w:p>
    <w:p>
      <w:pPr>
        <w:rPr>
          <w:rFonts w:hint="eastAsia" w:ascii="宋体" w:hAnsi="宋体" w:cs="宋体"/>
          <w:b/>
          <w:bCs/>
          <w:color w:val="000000"/>
          <w:sz w:val="36"/>
          <w:szCs w:val="36"/>
          <w:highlight w:val="none"/>
        </w:rPr>
      </w:pPr>
      <w:r>
        <w:rPr>
          <w:rFonts w:hint="eastAsia" w:ascii="宋体" w:hAnsi="宋体" w:cs="宋体"/>
          <w:b/>
          <w:bCs/>
          <w:color w:val="000000"/>
          <w:sz w:val="36"/>
          <w:szCs w:val="36"/>
          <w:highlight w:val="none"/>
        </w:rPr>
        <w:br w:type="page"/>
      </w:r>
    </w:p>
    <w:p>
      <w:pPr>
        <w:numPr>
          <w:ilvl w:val="0"/>
          <w:numId w:val="19"/>
        </w:numPr>
        <w:spacing w:line="600" w:lineRule="exact"/>
        <w:jc w:val="center"/>
        <w:rPr>
          <w:rFonts w:hint="eastAsia" w:ascii="宋体" w:hAnsi="宋体" w:cs="宋体"/>
          <w:b/>
          <w:bCs/>
          <w:color w:val="000000"/>
          <w:sz w:val="36"/>
          <w:szCs w:val="36"/>
          <w:highlight w:val="none"/>
          <w:lang w:eastAsia="zh-CN"/>
        </w:rPr>
      </w:pPr>
      <w:r>
        <w:rPr>
          <w:rFonts w:hint="eastAsia" w:ascii="宋体" w:hAnsi="宋体" w:cs="宋体"/>
          <w:b/>
          <w:bCs/>
          <w:color w:val="000000"/>
          <w:sz w:val="36"/>
          <w:szCs w:val="36"/>
          <w:highlight w:val="none"/>
          <w:lang w:eastAsia="zh-CN"/>
        </w:rPr>
        <w:t>开标一览表</w:t>
      </w:r>
    </w:p>
    <w:p>
      <w:pPr>
        <w:numPr>
          <w:ilvl w:val="0"/>
          <w:numId w:val="0"/>
        </w:numPr>
        <w:spacing w:line="600" w:lineRule="exact"/>
        <w:jc w:val="both"/>
        <w:rPr>
          <w:rFonts w:hint="eastAsia" w:ascii="宋体" w:hAnsi="宋体"/>
          <w:b w:val="0"/>
          <w:bCs/>
          <w:color w:val="auto"/>
          <w:szCs w:val="21"/>
          <w:u w:val="single"/>
          <w:lang w:val="en-US" w:eastAsia="zh-CN"/>
        </w:rPr>
      </w:pPr>
      <w:r>
        <w:rPr>
          <w:rFonts w:hint="default" w:ascii="Times New Roman" w:hAnsi="Times New Roman" w:eastAsia="宋体" w:cs="Times New Roman"/>
          <w:b w:val="0"/>
          <w:bCs/>
          <w:color w:val="auto"/>
          <w:sz w:val="21"/>
          <w:szCs w:val="21"/>
        </w:rPr>
        <w:t>项目编号</w:t>
      </w:r>
      <w:r>
        <w:rPr>
          <w:rFonts w:hint="eastAsia" w:cs="Times New Roman"/>
          <w:b w:val="0"/>
          <w:bCs/>
          <w:color w:val="auto"/>
          <w:sz w:val="21"/>
          <w:szCs w:val="21"/>
          <w:lang w:eastAsia="zh-CN"/>
        </w:rPr>
        <w:t>：</w:t>
      </w:r>
      <w:r>
        <w:rPr>
          <w:rFonts w:hint="eastAsia" w:cs="Times New Roman"/>
          <w:b w:val="0"/>
          <w:bCs/>
          <w:color w:val="auto"/>
          <w:sz w:val="21"/>
          <w:szCs w:val="21"/>
          <w:u w:val="single"/>
          <w:lang w:val="en-US" w:eastAsia="zh-CN"/>
        </w:rPr>
        <w:t xml:space="preserve">                         </w:t>
      </w:r>
      <w:r>
        <w:rPr>
          <w:rFonts w:hint="eastAsia" w:cs="Times New Roman"/>
          <w:b w:val="0"/>
          <w:bCs/>
          <w:color w:val="auto"/>
          <w:sz w:val="21"/>
          <w:szCs w:val="21"/>
          <w:u w:val="none"/>
          <w:lang w:val="en-US" w:eastAsia="zh-CN"/>
        </w:rPr>
        <w:t xml:space="preserve">               项目</w:t>
      </w:r>
      <w:r>
        <w:rPr>
          <w:rFonts w:hint="eastAsia" w:ascii="宋体" w:hAnsi="宋体"/>
          <w:b w:val="0"/>
          <w:bCs/>
          <w:color w:val="auto"/>
          <w:szCs w:val="21"/>
          <w:lang w:eastAsia="zh-CN"/>
        </w:rPr>
        <w:t>名称：</w:t>
      </w:r>
      <w:r>
        <w:rPr>
          <w:rFonts w:hint="eastAsia" w:ascii="宋体" w:hAnsi="宋体"/>
          <w:b w:val="0"/>
          <w:bCs/>
          <w:color w:val="auto"/>
          <w:szCs w:val="21"/>
          <w:u w:val="single"/>
        </w:rPr>
        <w:t xml:space="preserve"> </w:t>
      </w:r>
      <w:r>
        <w:rPr>
          <w:rFonts w:hint="eastAsia" w:ascii="宋体" w:hAnsi="宋体"/>
          <w:b w:val="0"/>
          <w:bCs/>
          <w:color w:val="auto"/>
          <w:szCs w:val="21"/>
          <w:u w:val="single"/>
          <w:lang w:val="en-US" w:eastAsia="zh-CN"/>
        </w:rPr>
        <w:t xml:space="preserve">                         </w:t>
      </w:r>
    </w:p>
    <w:tbl>
      <w:tblPr>
        <w:tblStyle w:val="38"/>
        <w:tblW w:w="9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658"/>
        <w:gridCol w:w="1586"/>
        <w:gridCol w:w="1649"/>
        <w:gridCol w:w="1220"/>
        <w:gridCol w:w="1264"/>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pStyle w:val="36"/>
              <w:ind w:left="0" w:leftChars="0" w:firstLine="0" w:firstLineChars="0"/>
              <w:jc w:val="center"/>
              <w:rPr>
                <w:rFonts w:hint="eastAsia" w:eastAsia="宋体"/>
                <w:b/>
                <w:bCs/>
                <w:vertAlign w:val="baseline"/>
                <w:lang w:val="en-US" w:eastAsia="zh-CN"/>
              </w:rPr>
            </w:pPr>
            <w:r>
              <w:rPr>
                <w:rFonts w:hint="eastAsia"/>
                <w:b/>
                <w:bCs/>
                <w:vertAlign w:val="baseline"/>
                <w:lang w:val="en-US" w:eastAsia="zh-CN"/>
              </w:rPr>
              <w:t>序号</w:t>
            </w:r>
          </w:p>
        </w:tc>
        <w:tc>
          <w:tcPr>
            <w:tcW w:w="2658" w:type="dxa"/>
            <w:vAlign w:val="center"/>
          </w:tcPr>
          <w:p>
            <w:pPr>
              <w:pStyle w:val="36"/>
              <w:ind w:left="0" w:leftChars="0" w:firstLine="0" w:firstLineChars="0"/>
              <w:jc w:val="center"/>
              <w:rPr>
                <w:rFonts w:hint="default" w:eastAsia="宋体"/>
                <w:b/>
                <w:bCs/>
                <w:vertAlign w:val="baseline"/>
                <w:lang w:val="en-US" w:eastAsia="zh-CN"/>
              </w:rPr>
            </w:pPr>
            <w:r>
              <w:rPr>
                <w:rFonts w:hint="eastAsia"/>
                <w:b/>
                <w:bCs/>
                <w:vertAlign w:val="baseline"/>
                <w:lang w:val="en-US" w:eastAsia="zh-CN"/>
              </w:rPr>
              <w:t>学校名称</w:t>
            </w:r>
          </w:p>
        </w:tc>
        <w:tc>
          <w:tcPr>
            <w:tcW w:w="1586" w:type="dxa"/>
            <w:vAlign w:val="center"/>
          </w:tcPr>
          <w:p>
            <w:pPr>
              <w:pStyle w:val="36"/>
              <w:ind w:left="0" w:leftChars="0" w:firstLine="241" w:firstLineChars="100"/>
              <w:jc w:val="center"/>
              <w:rPr>
                <w:rFonts w:hint="default" w:eastAsia="宋体"/>
                <w:b/>
                <w:bCs/>
                <w:vertAlign w:val="baseline"/>
                <w:lang w:val="en-US" w:eastAsia="zh-CN"/>
              </w:rPr>
            </w:pPr>
            <w:r>
              <w:rPr>
                <w:rFonts w:hint="eastAsia"/>
                <w:b/>
                <w:bCs/>
                <w:vertAlign w:val="baseline"/>
                <w:lang w:val="en-US" w:eastAsia="zh-CN"/>
              </w:rPr>
              <w:t>投标报价（元）</w:t>
            </w:r>
          </w:p>
        </w:tc>
        <w:tc>
          <w:tcPr>
            <w:tcW w:w="1649" w:type="dxa"/>
            <w:vAlign w:val="center"/>
          </w:tcPr>
          <w:p>
            <w:pPr>
              <w:pStyle w:val="36"/>
              <w:ind w:left="0" w:leftChars="0" w:firstLine="241" w:firstLineChars="100"/>
              <w:jc w:val="center"/>
              <w:rPr>
                <w:rFonts w:hint="default"/>
                <w:b/>
                <w:bCs/>
                <w:vertAlign w:val="baseline"/>
                <w:lang w:val="en-US" w:eastAsia="zh-CN"/>
              </w:rPr>
            </w:pPr>
            <w:r>
              <w:rPr>
                <w:rFonts w:hint="eastAsia"/>
                <w:b/>
                <w:bCs/>
                <w:vertAlign w:val="baseline"/>
                <w:lang w:val="en-US" w:eastAsia="zh-CN"/>
              </w:rPr>
              <w:t>投标总价（元）</w:t>
            </w:r>
          </w:p>
        </w:tc>
        <w:tc>
          <w:tcPr>
            <w:tcW w:w="1220" w:type="dxa"/>
            <w:vAlign w:val="center"/>
          </w:tcPr>
          <w:p>
            <w:pPr>
              <w:spacing w:line="4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交货期</w:t>
            </w:r>
          </w:p>
          <w:p>
            <w:pPr>
              <w:spacing w:line="480" w:lineRule="exact"/>
              <w:jc w:val="center"/>
              <w:rPr>
                <w:rFonts w:hint="eastAsia"/>
                <w:b/>
                <w:bCs/>
                <w:vertAlign w:val="baseline"/>
              </w:rPr>
            </w:pPr>
            <w:r>
              <w:rPr>
                <w:rFonts w:hint="default" w:ascii="Times New Roman" w:hAnsi="Times New Roman" w:eastAsia="宋体" w:cs="Times New Roman"/>
                <w:b/>
                <w:bCs/>
                <w:color w:val="auto"/>
                <w:sz w:val="21"/>
                <w:szCs w:val="21"/>
              </w:rPr>
              <w:t>（日历</w:t>
            </w:r>
            <w:r>
              <w:rPr>
                <w:rFonts w:hint="eastAsia" w:cs="Times New Roman"/>
                <w:b/>
                <w:bCs/>
                <w:color w:val="auto"/>
                <w:sz w:val="21"/>
                <w:szCs w:val="21"/>
                <w:lang w:val="en-US" w:eastAsia="zh-CN"/>
              </w:rPr>
              <w:t>天</w:t>
            </w:r>
            <w:r>
              <w:rPr>
                <w:rFonts w:hint="default" w:ascii="Times New Roman" w:hAnsi="Times New Roman" w:eastAsia="宋体" w:cs="Times New Roman"/>
                <w:b/>
                <w:bCs/>
                <w:color w:val="auto"/>
                <w:sz w:val="21"/>
                <w:szCs w:val="21"/>
              </w:rPr>
              <w:t>）</w:t>
            </w:r>
          </w:p>
        </w:tc>
        <w:tc>
          <w:tcPr>
            <w:tcW w:w="1264" w:type="dxa"/>
            <w:vAlign w:val="center"/>
          </w:tcPr>
          <w:p>
            <w:pPr>
              <w:spacing w:line="4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质保期</w:t>
            </w:r>
          </w:p>
          <w:p>
            <w:pPr>
              <w:spacing w:line="480" w:lineRule="exact"/>
              <w:jc w:val="center"/>
              <w:rPr>
                <w:rFonts w:hint="eastAsia"/>
                <w:b/>
                <w:bCs/>
                <w:vertAlign w:val="baseline"/>
              </w:rPr>
            </w:pPr>
            <w:r>
              <w:rPr>
                <w:rFonts w:hint="eastAsia" w:cs="Times New Roman"/>
                <w:b/>
                <w:bCs/>
                <w:color w:val="auto"/>
                <w:sz w:val="21"/>
                <w:szCs w:val="21"/>
                <w:lang w:eastAsia="zh-CN"/>
              </w:rPr>
              <w:t>（</w:t>
            </w:r>
            <w:r>
              <w:rPr>
                <w:rFonts w:hint="eastAsia" w:cs="Times New Roman"/>
                <w:b/>
                <w:bCs/>
                <w:color w:val="auto"/>
                <w:sz w:val="21"/>
                <w:szCs w:val="21"/>
                <w:lang w:val="en-US" w:eastAsia="zh-CN"/>
              </w:rPr>
              <w:t>年</w:t>
            </w:r>
            <w:r>
              <w:rPr>
                <w:rFonts w:hint="eastAsia" w:cs="Times New Roman"/>
                <w:b/>
                <w:bCs/>
                <w:color w:val="auto"/>
                <w:sz w:val="21"/>
                <w:szCs w:val="21"/>
                <w:lang w:eastAsia="zh-CN"/>
              </w:rPr>
              <w:t>）</w:t>
            </w:r>
          </w:p>
        </w:tc>
        <w:tc>
          <w:tcPr>
            <w:tcW w:w="816" w:type="dxa"/>
            <w:vAlign w:val="center"/>
          </w:tcPr>
          <w:p>
            <w:pPr>
              <w:pStyle w:val="36"/>
              <w:ind w:left="0" w:leftChars="0" w:firstLine="0" w:firstLineChars="0"/>
              <w:jc w:val="center"/>
              <w:rPr>
                <w:rFonts w:hint="eastAsia" w:eastAsia="宋体"/>
                <w:b/>
                <w:bCs/>
                <w:vertAlign w:val="baseline"/>
                <w:lang w:val="en-US" w:eastAsia="zh-CN"/>
              </w:rPr>
            </w:pPr>
            <w:r>
              <w:rPr>
                <w:rFonts w:hint="eastAsia"/>
                <w:b/>
                <w:bCs/>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pStyle w:val="36"/>
              <w:spacing w:line="240" w:lineRule="auto"/>
              <w:ind w:left="0" w:leftChars="0" w:firstLine="240" w:firstLineChars="100"/>
              <w:jc w:val="both"/>
              <w:rPr>
                <w:rFonts w:hint="eastAsia" w:eastAsia="宋体"/>
                <w:vertAlign w:val="baseline"/>
                <w:lang w:val="en-US" w:eastAsia="zh-CN"/>
              </w:rPr>
            </w:pPr>
            <w:r>
              <w:rPr>
                <w:rFonts w:hint="eastAsia"/>
                <w:vertAlign w:val="baseline"/>
                <w:lang w:val="en-US" w:eastAsia="zh-CN"/>
              </w:rPr>
              <w:t>1</w:t>
            </w:r>
          </w:p>
        </w:tc>
        <w:tc>
          <w:tcPr>
            <w:tcW w:w="2658" w:type="dxa"/>
            <w:vAlign w:val="center"/>
          </w:tcPr>
          <w:p>
            <w:pPr>
              <w:pStyle w:val="36"/>
              <w:spacing w:line="240" w:lineRule="auto"/>
              <w:ind w:left="0" w:leftChars="0" w:firstLine="0" w:firstLineChars="0"/>
              <w:jc w:val="center"/>
              <w:rPr>
                <w:rFonts w:hint="eastAsia"/>
                <w:vertAlign w:val="baseline"/>
              </w:rPr>
            </w:pPr>
            <w:r>
              <w:rPr>
                <w:rFonts w:hint="eastAsia" w:ascii="Times New Roman" w:hAnsi="Times New Roman" w:eastAsia="宋体" w:cs="Times New Roman"/>
                <w:kern w:val="2"/>
                <w:sz w:val="21"/>
                <w:szCs w:val="24"/>
                <w:lang w:val="en-US" w:eastAsia="zh-CN" w:bidi="ar-SA"/>
              </w:rPr>
              <w:t>西安市长安区黄良街道湖村小学</w:t>
            </w:r>
          </w:p>
        </w:tc>
        <w:tc>
          <w:tcPr>
            <w:tcW w:w="1586" w:type="dxa"/>
            <w:vAlign w:val="center"/>
          </w:tcPr>
          <w:p>
            <w:pPr>
              <w:pStyle w:val="36"/>
              <w:jc w:val="center"/>
              <w:rPr>
                <w:rFonts w:hint="eastAsia"/>
                <w:vertAlign w:val="baseline"/>
              </w:rPr>
            </w:pPr>
          </w:p>
        </w:tc>
        <w:tc>
          <w:tcPr>
            <w:tcW w:w="1649" w:type="dxa"/>
            <w:vMerge w:val="restart"/>
            <w:vAlign w:val="center"/>
          </w:tcPr>
          <w:p>
            <w:pPr>
              <w:pStyle w:val="36"/>
              <w:spacing w:line="240" w:lineRule="auto"/>
              <w:ind w:firstLine="480" w:firstLineChars="200"/>
              <w:jc w:val="both"/>
              <w:rPr>
                <w:rFonts w:hint="eastAsia"/>
                <w:vertAlign w:val="baseline"/>
              </w:rPr>
            </w:pPr>
          </w:p>
        </w:tc>
        <w:tc>
          <w:tcPr>
            <w:tcW w:w="1220" w:type="dxa"/>
            <w:vMerge w:val="restart"/>
            <w:vAlign w:val="center"/>
          </w:tcPr>
          <w:p>
            <w:pPr>
              <w:pStyle w:val="36"/>
              <w:jc w:val="center"/>
              <w:rPr>
                <w:rFonts w:hint="eastAsia"/>
                <w:vertAlign w:val="baseline"/>
              </w:rPr>
            </w:pPr>
          </w:p>
        </w:tc>
        <w:tc>
          <w:tcPr>
            <w:tcW w:w="1264" w:type="dxa"/>
            <w:vMerge w:val="restart"/>
            <w:vAlign w:val="center"/>
          </w:tcPr>
          <w:p>
            <w:pPr>
              <w:pStyle w:val="36"/>
              <w:jc w:val="center"/>
              <w:rPr>
                <w:rFonts w:hint="eastAsia"/>
                <w:vertAlign w:val="baseline"/>
              </w:rPr>
            </w:pPr>
          </w:p>
        </w:tc>
        <w:tc>
          <w:tcPr>
            <w:tcW w:w="816" w:type="dxa"/>
            <w:vMerge w:val="restart"/>
            <w:vAlign w:val="center"/>
          </w:tcPr>
          <w:p>
            <w:pPr>
              <w:pStyle w:val="36"/>
              <w:jc w:val="cente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pStyle w:val="36"/>
              <w:spacing w:line="240" w:lineRule="auto"/>
              <w:ind w:left="0" w:leftChars="0" w:firstLine="240" w:firstLineChars="100"/>
              <w:jc w:val="both"/>
              <w:rPr>
                <w:rFonts w:hint="eastAsia"/>
                <w:vertAlign w:val="baseline"/>
              </w:rPr>
            </w:pPr>
            <w:r>
              <w:rPr>
                <w:rFonts w:hint="eastAsia"/>
                <w:vertAlign w:val="baseline"/>
                <w:lang w:val="en-US" w:eastAsia="zh-CN"/>
              </w:rPr>
              <w:t>2</w:t>
            </w:r>
          </w:p>
        </w:tc>
        <w:tc>
          <w:tcPr>
            <w:tcW w:w="2658" w:type="dxa"/>
            <w:vAlign w:val="center"/>
          </w:tcPr>
          <w:p>
            <w:pPr>
              <w:spacing w:line="240" w:lineRule="auto"/>
              <w:jc w:val="center"/>
              <w:rPr>
                <w:rFonts w:hint="eastAsia"/>
                <w:vertAlign w:val="baseline"/>
              </w:rPr>
            </w:pPr>
            <w:r>
              <w:rPr>
                <w:rFonts w:hint="eastAsia"/>
                <w:vertAlign w:val="baseline"/>
              </w:rPr>
              <w:t>西安市长安区太乙宫街道中心学校</w:t>
            </w:r>
          </w:p>
        </w:tc>
        <w:tc>
          <w:tcPr>
            <w:tcW w:w="1586" w:type="dxa"/>
            <w:vAlign w:val="center"/>
          </w:tcPr>
          <w:p>
            <w:pPr>
              <w:pStyle w:val="36"/>
              <w:jc w:val="center"/>
              <w:rPr>
                <w:rFonts w:hint="eastAsia"/>
                <w:vertAlign w:val="baseline"/>
              </w:rPr>
            </w:pPr>
          </w:p>
        </w:tc>
        <w:tc>
          <w:tcPr>
            <w:tcW w:w="1649" w:type="dxa"/>
            <w:vMerge w:val="continue"/>
            <w:vAlign w:val="center"/>
          </w:tcPr>
          <w:p>
            <w:pPr>
              <w:pStyle w:val="36"/>
              <w:spacing w:line="240" w:lineRule="auto"/>
              <w:ind w:firstLine="480" w:firstLineChars="200"/>
              <w:jc w:val="both"/>
              <w:rPr>
                <w:rFonts w:hint="eastAsia"/>
                <w:vertAlign w:val="baseline"/>
              </w:rPr>
            </w:pPr>
          </w:p>
        </w:tc>
        <w:tc>
          <w:tcPr>
            <w:tcW w:w="1220" w:type="dxa"/>
            <w:vMerge w:val="continue"/>
            <w:vAlign w:val="center"/>
          </w:tcPr>
          <w:p>
            <w:pPr>
              <w:pStyle w:val="36"/>
              <w:jc w:val="center"/>
              <w:rPr>
                <w:rFonts w:hint="eastAsia"/>
                <w:vertAlign w:val="baseline"/>
              </w:rPr>
            </w:pPr>
          </w:p>
        </w:tc>
        <w:tc>
          <w:tcPr>
            <w:tcW w:w="1264" w:type="dxa"/>
            <w:vMerge w:val="continue"/>
            <w:vAlign w:val="center"/>
          </w:tcPr>
          <w:p>
            <w:pPr>
              <w:pStyle w:val="36"/>
              <w:jc w:val="center"/>
              <w:rPr>
                <w:rFonts w:hint="eastAsia"/>
                <w:vertAlign w:val="baseline"/>
              </w:rPr>
            </w:pPr>
          </w:p>
        </w:tc>
        <w:tc>
          <w:tcPr>
            <w:tcW w:w="816" w:type="dxa"/>
            <w:vMerge w:val="continue"/>
            <w:vAlign w:val="center"/>
          </w:tcPr>
          <w:p>
            <w:pPr>
              <w:pStyle w:val="36"/>
              <w:jc w:val="cente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pStyle w:val="36"/>
              <w:spacing w:line="240" w:lineRule="auto"/>
              <w:ind w:left="0" w:leftChars="0" w:firstLine="240" w:firstLineChars="100"/>
              <w:jc w:val="both"/>
              <w:rPr>
                <w:rFonts w:hint="eastAsia"/>
                <w:vertAlign w:val="baseline"/>
              </w:rPr>
            </w:pPr>
            <w:r>
              <w:rPr>
                <w:rFonts w:hint="eastAsia"/>
                <w:vertAlign w:val="baseline"/>
                <w:lang w:val="en-US" w:eastAsia="zh-CN"/>
              </w:rPr>
              <w:t>3</w:t>
            </w:r>
          </w:p>
        </w:tc>
        <w:tc>
          <w:tcPr>
            <w:tcW w:w="2658" w:type="dxa"/>
            <w:vAlign w:val="center"/>
          </w:tcPr>
          <w:p>
            <w:pPr>
              <w:spacing w:line="240" w:lineRule="auto"/>
              <w:jc w:val="center"/>
              <w:rPr>
                <w:rFonts w:hint="eastAsia"/>
                <w:vertAlign w:val="baseline"/>
              </w:rPr>
            </w:pPr>
            <w:r>
              <w:rPr>
                <w:rFonts w:hint="eastAsia"/>
                <w:vertAlign w:val="baseline"/>
              </w:rPr>
              <w:t>西安市长安区杜曲街道樊村初级中学</w:t>
            </w:r>
          </w:p>
        </w:tc>
        <w:tc>
          <w:tcPr>
            <w:tcW w:w="1586" w:type="dxa"/>
            <w:vAlign w:val="center"/>
          </w:tcPr>
          <w:p>
            <w:pPr>
              <w:pStyle w:val="36"/>
              <w:jc w:val="center"/>
              <w:rPr>
                <w:rFonts w:hint="eastAsia"/>
                <w:vertAlign w:val="baseline"/>
              </w:rPr>
            </w:pPr>
          </w:p>
        </w:tc>
        <w:tc>
          <w:tcPr>
            <w:tcW w:w="1649" w:type="dxa"/>
            <w:vMerge w:val="continue"/>
            <w:vAlign w:val="center"/>
          </w:tcPr>
          <w:p>
            <w:pPr>
              <w:pStyle w:val="36"/>
              <w:spacing w:line="240" w:lineRule="auto"/>
              <w:ind w:firstLine="480" w:firstLineChars="200"/>
              <w:jc w:val="both"/>
              <w:rPr>
                <w:rFonts w:hint="eastAsia"/>
                <w:vertAlign w:val="baseline"/>
              </w:rPr>
            </w:pPr>
          </w:p>
        </w:tc>
        <w:tc>
          <w:tcPr>
            <w:tcW w:w="1220" w:type="dxa"/>
            <w:vMerge w:val="continue"/>
            <w:vAlign w:val="center"/>
          </w:tcPr>
          <w:p>
            <w:pPr>
              <w:pStyle w:val="36"/>
              <w:jc w:val="center"/>
              <w:rPr>
                <w:rFonts w:hint="eastAsia"/>
                <w:vertAlign w:val="baseline"/>
              </w:rPr>
            </w:pPr>
          </w:p>
        </w:tc>
        <w:tc>
          <w:tcPr>
            <w:tcW w:w="1264" w:type="dxa"/>
            <w:vMerge w:val="continue"/>
            <w:vAlign w:val="center"/>
          </w:tcPr>
          <w:p>
            <w:pPr>
              <w:pStyle w:val="36"/>
              <w:jc w:val="center"/>
              <w:rPr>
                <w:rFonts w:hint="eastAsia"/>
                <w:vertAlign w:val="baseline"/>
              </w:rPr>
            </w:pPr>
          </w:p>
        </w:tc>
        <w:tc>
          <w:tcPr>
            <w:tcW w:w="816" w:type="dxa"/>
            <w:vMerge w:val="continue"/>
            <w:vAlign w:val="center"/>
          </w:tcPr>
          <w:p>
            <w:pPr>
              <w:pStyle w:val="36"/>
              <w:jc w:val="cente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pStyle w:val="36"/>
              <w:spacing w:line="240" w:lineRule="auto"/>
              <w:ind w:left="0" w:leftChars="0" w:firstLine="240" w:firstLineChars="100"/>
              <w:jc w:val="both"/>
              <w:rPr>
                <w:rFonts w:hint="eastAsia"/>
                <w:vertAlign w:val="baseline"/>
              </w:rPr>
            </w:pPr>
            <w:r>
              <w:rPr>
                <w:rFonts w:hint="eastAsia"/>
                <w:vertAlign w:val="baseline"/>
                <w:lang w:val="en-US" w:eastAsia="zh-CN"/>
              </w:rPr>
              <w:t>4</w:t>
            </w:r>
          </w:p>
        </w:tc>
        <w:tc>
          <w:tcPr>
            <w:tcW w:w="2658" w:type="dxa"/>
            <w:vAlign w:val="center"/>
          </w:tcPr>
          <w:p>
            <w:pPr>
              <w:spacing w:line="240" w:lineRule="auto"/>
              <w:jc w:val="center"/>
              <w:rPr>
                <w:rFonts w:hint="eastAsia"/>
                <w:vertAlign w:val="baseline"/>
              </w:rPr>
            </w:pPr>
            <w:r>
              <w:rPr>
                <w:rFonts w:hint="eastAsia"/>
                <w:vertAlign w:val="baseline"/>
              </w:rPr>
              <w:t>西安市长安区第十一小学</w:t>
            </w:r>
          </w:p>
        </w:tc>
        <w:tc>
          <w:tcPr>
            <w:tcW w:w="1586" w:type="dxa"/>
            <w:vAlign w:val="center"/>
          </w:tcPr>
          <w:p>
            <w:pPr>
              <w:pStyle w:val="36"/>
              <w:jc w:val="center"/>
              <w:rPr>
                <w:rFonts w:hint="eastAsia"/>
                <w:vertAlign w:val="baseline"/>
              </w:rPr>
            </w:pPr>
          </w:p>
        </w:tc>
        <w:tc>
          <w:tcPr>
            <w:tcW w:w="1649" w:type="dxa"/>
            <w:vMerge w:val="continue"/>
            <w:vAlign w:val="center"/>
          </w:tcPr>
          <w:p>
            <w:pPr>
              <w:pStyle w:val="36"/>
              <w:spacing w:line="240" w:lineRule="auto"/>
              <w:ind w:firstLine="480" w:firstLineChars="200"/>
              <w:jc w:val="both"/>
              <w:rPr>
                <w:rFonts w:hint="eastAsia"/>
                <w:vertAlign w:val="baseline"/>
              </w:rPr>
            </w:pPr>
          </w:p>
        </w:tc>
        <w:tc>
          <w:tcPr>
            <w:tcW w:w="1220" w:type="dxa"/>
            <w:vMerge w:val="continue"/>
            <w:vAlign w:val="center"/>
          </w:tcPr>
          <w:p>
            <w:pPr>
              <w:pStyle w:val="36"/>
              <w:jc w:val="center"/>
              <w:rPr>
                <w:rFonts w:hint="eastAsia"/>
                <w:vertAlign w:val="baseline"/>
              </w:rPr>
            </w:pPr>
          </w:p>
        </w:tc>
        <w:tc>
          <w:tcPr>
            <w:tcW w:w="1264" w:type="dxa"/>
            <w:vMerge w:val="continue"/>
            <w:vAlign w:val="center"/>
          </w:tcPr>
          <w:p>
            <w:pPr>
              <w:pStyle w:val="36"/>
              <w:jc w:val="center"/>
              <w:rPr>
                <w:rFonts w:hint="eastAsia"/>
                <w:vertAlign w:val="baseline"/>
              </w:rPr>
            </w:pPr>
          </w:p>
        </w:tc>
        <w:tc>
          <w:tcPr>
            <w:tcW w:w="816" w:type="dxa"/>
            <w:vMerge w:val="continue"/>
            <w:vAlign w:val="center"/>
          </w:tcPr>
          <w:p>
            <w:pPr>
              <w:pStyle w:val="36"/>
              <w:jc w:val="cente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pPr>
              <w:pStyle w:val="36"/>
              <w:spacing w:line="240" w:lineRule="auto"/>
              <w:ind w:left="0" w:leftChars="0" w:firstLine="240" w:firstLineChars="100"/>
              <w:jc w:val="both"/>
              <w:rPr>
                <w:rFonts w:hint="eastAsia"/>
                <w:vertAlign w:val="baseline"/>
              </w:rPr>
            </w:pPr>
            <w:r>
              <w:rPr>
                <w:rFonts w:hint="eastAsia"/>
                <w:vertAlign w:val="baseline"/>
                <w:lang w:val="en-US" w:eastAsia="zh-CN"/>
              </w:rPr>
              <w:t>5</w:t>
            </w:r>
          </w:p>
        </w:tc>
        <w:tc>
          <w:tcPr>
            <w:tcW w:w="2658" w:type="dxa"/>
            <w:vAlign w:val="center"/>
          </w:tcPr>
          <w:p>
            <w:pPr>
              <w:spacing w:line="240" w:lineRule="auto"/>
              <w:jc w:val="center"/>
              <w:rPr>
                <w:rFonts w:hint="eastAsia"/>
                <w:vertAlign w:val="baseline"/>
              </w:rPr>
            </w:pPr>
            <w:r>
              <w:rPr>
                <w:rFonts w:hint="eastAsia"/>
                <w:vertAlign w:val="baseline"/>
              </w:rPr>
              <w:t>西安市长安区第一小学实验小学</w:t>
            </w:r>
          </w:p>
        </w:tc>
        <w:tc>
          <w:tcPr>
            <w:tcW w:w="1586" w:type="dxa"/>
            <w:vAlign w:val="center"/>
          </w:tcPr>
          <w:p>
            <w:pPr>
              <w:pStyle w:val="36"/>
              <w:jc w:val="center"/>
              <w:rPr>
                <w:rFonts w:hint="eastAsia"/>
                <w:vertAlign w:val="baseline"/>
              </w:rPr>
            </w:pPr>
          </w:p>
        </w:tc>
        <w:tc>
          <w:tcPr>
            <w:tcW w:w="1649" w:type="dxa"/>
            <w:vMerge w:val="continue"/>
            <w:vAlign w:val="center"/>
          </w:tcPr>
          <w:p>
            <w:pPr>
              <w:pStyle w:val="36"/>
              <w:spacing w:line="240" w:lineRule="auto"/>
              <w:ind w:firstLine="480" w:firstLineChars="200"/>
              <w:jc w:val="both"/>
              <w:rPr>
                <w:rFonts w:hint="eastAsia"/>
                <w:vertAlign w:val="baseline"/>
              </w:rPr>
            </w:pPr>
          </w:p>
        </w:tc>
        <w:tc>
          <w:tcPr>
            <w:tcW w:w="1220" w:type="dxa"/>
            <w:vMerge w:val="continue"/>
            <w:vAlign w:val="center"/>
          </w:tcPr>
          <w:p>
            <w:pPr>
              <w:pStyle w:val="36"/>
              <w:jc w:val="center"/>
              <w:rPr>
                <w:rFonts w:hint="eastAsia"/>
                <w:vertAlign w:val="baseline"/>
              </w:rPr>
            </w:pPr>
          </w:p>
        </w:tc>
        <w:tc>
          <w:tcPr>
            <w:tcW w:w="1264" w:type="dxa"/>
            <w:vMerge w:val="continue"/>
            <w:vAlign w:val="center"/>
          </w:tcPr>
          <w:p>
            <w:pPr>
              <w:pStyle w:val="36"/>
              <w:jc w:val="center"/>
              <w:rPr>
                <w:rFonts w:hint="eastAsia"/>
                <w:vertAlign w:val="baseline"/>
              </w:rPr>
            </w:pPr>
          </w:p>
        </w:tc>
        <w:tc>
          <w:tcPr>
            <w:tcW w:w="816" w:type="dxa"/>
            <w:vMerge w:val="continue"/>
            <w:vAlign w:val="center"/>
          </w:tcPr>
          <w:p>
            <w:pPr>
              <w:pStyle w:val="36"/>
              <w:jc w:val="center"/>
              <w:rPr>
                <w:rFonts w:hint="eastAsia"/>
                <w:vertAlign w:val="baseline"/>
              </w:rPr>
            </w:pPr>
          </w:p>
        </w:tc>
      </w:tr>
    </w:tbl>
    <w:p>
      <w:pPr>
        <w:spacing w:line="56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注：1、</w:t>
      </w:r>
      <w:r>
        <w:rPr>
          <w:rFonts w:hint="eastAsia"/>
          <w:szCs w:val="21"/>
          <w:highlight w:val="none"/>
          <w:lang w:eastAsia="zh-CN"/>
        </w:rPr>
        <w:t>本次报价均为含税报价。</w:t>
      </w:r>
    </w:p>
    <w:p>
      <w:pPr>
        <w:spacing w:line="560" w:lineRule="exact"/>
        <w:ind w:firstLine="420" w:firstLineChars="200"/>
        <w:rPr>
          <w:rFonts w:hint="default" w:ascii="Times New Roman" w:hAnsi="Times New Roman" w:cs="Times New Roman"/>
          <w:szCs w:val="21"/>
          <w:highlight w:val="none"/>
        </w:rPr>
      </w:pP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本表价格应按</w:t>
      </w:r>
      <w:r>
        <w:rPr>
          <w:rFonts w:hint="eastAsia" w:cs="Times New Roman"/>
          <w:color w:val="auto"/>
          <w:szCs w:val="21"/>
          <w:highlight w:val="none"/>
          <w:lang w:val="en-US" w:eastAsia="zh-CN"/>
        </w:rPr>
        <w:t>此表格式</w:t>
      </w:r>
      <w:r>
        <w:rPr>
          <w:rFonts w:hint="default" w:ascii="Times New Roman" w:hAnsi="Times New Roman" w:cs="Times New Roman"/>
          <w:color w:val="auto"/>
          <w:szCs w:val="21"/>
          <w:highlight w:val="none"/>
        </w:rPr>
        <w:t>填写，</w:t>
      </w:r>
      <w:r>
        <w:rPr>
          <w:rFonts w:hint="default" w:ascii="Times New Roman" w:hAnsi="Times New Roman" w:cs="Times New Roman"/>
          <w:szCs w:val="21"/>
          <w:highlight w:val="none"/>
        </w:rPr>
        <w:t>精确到小数点后两位，大小写不一致时，以大写为准。</w:t>
      </w:r>
    </w:p>
    <w:p>
      <w:pPr>
        <w:spacing w:line="560" w:lineRule="exact"/>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 xml:space="preserve">    </w:t>
      </w:r>
      <w:r>
        <w:rPr>
          <w:rFonts w:hint="eastAsia" w:cs="Times New Roman"/>
          <w:szCs w:val="21"/>
          <w:highlight w:val="none"/>
          <w:lang w:val="en-US" w:eastAsia="zh-CN"/>
        </w:rPr>
        <w:t>3</w:t>
      </w:r>
      <w:r>
        <w:rPr>
          <w:rFonts w:hint="default" w:ascii="Times New Roman" w:hAnsi="Times New Roman" w:cs="Times New Roman"/>
          <w:szCs w:val="21"/>
          <w:highlight w:val="none"/>
        </w:rPr>
        <w:t>、本表所列各项数据与投标文件其他地方表述不一致时，以本表为准。</w:t>
      </w:r>
    </w:p>
    <w:p>
      <w:pPr>
        <w:bidi w:val="0"/>
        <w:rPr>
          <w:highlight w:val="none"/>
        </w:rPr>
      </w:pPr>
    </w:p>
    <w:p>
      <w:pPr>
        <w:bidi w:val="0"/>
        <w:rPr>
          <w:highlight w:val="none"/>
        </w:rPr>
      </w:pPr>
    </w:p>
    <w:p>
      <w:pPr>
        <w:pStyle w:val="68"/>
        <w:keepNext w:val="0"/>
        <w:keepLines w:val="0"/>
        <w:pageBreakBefore w:val="0"/>
        <w:kinsoku/>
        <w:wordWrap/>
        <w:overflowPunct/>
        <w:topLinePunct w:val="0"/>
        <w:autoSpaceDE/>
        <w:autoSpaceDN/>
        <w:bidi w:val="0"/>
        <w:adjustRightInd/>
        <w:snapToGrid/>
        <w:spacing w:line="480" w:lineRule="auto"/>
        <w:ind w:left="0" w:leftChars="0" w:right="0" w:rightChars="0" w:firstLine="0" w:firstLineChars="0"/>
        <w:jc w:val="left"/>
        <w:textAlignment w:val="auto"/>
        <w:rPr>
          <w:rFonts w:hint="eastAsia" w:ascii="新宋体" w:hAnsi="新宋体"/>
          <w:b w:val="0"/>
          <w:color w:val="auto"/>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投标人：</w:t>
      </w:r>
      <w:r>
        <w:rPr>
          <w:rFonts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rPr>
        <w:t xml:space="preserve">  （单位全称、盖章）  </w:t>
      </w:r>
    </w:p>
    <w:p>
      <w:pPr>
        <w:pStyle w:val="68"/>
        <w:keepNext w:val="0"/>
        <w:keepLines w:val="0"/>
        <w:pageBreakBefore w:val="0"/>
        <w:kinsoku/>
        <w:wordWrap/>
        <w:overflowPunct/>
        <w:topLinePunct w:val="0"/>
        <w:autoSpaceDE/>
        <w:autoSpaceDN/>
        <w:bidi w:val="0"/>
        <w:adjustRightInd/>
        <w:snapToGrid/>
        <w:spacing w:line="480" w:lineRule="auto"/>
        <w:ind w:left="0" w:leftChars="0" w:right="0" w:rightChars="0" w:firstLine="0" w:firstLineChars="0"/>
        <w:jc w:val="left"/>
        <w:textAlignment w:val="auto"/>
        <w:rPr>
          <w:rFonts w:hint="eastAsia" w:ascii="新宋体" w:hAnsi="新宋体"/>
          <w:b w:val="0"/>
          <w:color w:val="auto"/>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法定代表人或授权代表：</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lang w:eastAsia="zh-CN"/>
        </w:rPr>
        <w:t>盖章或签字</w:t>
      </w:r>
      <w:r>
        <w:rPr>
          <w:rFonts w:hint="eastAsia" w:ascii="新宋体" w:hAnsi="新宋体"/>
          <w:b w:val="0"/>
          <w:color w:val="auto"/>
          <w:sz w:val="21"/>
          <w:szCs w:val="21"/>
          <w:highlight w:val="none"/>
          <w:u w:val="single"/>
        </w:rPr>
        <w:t xml:space="preserve">）   </w:t>
      </w:r>
    </w:p>
    <w:p>
      <w:pPr>
        <w:bidi w:val="0"/>
        <w:spacing w:line="480" w:lineRule="auto"/>
        <w:rPr>
          <w:rFonts w:ascii="黑体" w:eastAsia="黑体"/>
          <w:b/>
          <w:bCs/>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投标日期：</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年</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月</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日</w:t>
      </w:r>
    </w:p>
    <w:p/>
    <w:p>
      <w:pPr>
        <w:bidi w:val="0"/>
        <w:rPr>
          <w:highlight w:val="none"/>
        </w:rPr>
      </w:pPr>
    </w:p>
    <w:p>
      <w:pPr>
        <w:bidi w:val="0"/>
        <w:rPr>
          <w:rFonts w:hint="eastAsia" w:eastAsia="宋体"/>
          <w:highlight w:val="none"/>
          <w:lang w:eastAsia="zh-CN"/>
        </w:rPr>
      </w:pPr>
    </w:p>
    <w:p>
      <w:pPr>
        <w:pStyle w:val="2"/>
        <w:rPr>
          <w:rFonts w:hint="eastAsia"/>
          <w:highlight w:val="none"/>
          <w:lang w:eastAsia="zh-CN"/>
        </w:rPr>
      </w:pPr>
    </w:p>
    <w:p>
      <w:pPr>
        <w:pStyle w:val="2"/>
        <w:rPr>
          <w:rFonts w:hint="eastAsia"/>
          <w:highlight w:val="none"/>
          <w:lang w:eastAsia="zh-CN"/>
        </w:rPr>
      </w:pPr>
    </w:p>
    <w:p>
      <w:pPr>
        <w:pStyle w:val="2"/>
        <w:rPr>
          <w:rFonts w:hint="eastAsia"/>
          <w:highlight w:val="none"/>
          <w:lang w:eastAsia="zh-CN"/>
        </w:rPr>
      </w:pPr>
    </w:p>
    <w:p>
      <w:pPr>
        <w:rPr>
          <w:rFonts w:hint="eastAsia" w:ascii="宋体" w:hAnsi="宋体" w:cs="宋体"/>
          <w:b/>
          <w:bCs/>
          <w:color w:val="000000"/>
          <w:sz w:val="36"/>
          <w:szCs w:val="36"/>
          <w:highlight w:val="none"/>
        </w:rPr>
      </w:pPr>
      <w:r>
        <w:rPr>
          <w:rFonts w:hint="eastAsia" w:ascii="宋体" w:hAnsi="宋体" w:cs="宋体"/>
          <w:b/>
          <w:bCs/>
          <w:color w:val="000000"/>
          <w:sz w:val="36"/>
          <w:szCs w:val="36"/>
          <w:highlight w:val="none"/>
        </w:rPr>
        <w:br w:type="page"/>
      </w:r>
    </w:p>
    <w:p>
      <w:pPr>
        <w:numPr>
          <w:ilvl w:val="0"/>
          <w:numId w:val="20"/>
        </w:numPr>
        <w:spacing w:line="560" w:lineRule="exact"/>
        <w:jc w:val="center"/>
        <w:rPr>
          <w:rFonts w:hint="eastAsia" w:ascii="宋体" w:hAnsi="宋体" w:cs="宋体"/>
          <w:b/>
          <w:bCs/>
          <w:color w:val="000000"/>
          <w:sz w:val="36"/>
          <w:szCs w:val="36"/>
          <w:highlight w:val="none"/>
        </w:rPr>
      </w:pPr>
      <w:r>
        <w:rPr>
          <w:rFonts w:hint="eastAsia" w:ascii="宋体" w:hAnsi="宋体" w:cs="宋体"/>
          <w:b/>
          <w:bCs/>
          <w:color w:val="000000"/>
          <w:sz w:val="36"/>
          <w:szCs w:val="36"/>
          <w:highlight w:val="none"/>
        </w:rPr>
        <w:t>分项报价表</w:t>
      </w:r>
    </w:p>
    <w:p>
      <w:pPr>
        <w:numPr>
          <w:ilvl w:val="0"/>
          <w:numId w:val="0"/>
        </w:numPr>
        <w:spacing w:line="560" w:lineRule="exact"/>
        <w:jc w:val="both"/>
        <w:rPr>
          <w:rFonts w:hint="eastAsia" w:ascii="宋体" w:hAnsi="宋体" w:cs="宋体"/>
          <w:b/>
          <w:bCs/>
          <w:color w:val="000000"/>
          <w:sz w:val="36"/>
          <w:szCs w:val="36"/>
          <w:highlight w:val="none"/>
        </w:rPr>
      </w:pPr>
      <w:r>
        <w:rPr>
          <w:rFonts w:hint="eastAsia" w:ascii="宋体" w:hAnsi="宋体"/>
          <w:szCs w:val="21"/>
          <w:highlight w:val="none"/>
          <w:lang w:eastAsia="zh-CN"/>
        </w:rPr>
        <w:t>投标人名称：</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none"/>
          <w:lang w:val="en-US" w:eastAsia="zh-CN"/>
        </w:rPr>
        <w:t xml:space="preserve">                         项目编号：</w:t>
      </w:r>
      <w:r>
        <w:rPr>
          <w:rFonts w:hint="eastAsia" w:ascii="宋体" w:hAnsi="宋体"/>
          <w:szCs w:val="21"/>
          <w:highlight w:val="none"/>
          <w:u w:val="single"/>
          <w:lang w:val="en-US" w:eastAsia="zh-CN"/>
        </w:rPr>
        <w:t xml:space="preserve">              </w:t>
      </w:r>
    </w:p>
    <w:tbl>
      <w:tblPr>
        <w:tblStyle w:val="37"/>
        <w:tblpPr w:leftFromText="180" w:rightFromText="180" w:vertAnchor="text" w:horzAnchor="page" w:tblpXSpec="center" w:tblpY="70"/>
        <w:tblOverlap w:val="never"/>
        <w:tblW w:w="95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1"/>
        <w:gridCol w:w="1243"/>
        <w:gridCol w:w="970"/>
        <w:gridCol w:w="1300"/>
        <w:gridCol w:w="903"/>
        <w:gridCol w:w="1371"/>
        <w:gridCol w:w="986"/>
        <w:gridCol w:w="1028"/>
        <w:gridCol w:w="1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jc w:val="center"/>
        </w:trPr>
        <w:tc>
          <w:tcPr>
            <w:tcW w:w="621" w:type="dxa"/>
            <w:vAlign w:val="center"/>
          </w:tcPr>
          <w:p>
            <w:pPr>
              <w:pStyle w:val="165"/>
              <w:ind w:right="101"/>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243" w:type="dxa"/>
            <w:vAlign w:val="center"/>
          </w:tcPr>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产品</w:t>
            </w:r>
            <w:r>
              <w:rPr>
                <w:rFonts w:hint="eastAsia" w:ascii="宋体" w:hAnsi="宋体" w:eastAsia="宋体" w:cs="宋体"/>
                <w:b/>
                <w:bCs/>
                <w:sz w:val="21"/>
                <w:szCs w:val="21"/>
              </w:rPr>
              <w:t>名称</w:t>
            </w:r>
          </w:p>
        </w:tc>
        <w:tc>
          <w:tcPr>
            <w:tcW w:w="970" w:type="dxa"/>
            <w:vAlign w:val="top"/>
          </w:tcPr>
          <w:p>
            <w:pPr>
              <w:pStyle w:val="165"/>
              <w:keepNext w:val="0"/>
              <w:keepLines w:val="0"/>
              <w:pageBreakBefore w:val="0"/>
              <w:widowControl w:val="0"/>
              <w:kinsoku/>
              <w:wordWrap/>
              <w:overflowPunct/>
              <w:topLinePunct w:val="0"/>
              <w:autoSpaceDE/>
              <w:autoSpaceDN/>
              <w:bidi w:val="0"/>
              <w:adjustRightInd/>
              <w:snapToGrid/>
              <w:spacing w:line="20" w:lineRule="atLeast"/>
              <w:ind w:right="102"/>
              <w:jc w:val="both"/>
              <w:textAlignment w:val="auto"/>
              <w:rPr>
                <w:rFonts w:hint="eastAsia" w:ascii="宋体" w:hAnsi="宋体" w:eastAsia="宋体" w:cs="宋体"/>
                <w:b/>
                <w:bCs/>
                <w:sz w:val="21"/>
                <w:szCs w:val="21"/>
              </w:rPr>
            </w:pPr>
          </w:p>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品牌</w:t>
            </w:r>
          </w:p>
        </w:tc>
        <w:tc>
          <w:tcPr>
            <w:tcW w:w="1300" w:type="dxa"/>
            <w:vAlign w:val="top"/>
          </w:tcPr>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p>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规格型号</w:t>
            </w:r>
          </w:p>
        </w:tc>
        <w:tc>
          <w:tcPr>
            <w:tcW w:w="903" w:type="dxa"/>
            <w:vAlign w:val="top"/>
          </w:tcPr>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p>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产地</w:t>
            </w:r>
          </w:p>
        </w:tc>
        <w:tc>
          <w:tcPr>
            <w:tcW w:w="1371" w:type="dxa"/>
            <w:vAlign w:val="top"/>
          </w:tcPr>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p>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单位</w:t>
            </w:r>
          </w:p>
        </w:tc>
        <w:tc>
          <w:tcPr>
            <w:tcW w:w="986" w:type="dxa"/>
            <w:vAlign w:val="top"/>
          </w:tcPr>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p>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数量</w:t>
            </w:r>
          </w:p>
        </w:tc>
        <w:tc>
          <w:tcPr>
            <w:tcW w:w="1028" w:type="dxa"/>
            <w:vAlign w:val="top"/>
          </w:tcPr>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p>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单价</w:t>
            </w:r>
          </w:p>
        </w:tc>
        <w:tc>
          <w:tcPr>
            <w:tcW w:w="1093" w:type="dxa"/>
            <w:vAlign w:val="top"/>
          </w:tcPr>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p>
          <w:p>
            <w:pPr>
              <w:pStyle w:val="165"/>
              <w:keepNext w:val="0"/>
              <w:keepLines w:val="0"/>
              <w:pageBreakBefore w:val="0"/>
              <w:widowControl w:val="0"/>
              <w:kinsoku/>
              <w:wordWrap/>
              <w:overflowPunct/>
              <w:topLinePunct w:val="0"/>
              <w:autoSpaceDE/>
              <w:autoSpaceDN/>
              <w:bidi w:val="0"/>
              <w:adjustRightInd/>
              <w:snapToGrid/>
              <w:spacing w:line="20" w:lineRule="atLeast"/>
              <w:ind w:right="102"/>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621" w:type="dxa"/>
          </w:tcPr>
          <w:p>
            <w:pPr>
              <w:pStyle w:val="165"/>
              <w:spacing w:before="180"/>
              <w:ind w:left="9"/>
              <w:jc w:val="center"/>
              <w:rPr>
                <w:rFonts w:hint="eastAsia" w:ascii="宋体" w:hAnsi="宋体" w:eastAsia="宋体" w:cs="宋体"/>
                <w:sz w:val="21"/>
                <w:szCs w:val="21"/>
              </w:rPr>
            </w:pPr>
            <w:r>
              <w:rPr>
                <w:rFonts w:hint="eastAsia" w:ascii="宋体" w:hAnsi="宋体" w:eastAsia="宋体" w:cs="宋体"/>
                <w:sz w:val="21"/>
                <w:szCs w:val="21"/>
              </w:rPr>
              <w:t>1</w:t>
            </w:r>
          </w:p>
        </w:tc>
        <w:tc>
          <w:tcPr>
            <w:tcW w:w="1243" w:type="dxa"/>
          </w:tcPr>
          <w:p>
            <w:pPr>
              <w:pStyle w:val="165"/>
              <w:rPr>
                <w:rFonts w:hint="eastAsia" w:ascii="宋体" w:hAnsi="宋体" w:eastAsia="宋体" w:cs="宋体"/>
                <w:sz w:val="21"/>
                <w:szCs w:val="21"/>
              </w:rPr>
            </w:pPr>
          </w:p>
        </w:tc>
        <w:tc>
          <w:tcPr>
            <w:tcW w:w="970" w:type="dxa"/>
          </w:tcPr>
          <w:p>
            <w:pPr>
              <w:pStyle w:val="165"/>
              <w:rPr>
                <w:rFonts w:hint="eastAsia" w:ascii="宋体" w:hAnsi="宋体" w:eastAsia="宋体" w:cs="宋体"/>
                <w:sz w:val="21"/>
                <w:szCs w:val="21"/>
              </w:rPr>
            </w:pPr>
          </w:p>
        </w:tc>
        <w:tc>
          <w:tcPr>
            <w:tcW w:w="1300" w:type="dxa"/>
          </w:tcPr>
          <w:p>
            <w:pPr>
              <w:pStyle w:val="165"/>
              <w:rPr>
                <w:rFonts w:hint="eastAsia" w:ascii="宋体" w:hAnsi="宋体" w:eastAsia="宋体" w:cs="宋体"/>
                <w:sz w:val="21"/>
                <w:szCs w:val="21"/>
              </w:rPr>
            </w:pPr>
          </w:p>
        </w:tc>
        <w:tc>
          <w:tcPr>
            <w:tcW w:w="903" w:type="dxa"/>
          </w:tcPr>
          <w:p>
            <w:pPr>
              <w:pStyle w:val="165"/>
              <w:rPr>
                <w:rFonts w:hint="eastAsia" w:ascii="宋体" w:hAnsi="宋体" w:eastAsia="宋体" w:cs="宋体"/>
                <w:sz w:val="21"/>
                <w:szCs w:val="21"/>
              </w:rPr>
            </w:pPr>
          </w:p>
        </w:tc>
        <w:tc>
          <w:tcPr>
            <w:tcW w:w="1371" w:type="dxa"/>
          </w:tcPr>
          <w:p>
            <w:pPr>
              <w:pStyle w:val="165"/>
              <w:rPr>
                <w:rFonts w:hint="eastAsia" w:ascii="宋体" w:hAnsi="宋体" w:eastAsia="宋体" w:cs="宋体"/>
                <w:sz w:val="21"/>
                <w:szCs w:val="21"/>
              </w:rPr>
            </w:pPr>
          </w:p>
        </w:tc>
        <w:tc>
          <w:tcPr>
            <w:tcW w:w="986" w:type="dxa"/>
          </w:tcPr>
          <w:p>
            <w:pPr>
              <w:pStyle w:val="165"/>
              <w:rPr>
                <w:rFonts w:hint="eastAsia" w:ascii="宋体" w:hAnsi="宋体" w:eastAsia="宋体" w:cs="宋体"/>
                <w:sz w:val="21"/>
                <w:szCs w:val="21"/>
              </w:rPr>
            </w:pPr>
          </w:p>
        </w:tc>
        <w:tc>
          <w:tcPr>
            <w:tcW w:w="1028" w:type="dxa"/>
          </w:tcPr>
          <w:p>
            <w:pPr>
              <w:pStyle w:val="165"/>
              <w:rPr>
                <w:rFonts w:hint="eastAsia" w:ascii="宋体" w:hAnsi="宋体" w:eastAsia="宋体" w:cs="宋体"/>
                <w:sz w:val="21"/>
                <w:szCs w:val="21"/>
              </w:rPr>
            </w:pPr>
          </w:p>
        </w:tc>
        <w:tc>
          <w:tcPr>
            <w:tcW w:w="1093" w:type="dxa"/>
          </w:tcPr>
          <w:p>
            <w:pPr>
              <w:pStyle w:val="165"/>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621" w:type="dxa"/>
          </w:tcPr>
          <w:p>
            <w:pPr>
              <w:pStyle w:val="165"/>
              <w:spacing w:before="182"/>
              <w:ind w:left="9"/>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1243" w:type="dxa"/>
          </w:tcPr>
          <w:p>
            <w:pPr>
              <w:pStyle w:val="165"/>
              <w:rPr>
                <w:rFonts w:hint="eastAsia" w:ascii="宋体" w:hAnsi="宋体" w:eastAsia="宋体" w:cs="宋体"/>
                <w:sz w:val="21"/>
                <w:szCs w:val="21"/>
              </w:rPr>
            </w:pPr>
          </w:p>
        </w:tc>
        <w:tc>
          <w:tcPr>
            <w:tcW w:w="970" w:type="dxa"/>
          </w:tcPr>
          <w:p>
            <w:pPr>
              <w:pStyle w:val="165"/>
              <w:rPr>
                <w:rFonts w:hint="eastAsia" w:ascii="宋体" w:hAnsi="宋体" w:eastAsia="宋体" w:cs="宋体"/>
                <w:sz w:val="21"/>
                <w:szCs w:val="21"/>
              </w:rPr>
            </w:pPr>
          </w:p>
        </w:tc>
        <w:tc>
          <w:tcPr>
            <w:tcW w:w="1300" w:type="dxa"/>
          </w:tcPr>
          <w:p>
            <w:pPr>
              <w:pStyle w:val="165"/>
              <w:rPr>
                <w:rFonts w:hint="eastAsia" w:ascii="宋体" w:hAnsi="宋体" w:eastAsia="宋体" w:cs="宋体"/>
                <w:sz w:val="21"/>
                <w:szCs w:val="21"/>
              </w:rPr>
            </w:pPr>
          </w:p>
        </w:tc>
        <w:tc>
          <w:tcPr>
            <w:tcW w:w="903" w:type="dxa"/>
          </w:tcPr>
          <w:p>
            <w:pPr>
              <w:pStyle w:val="165"/>
              <w:rPr>
                <w:rFonts w:hint="eastAsia" w:ascii="宋体" w:hAnsi="宋体" w:eastAsia="宋体" w:cs="宋体"/>
                <w:sz w:val="21"/>
                <w:szCs w:val="21"/>
              </w:rPr>
            </w:pPr>
          </w:p>
        </w:tc>
        <w:tc>
          <w:tcPr>
            <w:tcW w:w="1371" w:type="dxa"/>
          </w:tcPr>
          <w:p>
            <w:pPr>
              <w:pStyle w:val="165"/>
              <w:rPr>
                <w:rFonts w:hint="eastAsia" w:ascii="宋体" w:hAnsi="宋体" w:eastAsia="宋体" w:cs="宋体"/>
                <w:sz w:val="21"/>
                <w:szCs w:val="21"/>
              </w:rPr>
            </w:pPr>
          </w:p>
        </w:tc>
        <w:tc>
          <w:tcPr>
            <w:tcW w:w="986" w:type="dxa"/>
          </w:tcPr>
          <w:p>
            <w:pPr>
              <w:pStyle w:val="165"/>
              <w:rPr>
                <w:rFonts w:hint="eastAsia" w:ascii="宋体" w:hAnsi="宋体" w:eastAsia="宋体" w:cs="宋体"/>
                <w:sz w:val="21"/>
                <w:szCs w:val="21"/>
              </w:rPr>
            </w:pPr>
          </w:p>
        </w:tc>
        <w:tc>
          <w:tcPr>
            <w:tcW w:w="1028" w:type="dxa"/>
          </w:tcPr>
          <w:p>
            <w:pPr>
              <w:pStyle w:val="165"/>
              <w:rPr>
                <w:rFonts w:hint="eastAsia" w:ascii="宋体" w:hAnsi="宋体" w:eastAsia="宋体" w:cs="宋体"/>
                <w:sz w:val="21"/>
                <w:szCs w:val="21"/>
              </w:rPr>
            </w:pPr>
          </w:p>
        </w:tc>
        <w:tc>
          <w:tcPr>
            <w:tcW w:w="1093" w:type="dxa"/>
          </w:tcPr>
          <w:p>
            <w:pPr>
              <w:pStyle w:val="165"/>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621" w:type="dxa"/>
          </w:tcPr>
          <w:p>
            <w:pPr>
              <w:pStyle w:val="165"/>
              <w:spacing w:before="181"/>
              <w:ind w:left="9"/>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1243" w:type="dxa"/>
          </w:tcPr>
          <w:p>
            <w:pPr>
              <w:pStyle w:val="165"/>
              <w:rPr>
                <w:rFonts w:hint="eastAsia" w:ascii="宋体" w:hAnsi="宋体" w:eastAsia="宋体" w:cs="宋体"/>
                <w:sz w:val="21"/>
                <w:szCs w:val="21"/>
              </w:rPr>
            </w:pPr>
          </w:p>
        </w:tc>
        <w:tc>
          <w:tcPr>
            <w:tcW w:w="970" w:type="dxa"/>
          </w:tcPr>
          <w:p>
            <w:pPr>
              <w:pStyle w:val="165"/>
              <w:rPr>
                <w:rFonts w:hint="eastAsia" w:ascii="宋体" w:hAnsi="宋体" w:eastAsia="宋体" w:cs="宋体"/>
                <w:sz w:val="21"/>
                <w:szCs w:val="21"/>
              </w:rPr>
            </w:pPr>
          </w:p>
        </w:tc>
        <w:tc>
          <w:tcPr>
            <w:tcW w:w="1300" w:type="dxa"/>
          </w:tcPr>
          <w:p>
            <w:pPr>
              <w:pStyle w:val="165"/>
              <w:rPr>
                <w:rFonts w:hint="eastAsia" w:ascii="宋体" w:hAnsi="宋体" w:eastAsia="宋体" w:cs="宋体"/>
                <w:sz w:val="21"/>
                <w:szCs w:val="21"/>
              </w:rPr>
            </w:pPr>
          </w:p>
        </w:tc>
        <w:tc>
          <w:tcPr>
            <w:tcW w:w="903" w:type="dxa"/>
          </w:tcPr>
          <w:p>
            <w:pPr>
              <w:pStyle w:val="165"/>
              <w:rPr>
                <w:rFonts w:hint="eastAsia" w:ascii="宋体" w:hAnsi="宋体" w:eastAsia="宋体" w:cs="宋体"/>
                <w:sz w:val="21"/>
                <w:szCs w:val="21"/>
              </w:rPr>
            </w:pPr>
          </w:p>
        </w:tc>
        <w:tc>
          <w:tcPr>
            <w:tcW w:w="1371" w:type="dxa"/>
          </w:tcPr>
          <w:p>
            <w:pPr>
              <w:pStyle w:val="165"/>
              <w:rPr>
                <w:rFonts w:hint="eastAsia" w:ascii="宋体" w:hAnsi="宋体" w:eastAsia="宋体" w:cs="宋体"/>
                <w:sz w:val="21"/>
                <w:szCs w:val="21"/>
              </w:rPr>
            </w:pPr>
          </w:p>
        </w:tc>
        <w:tc>
          <w:tcPr>
            <w:tcW w:w="986" w:type="dxa"/>
          </w:tcPr>
          <w:p>
            <w:pPr>
              <w:pStyle w:val="165"/>
              <w:rPr>
                <w:rFonts w:hint="eastAsia" w:ascii="宋体" w:hAnsi="宋体" w:eastAsia="宋体" w:cs="宋体"/>
                <w:sz w:val="21"/>
                <w:szCs w:val="21"/>
              </w:rPr>
            </w:pPr>
          </w:p>
        </w:tc>
        <w:tc>
          <w:tcPr>
            <w:tcW w:w="1028" w:type="dxa"/>
          </w:tcPr>
          <w:p>
            <w:pPr>
              <w:pStyle w:val="165"/>
              <w:rPr>
                <w:rFonts w:hint="eastAsia" w:ascii="宋体" w:hAnsi="宋体" w:eastAsia="宋体" w:cs="宋体"/>
                <w:sz w:val="21"/>
                <w:szCs w:val="21"/>
              </w:rPr>
            </w:pPr>
          </w:p>
        </w:tc>
        <w:tc>
          <w:tcPr>
            <w:tcW w:w="1093" w:type="dxa"/>
          </w:tcPr>
          <w:p>
            <w:pPr>
              <w:pStyle w:val="165"/>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621" w:type="dxa"/>
          </w:tcPr>
          <w:p>
            <w:pPr>
              <w:pStyle w:val="165"/>
              <w:spacing w:before="181"/>
              <w:ind w:left="9"/>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243" w:type="dxa"/>
          </w:tcPr>
          <w:p>
            <w:pPr>
              <w:pStyle w:val="165"/>
              <w:rPr>
                <w:rFonts w:hint="eastAsia" w:ascii="宋体" w:hAnsi="宋体" w:eastAsia="宋体" w:cs="宋体"/>
                <w:sz w:val="21"/>
                <w:szCs w:val="21"/>
              </w:rPr>
            </w:pPr>
          </w:p>
        </w:tc>
        <w:tc>
          <w:tcPr>
            <w:tcW w:w="970" w:type="dxa"/>
          </w:tcPr>
          <w:p>
            <w:pPr>
              <w:pStyle w:val="165"/>
              <w:rPr>
                <w:rFonts w:hint="eastAsia" w:ascii="宋体" w:hAnsi="宋体" w:eastAsia="宋体" w:cs="宋体"/>
                <w:sz w:val="21"/>
                <w:szCs w:val="21"/>
              </w:rPr>
            </w:pPr>
          </w:p>
        </w:tc>
        <w:tc>
          <w:tcPr>
            <w:tcW w:w="1300" w:type="dxa"/>
          </w:tcPr>
          <w:p>
            <w:pPr>
              <w:pStyle w:val="165"/>
              <w:rPr>
                <w:rFonts w:hint="eastAsia" w:ascii="宋体" w:hAnsi="宋体" w:eastAsia="宋体" w:cs="宋体"/>
                <w:sz w:val="21"/>
                <w:szCs w:val="21"/>
              </w:rPr>
            </w:pPr>
          </w:p>
        </w:tc>
        <w:tc>
          <w:tcPr>
            <w:tcW w:w="903" w:type="dxa"/>
          </w:tcPr>
          <w:p>
            <w:pPr>
              <w:pStyle w:val="165"/>
              <w:rPr>
                <w:rFonts w:hint="eastAsia" w:ascii="宋体" w:hAnsi="宋体" w:eastAsia="宋体" w:cs="宋体"/>
                <w:sz w:val="21"/>
                <w:szCs w:val="21"/>
              </w:rPr>
            </w:pPr>
          </w:p>
        </w:tc>
        <w:tc>
          <w:tcPr>
            <w:tcW w:w="1371" w:type="dxa"/>
          </w:tcPr>
          <w:p>
            <w:pPr>
              <w:pStyle w:val="165"/>
              <w:rPr>
                <w:rFonts w:hint="eastAsia" w:ascii="宋体" w:hAnsi="宋体" w:eastAsia="宋体" w:cs="宋体"/>
                <w:sz w:val="21"/>
                <w:szCs w:val="21"/>
              </w:rPr>
            </w:pPr>
          </w:p>
        </w:tc>
        <w:tc>
          <w:tcPr>
            <w:tcW w:w="986" w:type="dxa"/>
          </w:tcPr>
          <w:p>
            <w:pPr>
              <w:pStyle w:val="165"/>
              <w:rPr>
                <w:rFonts w:hint="eastAsia" w:ascii="宋体" w:hAnsi="宋体" w:eastAsia="宋体" w:cs="宋体"/>
                <w:sz w:val="21"/>
                <w:szCs w:val="21"/>
              </w:rPr>
            </w:pPr>
          </w:p>
        </w:tc>
        <w:tc>
          <w:tcPr>
            <w:tcW w:w="1028" w:type="dxa"/>
          </w:tcPr>
          <w:p>
            <w:pPr>
              <w:pStyle w:val="165"/>
              <w:rPr>
                <w:rFonts w:hint="eastAsia" w:ascii="宋体" w:hAnsi="宋体" w:eastAsia="宋体" w:cs="宋体"/>
                <w:sz w:val="21"/>
                <w:szCs w:val="21"/>
              </w:rPr>
            </w:pPr>
          </w:p>
        </w:tc>
        <w:tc>
          <w:tcPr>
            <w:tcW w:w="1093" w:type="dxa"/>
          </w:tcPr>
          <w:p>
            <w:pPr>
              <w:pStyle w:val="165"/>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9515" w:type="dxa"/>
            <w:gridSpan w:val="9"/>
          </w:tcPr>
          <w:p>
            <w:pPr>
              <w:pStyle w:val="165"/>
              <w:tabs>
                <w:tab w:val="left" w:pos="6178"/>
                <w:tab w:val="left" w:pos="8362"/>
              </w:tabs>
              <w:spacing w:before="180"/>
              <w:ind w:left="106"/>
              <w:rPr>
                <w:rFonts w:hint="eastAsia" w:ascii="宋体" w:hAnsi="宋体" w:eastAsia="宋体" w:cs="宋体"/>
                <w:sz w:val="21"/>
                <w:szCs w:val="21"/>
              </w:rPr>
            </w:pPr>
            <w:r>
              <w:rPr>
                <w:rFonts w:hint="eastAsia" w:ascii="宋体" w:hAnsi="宋体" w:eastAsia="宋体" w:cs="宋体"/>
                <w:spacing w:val="-12"/>
                <w:sz w:val="21"/>
                <w:szCs w:val="21"/>
              </w:rPr>
              <w:t>总报价（人民币大写</w:t>
            </w:r>
            <w:r>
              <w:rPr>
                <w:rFonts w:hint="eastAsia" w:ascii="宋体" w:hAnsi="宋体" w:eastAsia="宋体" w:cs="宋体"/>
                <w:spacing w:val="-6"/>
                <w:sz w:val="21"/>
                <w:szCs w:val="21"/>
              </w:rPr>
              <w:t>）：</w:t>
            </w:r>
            <w:r>
              <w:rPr>
                <w:rFonts w:hint="eastAsia" w:ascii="宋体" w:hAnsi="宋体" w:eastAsia="宋体" w:cs="宋体"/>
                <w:spacing w:val="-6"/>
                <w:sz w:val="21"/>
                <w:szCs w:val="21"/>
              </w:rPr>
              <w:tab/>
            </w:r>
            <w:r>
              <w:rPr>
                <w:rFonts w:hint="eastAsia" w:ascii="宋体" w:hAnsi="宋体" w:eastAsia="宋体" w:cs="宋体"/>
                <w:spacing w:val="-6"/>
                <w:sz w:val="21"/>
                <w:szCs w:val="21"/>
              </w:rPr>
              <w:t>（</w:t>
            </w:r>
            <w:r>
              <w:rPr>
                <w:rFonts w:hint="eastAsia" w:ascii="宋体" w:hAnsi="宋体" w:eastAsia="宋体" w:cs="宋体"/>
                <w:color w:val="auto"/>
                <w:sz w:val="21"/>
                <w:szCs w:val="21"/>
                <w:highlight w:val="none"/>
                <w:lang w:eastAsia="zh-CN"/>
              </w:rPr>
              <w:t>¥</w:t>
            </w:r>
            <w:r>
              <w:rPr>
                <w:rFonts w:hint="eastAsia" w:ascii="宋体" w:hAnsi="宋体" w:eastAsia="宋体" w:cs="宋体"/>
                <w:spacing w:val="-6"/>
                <w:sz w:val="21"/>
                <w:szCs w:val="21"/>
              </w:rPr>
              <w:tab/>
            </w:r>
            <w:r>
              <w:rPr>
                <w:rFonts w:hint="eastAsia" w:ascii="宋体" w:hAnsi="宋体" w:eastAsia="宋体" w:cs="宋体"/>
                <w:spacing w:val="-12"/>
                <w:sz w:val="21"/>
                <w:szCs w:val="21"/>
              </w:rPr>
              <w:t>元</w:t>
            </w:r>
            <w:r>
              <w:rPr>
                <w:rFonts w:hint="eastAsia" w:ascii="宋体" w:hAnsi="宋体" w:eastAsia="宋体" w:cs="宋体"/>
                <w:sz w:val="21"/>
                <w:szCs w:val="21"/>
              </w:rPr>
              <w:t>）</w:t>
            </w:r>
          </w:p>
        </w:tc>
      </w:tr>
    </w:tbl>
    <w:p>
      <w:pPr>
        <w:rPr>
          <w:rFonts w:hint="eastAsia" w:ascii="宋体" w:hAnsi="宋体" w:eastAsia="宋体" w:cs="宋体"/>
          <w:b w:val="0"/>
          <w:bCs/>
          <w:sz w:val="21"/>
          <w:szCs w:val="21"/>
          <w:highlight w:val="none"/>
        </w:rPr>
      </w:pP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default" w:ascii="Times New Roman" w:hAnsi="Times New Roman" w:cs="Times New Roman"/>
          <w:b w:val="0"/>
          <w:bCs w:val="0"/>
          <w:position w:val="4"/>
          <w:sz w:val="21"/>
          <w:szCs w:val="21"/>
          <w:highlight w:val="none"/>
        </w:rPr>
      </w:pPr>
      <w:r>
        <w:rPr>
          <w:rFonts w:hint="default" w:ascii="Times New Roman" w:hAnsi="Times New Roman" w:cs="Times New Roman"/>
          <w:b w:val="0"/>
          <w:bCs w:val="0"/>
          <w:position w:val="4"/>
          <w:sz w:val="21"/>
          <w:szCs w:val="21"/>
          <w:highlight w:val="none"/>
        </w:rPr>
        <w:t>注：1</w:t>
      </w:r>
      <w:r>
        <w:rPr>
          <w:rFonts w:hint="eastAsia" w:ascii="Times New Roman" w:hAnsi="Times New Roman" w:cs="Times New Roman"/>
          <w:b w:val="0"/>
          <w:bCs w:val="0"/>
          <w:position w:val="4"/>
          <w:sz w:val="21"/>
          <w:szCs w:val="21"/>
          <w:highlight w:val="none"/>
          <w:lang w:eastAsia="zh-CN"/>
        </w:rPr>
        <w:t>、“</w:t>
      </w:r>
      <w:r>
        <w:rPr>
          <w:rFonts w:hint="default" w:ascii="Times New Roman" w:hAnsi="Times New Roman" w:cs="Times New Roman"/>
          <w:b w:val="0"/>
          <w:bCs w:val="0"/>
          <w:position w:val="4"/>
          <w:sz w:val="21"/>
          <w:szCs w:val="21"/>
          <w:highlight w:val="none"/>
        </w:rPr>
        <w:t>分项报价表</w:t>
      </w:r>
      <w:r>
        <w:rPr>
          <w:rFonts w:hint="eastAsia" w:ascii="Times New Roman" w:hAnsi="Times New Roman" w:cs="Times New Roman"/>
          <w:b w:val="0"/>
          <w:bCs w:val="0"/>
          <w:position w:val="4"/>
          <w:sz w:val="21"/>
          <w:szCs w:val="21"/>
          <w:highlight w:val="none"/>
          <w:lang w:eastAsia="zh-CN"/>
        </w:rPr>
        <w:t>”</w:t>
      </w:r>
      <w:r>
        <w:rPr>
          <w:rFonts w:hint="default" w:ascii="Times New Roman" w:hAnsi="Times New Roman" w:cs="Times New Roman"/>
          <w:b w:val="0"/>
          <w:bCs w:val="0"/>
          <w:position w:val="4"/>
          <w:sz w:val="21"/>
          <w:szCs w:val="21"/>
          <w:highlight w:val="none"/>
        </w:rPr>
        <w:t>各分项报价合计应当与</w:t>
      </w:r>
      <w:r>
        <w:rPr>
          <w:rFonts w:hint="eastAsia" w:ascii="Times New Roman" w:hAnsi="Times New Roman" w:cs="Times New Roman"/>
          <w:b w:val="0"/>
          <w:bCs w:val="0"/>
          <w:position w:val="4"/>
          <w:sz w:val="21"/>
          <w:szCs w:val="21"/>
          <w:highlight w:val="none"/>
          <w:lang w:eastAsia="zh-CN"/>
        </w:rPr>
        <w:t>“开标</w:t>
      </w:r>
      <w:r>
        <w:rPr>
          <w:rFonts w:hint="default" w:ascii="Times New Roman" w:hAnsi="Times New Roman" w:cs="Times New Roman"/>
          <w:b w:val="0"/>
          <w:bCs w:val="0"/>
          <w:position w:val="4"/>
          <w:sz w:val="21"/>
          <w:szCs w:val="21"/>
          <w:highlight w:val="none"/>
        </w:rPr>
        <w:t>一览表</w:t>
      </w:r>
      <w:r>
        <w:rPr>
          <w:rFonts w:hint="eastAsia" w:ascii="Times New Roman" w:hAnsi="Times New Roman" w:cs="Times New Roman"/>
          <w:b w:val="0"/>
          <w:bCs w:val="0"/>
          <w:position w:val="4"/>
          <w:sz w:val="21"/>
          <w:szCs w:val="21"/>
          <w:highlight w:val="none"/>
          <w:lang w:eastAsia="zh-CN"/>
        </w:rPr>
        <w:t>”投标报价</w:t>
      </w:r>
      <w:r>
        <w:rPr>
          <w:rFonts w:hint="default" w:ascii="Times New Roman" w:hAnsi="Times New Roman" w:cs="Times New Roman"/>
          <w:b w:val="0"/>
          <w:bCs w:val="0"/>
          <w:position w:val="4"/>
          <w:sz w:val="21"/>
          <w:szCs w:val="21"/>
          <w:highlight w:val="none"/>
        </w:rPr>
        <w:t>相等</w:t>
      </w:r>
      <w:r>
        <w:rPr>
          <w:rFonts w:hint="eastAsia" w:ascii="Times New Roman" w:hAnsi="Times New Roman" w:cs="Times New Roman"/>
          <w:b w:val="0"/>
          <w:bCs w:val="0"/>
          <w:position w:val="4"/>
          <w:sz w:val="21"/>
          <w:szCs w:val="21"/>
          <w:highlight w:val="none"/>
          <w:lang w:eastAsia="zh-CN"/>
        </w:rPr>
        <w:t>，</w:t>
      </w:r>
      <w:r>
        <w:rPr>
          <w:rFonts w:hint="default" w:ascii="Times New Roman" w:hAnsi="Times New Roman" w:cs="Times New Roman"/>
          <w:b w:val="0"/>
          <w:bCs w:val="0"/>
          <w:position w:val="4"/>
          <w:sz w:val="21"/>
          <w:szCs w:val="21"/>
          <w:highlight w:val="none"/>
        </w:rPr>
        <w:t>报价精确到小数点后两位。</w:t>
      </w: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default" w:ascii="Times New Roman" w:hAnsi="Times New Roman" w:cs="Times New Roman"/>
          <w:b w:val="0"/>
          <w:bCs w:val="0"/>
          <w:position w:val="4"/>
          <w:sz w:val="21"/>
          <w:szCs w:val="21"/>
          <w:highlight w:val="none"/>
        </w:rPr>
      </w:pPr>
      <w:r>
        <w:rPr>
          <w:rFonts w:hint="eastAsia" w:ascii="Times New Roman" w:hAnsi="Times New Roman" w:cs="Times New Roman"/>
          <w:b w:val="0"/>
          <w:bCs w:val="0"/>
          <w:position w:val="4"/>
          <w:sz w:val="21"/>
          <w:szCs w:val="21"/>
          <w:highlight w:val="none"/>
          <w:lang w:val="en-US" w:eastAsia="zh-CN"/>
        </w:rPr>
        <w:t xml:space="preserve">    </w:t>
      </w:r>
      <w:r>
        <w:rPr>
          <w:rFonts w:hint="eastAsia" w:cs="Times New Roman"/>
          <w:b w:val="0"/>
          <w:bCs w:val="0"/>
          <w:position w:val="4"/>
          <w:sz w:val="21"/>
          <w:szCs w:val="21"/>
          <w:highlight w:val="none"/>
          <w:lang w:val="en-US" w:eastAsia="zh-CN"/>
        </w:rPr>
        <w:t>2</w:t>
      </w:r>
      <w:r>
        <w:rPr>
          <w:rFonts w:hint="eastAsia" w:ascii="Times New Roman" w:hAnsi="Times New Roman" w:cs="Times New Roman"/>
          <w:b w:val="0"/>
          <w:bCs w:val="0"/>
          <w:position w:val="4"/>
          <w:sz w:val="21"/>
          <w:szCs w:val="21"/>
          <w:highlight w:val="none"/>
          <w:lang w:eastAsia="zh-CN"/>
        </w:rPr>
        <w:t>、</w:t>
      </w:r>
      <w:r>
        <w:rPr>
          <w:rFonts w:hint="default" w:ascii="Times New Roman" w:hAnsi="Times New Roman" w:cs="Times New Roman"/>
          <w:b w:val="0"/>
          <w:bCs w:val="0"/>
          <w:position w:val="4"/>
          <w:sz w:val="21"/>
          <w:szCs w:val="21"/>
          <w:highlight w:val="none"/>
        </w:rPr>
        <w:t>如果不提供详细分项报价将视为没有实质性响应</w:t>
      </w:r>
      <w:r>
        <w:rPr>
          <w:rFonts w:hint="eastAsia" w:ascii="Times New Roman" w:hAnsi="Times New Roman" w:cs="Times New Roman"/>
          <w:b w:val="0"/>
          <w:bCs w:val="0"/>
          <w:position w:val="4"/>
          <w:sz w:val="21"/>
          <w:szCs w:val="21"/>
          <w:highlight w:val="none"/>
          <w:lang w:eastAsia="zh-CN"/>
        </w:rPr>
        <w:t>招标</w:t>
      </w:r>
      <w:r>
        <w:rPr>
          <w:rFonts w:hint="default" w:ascii="Times New Roman" w:hAnsi="Times New Roman" w:cs="Times New Roman"/>
          <w:b w:val="0"/>
          <w:bCs w:val="0"/>
          <w:position w:val="4"/>
          <w:sz w:val="21"/>
          <w:szCs w:val="21"/>
          <w:highlight w:val="none"/>
        </w:rPr>
        <w:t>文件。</w:t>
      </w:r>
    </w:p>
    <w:p>
      <w:pPr>
        <w:keepNext w:val="0"/>
        <w:keepLines w:val="0"/>
        <w:pageBreakBefore w:val="0"/>
        <w:widowControl w:val="0"/>
        <w:kinsoku/>
        <w:wordWrap/>
        <w:overflowPunct/>
        <w:topLinePunct w:val="0"/>
        <w:autoSpaceDE/>
        <w:autoSpaceDN/>
        <w:bidi w:val="0"/>
        <w:adjustRightInd/>
        <w:snapToGrid/>
        <w:spacing w:line="312" w:lineRule="auto"/>
        <w:ind w:right="0" w:rightChars="0"/>
        <w:jc w:val="both"/>
        <w:textAlignment w:val="auto"/>
        <w:outlineLvl w:val="9"/>
        <w:rPr>
          <w:rFonts w:hint="default" w:ascii="Times New Roman" w:hAnsi="Times New Roman" w:cs="Times New Roman"/>
          <w:b w:val="0"/>
          <w:bCs w:val="0"/>
          <w:position w:val="4"/>
          <w:sz w:val="21"/>
          <w:szCs w:val="21"/>
          <w:highlight w:val="none"/>
        </w:rPr>
      </w:pPr>
      <w:r>
        <w:rPr>
          <w:rFonts w:hint="eastAsia" w:ascii="Times New Roman" w:hAnsi="Times New Roman" w:cs="Times New Roman"/>
          <w:b w:val="0"/>
          <w:bCs w:val="0"/>
          <w:position w:val="4"/>
          <w:sz w:val="21"/>
          <w:szCs w:val="21"/>
          <w:highlight w:val="none"/>
          <w:lang w:val="en-US" w:eastAsia="zh-CN"/>
        </w:rPr>
        <w:t xml:space="preserve">    </w:t>
      </w:r>
      <w:r>
        <w:rPr>
          <w:rFonts w:hint="eastAsia" w:cs="Times New Roman"/>
          <w:b w:val="0"/>
          <w:bCs w:val="0"/>
          <w:position w:val="4"/>
          <w:sz w:val="21"/>
          <w:szCs w:val="21"/>
          <w:highlight w:val="none"/>
          <w:lang w:val="en-US" w:eastAsia="zh-CN"/>
        </w:rPr>
        <w:t>3</w:t>
      </w:r>
      <w:r>
        <w:rPr>
          <w:rFonts w:hint="eastAsia" w:ascii="Times New Roman" w:hAnsi="Times New Roman" w:cs="Times New Roman"/>
          <w:b w:val="0"/>
          <w:bCs w:val="0"/>
          <w:position w:val="4"/>
          <w:sz w:val="21"/>
          <w:szCs w:val="21"/>
          <w:highlight w:val="none"/>
          <w:lang w:eastAsia="zh-CN"/>
        </w:rPr>
        <w:t>、</w:t>
      </w:r>
      <w:r>
        <w:rPr>
          <w:rFonts w:hint="default" w:ascii="Times New Roman" w:hAnsi="Times New Roman" w:cs="Times New Roman"/>
          <w:b w:val="0"/>
          <w:bCs w:val="0"/>
          <w:position w:val="4"/>
          <w:sz w:val="21"/>
          <w:szCs w:val="21"/>
          <w:highlight w:val="none"/>
        </w:rPr>
        <w:t>如果按单价计算的结果与总价不一致时，以单价为准修正总价。</w:t>
      </w: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highlight w:val="none"/>
          <w:lang w:val="en-US" w:eastAsia="zh-CN"/>
        </w:rPr>
      </w:pP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highlight w:val="none"/>
          <w:lang w:val="en-US" w:eastAsia="zh-CN"/>
        </w:rPr>
      </w:pP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highlight w:val="none"/>
          <w:lang w:val="en-US" w:eastAsia="zh-CN"/>
        </w:rPr>
      </w:pP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highlight w:val="none"/>
          <w:lang w:val="en-US" w:eastAsia="zh-CN"/>
        </w:rPr>
      </w:pPr>
      <w:r>
        <w:rPr>
          <w:rFonts w:hint="eastAsia" w:ascii="新宋体" w:hAnsi="新宋体"/>
          <w:b w:val="0"/>
          <w:color w:val="auto"/>
          <w:sz w:val="21"/>
          <w:szCs w:val="21"/>
          <w:highlight w:val="none"/>
          <w:lang w:val="en-US" w:eastAsia="zh-CN"/>
        </w:rPr>
        <w:t xml:space="preserve">                               </w:t>
      </w:r>
    </w:p>
    <w:p>
      <w:pPr>
        <w:pStyle w:val="68"/>
        <w:keepNext w:val="0"/>
        <w:keepLines w:val="0"/>
        <w:pageBreakBefore w:val="0"/>
        <w:kinsoku/>
        <w:wordWrap/>
        <w:overflowPunct/>
        <w:topLinePunct w:val="0"/>
        <w:autoSpaceDE/>
        <w:autoSpaceDN/>
        <w:bidi w:val="0"/>
        <w:adjustRightInd/>
        <w:snapToGrid/>
        <w:spacing w:line="360" w:lineRule="auto"/>
        <w:ind w:left="0" w:leftChars="0" w:right="0" w:rightChars="0" w:firstLine="3780" w:firstLineChars="1800"/>
        <w:jc w:val="left"/>
        <w:textAlignment w:val="auto"/>
        <w:rPr>
          <w:rFonts w:hint="eastAsia" w:ascii="新宋体" w:hAnsi="新宋体"/>
          <w:b w:val="0"/>
          <w:color w:val="auto"/>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投标人：</w:t>
      </w:r>
      <w:r>
        <w:rPr>
          <w:rFonts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rPr>
        <w:t xml:space="preserve">  （单位全称、盖章）   </w:t>
      </w:r>
    </w:p>
    <w:p>
      <w:pPr>
        <w:pStyle w:val="68"/>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新宋体" w:hAnsi="新宋体"/>
          <w:b w:val="0"/>
          <w:color w:val="auto"/>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法定代表人或授权代表：</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lang w:eastAsia="zh-CN"/>
        </w:rPr>
        <w:t>盖章或签字</w:t>
      </w:r>
      <w:r>
        <w:rPr>
          <w:rFonts w:hint="eastAsia" w:ascii="新宋体" w:hAnsi="新宋体"/>
          <w:b w:val="0"/>
          <w:color w:val="auto"/>
          <w:sz w:val="21"/>
          <w:szCs w:val="21"/>
          <w:highlight w:val="none"/>
          <w:u w:val="single"/>
        </w:rPr>
        <w:t xml:space="preserve">）    </w:t>
      </w:r>
    </w:p>
    <w:p>
      <w:pPr>
        <w:bidi w:val="0"/>
        <w:spacing w:line="360" w:lineRule="auto"/>
        <w:rPr>
          <w:rFonts w:hint="eastAsia" w:ascii="宋体" w:hAnsi="宋体" w:cs="宋体"/>
          <w:b/>
          <w:bCs/>
          <w:color w:val="000000"/>
          <w:sz w:val="36"/>
          <w:szCs w:val="36"/>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投标日期：</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年</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月</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日</w:t>
      </w:r>
    </w:p>
    <w:bookmarkEnd w:id="39"/>
    <w:p>
      <w:pPr>
        <w:rPr>
          <w:rFonts w:hint="eastAsia" w:ascii="宋体" w:hAnsi="宋体" w:cs="宋体"/>
          <w:b/>
          <w:bCs/>
          <w:color w:val="000000"/>
          <w:sz w:val="36"/>
          <w:szCs w:val="36"/>
          <w:highlight w:val="none"/>
          <w:lang w:val="en-US" w:eastAsia="zh-CN"/>
        </w:rPr>
      </w:pPr>
      <w:r>
        <w:rPr>
          <w:rFonts w:hint="eastAsia" w:ascii="宋体" w:hAnsi="宋体" w:cs="宋体"/>
          <w:b/>
          <w:bCs/>
          <w:color w:val="000000"/>
          <w:sz w:val="36"/>
          <w:szCs w:val="36"/>
          <w:highlight w:val="none"/>
          <w:lang w:val="en-US" w:eastAsia="zh-CN"/>
        </w:rPr>
        <w:br w:type="page"/>
      </w:r>
    </w:p>
    <w:p>
      <w:pPr>
        <w:spacing w:line="600" w:lineRule="exact"/>
        <w:jc w:val="center"/>
        <w:rPr>
          <w:rFonts w:hint="eastAsia" w:ascii="宋体" w:hAnsi="宋体" w:cs="宋体"/>
          <w:b/>
          <w:bCs/>
          <w:color w:val="000000"/>
          <w:sz w:val="36"/>
          <w:szCs w:val="36"/>
        </w:rPr>
      </w:pPr>
      <w:r>
        <w:rPr>
          <w:rFonts w:hint="eastAsia" w:ascii="宋体" w:hAnsi="宋体" w:cs="宋体"/>
          <w:b/>
          <w:bCs/>
          <w:color w:val="000000"/>
          <w:sz w:val="36"/>
          <w:szCs w:val="36"/>
        </w:rPr>
        <w:t>四、选配件报价表</w:t>
      </w:r>
      <w:r>
        <w:rPr>
          <w:rFonts w:hint="eastAsia" w:ascii="宋体" w:hAnsi="宋体" w:cs="宋体"/>
          <w:b/>
          <w:bCs/>
          <w:color w:val="000000"/>
          <w:sz w:val="36"/>
          <w:szCs w:val="36"/>
          <w:lang w:eastAsia="zh-CN"/>
        </w:rPr>
        <w:t>（若有）</w:t>
      </w:r>
    </w:p>
    <w:p>
      <w:pPr>
        <w:numPr>
          <w:ilvl w:val="0"/>
          <w:numId w:val="0"/>
        </w:numPr>
        <w:spacing w:line="560" w:lineRule="exact"/>
        <w:jc w:val="both"/>
        <w:rPr>
          <w:rFonts w:hint="eastAsia" w:ascii="宋体" w:hAnsi="宋体" w:cs="宋体"/>
          <w:b/>
          <w:bCs/>
          <w:color w:val="000000"/>
          <w:sz w:val="36"/>
          <w:szCs w:val="36"/>
        </w:rPr>
      </w:pPr>
      <w:r>
        <w:rPr>
          <w:rFonts w:hint="eastAsia" w:ascii="宋体" w:hAnsi="宋体"/>
          <w:szCs w:val="21"/>
          <w:lang w:eastAsia="zh-CN"/>
        </w:rPr>
        <w:t>投标人名称：</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项目编号：</w:t>
      </w:r>
      <w:r>
        <w:rPr>
          <w:rFonts w:hint="eastAsia" w:ascii="宋体" w:hAnsi="宋体"/>
          <w:szCs w:val="21"/>
          <w:u w:val="single"/>
          <w:lang w:val="en-US" w:eastAsia="zh-CN"/>
        </w:rPr>
        <w:t xml:space="preserve">              </w:t>
      </w:r>
    </w:p>
    <w:tbl>
      <w:tblPr>
        <w:tblStyle w:val="38"/>
        <w:tblW w:w="9210" w:type="dxa"/>
        <w:tblInd w:w="6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5"/>
        <w:gridCol w:w="775"/>
        <w:gridCol w:w="775"/>
        <w:gridCol w:w="1320"/>
        <w:gridCol w:w="1140"/>
        <w:gridCol w:w="1230"/>
        <w:gridCol w:w="1320"/>
        <w:gridCol w:w="1125"/>
        <w:gridCol w:w="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75"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序号</w:t>
            </w:r>
          </w:p>
        </w:tc>
        <w:tc>
          <w:tcPr>
            <w:tcW w:w="775"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名称</w:t>
            </w:r>
          </w:p>
        </w:tc>
        <w:tc>
          <w:tcPr>
            <w:tcW w:w="775"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品牌</w:t>
            </w:r>
          </w:p>
        </w:tc>
        <w:tc>
          <w:tcPr>
            <w:tcW w:w="1320"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型号和规格</w:t>
            </w:r>
          </w:p>
        </w:tc>
        <w:tc>
          <w:tcPr>
            <w:tcW w:w="1140"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制造厂家</w:t>
            </w:r>
          </w:p>
        </w:tc>
        <w:tc>
          <w:tcPr>
            <w:tcW w:w="1230"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单位/数量</w:t>
            </w:r>
          </w:p>
        </w:tc>
        <w:tc>
          <w:tcPr>
            <w:tcW w:w="1320"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单价（元）</w:t>
            </w:r>
          </w:p>
        </w:tc>
        <w:tc>
          <w:tcPr>
            <w:tcW w:w="1125"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总价（元）</w:t>
            </w:r>
          </w:p>
        </w:tc>
        <w:tc>
          <w:tcPr>
            <w:tcW w:w="750" w:type="dxa"/>
            <w:tcBorders>
              <w:tl2br w:val="nil"/>
              <w:tr2bl w:val="nil"/>
            </w:tcBorders>
            <w:vAlign w:val="center"/>
          </w:tcPr>
          <w:p>
            <w:pPr>
              <w:spacing w:line="300" w:lineRule="exact"/>
              <w:jc w:val="center"/>
              <w:rPr>
                <w:rFonts w:hint="eastAsia" w:ascii="宋体" w:hAnsi="宋体"/>
                <w:b/>
                <w:bCs/>
                <w:position w:val="4"/>
                <w:sz w:val="32"/>
                <w:szCs w:val="32"/>
                <w:vertAlign w:val="baseline"/>
              </w:rPr>
            </w:pPr>
            <w:r>
              <w:rPr>
                <w:rFonts w:hint="eastAsia" w:ascii="新宋体" w:hAnsi="新宋体" w:cs="新宋体"/>
                <w:b/>
                <w:color w:val="auto"/>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40" w:type="dxa"/>
            <w:tcBorders>
              <w:tl2br w:val="nil"/>
              <w:tr2bl w:val="nil"/>
            </w:tcBorders>
          </w:tcPr>
          <w:p>
            <w:pPr>
              <w:spacing w:line="560" w:lineRule="exact"/>
              <w:rPr>
                <w:rFonts w:hint="eastAsia" w:ascii="宋体" w:hAnsi="宋体"/>
                <w:b/>
                <w:bCs/>
                <w:position w:val="4"/>
                <w:sz w:val="32"/>
                <w:szCs w:val="32"/>
                <w:vertAlign w:val="baseline"/>
              </w:rPr>
            </w:pPr>
          </w:p>
        </w:tc>
        <w:tc>
          <w:tcPr>
            <w:tcW w:w="1230"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25" w:type="dxa"/>
            <w:tcBorders>
              <w:tl2br w:val="nil"/>
              <w:tr2bl w:val="nil"/>
            </w:tcBorders>
          </w:tcPr>
          <w:p>
            <w:pPr>
              <w:spacing w:line="560" w:lineRule="exact"/>
              <w:rPr>
                <w:rFonts w:hint="eastAsia" w:ascii="宋体" w:hAnsi="宋体"/>
                <w:b/>
                <w:bCs/>
                <w:position w:val="4"/>
                <w:sz w:val="32"/>
                <w:szCs w:val="32"/>
                <w:vertAlign w:val="baseline"/>
              </w:rPr>
            </w:pPr>
          </w:p>
        </w:tc>
        <w:tc>
          <w:tcPr>
            <w:tcW w:w="750" w:type="dxa"/>
            <w:tcBorders>
              <w:tl2br w:val="nil"/>
              <w:tr2bl w:val="nil"/>
            </w:tcBorders>
          </w:tcPr>
          <w:p>
            <w:pPr>
              <w:spacing w:line="560" w:lineRule="exact"/>
              <w:rPr>
                <w:rFonts w:hint="eastAsia" w:ascii="宋体" w:hAnsi="宋体"/>
                <w:b/>
                <w:bCs/>
                <w:position w:val="4"/>
                <w:sz w:val="32"/>
                <w:szCs w:val="32"/>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40" w:type="dxa"/>
            <w:tcBorders>
              <w:tl2br w:val="nil"/>
              <w:tr2bl w:val="nil"/>
            </w:tcBorders>
          </w:tcPr>
          <w:p>
            <w:pPr>
              <w:spacing w:line="560" w:lineRule="exact"/>
              <w:rPr>
                <w:rFonts w:hint="eastAsia" w:ascii="宋体" w:hAnsi="宋体"/>
                <w:b/>
                <w:bCs/>
                <w:position w:val="4"/>
                <w:sz w:val="32"/>
                <w:szCs w:val="32"/>
                <w:vertAlign w:val="baseline"/>
              </w:rPr>
            </w:pPr>
          </w:p>
        </w:tc>
        <w:tc>
          <w:tcPr>
            <w:tcW w:w="1230"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25" w:type="dxa"/>
            <w:tcBorders>
              <w:tl2br w:val="nil"/>
              <w:tr2bl w:val="nil"/>
            </w:tcBorders>
          </w:tcPr>
          <w:p>
            <w:pPr>
              <w:spacing w:line="560" w:lineRule="exact"/>
              <w:rPr>
                <w:rFonts w:hint="eastAsia" w:ascii="宋体" w:hAnsi="宋体"/>
                <w:b/>
                <w:bCs/>
                <w:position w:val="4"/>
                <w:sz w:val="32"/>
                <w:szCs w:val="32"/>
                <w:vertAlign w:val="baseline"/>
              </w:rPr>
            </w:pPr>
          </w:p>
        </w:tc>
        <w:tc>
          <w:tcPr>
            <w:tcW w:w="750" w:type="dxa"/>
            <w:tcBorders>
              <w:tl2br w:val="nil"/>
              <w:tr2bl w:val="nil"/>
            </w:tcBorders>
          </w:tcPr>
          <w:p>
            <w:pPr>
              <w:spacing w:line="560" w:lineRule="exact"/>
              <w:rPr>
                <w:rFonts w:hint="eastAsia" w:ascii="宋体" w:hAnsi="宋体"/>
                <w:b/>
                <w:bCs/>
                <w:position w:val="4"/>
                <w:sz w:val="32"/>
                <w:szCs w:val="32"/>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40" w:type="dxa"/>
            <w:tcBorders>
              <w:tl2br w:val="nil"/>
              <w:tr2bl w:val="nil"/>
            </w:tcBorders>
          </w:tcPr>
          <w:p>
            <w:pPr>
              <w:spacing w:line="560" w:lineRule="exact"/>
              <w:rPr>
                <w:rFonts w:hint="eastAsia" w:ascii="宋体" w:hAnsi="宋体"/>
                <w:b/>
                <w:bCs/>
                <w:position w:val="4"/>
                <w:sz w:val="32"/>
                <w:szCs w:val="32"/>
                <w:vertAlign w:val="baseline"/>
              </w:rPr>
            </w:pPr>
          </w:p>
        </w:tc>
        <w:tc>
          <w:tcPr>
            <w:tcW w:w="1230"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25" w:type="dxa"/>
            <w:tcBorders>
              <w:tl2br w:val="nil"/>
              <w:tr2bl w:val="nil"/>
            </w:tcBorders>
          </w:tcPr>
          <w:p>
            <w:pPr>
              <w:spacing w:line="560" w:lineRule="exact"/>
              <w:rPr>
                <w:rFonts w:hint="eastAsia" w:ascii="宋体" w:hAnsi="宋体"/>
                <w:b/>
                <w:bCs/>
                <w:position w:val="4"/>
                <w:sz w:val="32"/>
                <w:szCs w:val="32"/>
                <w:vertAlign w:val="baseline"/>
              </w:rPr>
            </w:pPr>
          </w:p>
        </w:tc>
        <w:tc>
          <w:tcPr>
            <w:tcW w:w="750" w:type="dxa"/>
            <w:tcBorders>
              <w:tl2br w:val="nil"/>
              <w:tr2bl w:val="nil"/>
            </w:tcBorders>
          </w:tcPr>
          <w:p>
            <w:pPr>
              <w:spacing w:line="560" w:lineRule="exact"/>
              <w:rPr>
                <w:rFonts w:hint="eastAsia" w:ascii="宋体" w:hAnsi="宋体"/>
                <w:b/>
                <w:bCs/>
                <w:position w:val="4"/>
                <w:sz w:val="32"/>
                <w:szCs w:val="32"/>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40" w:type="dxa"/>
            <w:tcBorders>
              <w:tl2br w:val="nil"/>
              <w:tr2bl w:val="nil"/>
            </w:tcBorders>
          </w:tcPr>
          <w:p>
            <w:pPr>
              <w:spacing w:line="560" w:lineRule="exact"/>
              <w:rPr>
                <w:rFonts w:hint="eastAsia" w:ascii="宋体" w:hAnsi="宋体"/>
                <w:b/>
                <w:bCs/>
                <w:position w:val="4"/>
                <w:sz w:val="32"/>
                <w:szCs w:val="32"/>
                <w:vertAlign w:val="baseline"/>
              </w:rPr>
            </w:pPr>
          </w:p>
        </w:tc>
        <w:tc>
          <w:tcPr>
            <w:tcW w:w="1230"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25" w:type="dxa"/>
            <w:tcBorders>
              <w:tl2br w:val="nil"/>
              <w:tr2bl w:val="nil"/>
            </w:tcBorders>
          </w:tcPr>
          <w:p>
            <w:pPr>
              <w:spacing w:line="560" w:lineRule="exact"/>
              <w:rPr>
                <w:rFonts w:hint="eastAsia" w:ascii="宋体" w:hAnsi="宋体"/>
                <w:b/>
                <w:bCs/>
                <w:position w:val="4"/>
                <w:sz w:val="32"/>
                <w:szCs w:val="32"/>
                <w:vertAlign w:val="baseline"/>
              </w:rPr>
            </w:pPr>
          </w:p>
        </w:tc>
        <w:tc>
          <w:tcPr>
            <w:tcW w:w="750" w:type="dxa"/>
            <w:tcBorders>
              <w:tl2br w:val="nil"/>
              <w:tr2bl w:val="nil"/>
            </w:tcBorders>
          </w:tcPr>
          <w:p>
            <w:pPr>
              <w:spacing w:line="560" w:lineRule="exact"/>
              <w:rPr>
                <w:rFonts w:hint="eastAsia" w:ascii="宋体" w:hAnsi="宋体"/>
                <w:b/>
                <w:bCs/>
                <w:position w:val="4"/>
                <w:sz w:val="32"/>
                <w:szCs w:val="32"/>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40" w:type="dxa"/>
            <w:tcBorders>
              <w:tl2br w:val="nil"/>
              <w:tr2bl w:val="nil"/>
            </w:tcBorders>
          </w:tcPr>
          <w:p>
            <w:pPr>
              <w:spacing w:line="560" w:lineRule="exact"/>
              <w:rPr>
                <w:rFonts w:hint="eastAsia" w:ascii="宋体" w:hAnsi="宋体"/>
                <w:b/>
                <w:bCs/>
                <w:position w:val="4"/>
                <w:sz w:val="32"/>
                <w:szCs w:val="32"/>
                <w:vertAlign w:val="baseline"/>
              </w:rPr>
            </w:pPr>
          </w:p>
        </w:tc>
        <w:tc>
          <w:tcPr>
            <w:tcW w:w="1230"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25" w:type="dxa"/>
            <w:tcBorders>
              <w:tl2br w:val="nil"/>
              <w:tr2bl w:val="nil"/>
            </w:tcBorders>
          </w:tcPr>
          <w:p>
            <w:pPr>
              <w:spacing w:line="560" w:lineRule="exact"/>
              <w:rPr>
                <w:rFonts w:hint="eastAsia" w:ascii="宋体" w:hAnsi="宋体"/>
                <w:b/>
                <w:bCs/>
                <w:position w:val="4"/>
                <w:sz w:val="32"/>
                <w:szCs w:val="32"/>
                <w:vertAlign w:val="baseline"/>
              </w:rPr>
            </w:pPr>
          </w:p>
        </w:tc>
        <w:tc>
          <w:tcPr>
            <w:tcW w:w="750" w:type="dxa"/>
            <w:tcBorders>
              <w:tl2br w:val="nil"/>
              <w:tr2bl w:val="nil"/>
            </w:tcBorders>
          </w:tcPr>
          <w:p>
            <w:pPr>
              <w:spacing w:line="560" w:lineRule="exact"/>
              <w:rPr>
                <w:rFonts w:hint="eastAsia" w:ascii="宋体" w:hAnsi="宋体"/>
                <w:b/>
                <w:bCs/>
                <w:position w:val="4"/>
                <w:sz w:val="32"/>
                <w:szCs w:val="32"/>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775"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40" w:type="dxa"/>
            <w:tcBorders>
              <w:tl2br w:val="nil"/>
              <w:tr2bl w:val="nil"/>
            </w:tcBorders>
          </w:tcPr>
          <w:p>
            <w:pPr>
              <w:spacing w:line="560" w:lineRule="exact"/>
              <w:rPr>
                <w:rFonts w:hint="eastAsia" w:ascii="宋体" w:hAnsi="宋体"/>
                <w:b/>
                <w:bCs/>
                <w:position w:val="4"/>
                <w:sz w:val="32"/>
                <w:szCs w:val="32"/>
                <w:vertAlign w:val="baseline"/>
              </w:rPr>
            </w:pPr>
          </w:p>
        </w:tc>
        <w:tc>
          <w:tcPr>
            <w:tcW w:w="1230" w:type="dxa"/>
            <w:tcBorders>
              <w:tl2br w:val="nil"/>
              <w:tr2bl w:val="nil"/>
            </w:tcBorders>
          </w:tcPr>
          <w:p>
            <w:pPr>
              <w:spacing w:line="560" w:lineRule="exact"/>
              <w:rPr>
                <w:rFonts w:hint="eastAsia" w:ascii="宋体" w:hAnsi="宋体"/>
                <w:b/>
                <w:bCs/>
                <w:position w:val="4"/>
                <w:sz w:val="32"/>
                <w:szCs w:val="32"/>
                <w:vertAlign w:val="baseline"/>
              </w:rPr>
            </w:pPr>
          </w:p>
        </w:tc>
        <w:tc>
          <w:tcPr>
            <w:tcW w:w="1320" w:type="dxa"/>
            <w:tcBorders>
              <w:tl2br w:val="nil"/>
              <w:tr2bl w:val="nil"/>
            </w:tcBorders>
          </w:tcPr>
          <w:p>
            <w:pPr>
              <w:spacing w:line="560" w:lineRule="exact"/>
              <w:rPr>
                <w:rFonts w:hint="eastAsia" w:ascii="宋体" w:hAnsi="宋体"/>
                <w:b/>
                <w:bCs/>
                <w:position w:val="4"/>
                <w:sz w:val="32"/>
                <w:szCs w:val="32"/>
                <w:vertAlign w:val="baseline"/>
              </w:rPr>
            </w:pPr>
          </w:p>
        </w:tc>
        <w:tc>
          <w:tcPr>
            <w:tcW w:w="1125" w:type="dxa"/>
            <w:tcBorders>
              <w:tl2br w:val="nil"/>
              <w:tr2bl w:val="nil"/>
            </w:tcBorders>
          </w:tcPr>
          <w:p>
            <w:pPr>
              <w:spacing w:line="560" w:lineRule="exact"/>
              <w:rPr>
                <w:rFonts w:hint="eastAsia" w:ascii="宋体" w:hAnsi="宋体"/>
                <w:b/>
                <w:bCs/>
                <w:position w:val="4"/>
                <w:sz w:val="32"/>
                <w:szCs w:val="32"/>
                <w:vertAlign w:val="baseline"/>
              </w:rPr>
            </w:pPr>
          </w:p>
        </w:tc>
        <w:tc>
          <w:tcPr>
            <w:tcW w:w="750" w:type="dxa"/>
            <w:tcBorders>
              <w:tl2br w:val="nil"/>
              <w:tr2bl w:val="nil"/>
            </w:tcBorders>
          </w:tcPr>
          <w:p>
            <w:pPr>
              <w:spacing w:line="560" w:lineRule="exact"/>
              <w:rPr>
                <w:rFonts w:hint="eastAsia" w:ascii="宋体" w:hAnsi="宋体"/>
                <w:b/>
                <w:bCs/>
                <w:position w:val="4"/>
                <w:sz w:val="32"/>
                <w:szCs w:val="32"/>
                <w:vertAlign w:val="baseline"/>
              </w:rPr>
            </w:pPr>
          </w:p>
        </w:tc>
      </w:tr>
    </w:tbl>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cs="Times New Roman"/>
          <w:b w:val="0"/>
          <w:bCs w:val="0"/>
          <w:position w:val="4"/>
          <w:sz w:val="21"/>
          <w:szCs w:val="21"/>
          <w:lang w:eastAsia="zh-CN"/>
        </w:rPr>
      </w:pPr>
      <w:r>
        <w:rPr>
          <w:rFonts w:hint="eastAsia" w:ascii="Times New Roman" w:hAnsi="Times New Roman" w:cs="Times New Roman"/>
          <w:b w:val="0"/>
          <w:bCs w:val="0"/>
          <w:position w:val="4"/>
          <w:sz w:val="21"/>
          <w:szCs w:val="21"/>
          <w:lang w:eastAsia="zh-CN"/>
        </w:rPr>
        <w:t>注：投标人需填写所有设备的备品备件清单。</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cs="Times New Roman"/>
          <w:b w:val="0"/>
          <w:bCs w:val="0"/>
          <w:position w:val="4"/>
          <w:sz w:val="21"/>
          <w:szCs w:val="21"/>
          <w:lang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firstLine="420"/>
        <w:jc w:val="both"/>
        <w:textAlignment w:val="auto"/>
        <w:outlineLvl w:val="9"/>
        <w:rPr>
          <w:rFonts w:hint="eastAsia" w:ascii="Times New Roman" w:hAnsi="Times New Roman" w:cs="Times New Roman"/>
          <w:b w:val="0"/>
          <w:bCs w:val="0"/>
          <w:position w:val="4"/>
          <w:sz w:val="21"/>
          <w:szCs w:val="21"/>
          <w:lang w:eastAsia="zh-CN"/>
        </w:rPr>
      </w:pPr>
    </w:p>
    <w:p>
      <w:pPr>
        <w:pStyle w:val="68"/>
        <w:keepNext w:val="0"/>
        <w:keepLines w:val="0"/>
        <w:pageBreakBefore w:val="0"/>
        <w:kinsoku/>
        <w:wordWrap/>
        <w:overflowPunct/>
        <w:topLinePunct w:val="0"/>
        <w:autoSpaceDE/>
        <w:autoSpaceDN/>
        <w:bidi w:val="0"/>
        <w:adjustRightInd/>
        <w:snapToGrid/>
        <w:spacing w:line="500" w:lineRule="exact"/>
        <w:ind w:right="0" w:rightChars="0" w:firstLine="4830" w:firstLineChars="2300"/>
        <w:jc w:val="left"/>
        <w:textAlignment w:val="auto"/>
        <w:rPr>
          <w:rFonts w:hint="eastAsia" w:ascii="新宋体" w:hAnsi="新宋体"/>
          <w:b w:val="0"/>
          <w:color w:val="auto"/>
          <w:sz w:val="21"/>
          <w:szCs w:val="21"/>
        </w:rPr>
      </w:pPr>
      <w:r>
        <w:rPr>
          <w:rFonts w:hint="eastAsia" w:ascii="新宋体" w:hAnsi="新宋体"/>
          <w:b w:val="0"/>
          <w:color w:val="auto"/>
          <w:sz w:val="21"/>
          <w:szCs w:val="21"/>
        </w:rPr>
        <w:t>投标人：</w:t>
      </w:r>
      <w:r>
        <w:rPr>
          <w:rFonts w:ascii="新宋体" w:hAnsi="新宋体"/>
          <w:b w:val="0"/>
          <w:color w:val="auto"/>
          <w:sz w:val="21"/>
          <w:szCs w:val="21"/>
          <w:u w:val="single"/>
        </w:rPr>
        <w:t xml:space="preserve">             </w:t>
      </w:r>
      <w:r>
        <w:rPr>
          <w:rFonts w:hint="eastAsia" w:ascii="新宋体" w:hAnsi="新宋体"/>
          <w:b w:val="0"/>
          <w:color w:val="auto"/>
          <w:sz w:val="21"/>
          <w:szCs w:val="21"/>
          <w:u w:val="single"/>
        </w:rPr>
        <w:t xml:space="preserve">  （单位全称、盖章）   </w:t>
      </w: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rPr>
      </w:pPr>
      <w:r>
        <w:rPr>
          <w:rFonts w:hint="eastAsia" w:ascii="新宋体" w:hAnsi="新宋体"/>
          <w:b w:val="0"/>
          <w:color w:val="auto"/>
          <w:sz w:val="21"/>
          <w:szCs w:val="21"/>
          <w:lang w:val="en-US" w:eastAsia="zh-CN"/>
        </w:rPr>
        <w:t xml:space="preserve">                                             </w:t>
      </w:r>
      <w:r>
        <w:rPr>
          <w:rFonts w:hint="eastAsia" w:ascii="新宋体" w:hAnsi="新宋体"/>
          <w:b w:val="0"/>
          <w:color w:val="auto"/>
          <w:sz w:val="21"/>
          <w:szCs w:val="21"/>
        </w:rPr>
        <w:t>法定代表人或授权代表：</w:t>
      </w:r>
      <w:r>
        <w:rPr>
          <w:rFonts w:hint="eastAsia" w:ascii="新宋体" w:hAnsi="新宋体"/>
          <w:b w:val="0"/>
          <w:color w:val="auto"/>
          <w:sz w:val="21"/>
          <w:szCs w:val="21"/>
          <w:u w:val="single"/>
        </w:rPr>
        <w:t xml:space="preserve">     （</w:t>
      </w:r>
      <w:r>
        <w:rPr>
          <w:rFonts w:hint="eastAsia" w:ascii="新宋体" w:hAnsi="新宋体"/>
          <w:b w:val="0"/>
          <w:color w:val="auto"/>
          <w:sz w:val="21"/>
          <w:szCs w:val="21"/>
          <w:u w:val="single"/>
          <w:lang w:eastAsia="zh-CN"/>
        </w:rPr>
        <w:t>盖章或签字</w:t>
      </w:r>
      <w:r>
        <w:rPr>
          <w:rFonts w:hint="eastAsia" w:ascii="新宋体" w:hAnsi="新宋体"/>
          <w:b w:val="0"/>
          <w:color w:val="auto"/>
          <w:sz w:val="21"/>
          <w:szCs w:val="21"/>
          <w:u w:val="single"/>
        </w:rPr>
        <w:t xml:space="preserve">）    </w:t>
      </w:r>
    </w:p>
    <w:p>
      <w:pPr>
        <w:spacing w:line="440" w:lineRule="exact"/>
        <w:rPr>
          <w:rFonts w:hint="eastAsia"/>
          <w:szCs w:val="21"/>
        </w:rPr>
      </w:pPr>
      <w:r>
        <w:rPr>
          <w:rFonts w:hint="eastAsia" w:ascii="新宋体" w:hAnsi="新宋体"/>
          <w:b w:val="0"/>
          <w:color w:val="auto"/>
          <w:sz w:val="21"/>
          <w:szCs w:val="21"/>
          <w:lang w:val="en-US" w:eastAsia="zh-CN"/>
        </w:rPr>
        <w:t xml:space="preserve">                                             </w:t>
      </w:r>
      <w:r>
        <w:rPr>
          <w:rFonts w:hint="eastAsia" w:ascii="新宋体" w:hAnsi="新宋体"/>
          <w:b w:val="0"/>
          <w:color w:val="auto"/>
          <w:sz w:val="21"/>
          <w:szCs w:val="21"/>
        </w:rPr>
        <w:t>投标日期：</w:t>
      </w:r>
      <w:r>
        <w:rPr>
          <w:rFonts w:hint="eastAsia" w:ascii="新宋体" w:hAnsi="新宋体"/>
          <w:b w:val="0"/>
          <w:color w:val="auto"/>
          <w:sz w:val="21"/>
          <w:szCs w:val="21"/>
          <w:u w:val="single"/>
        </w:rPr>
        <w:t xml:space="preserve">        </w:t>
      </w:r>
      <w:r>
        <w:rPr>
          <w:rFonts w:hint="eastAsia" w:ascii="新宋体" w:hAnsi="新宋体"/>
          <w:b w:val="0"/>
          <w:color w:val="auto"/>
          <w:sz w:val="21"/>
          <w:szCs w:val="21"/>
        </w:rPr>
        <w:t>年</w:t>
      </w:r>
      <w:r>
        <w:rPr>
          <w:rFonts w:hint="eastAsia" w:ascii="新宋体" w:hAnsi="新宋体"/>
          <w:b w:val="0"/>
          <w:color w:val="auto"/>
          <w:sz w:val="21"/>
          <w:szCs w:val="21"/>
          <w:u w:val="single"/>
        </w:rPr>
        <w:t xml:space="preserve">    </w:t>
      </w:r>
      <w:r>
        <w:rPr>
          <w:rFonts w:hint="eastAsia" w:ascii="新宋体" w:hAnsi="新宋体"/>
          <w:b w:val="0"/>
          <w:color w:val="auto"/>
          <w:sz w:val="21"/>
          <w:szCs w:val="21"/>
        </w:rPr>
        <w:t>月</w:t>
      </w:r>
      <w:r>
        <w:rPr>
          <w:rFonts w:hint="eastAsia" w:ascii="新宋体" w:hAnsi="新宋体"/>
          <w:b w:val="0"/>
          <w:color w:val="auto"/>
          <w:sz w:val="21"/>
          <w:szCs w:val="21"/>
          <w:u w:val="single"/>
        </w:rPr>
        <w:t xml:space="preserve">    </w:t>
      </w:r>
      <w:r>
        <w:rPr>
          <w:rFonts w:hint="eastAsia" w:ascii="新宋体" w:hAnsi="新宋体"/>
          <w:b w:val="0"/>
          <w:color w:val="auto"/>
          <w:sz w:val="21"/>
          <w:szCs w:val="21"/>
        </w:rPr>
        <w:t>日</w:t>
      </w:r>
    </w:p>
    <w:p>
      <w:pPr>
        <w:rPr>
          <w:rFonts w:hint="eastAsia" w:ascii="宋体" w:hAnsi="宋体" w:cs="宋体"/>
          <w:b/>
          <w:bCs/>
          <w:color w:val="000000"/>
          <w:sz w:val="36"/>
          <w:szCs w:val="36"/>
          <w:lang w:eastAsia="zh-CN"/>
        </w:rPr>
      </w:pPr>
      <w:r>
        <w:rPr>
          <w:rFonts w:hint="eastAsia" w:ascii="宋体" w:hAnsi="宋体" w:cs="宋体"/>
          <w:b/>
          <w:bCs/>
          <w:color w:val="000000"/>
          <w:sz w:val="36"/>
          <w:szCs w:val="36"/>
          <w:lang w:eastAsia="zh-CN"/>
        </w:rPr>
        <w:br w:type="page"/>
      </w:r>
    </w:p>
    <w:p>
      <w:pPr>
        <w:spacing w:line="560" w:lineRule="exact"/>
        <w:jc w:val="center"/>
        <w:rPr>
          <w:rFonts w:hint="eastAsia" w:ascii="宋体" w:hAnsi="宋体" w:cs="宋体"/>
          <w:b/>
          <w:bCs/>
          <w:color w:val="000000"/>
          <w:sz w:val="36"/>
          <w:szCs w:val="36"/>
          <w:highlight w:val="none"/>
        </w:rPr>
      </w:pPr>
      <w:r>
        <w:rPr>
          <w:rFonts w:hint="eastAsia" w:ascii="宋体" w:hAnsi="宋体" w:cs="宋体"/>
          <w:b/>
          <w:bCs/>
          <w:color w:val="000000"/>
          <w:sz w:val="36"/>
          <w:szCs w:val="36"/>
          <w:highlight w:val="none"/>
          <w:lang w:val="en-US" w:eastAsia="zh-CN"/>
        </w:rPr>
        <w:t>五</w:t>
      </w:r>
      <w:r>
        <w:rPr>
          <w:rFonts w:hint="eastAsia" w:ascii="宋体" w:hAnsi="宋体" w:cs="宋体"/>
          <w:b/>
          <w:bCs/>
          <w:color w:val="000000"/>
          <w:sz w:val="36"/>
          <w:szCs w:val="36"/>
          <w:highlight w:val="none"/>
        </w:rPr>
        <w:t>、</w:t>
      </w:r>
      <w:r>
        <w:rPr>
          <w:rFonts w:hint="eastAsia" w:ascii="宋体" w:hAnsi="宋体" w:cs="宋体"/>
          <w:b/>
          <w:bCs/>
          <w:color w:val="000000"/>
          <w:sz w:val="36"/>
          <w:szCs w:val="36"/>
          <w:highlight w:val="none"/>
          <w:lang w:eastAsia="zh-CN"/>
        </w:rPr>
        <w:t>资格文件</w:t>
      </w:r>
    </w:p>
    <w:p>
      <w:pPr>
        <w:spacing w:line="440" w:lineRule="exact"/>
        <w:rPr>
          <w:rFonts w:hint="eastAsia"/>
          <w:szCs w:val="21"/>
          <w:highlight w:val="none"/>
        </w:rPr>
      </w:pPr>
      <w:r>
        <w:rPr>
          <w:rFonts w:hint="eastAsia" w:ascii="新宋体" w:hAnsi="新宋体" w:cs="新宋体"/>
          <w:b/>
          <w:color w:val="auto"/>
          <w:sz w:val="28"/>
          <w:szCs w:val="28"/>
          <w:highlight w:val="none"/>
          <w:lang w:val="en-US" w:eastAsia="zh-CN"/>
        </w:rPr>
        <w:t>1、</w:t>
      </w:r>
      <w:r>
        <w:rPr>
          <w:rFonts w:hint="eastAsia" w:ascii="新宋体" w:hAnsi="新宋体" w:cs="新宋体"/>
          <w:b/>
          <w:color w:val="auto"/>
          <w:sz w:val="28"/>
          <w:szCs w:val="28"/>
          <w:highlight w:val="none"/>
        </w:rPr>
        <w:t>投标人基本情况表</w:t>
      </w:r>
    </w:p>
    <w:tbl>
      <w:tblPr>
        <w:tblStyle w:val="38"/>
        <w:tblW w:w="940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2049"/>
        <w:gridCol w:w="1880"/>
        <w:gridCol w:w="1880"/>
        <w:gridCol w:w="18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711"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投标人名称</w:t>
            </w:r>
          </w:p>
        </w:tc>
        <w:tc>
          <w:tcPr>
            <w:tcW w:w="7690" w:type="dxa"/>
            <w:gridSpan w:val="4"/>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711"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注册地址</w:t>
            </w:r>
          </w:p>
        </w:tc>
        <w:tc>
          <w:tcPr>
            <w:tcW w:w="3929" w:type="dxa"/>
            <w:gridSpan w:val="2"/>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邮政编码</w:t>
            </w:r>
          </w:p>
        </w:tc>
        <w:tc>
          <w:tcPr>
            <w:tcW w:w="1881" w:type="dxa"/>
            <w:tcBorders>
              <w:tl2br w:val="nil"/>
              <w:tr2bl w:val="nil"/>
            </w:tcBorders>
            <w:vAlign w:val="center"/>
          </w:tcPr>
          <w:p>
            <w:pPr>
              <w:spacing w:line="440" w:lineRule="exact"/>
              <w:jc w:val="center"/>
              <w:rPr>
                <w:rFonts w:hint="eastAsia"/>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5" w:hRule="atLeast"/>
        </w:trPr>
        <w:tc>
          <w:tcPr>
            <w:tcW w:w="1711" w:type="dxa"/>
            <w:vMerge w:val="restart"/>
            <w:tcBorders>
              <w:tl2br w:val="nil"/>
              <w:tr2bl w:val="nil"/>
            </w:tcBorders>
            <w:vAlign w:val="center"/>
          </w:tcPr>
          <w:p>
            <w:pPr>
              <w:spacing w:line="440" w:lineRule="exact"/>
              <w:jc w:val="center"/>
              <w:rPr>
                <w:rFonts w:hint="eastAsia"/>
                <w:szCs w:val="21"/>
                <w:highlight w:val="none"/>
                <w:vertAlign w:val="baseline"/>
              </w:rPr>
            </w:pPr>
            <w:r>
              <w:rPr>
                <w:rFonts w:hint="eastAsia" w:ascii="新宋体" w:hAnsi="新宋体"/>
                <w:color w:val="auto"/>
                <w:szCs w:val="21"/>
                <w:highlight w:val="none"/>
              </w:rPr>
              <w:t>联系方式</w:t>
            </w:r>
          </w:p>
        </w:tc>
        <w:tc>
          <w:tcPr>
            <w:tcW w:w="2049"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联系人</w:t>
            </w: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电话</w:t>
            </w:r>
          </w:p>
        </w:tc>
        <w:tc>
          <w:tcPr>
            <w:tcW w:w="1881" w:type="dxa"/>
            <w:tcBorders>
              <w:tl2br w:val="nil"/>
              <w:tr2bl w:val="nil"/>
            </w:tcBorders>
            <w:vAlign w:val="center"/>
          </w:tcPr>
          <w:p>
            <w:pPr>
              <w:spacing w:line="440" w:lineRule="exact"/>
              <w:jc w:val="center"/>
              <w:rPr>
                <w:rFonts w:hint="eastAsia"/>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711" w:type="dxa"/>
            <w:vMerge w:val="continue"/>
            <w:tcBorders>
              <w:tl2br w:val="nil"/>
              <w:tr2bl w:val="nil"/>
            </w:tcBorders>
            <w:vAlign w:val="center"/>
          </w:tcPr>
          <w:p>
            <w:pPr>
              <w:spacing w:line="440" w:lineRule="exact"/>
              <w:jc w:val="center"/>
              <w:rPr>
                <w:rFonts w:hint="eastAsia"/>
                <w:szCs w:val="21"/>
                <w:highlight w:val="none"/>
                <w:vertAlign w:val="baseline"/>
              </w:rPr>
            </w:pPr>
          </w:p>
        </w:tc>
        <w:tc>
          <w:tcPr>
            <w:tcW w:w="2049"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传真</w:t>
            </w: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网址</w:t>
            </w:r>
          </w:p>
        </w:tc>
        <w:tc>
          <w:tcPr>
            <w:tcW w:w="1881" w:type="dxa"/>
            <w:tcBorders>
              <w:tl2br w:val="nil"/>
              <w:tr2bl w:val="nil"/>
            </w:tcBorders>
            <w:vAlign w:val="center"/>
          </w:tcPr>
          <w:p>
            <w:pPr>
              <w:spacing w:line="440" w:lineRule="exact"/>
              <w:jc w:val="center"/>
              <w:rPr>
                <w:rFonts w:hint="eastAsia"/>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0" w:hRule="atLeast"/>
        </w:trPr>
        <w:tc>
          <w:tcPr>
            <w:tcW w:w="1711" w:type="dxa"/>
            <w:tcBorders>
              <w:tl2br w:val="nil"/>
              <w:tr2bl w:val="nil"/>
            </w:tcBorders>
            <w:vAlign w:val="center"/>
          </w:tcPr>
          <w:p>
            <w:pPr>
              <w:spacing w:line="440" w:lineRule="exact"/>
              <w:jc w:val="center"/>
              <w:rPr>
                <w:rFonts w:hint="eastAsia"/>
                <w:szCs w:val="21"/>
                <w:highlight w:val="none"/>
                <w:vertAlign w:val="baseline"/>
              </w:rPr>
            </w:pPr>
            <w:r>
              <w:rPr>
                <w:rFonts w:hint="eastAsia" w:ascii="新宋体" w:hAnsi="新宋体"/>
                <w:color w:val="auto"/>
                <w:szCs w:val="21"/>
                <w:highlight w:val="none"/>
              </w:rPr>
              <w:t>单位性质</w:t>
            </w:r>
          </w:p>
        </w:tc>
        <w:tc>
          <w:tcPr>
            <w:tcW w:w="7690" w:type="dxa"/>
            <w:gridSpan w:val="4"/>
            <w:tcBorders>
              <w:tl2br w:val="nil"/>
              <w:tr2bl w:val="nil"/>
            </w:tcBorders>
            <w:vAlign w:val="center"/>
          </w:tcPr>
          <w:p>
            <w:pPr>
              <w:spacing w:line="440" w:lineRule="exact"/>
              <w:jc w:val="center"/>
              <w:rPr>
                <w:rFonts w:hint="eastAsia"/>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11"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法定代表人</w:t>
            </w:r>
          </w:p>
        </w:tc>
        <w:tc>
          <w:tcPr>
            <w:tcW w:w="2049"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姓名</w:t>
            </w:r>
          </w:p>
        </w:tc>
        <w:tc>
          <w:tcPr>
            <w:tcW w:w="1880" w:type="dxa"/>
            <w:tcBorders>
              <w:tl2br w:val="nil"/>
              <w:tr2bl w:val="nil"/>
            </w:tcBorders>
            <w:vAlign w:val="center"/>
          </w:tcPr>
          <w:p>
            <w:pPr>
              <w:spacing w:line="440" w:lineRule="exact"/>
              <w:jc w:val="center"/>
              <w:rPr>
                <w:rFonts w:hint="eastAsia"/>
                <w:szCs w:val="21"/>
                <w:highlight w:val="none"/>
                <w:vertAlign w:val="baseline"/>
              </w:rPr>
            </w:pP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电话</w:t>
            </w:r>
          </w:p>
        </w:tc>
        <w:tc>
          <w:tcPr>
            <w:tcW w:w="1881" w:type="dxa"/>
            <w:tcBorders>
              <w:tl2br w:val="nil"/>
              <w:tr2bl w:val="nil"/>
            </w:tcBorders>
            <w:vAlign w:val="center"/>
          </w:tcPr>
          <w:p>
            <w:pPr>
              <w:spacing w:line="440" w:lineRule="exact"/>
              <w:jc w:val="center"/>
              <w:rPr>
                <w:rFonts w:hint="eastAsia"/>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711"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技术负责人</w:t>
            </w:r>
          </w:p>
        </w:tc>
        <w:tc>
          <w:tcPr>
            <w:tcW w:w="2049"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姓名</w:t>
            </w:r>
          </w:p>
        </w:tc>
        <w:tc>
          <w:tcPr>
            <w:tcW w:w="1880" w:type="dxa"/>
            <w:tcBorders>
              <w:tl2br w:val="nil"/>
              <w:tr2bl w:val="nil"/>
            </w:tcBorders>
            <w:vAlign w:val="center"/>
          </w:tcPr>
          <w:p>
            <w:pPr>
              <w:spacing w:line="440" w:lineRule="exact"/>
              <w:jc w:val="center"/>
              <w:rPr>
                <w:rFonts w:hint="eastAsia"/>
                <w:szCs w:val="21"/>
                <w:highlight w:val="none"/>
                <w:vertAlign w:val="baseline"/>
              </w:rPr>
            </w:pP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电话</w:t>
            </w:r>
          </w:p>
        </w:tc>
        <w:tc>
          <w:tcPr>
            <w:tcW w:w="1881" w:type="dxa"/>
            <w:tcBorders>
              <w:tl2br w:val="nil"/>
              <w:tr2bl w:val="nil"/>
            </w:tcBorders>
            <w:vAlign w:val="center"/>
          </w:tcPr>
          <w:p>
            <w:pPr>
              <w:spacing w:line="440" w:lineRule="exact"/>
              <w:jc w:val="center"/>
              <w:rPr>
                <w:rFonts w:hint="eastAsia"/>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95" w:hRule="atLeast"/>
        </w:trPr>
        <w:tc>
          <w:tcPr>
            <w:tcW w:w="1711"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企业资质等级</w:t>
            </w:r>
          </w:p>
        </w:tc>
        <w:tc>
          <w:tcPr>
            <w:tcW w:w="3929" w:type="dxa"/>
            <w:gridSpan w:val="2"/>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成立时间</w:t>
            </w:r>
          </w:p>
        </w:tc>
        <w:tc>
          <w:tcPr>
            <w:tcW w:w="1881" w:type="dxa"/>
            <w:tcBorders>
              <w:tl2br w:val="nil"/>
              <w:tr2bl w:val="nil"/>
            </w:tcBorders>
            <w:vAlign w:val="center"/>
          </w:tcPr>
          <w:p>
            <w:pPr>
              <w:spacing w:line="440" w:lineRule="exact"/>
              <w:jc w:val="center"/>
              <w:rPr>
                <w:rFonts w:hint="eastAsia"/>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711"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注册资金</w:t>
            </w:r>
          </w:p>
        </w:tc>
        <w:tc>
          <w:tcPr>
            <w:tcW w:w="2049" w:type="dxa"/>
            <w:tcBorders>
              <w:tl2br w:val="nil"/>
              <w:tr2bl w:val="nil"/>
            </w:tcBorders>
            <w:vAlign w:val="center"/>
          </w:tcPr>
          <w:p>
            <w:pPr>
              <w:autoSpaceDE w:val="0"/>
              <w:autoSpaceDN w:val="0"/>
              <w:adjustRightInd w:val="0"/>
              <w:spacing w:line="400" w:lineRule="exact"/>
              <w:jc w:val="right"/>
              <w:rPr>
                <w:rFonts w:hint="eastAsia"/>
                <w:szCs w:val="21"/>
                <w:highlight w:val="none"/>
                <w:vertAlign w:val="baseline"/>
              </w:rPr>
            </w:pPr>
            <w:r>
              <w:rPr>
                <w:rFonts w:hint="eastAsia" w:ascii="新宋体" w:hAnsi="新宋体"/>
                <w:color w:val="auto"/>
                <w:szCs w:val="21"/>
                <w:highlight w:val="none"/>
                <w:lang w:val="en-US" w:eastAsia="zh-CN"/>
              </w:rPr>
              <w:t xml:space="preserve">  </w:t>
            </w:r>
            <w:r>
              <w:rPr>
                <w:rFonts w:hint="eastAsia" w:ascii="新宋体" w:hAnsi="新宋体"/>
                <w:color w:val="auto"/>
                <w:szCs w:val="21"/>
                <w:highlight w:val="none"/>
                <w:u w:val="single"/>
                <w:lang w:val="en-US" w:eastAsia="zh-CN"/>
              </w:rPr>
              <w:t xml:space="preserve">           </w:t>
            </w:r>
            <w:r>
              <w:rPr>
                <w:rFonts w:hint="eastAsia" w:ascii="新宋体" w:hAnsi="新宋体"/>
                <w:color w:val="auto"/>
                <w:szCs w:val="21"/>
                <w:highlight w:val="none"/>
              </w:rPr>
              <w:t>万元</w:t>
            </w:r>
          </w:p>
        </w:tc>
        <w:tc>
          <w:tcPr>
            <w:tcW w:w="1880" w:type="dxa"/>
            <w:vMerge w:val="restart"/>
            <w:tcBorders>
              <w:tl2br w:val="nil"/>
              <w:tr2bl w:val="nil"/>
            </w:tcBorders>
            <w:vAlign w:val="center"/>
          </w:tcPr>
          <w:p>
            <w:pPr>
              <w:spacing w:line="440" w:lineRule="exact"/>
              <w:jc w:val="center"/>
              <w:rPr>
                <w:rFonts w:hint="eastAsia"/>
                <w:szCs w:val="21"/>
                <w:highlight w:val="none"/>
                <w:vertAlign w:val="baseline"/>
              </w:rPr>
            </w:pPr>
            <w:r>
              <w:rPr>
                <w:rFonts w:hint="eastAsia" w:ascii="新宋体" w:hAnsi="新宋体"/>
                <w:color w:val="auto"/>
                <w:szCs w:val="21"/>
                <w:highlight w:val="none"/>
              </w:rPr>
              <w:t>固定资产</w:t>
            </w: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原值</w:t>
            </w:r>
          </w:p>
        </w:tc>
        <w:tc>
          <w:tcPr>
            <w:tcW w:w="1881" w:type="dxa"/>
            <w:tcBorders>
              <w:tl2br w:val="nil"/>
              <w:tr2bl w:val="nil"/>
            </w:tcBorders>
            <w:vAlign w:val="center"/>
          </w:tcPr>
          <w:p>
            <w:pPr>
              <w:autoSpaceDE w:val="0"/>
              <w:autoSpaceDN w:val="0"/>
              <w:adjustRightInd w:val="0"/>
              <w:spacing w:line="400" w:lineRule="exact"/>
              <w:jc w:val="right"/>
              <w:rPr>
                <w:rFonts w:hint="eastAsia"/>
                <w:szCs w:val="21"/>
                <w:highlight w:val="none"/>
                <w:vertAlign w:val="baseline"/>
              </w:rPr>
            </w:pPr>
            <w:r>
              <w:rPr>
                <w:rFonts w:hint="eastAsia" w:ascii="新宋体" w:hAnsi="新宋体"/>
                <w:color w:val="auto"/>
                <w:szCs w:val="21"/>
                <w:highlight w:val="none"/>
                <w:u w:val="single"/>
                <w:lang w:val="en-US" w:eastAsia="zh-CN"/>
              </w:rPr>
              <w:t xml:space="preserve">           </w:t>
            </w:r>
            <w:r>
              <w:rPr>
                <w:rFonts w:hint="eastAsia" w:ascii="新宋体" w:hAnsi="新宋体"/>
                <w:color w:val="auto"/>
                <w:szCs w:val="21"/>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711"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流动资金</w:t>
            </w:r>
          </w:p>
        </w:tc>
        <w:tc>
          <w:tcPr>
            <w:tcW w:w="2049" w:type="dxa"/>
            <w:tcBorders>
              <w:tl2br w:val="nil"/>
              <w:tr2bl w:val="nil"/>
            </w:tcBorders>
            <w:vAlign w:val="center"/>
          </w:tcPr>
          <w:p>
            <w:pPr>
              <w:autoSpaceDE w:val="0"/>
              <w:autoSpaceDN w:val="0"/>
              <w:adjustRightInd w:val="0"/>
              <w:spacing w:line="400" w:lineRule="exact"/>
              <w:jc w:val="right"/>
              <w:rPr>
                <w:rFonts w:hint="eastAsia"/>
                <w:szCs w:val="21"/>
                <w:highlight w:val="none"/>
                <w:vertAlign w:val="baseline"/>
              </w:rPr>
            </w:pPr>
            <w:r>
              <w:rPr>
                <w:rFonts w:hint="eastAsia" w:ascii="新宋体" w:hAnsi="新宋体"/>
                <w:color w:val="auto"/>
                <w:szCs w:val="21"/>
                <w:highlight w:val="none"/>
                <w:lang w:val="en-US" w:eastAsia="zh-CN"/>
              </w:rPr>
              <w:t xml:space="preserve">  </w:t>
            </w:r>
            <w:r>
              <w:rPr>
                <w:rFonts w:hint="eastAsia" w:ascii="新宋体" w:hAnsi="新宋体"/>
                <w:color w:val="auto"/>
                <w:szCs w:val="21"/>
                <w:highlight w:val="none"/>
                <w:u w:val="single"/>
                <w:lang w:val="en-US" w:eastAsia="zh-CN"/>
              </w:rPr>
              <w:t xml:space="preserve">           </w:t>
            </w:r>
            <w:r>
              <w:rPr>
                <w:rFonts w:hint="eastAsia" w:ascii="新宋体" w:hAnsi="新宋体"/>
                <w:color w:val="auto"/>
                <w:szCs w:val="21"/>
                <w:highlight w:val="none"/>
              </w:rPr>
              <w:t>万元</w:t>
            </w:r>
          </w:p>
        </w:tc>
        <w:tc>
          <w:tcPr>
            <w:tcW w:w="1880" w:type="dxa"/>
            <w:vMerge w:val="continue"/>
            <w:tcBorders>
              <w:tl2br w:val="nil"/>
              <w:tr2bl w:val="nil"/>
            </w:tcBorders>
            <w:vAlign w:val="center"/>
          </w:tcPr>
          <w:p>
            <w:pPr>
              <w:spacing w:line="440" w:lineRule="exact"/>
              <w:jc w:val="center"/>
              <w:rPr>
                <w:rFonts w:hint="eastAsia"/>
                <w:szCs w:val="21"/>
                <w:highlight w:val="none"/>
                <w:vertAlign w:val="baseline"/>
              </w:rPr>
            </w:pPr>
          </w:p>
        </w:tc>
        <w:tc>
          <w:tcPr>
            <w:tcW w:w="1880" w:type="dxa"/>
            <w:tcBorders>
              <w:tl2br w:val="nil"/>
              <w:tr2bl w:val="nil"/>
            </w:tcBorders>
            <w:vAlign w:val="center"/>
          </w:tcPr>
          <w:p>
            <w:pPr>
              <w:autoSpaceDE w:val="0"/>
              <w:autoSpaceDN w:val="0"/>
              <w:adjustRightInd w:val="0"/>
              <w:spacing w:line="400" w:lineRule="exact"/>
              <w:jc w:val="center"/>
              <w:rPr>
                <w:rFonts w:hint="eastAsia"/>
                <w:szCs w:val="21"/>
                <w:highlight w:val="none"/>
                <w:vertAlign w:val="baseline"/>
              </w:rPr>
            </w:pPr>
            <w:r>
              <w:rPr>
                <w:rFonts w:hint="eastAsia" w:ascii="新宋体" w:hAnsi="新宋体"/>
                <w:color w:val="auto"/>
                <w:szCs w:val="21"/>
                <w:highlight w:val="none"/>
              </w:rPr>
              <w:t>净值</w:t>
            </w:r>
          </w:p>
        </w:tc>
        <w:tc>
          <w:tcPr>
            <w:tcW w:w="1881" w:type="dxa"/>
            <w:tcBorders>
              <w:tl2br w:val="nil"/>
              <w:tr2bl w:val="nil"/>
            </w:tcBorders>
            <w:vAlign w:val="center"/>
          </w:tcPr>
          <w:p>
            <w:pPr>
              <w:autoSpaceDE w:val="0"/>
              <w:autoSpaceDN w:val="0"/>
              <w:adjustRightInd w:val="0"/>
              <w:spacing w:line="400" w:lineRule="exact"/>
              <w:jc w:val="right"/>
              <w:rPr>
                <w:rFonts w:hint="eastAsia"/>
                <w:szCs w:val="21"/>
                <w:highlight w:val="none"/>
                <w:vertAlign w:val="baseline"/>
              </w:rPr>
            </w:pPr>
            <w:r>
              <w:rPr>
                <w:rFonts w:hint="eastAsia" w:ascii="新宋体" w:hAnsi="新宋体"/>
                <w:color w:val="auto"/>
                <w:szCs w:val="21"/>
                <w:highlight w:val="none"/>
                <w:u w:val="single"/>
                <w:lang w:val="en-US" w:eastAsia="zh-CN"/>
              </w:rPr>
              <w:t xml:space="preserve">           </w:t>
            </w:r>
            <w:r>
              <w:rPr>
                <w:rFonts w:hint="eastAsia" w:ascii="新宋体" w:hAnsi="新宋体"/>
                <w:color w:val="auto"/>
                <w:szCs w:val="21"/>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11" w:type="dxa"/>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r>
              <w:rPr>
                <w:rFonts w:hint="eastAsia" w:ascii="新宋体" w:hAnsi="新宋体"/>
                <w:color w:val="auto"/>
                <w:szCs w:val="21"/>
                <w:highlight w:val="none"/>
              </w:rPr>
              <w:t>开户银行</w:t>
            </w:r>
          </w:p>
        </w:tc>
        <w:tc>
          <w:tcPr>
            <w:tcW w:w="2049" w:type="dxa"/>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p>
        </w:tc>
        <w:tc>
          <w:tcPr>
            <w:tcW w:w="1880" w:type="dxa"/>
            <w:vMerge w:val="restart"/>
            <w:tcBorders>
              <w:tl2br w:val="nil"/>
              <w:tr2bl w:val="nil"/>
            </w:tcBorders>
            <w:vAlign w:val="center"/>
          </w:tcPr>
          <w:p>
            <w:pPr>
              <w:spacing w:line="440" w:lineRule="exact"/>
              <w:jc w:val="center"/>
              <w:rPr>
                <w:rFonts w:hint="eastAsia"/>
                <w:szCs w:val="21"/>
                <w:highlight w:val="none"/>
                <w:vertAlign w:val="baseline"/>
              </w:rPr>
            </w:pPr>
            <w:r>
              <w:rPr>
                <w:rFonts w:hint="eastAsia" w:ascii="新宋体" w:hAnsi="新宋体"/>
                <w:color w:val="auto"/>
                <w:szCs w:val="21"/>
                <w:highlight w:val="none"/>
              </w:rPr>
              <w:t>职工</w:t>
            </w:r>
            <w:r>
              <w:rPr>
                <w:rFonts w:hint="eastAsia" w:ascii="新宋体" w:hAnsi="新宋体"/>
                <w:color w:val="auto"/>
                <w:szCs w:val="21"/>
                <w:highlight w:val="none"/>
                <w:lang w:eastAsia="zh-CN"/>
              </w:rPr>
              <w:t>人数</w:t>
            </w:r>
          </w:p>
        </w:tc>
        <w:tc>
          <w:tcPr>
            <w:tcW w:w="1880" w:type="dxa"/>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r>
              <w:rPr>
                <w:rFonts w:hint="eastAsia" w:ascii="新宋体" w:hAnsi="新宋体"/>
                <w:color w:val="auto"/>
                <w:szCs w:val="21"/>
                <w:highlight w:val="none"/>
              </w:rPr>
              <w:t>生产工人</w:t>
            </w:r>
          </w:p>
        </w:tc>
        <w:tc>
          <w:tcPr>
            <w:tcW w:w="1881" w:type="dxa"/>
            <w:tcBorders>
              <w:tl2br w:val="nil"/>
              <w:tr2bl w:val="nil"/>
            </w:tcBorders>
            <w:vAlign w:val="center"/>
          </w:tcPr>
          <w:p>
            <w:pPr>
              <w:autoSpaceDE w:val="0"/>
              <w:autoSpaceDN w:val="0"/>
              <w:adjustRightInd w:val="0"/>
              <w:spacing w:line="400" w:lineRule="exact"/>
              <w:jc w:val="right"/>
              <w:rPr>
                <w:rFonts w:hint="eastAsia" w:ascii="新宋体" w:hAnsi="新宋体"/>
                <w:color w:val="auto"/>
                <w:szCs w:val="21"/>
                <w:highlight w:val="none"/>
              </w:rPr>
            </w:pPr>
            <w:r>
              <w:rPr>
                <w:rFonts w:hint="eastAsia" w:ascii="新宋体" w:hAnsi="新宋体"/>
                <w:bCs/>
                <w:color w:val="auto"/>
                <w:szCs w:val="21"/>
                <w:highlight w:val="none"/>
                <w:lang w:val="en-US" w:eastAsia="zh-CN"/>
              </w:rPr>
              <w:t xml:space="preserve">    </w:t>
            </w:r>
            <w:r>
              <w:rPr>
                <w:rFonts w:hint="eastAsia" w:ascii="新宋体" w:hAnsi="新宋体"/>
                <w:color w:val="auto"/>
                <w:szCs w:val="21"/>
                <w:highlight w:val="none"/>
                <w:u w:val="single"/>
                <w:lang w:val="en-US" w:eastAsia="zh-CN"/>
              </w:rPr>
              <w:t xml:space="preserve">         </w:t>
            </w:r>
            <w:r>
              <w:rPr>
                <w:rFonts w:hint="eastAsia" w:ascii="新宋体" w:hAnsi="新宋体"/>
                <w:bCs/>
                <w:color w:val="auto"/>
                <w:szCs w:val="21"/>
                <w:highlight w:val="none"/>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11" w:type="dxa"/>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r>
              <w:rPr>
                <w:rFonts w:hint="eastAsia" w:ascii="新宋体" w:hAnsi="新宋体"/>
                <w:color w:val="auto"/>
                <w:szCs w:val="21"/>
                <w:highlight w:val="none"/>
              </w:rPr>
              <w:t>账号</w:t>
            </w:r>
          </w:p>
        </w:tc>
        <w:tc>
          <w:tcPr>
            <w:tcW w:w="2049" w:type="dxa"/>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r>
              <w:rPr>
                <w:rFonts w:hint="eastAsia" w:ascii="新宋体" w:hAnsi="新宋体"/>
                <w:color w:val="auto"/>
                <w:szCs w:val="21"/>
                <w:highlight w:val="none"/>
              </w:rPr>
              <w:t>基本银行账号</w:t>
            </w:r>
          </w:p>
        </w:tc>
        <w:tc>
          <w:tcPr>
            <w:tcW w:w="1880" w:type="dxa"/>
            <w:vMerge w:val="continue"/>
            <w:tcBorders>
              <w:tl2br w:val="nil"/>
              <w:tr2bl w:val="nil"/>
            </w:tcBorders>
            <w:vAlign w:val="center"/>
          </w:tcPr>
          <w:p>
            <w:pPr>
              <w:spacing w:line="440" w:lineRule="exact"/>
              <w:jc w:val="center"/>
              <w:rPr>
                <w:rFonts w:hint="eastAsia"/>
                <w:szCs w:val="21"/>
                <w:highlight w:val="none"/>
                <w:vertAlign w:val="baseline"/>
              </w:rPr>
            </w:pPr>
          </w:p>
        </w:tc>
        <w:tc>
          <w:tcPr>
            <w:tcW w:w="1880" w:type="dxa"/>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r>
              <w:rPr>
                <w:rFonts w:hint="eastAsia" w:ascii="新宋体" w:hAnsi="新宋体"/>
                <w:color w:val="auto"/>
                <w:szCs w:val="21"/>
                <w:highlight w:val="none"/>
              </w:rPr>
              <w:t>技术人员</w:t>
            </w:r>
          </w:p>
        </w:tc>
        <w:tc>
          <w:tcPr>
            <w:tcW w:w="1881" w:type="dxa"/>
            <w:tcBorders>
              <w:tl2br w:val="nil"/>
              <w:tr2bl w:val="nil"/>
            </w:tcBorders>
            <w:vAlign w:val="center"/>
          </w:tcPr>
          <w:p>
            <w:pPr>
              <w:autoSpaceDE w:val="0"/>
              <w:autoSpaceDN w:val="0"/>
              <w:adjustRightInd w:val="0"/>
              <w:spacing w:line="400" w:lineRule="exact"/>
              <w:jc w:val="right"/>
              <w:rPr>
                <w:rFonts w:hint="eastAsia" w:ascii="新宋体" w:hAnsi="新宋体"/>
                <w:color w:val="auto"/>
                <w:szCs w:val="21"/>
                <w:highlight w:val="none"/>
              </w:rPr>
            </w:pPr>
            <w:r>
              <w:rPr>
                <w:rFonts w:hint="eastAsia" w:ascii="新宋体" w:hAnsi="新宋体"/>
                <w:bCs/>
                <w:color w:val="auto"/>
                <w:szCs w:val="21"/>
                <w:highlight w:val="none"/>
                <w:lang w:val="en-US" w:eastAsia="zh-CN"/>
              </w:rPr>
              <w:t xml:space="preserve">    </w:t>
            </w:r>
            <w:r>
              <w:rPr>
                <w:rFonts w:hint="eastAsia" w:ascii="新宋体" w:hAnsi="新宋体"/>
                <w:color w:val="auto"/>
                <w:szCs w:val="21"/>
                <w:highlight w:val="none"/>
                <w:u w:val="single"/>
                <w:lang w:val="en-US" w:eastAsia="zh-CN"/>
              </w:rPr>
              <w:t xml:space="preserve">         </w:t>
            </w:r>
            <w:r>
              <w:rPr>
                <w:rFonts w:hint="eastAsia" w:ascii="新宋体" w:hAnsi="新宋体"/>
                <w:bCs/>
                <w:color w:val="auto"/>
                <w:szCs w:val="21"/>
                <w:highlight w:val="none"/>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711" w:type="dxa"/>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r>
              <w:rPr>
                <w:rFonts w:hint="eastAsia" w:ascii="新宋体" w:hAnsi="新宋体"/>
                <w:color w:val="auto"/>
                <w:szCs w:val="21"/>
                <w:highlight w:val="none"/>
              </w:rPr>
              <w:t>经营范围</w:t>
            </w:r>
          </w:p>
        </w:tc>
        <w:tc>
          <w:tcPr>
            <w:tcW w:w="7690" w:type="dxa"/>
            <w:gridSpan w:val="4"/>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711" w:type="dxa"/>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r>
              <w:rPr>
                <w:rFonts w:hint="eastAsia" w:ascii="新宋体" w:hAnsi="新宋体"/>
                <w:color w:val="auto"/>
                <w:szCs w:val="21"/>
                <w:highlight w:val="none"/>
              </w:rPr>
              <w:t>备注</w:t>
            </w:r>
          </w:p>
        </w:tc>
        <w:tc>
          <w:tcPr>
            <w:tcW w:w="7690" w:type="dxa"/>
            <w:gridSpan w:val="4"/>
            <w:tcBorders>
              <w:tl2br w:val="nil"/>
              <w:tr2bl w:val="nil"/>
            </w:tcBorders>
            <w:vAlign w:val="center"/>
          </w:tcPr>
          <w:p>
            <w:pPr>
              <w:autoSpaceDE w:val="0"/>
              <w:autoSpaceDN w:val="0"/>
              <w:adjustRightInd w:val="0"/>
              <w:spacing w:line="400" w:lineRule="exact"/>
              <w:jc w:val="center"/>
              <w:rPr>
                <w:rFonts w:hint="eastAsia" w:ascii="新宋体" w:hAnsi="新宋体"/>
                <w:color w:val="auto"/>
                <w:szCs w:val="21"/>
                <w:highlight w:val="none"/>
              </w:rPr>
            </w:pPr>
          </w:p>
        </w:tc>
      </w:tr>
    </w:tbl>
    <w:p>
      <w:pPr>
        <w:spacing w:line="440" w:lineRule="exact"/>
        <w:rPr>
          <w:rFonts w:hint="eastAsia"/>
          <w:szCs w:val="21"/>
          <w:highlight w:val="none"/>
        </w:rPr>
      </w:pP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投标人：</w:t>
      </w:r>
      <w:r>
        <w:rPr>
          <w:rFonts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rPr>
        <w:t xml:space="preserve">  （单位全称、盖章）   </w:t>
      </w: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法定代表人或授权代表：</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lang w:eastAsia="zh-CN"/>
        </w:rPr>
        <w:t>盖章或签字</w:t>
      </w:r>
      <w:r>
        <w:rPr>
          <w:rFonts w:hint="eastAsia" w:ascii="新宋体" w:hAnsi="新宋体"/>
          <w:b w:val="0"/>
          <w:color w:val="auto"/>
          <w:sz w:val="21"/>
          <w:szCs w:val="21"/>
          <w:highlight w:val="none"/>
          <w:u w:val="single"/>
        </w:rPr>
        <w:t xml:space="preserve">）    </w:t>
      </w:r>
    </w:p>
    <w:p>
      <w:pPr>
        <w:spacing w:line="440" w:lineRule="exact"/>
        <w:rPr>
          <w:rFonts w:hint="eastAsia"/>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投标日期：</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年</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月</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日</w:t>
      </w:r>
    </w:p>
    <w:p>
      <w:pPr>
        <w:rPr>
          <w:rFonts w:hint="eastAsia" w:ascii="新宋体" w:hAnsi="新宋体" w:cs="新宋体"/>
          <w:b/>
          <w:color w:val="auto"/>
          <w:sz w:val="28"/>
          <w:szCs w:val="28"/>
          <w:highlight w:val="none"/>
        </w:rPr>
      </w:pPr>
      <w:r>
        <w:rPr>
          <w:rFonts w:hint="eastAsia" w:ascii="新宋体" w:hAnsi="新宋体" w:cs="新宋体"/>
          <w:b/>
          <w:color w:val="auto"/>
          <w:sz w:val="28"/>
          <w:szCs w:val="28"/>
          <w:highlight w:val="none"/>
        </w:rPr>
        <w:br w:type="page"/>
      </w:r>
    </w:p>
    <w:p>
      <w:pPr>
        <w:numPr>
          <w:ilvl w:val="0"/>
          <w:numId w:val="21"/>
        </w:numPr>
        <w:spacing w:line="440" w:lineRule="exact"/>
        <w:rPr>
          <w:rFonts w:hint="eastAsia" w:ascii="新宋体" w:hAnsi="新宋体" w:cs="新宋体"/>
          <w:b/>
          <w:color w:val="auto"/>
          <w:sz w:val="28"/>
          <w:szCs w:val="28"/>
          <w:highlight w:val="none"/>
        </w:rPr>
      </w:pPr>
      <w:r>
        <w:rPr>
          <w:rFonts w:hint="eastAsia" w:ascii="新宋体" w:hAnsi="新宋体" w:cs="新宋体"/>
          <w:b/>
          <w:color w:val="auto"/>
          <w:sz w:val="28"/>
          <w:szCs w:val="28"/>
          <w:highlight w:val="none"/>
        </w:rPr>
        <w:t>投标人资格文件</w:t>
      </w: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2.1资质（以下文件可将复印件直接装订，复印件加盖投标人公章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（1）须提供</w:t>
      </w:r>
      <w:r>
        <w:rPr>
          <w:rFonts w:hint="eastAsia" w:ascii="宋体" w:hAnsi="宋体" w:eastAsia="宋体" w:cs="宋体"/>
          <w:color w:val="auto"/>
          <w:sz w:val="21"/>
          <w:szCs w:val="21"/>
          <w:highlight w:val="none"/>
          <w:lang w:val="en-US" w:eastAsia="zh-CN"/>
        </w:rPr>
        <w:t>2022</w:t>
      </w:r>
      <w:r>
        <w:rPr>
          <w:rFonts w:hint="eastAsia" w:ascii="宋体" w:hAnsi="宋体" w:eastAsia="宋体" w:cs="宋体"/>
          <w:color w:val="auto"/>
          <w:sz w:val="21"/>
          <w:szCs w:val="21"/>
          <w:highlight w:val="none"/>
        </w:rPr>
        <w:t>年度的财务报告；或其基本开户银行出具的资信证明；或</w:t>
      </w:r>
      <w:r>
        <w:rPr>
          <w:rFonts w:hint="eastAsia" w:ascii="宋体" w:hAnsi="宋体" w:eastAsia="宋体" w:cs="宋体"/>
          <w:sz w:val="21"/>
          <w:szCs w:val="21"/>
          <w:highlight w:val="none"/>
        </w:rPr>
        <w:t>投标担保函（以上三种形式的资料提供任何一种即可）；</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依法缴纳税收和社会保障资金的良好记录。依法缴纳税收的良好记录（提供截止至开标时间前12个月内任一月份的缴费凭据,依法免税的单位应提供相关证明材料）；依法缴纳社会保障资金的良好记录（提供截止至开标时间前12个月内任一月份的缴费凭据或社保机构开具的社会保险参保缴费情况证明，依法不需要缴纳社会保障资金的单位应提供相关证明材料）；</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须具备独立承担民事责任能力的法人、其他组织或自然人，提供营业执照</w:t>
      </w:r>
      <w:r>
        <w:rPr>
          <w:rFonts w:hint="eastAsia" w:ascii="宋体" w:hAnsi="宋体" w:eastAsia="宋体" w:cs="宋体"/>
          <w:sz w:val="21"/>
          <w:szCs w:val="21"/>
          <w:highlight w:val="none"/>
          <w:lang w:eastAsia="zh-CN"/>
        </w:rPr>
        <w:t>或</w:t>
      </w:r>
      <w:r>
        <w:rPr>
          <w:rFonts w:hint="eastAsia" w:ascii="宋体" w:hAnsi="宋体" w:eastAsia="宋体" w:cs="宋体"/>
          <w:sz w:val="21"/>
          <w:szCs w:val="21"/>
          <w:highlight w:val="none"/>
        </w:rPr>
        <w:t>事业单位法人证书；自然人参与的提供其身份证</w:t>
      </w:r>
      <w:r>
        <w:rPr>
          <w:rFonts w:hint="eastAsia" w:ascii="宋体" w:hAnsi="宋体" w:eastAsia="宋体" w:cs="宋体"/>
          <w:sz w:val="21"/>
          <w:szCs w:val="21"/>
          <w:highlight w:val="none"/>
          <w:lang w:eastAsia="zh-CN"/>
        </w:rPr>
        <w:t>明</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应授权合法的人员参加投标全过程，其中法定代表人直接参加投标的，须出具法人身份证，并与营业执照上信息一致。法定代表人授权代表参加投标的，须出具法定代表人授权书；</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lang w:eastAsia="zh-CN"/>
        </w:rPr>
        <w:t>）履行合同所必需的设备和专业技术能力的承诺；</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不得为“信用中国”网站（www.creditchina.gov.cn）中列入失信被执行人（中国执行信息公开网http://zxgk.court.gov.cn/shixin）和重大税收违法失信主体的投标人；不得为中国政府采购网（www.ccgp.gov.cn）政府采购严重违法失信行为记录名单中被财政部门禁止参加政府采购活动的投标人</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7</w:t>
      </w:r>
      <w:r>
        <w:rPr>
          <w:rFonts w:hint="eastAsia" w:ascii="宋体" w:hAnsi="宋体" w:eastAsia="宋体" w:cs="宋体"/>
          <w:sz w:val="21"/>
          <w:szCs w:val="21"/>
          <w:highlight w:val="none"/>
          <w:lang w:eastAsia="zh-CN"/>
        </w:rPr>
        <w:t>）投标人参加政府采购活动前3年内在经营活动中没有重大违法记录的书面声明</w:t>
      </w:r>
      <w:r>
        <w:rPr>
          <w:rFonts w:hint="eastAsia" w:ascii="宋体" w:hAnsi="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b/>
          <w:color w:val="auto"/>
          <w:sz w:val="21"/>
          <w:szCs w:val="21"/>
          <w:highlight w:val="none"/>
          <w:lang w:val="en-US" w:eastAsia="zh-CN"/>
        </w:rPr>
      </w:pPr>
      <w:r>
        <w:rPr>
          <w:rFonts w:hint="eastAsia" w:ascii="宋体" w:hAnsi="宋体" w:eastAsia="宋体" w:cs="宋体"/>
          <w:b/>
          <w:bCs w:val="0"/>
          <w:color w:val="auto"/>
          <w:sz w:val="21"/>
          <w:szCs w:val="21"/>
          <w:highlight w:val="none"/>
          <w:lang w:eastAsia="zh-CN"/>
        </w:rPr>
        <w:t>注：</w:t>
      </w:r>
      <w:r>
        <w:rPr>
          <w:rFonts w:hint="eastAsia" w:ascii="宋体" w:hAnsi="宋体" w:cs="宋体"/>
          <w:b/>
          <w:bCs w:val="0"/>
          <w:color w:val="auto"/>
          <w:sz w:val="21"/>
          <w:szCs w:val="21"/>
          <w:highlight w:val="none"/>
          <w:lang w:val="en-US" w:eastAsia="zh-CN"/>
        </w:rPr>
        <w:t>以上要求投标人提供的资格证明文件除注明原件外均为复印件并须加盖投标人公章。</w:t>
      </w: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p>
    <w:p>
      <w:pPr>
        <w:spacing w:line="44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投标声明</w:t>
      </w:r>
    </w:p>
    <w:p>
      <w:pPr>
        <w:spacing w:line="440" w:lineRule="exact"/>
        <w:rPr>
          <w:rFonts w:hint="default" w:ascii="宋体" w:hAnsi="宋体" w:eastAsia="宋体" w:cs="宋体"/>
          <w:b/>
          <w:color w:val="auto"/>
          <w:sz w:val="21"/>
          <w:szCs w:val="21"/>
          <w:highlight w:val="none"/>
          <w:lang w:eastAsia="zh-CN"/>
        </w:rPr>
      </w:pPr>
    </w:p>
    <w:p>
      <w:pPr>
        <w:pStyle w:val="12"/>
        <w:keepNext w:val="0"/>
        <w:keepLines w:val="0"/>
        <w:pageBreakBefore w:val="0"/>
        <w:widowControl w:val="0"/>
        <w:kinsoku/>
        <w:wordWrap/>
        <w:overflowPunct/>
        <w:topLinePunct w:val="0"/>
        <w:autoSpaceDE/>
        <w:autoSpaceDN/>
        <w:bidi w:val="0"/>
        <w:adjustRightInd/>
        <w:snapToGrid/>
        <w:spacing w:after="327" w:afterLines="100" w:line="24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r>
        <w:rPr>
          <w:rFonts w:hint="eastAsia"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投标声明书</w:t>
      </w:r>
    </w:p>
    <w:p>
      <w:pPr>
        <w:pStyle w:val="12"/>
        <w:spacing w:after="120" w:afterLines="50" w:line="360" w:lineRule="auto"/>
        <w:ind w:firstLine="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陕西</w:t>
      </w:r>
      <w:r>
        <w:rPr>
          <w:rFonts w:hint="default" w:ascii="Times New Roman" w:hAnsi="Times New Roman" w:eastAsia="宋体" w:cs="Times New Roman"/>
          <w:b/>
          <w:color w:val="auto"/>
          <w:sz w:val="21"/>
          <w:szCs w:val="21"/>
          <w:highlight w:val="none"/>
          <w:lang w:eastAsia="zh-CN"/>
        </w:rPr>
        <w:t>国信</w:t>
      </w:r>
      <w:r>
        <w:rPr>
          <w:rFonts w:hint="default" w:ascii="Times New Roman" w:hAnsi="Times New Roman" w:eastAsia="宋体" w:cs="Times New Roman"/>
          <w:b/>
          <w:color w:val="auto"/>
          <w:sz w:val="21"/>
          <w:szCs w:val="21"/>
          <w:highlight w:val="none"/>
        </w:rPr>
        <w:t>招标有限公司：</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我公司</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 xml:space="preserve">名称），就参加 </w:t>
      </w:r>
      <w:r>
        <w:rPr>
          <w:rFonts w:hint="default" w:ascii="Times New Roman" w:hAnsi="Times New Roman" w:eastAsia="宋体" w:cs="Times New Roman"/>
          <w:color w:val="auto"/>
          <w:sz w:val="21"/>
          <w:szCs w:val="21"/>
          <w:highlight w:val="none"/>
          <w:u w:val="single"/>
        </w:rPr>
        <w:t xml:space="preserve">          </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项目名称</w:t>
      </w:r>
      <w:r>
        <w:rPr>
          <w:rFonts w:hint="eastAsia"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rPr>
        <w:t>（项目编号：</w:t>
      </w:r>
      <w:r>
        <w:rPr>
          <w:rFonts w:hint="default" w:ascii="Times New Roman" w:hAnsi="Times New Roman" w:eastAsia="宋体" w:cs="Times New Roman"/>
          <w:color w:val="auto"/>
          <w:sz w:val="21"/>
          <w:szCs w:val="21"/>
          <w:highlight w:val="none"/>
          <w:lang w:val="en-US" w:eastAsia="zh-CN"/>
        </w:rPr>
        <w:t>GX</w:t>
      </w:r>
      <w:r>
        <w:rPr>
          <w:rFonts w:hint="eastAsia" w:cs="Times New Roman"/>
          <w:color w:val="auto"/>
          <w:sz w:val="21"/>
          <w:szCs w:val="21"/>
          <w:highlight w:val="none"/>
          <w:lang w:val="en-US" w:eastAsia="zh-CN"/>
        </w:rPr>
        <w:t>ZB</w:t>
      </w:r>
      <w:r>
        <w:rPr>
          <w:rFonts w:hint="eastAsia" w:ascii="Times New Roman" w:hAnsi="Times New Roman" w:eastAsia="宋体" w:cs="Times New Roman"/>
          <w:color w:val="auto"/>
          <w:sz w:val="21"/>
          <w:szCs w:val="21"/>
          <w:highlight w:val="none"/>
          <w:lang w:val="en-US" w:eastAsia="zh-CN"/>
        </w:rPr>
        <w:t>20</w:t>
      </w:r>
      <w:r>
        <w:rPr>
          <w:rFonts w:hint="eastAsia"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）投标事宜，在此郑重声明：</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firstLine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1、我公司所提交的所有证明文件及投标文件全部真实有效；</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firstLine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2、我公司近3年来无因安全事故、质量事故、投标违规等不良记录被政府有关部门处罚或仍在处罚期限内的情形存在；</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firstLine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3、我公司近3年来无违规违法经营受到责令停产(或停止经营)、吊销生产许可证（或经营许可证）、较大数额罚款等行政处罚的情形存在；</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firstLine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4、我公司无企业财产被查封、冻结或处于破产状态或严重亏损状态等情形存在；</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firstLine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5、我公司承诺在投标过程中，保证不予其他单位围标、串标，不出让</w:t>
      </w:r>
      <w:r>
        <w:rPr>
          <w:rFonts w:hint="eastAsia" w:cs="Times New Roman"/>
          <w:color w:val="auto"/>
          <w:sz w:val="21"/>
          <w:szCs w:val="21"/>
          <w:highlight w:val="none"/>
          <w:lang w:eastAsia="zh-CN"/>
        </w:rPr>
        <w:t>投标</w:t>
      </w:r>
      <w:r>
        <w:rPr>
          <w:rFonts w:hint="default" w:ascii="Times New Roman" w:hAnsi="Times New Roman" w:eastAsia="宋体" w:cs="Times New Roman"/>
          <w:color w:val="auto"/>
          <w:sz w:val="21"/>
          <w:szCs w:val="21"/>
          <w:highlight w:val="none"/>
        </w:rPr>
        <w:t>资格，不采取不正当手段诋毁、排挤其他</w:t>
      </w:r>
      <w:r>
        <w:rPr>
          <w:rFonts w:hint="eastAsia"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，不向采购人、采购代理机构、评标委员会成员行贿</w:t>
      </w:r>
      <w:r>
        <w:rPr>
          <w:rFonts w:hint="eastAsia" w:ascii="Times New Roman" w:hAnsi="Times New Roman" w:eastAsia="宋体" w:cs="Times New Roman"/>
          <w:color w:val="auto"/>
          <w:sz w:val="21"/>
          <w:szCs w:val="21"/>
          <w:highlight w:val="none"/>
          <w:lang w:eastAsia="zh-CN"/>
        </w:rPr>
        <w:t>；</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firstLine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6、我公司参加政府采购活动近3年内，在经营活动中没有重大违法记录。</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firstLine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以上声明若有违反，一经查实，我公司愿意接受政府有关部门的相应处罚，并愿意承担由此带来的法律后果。</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特此声明！</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0"/>
        <w:jc w:val="both"/>
        <w:textAlignment w:val="auto"/>
        <w:rPr>
          <w:rFonts w:hint="default" w:ascii="Times New Roman" w:hAnsi="Times New Roman" w:eastAsia="宋体" w:cs="Times New Roman"/>
          <w:color w:val="auto"/>
          <w:sz w:val="21"/>
          <w:szCs w:val="21"/>
          <w:highlight w:val="none"/>
        </w:rPr>
      </w:pP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  明  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名称、公章</w:t>
      </w:r>
      <w:r>
        <w:rPr>
          <w:rFonts w:hint="eastAsia" w:ascii="Times New Roman" w:hAnsi="Times New Roman" w:eastAsia="宋体" w:cs="Times New Roman"/>
          <w:color w:val="auto"/>
          <w:sz w:val="21"/>
          <w:szCs w:val="21"/>
          <w:highlight w:val="none"/>
          <w:lang w:eastAsia="zh-CN"/>
        </w:rPr>
        <w:t>）</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盖章或签字</w:t>
      </w:r>
      <w:r>
        <w:rPr>
          <w:rFonts w:hint="default" w:ascii="Times New Roman" w:hAnsi="Times New Roman" w:eastAsia="宋体" w:cs="Times New Roman"/>
          <w:color w:val="auto"/>
          <w:sz w:val="21"/>
          <w:szCs w:val="21"/>
          <w:highlight w:val="none"/>
        </w:rPr>
        <w:t>）</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 xml:space="preserve">日      期：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lang w:eastAsia="zh-CN"/>
        </w:rPr>
        <w:t>年</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lang w:eastAsia="zh-CN"/>
        </w:rPr>
        <w:t>月</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lang w:eastAsia="zh-CN"/>
        </w:rPr>
        <w:t>日</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jc w:val="both"/>
        <w:textAlignment w:val="auto"/>
        <w:rPr>
          <w:rFonts w:hint="default" w:ascii="Times New Roman" w:hAnsi="Times New Roman" w:eastAsia="宋体" w:cs="Times New Roman"/>
          <w:color w:val="auto"/>
          <w:sz w:val="21"/>
          <w:szCs w:val="21"/>
          <w:highlight w:val="none"/>
          <w:lang w:eastAsia="zh-CN"/>
        </w:rPr>
      </w:pPr>
    </w:p>
    <w:p>
      <w:pPr>
        <w:spacing w:line="440" w:lineRule="exact"/>
        <w:rPr>
          <w:rFonts w:hint="default" w:ascii="Times New Roman" w:hAnsi="Times New Roman" w:eastAsia="宋体" w:cs="Times New Roman"/>
          <w:color w:val="auto"/>
          <w:sz w:val="21"/>
          <w:szCs w:val="21"/>
          <w:highlight w:val="none"/>
        </w:rPr>
      </w:pPr>
    </w:p>
    <w:p>
      <w:pPr>
        <w:pStyle w:val="49"/>
        <w:rPr>
          <w:rFonts w:hint="default" w:ascii="Times New Roman" w:hAnsi="Times New Roman" w:eastAsia="宋体" w:cs="Times New Roman"/>
          <w:color w:val="auto"/>
          <w:sz w:val="21"/>
          <w:szCs w:val="21"/>
          <w:highlight w:val="none"/>
        </w:rPr>
      </w:pPr>
    </w:p>
    <w:p>
      <w:pPr>
        <w:pStyle w:val="49"/>
        <w:rPr>
          <w:rFonts w:hint="default" w:ascii="Times New Roman" w:hAnsi="Times New Roman" w:eastAsia="宋体" w:cs="Times New Roman"/>
          <w:color w:val="auto"/>
          <w:sz w:val="21"/>
          <w:szCs w:val="21"/>
          <w:highlight w:val="none"/>
        </w:rPr>
      </w:pPr>
    </w:p>
    <w:p>
      <w:pPr>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br w:type="page"/>
      </w:r>
    </w:p>
    <w:p>
      <w:pPr>
        <w:spacing w:line="440" w:lineRule="exact"/>
        <w:jc w:val="center"/>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w:t>
      </w:r>
      <w:r>
        <w:rPr>
          <w:rFonts w:hint="eastAsia" w:cs="Times New Roman"/>
          <w:b/>
          <w:color w:val="auto"/>
          <w:kern w:val="2"/>
          <w:sz w:val="21"/>
          <w:szCs w:val="21"/>
          <w:highlight w:val="none"/>
          <w:lang w:val="en-US" w:eastAsia="zh-CN" w:bidi="ar-SA"/>
        </w:rPr>
        <w:t>2</w:t>
      </w:r>
      <w:r>
        <w:rPr>
          <w:rFonts w:hint="eastAsia" w:ascii="Times New Roman" w:hAnsi="Times New Roman" w:eastAsia="宋体" w:cs="Times New Roman"/>
          <w:b/>
          <w:color w:val="auto"/>
          <w:kern w:val="2"/>
          <w:sz w:val="21"/>
          <w:szCs w:val="21"/>
          <w:highlight w:val="none"/>
          <w:lang w:val="en-US" w:eastAsia="zh-CN" w:bidi="ar-SA"/>
        </w:rPr>
        <w:t>）投标人具有履行本合同所必需的设备和专业技术能力的说明及承诺</w:t>
      </w: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致：</w:t>
      </w:r>
      <w:r>
        <w:rPr>
          <w:rFonts w:hint="default" w:ascii="Times New Roman" w:hAnsi="Times New Roman" w:eastAsia="宋体" w:cs="Times New Roman"/>
          <w:color w:val="auto"/>
          <w:sz w:val="21"/>
          <w:szCs w:val="21"/>
          <w:highlight w:val="none"/>
          <w:u w:val="single"/>
        </w:rPr>
        <w:t xml:space="preserve">     （</w:t>
      </w:r>
      <w:r>
        <w:rPr>
          <w:rFonts w:hint="eastAsia" w:cs="Times New Roman"/>
          <w:color w:val="auto"/>
          <w:sz w:val="21"/>
          <w:szCs w:val="21"/>
          <w:highlight w:val="none"/>
          <w:u w:val="single"/>
          <w:lang w:val="en-US" w:eastAsia="zh-CN"/>
        </w:rPr>
        <w:t>招标</w:t>
      </w:r>
      <w:r>
        <w:rPr>
          <w:rFonts w:hint="default" w:ascii="Times New Roman" w:hAnsi="Times New Roman" w:eastAsia="宋体" w:cs="Times New Roman"/>
          <w:color w:val="auto"/>
          <w:sz w:val="21"/>
          <w:szCs w:val="21"/>
          <w:highlight w:val="none"/>
          <w:u w:val="single"/>
        </w:rPr>
        <w:t xml:space="preserve">人名称）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p>
    <w:p>
      <w:pPr>
        <w:spacing w:line="440" w:lineRule="exact"/>
        <w:ind w:firstLine="4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我公司</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名称）于</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日在中华人民共和国境内</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（详细注册地址）</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合法注册并经营，公司主营业务为</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，营业（生产经营）面积为</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，现有员工数量为</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，其中与履行本合同相关的专业技术人员有</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（专业能力、数量）</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，本公司郑重承诺，具有履行本合同所必需的设备和专业技术能力。</w:t>
      </w:r>
    </w:p>
    <w:p>
      <w:pPr>
        <w:spacing w:line="440" w:lineRule="exact"/>
        <w:ind w:firstLine="420"/>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承</w:t>
      </w: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eastAsia="zh-CN"/>
        </w:rPr>
        <w:t>诺</w:t>
      </w:r>
      <w:r>
        <w:rPr>
          <w:rFonts w:hint="default" w:ascii="Times New Roman" w:hAnsi="Times New Roman" w:eastAsia="宋体" w:cs="Times New Roman"/>
          <w:color w:val="auto"/>
          <w:sz w:val="21"/>
          <w:szCs w:val="21"/>
          <w:highlight w:val="none"/>
        </w:rPr>
        <w:t xml:space="preserve">  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lang w:eastAsia="zh-CN"/>
        </w:rPr>
        <w:t>（投标人</w:t>
      </w:r>
      <w:r>
        <w:rPr>
          <w:rFonts w:hint="default" w:ascii="Times New Roman" w:hAnsi="Times New Roman" w:eastAsia="宋体" w:cs="Times New Roman"/>
          <w:color w:val="auto"/>
          <w:sz w:val="21"/>
          <w:szCs w:val="21"/>
          <w:highlight w:val="none"/>
        </w:rPr>
        <w:t>名称、公章</w:t>
      </w:r>
      <w:r>
        <w:rPr>
          <w:rFonts w:hint="eastAsia" w:ascii="Times New Roman" w:hAnsi="Times New Roman" w:eastAsia="宋体" w:cs="Times New Roman"/>
          <w:color w:val="auto"/>
          <w:sz w:val="21"/>
          <w:szCs w:val="21"/>
          <w:highlight w:val="none"/>
          <w:lang w:eastAsia="zh-CN"/>
        </w:rPr>
        <w:t>）</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盖章或签字</w:t>
      </w:r>
      <w:r>
        <w:rPr>
          <w:rFonts w:hint="default" w:ascii="Times New Roman" w:hAnsi="Times New Roman" w:eastAsia="宋体" w:cs="Times New Roman"/>
          <w:color w:val="auto"/>
          <w:sz w:val="21"/>
          <w:szCs w:val="21"/>
          <w:highlight w:val="none"/>
        </w:rPr>
        <w:t>）</w:t>
      </w:r>
    </w:p>
    <w:p>
      <w:pPr>
        <w:pStyle w:val="1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73"/>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 xml:space="preserve">日      期：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lang w:eastAsia="zh-CN"/>
        </w:rPr>
        <w:t>年</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lang w:eastAsia="zh-CN"/>
        </w:rPr>
        <w:t>月</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lang w:eastAsia="zh-CN"/>
        </w:rPr>
        <w:t>日</w:t>
      </w: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spacing w:line="440" w:lineRule="exact"/>
        <w:rPr>
          <w:rFonts w:hint="default" w:ascii="Times New Roman" w:hAnsi="Times New Roman" w:eastAsia="宋体" w:cs="Times New Roman"/>
          <w:color w:val="auto"/>
          <w:sz w:val="21"/>
          <w:szCs w:val="21"/>
          <w:highlight w:val="none"/>
        </w:rPr>
      </w:pPr>
    </w:p>
    <w:p>
      <w:pPr>
        <w:rPr>
          <w:rFonts w:hint="default" w:ascii="宋体" w:hAnsi="宋体" w:eastAsia="宋体" w:cs="宋体"/>
          <w:b/>
          <w:color w:val="auto"/>
          <w:sz w:val="21"/>
          <w:szCs w:val="21"/>
          <w:highlight w:val="none"/>
          <w:lang w:val="en-US" w:eastAsia="zh-CN"/>
        </w:rPr>
      </w:pPr>
      <w:r>
        <w:rPr>
          <w:rFonts w:hint="default" w:ascii="宋体" w:hAnsi="宋体" w:eastAsia="宋体" w:cs="宋体"/>
          <w:b/>
          <w:color w:val="auto"/>
          <w:sz w:val="21"/>
          <w:szCs w:val="21"/>
          <w:highlight w:val="none"/>
          <w:lang w:val="en-US" w:eastAsia="zh-CN"/>
        </w:rPr>
        <w:br w:type="page"/>
      </w:r>
    </w:p>
    <w:p>
      <w:pPr>
        <w:spacing w:line="440" w:lineRule="exact"/>
        <w:rPr>
          <w:rFonts w:hint="default" w:ascii="宋体" w:hAnsi="宋体" w:eastAsia="宋体" w:cs="宋体"/>
          <w:b/>
          <w:color w:val="auto"/>
          <w:sz w:val="21"/>
          <w:szCs w:val="21"/>
          <w:highlight w:val="none"/>
        </w:rPr>
      </w:pPr>
      <w:r>
        <w:rPr>
          <w:rFonts w:hint="default" w:ascii="宋体" w:hAnsi="宋体" w:eastAsia="宋体" w:cs="宋体"/>
          <w:b/>
          <w:color w:val="auto"/>
          <w:sz w:val="21"/>
          <w:szCs w:val="21"/>
          <w:highlight w:val="none"/>
          <w:lang w:val="en-US" w:eastAsia="zh-CN"/>
        </w:rPr>
        <w:t>2.</w:t>
      </w:r>
      <w:r>
        <w:rPr>
          <w:rFonts w:hint="eastAsia" w:ascii="宋体" w:hAnsi="宋体" w:cs="宋体"/>
          <w:b/>
          <w:color w:val="auto"/>
          <w:sz w:val="21"/>
          <w:szCs w:val="21"/>
          <w:highlight w:val="none"/>
          <w:lang w:val="en-US" w:eastAsia="zh-CN"/>
        </w:rPr>
        <w:t>3</w:t>
      </w:r>
      <w:r>
        <w:rPr>
          <w:rFonts w:hint="default" w:ascii="宋体" w:hAnsi="宋体" w:eastAsia="宋体" w:cs="宋体"/>
          <w:b/>
          <w:color w:val="auto"/>
          <w:sz w:val="21"/>
          <w:szCs w:val="21"/>
          <w:highlight w:val="none"/>
          <w:lang w:eastAsia="zh-CN"/>
        </w:rPr>
        <w:t>其他证明材料：享受</w:t>
      </w:r>
      <w:r>
        <w:rPr>
          <w:rFonts w:hint="default" w:ascii="宋体" w:hAnsi="宋体" w:eastAsia="宋体" w:cs="宋体"/>
          <w:b/>
          <w:color w:val="auto"/>
          <w:sz w:val="21"/>
          <w:szCs w:val="21"/>
          <w:highlight w:val="none"/>
        </w:rPr>
        <w:t>政府采购</w:t>
      </w:r>
      <w:r>
        <w:rPr>
          <w:rFonts w:hint="default" w:ascii="宋体" w:hAnsi="宋体" w:eastAsia="宋体" w:cs="宋体"/>
          <w:b/>
          <w:color w:val="auto"/>
          <w:sz w:val="21"/>
          <w:szCs w:val="21"/>
          <w:highlight w:val="none"/>
          <w:lang w:eastAsia="zh-CN"/>
        </w:rPr>
        <w:t>优惠</w:t>
      </w:r>
      <w:r>
        <w:rPr>
          <w:rFonts w:hint="default" w:ascii="宋体" w:hAnsi="宋体" w:eastAsia="宋体" w:cs="宋体"/>
          <w:b/>
          <w:color w:val="auto"/>
          <w:sz w:val="21"/>
          <w:szCs w:val="21"/>
          <w:highlight w:val="none"/>
        </w:rPr>
        <w:t>政策产品</w:t>
      </w:r>
      <w:r>
        <w:rPr>
          <w:rFonts w:hint="default" w:ascii="宋体" w:hAnsi="宋体" w:eastAsia="宋体" w:cs="宋体"/>
          <w:b/>
          <w:color w:val="auto"/>
          <w:sz w:val="21"/>
          <w:szCs w:val="21"/>
          <w:highlight w:val="none"/>
          <w:lang w:eastAsia="zh-CN"/>
        </w:rPr>
        <w:t>的</w:t>
      </w:r>
      <w:r>
        <w:rPr>
          <w:rFonts w:hint="default" w:ascii="宋体" w:hAnsi="宋体" w:eastAsia="宋体" w:cs="宋体"/>
          <w:b/>
          <w:color w:val="auto"/>
          <w:sz w:val="21"/>
          <w:szCs w:val="21"/>
          <w:highlight w:val="none"/>
        </w:rPr>
        <w:t>证明材料</w:t>
      </w:r>
      <w:r>
        <w:rPr>
          <w:rFonts w:hint="default" w:ascii="宋体" w:hAnsi="宋体" w:eastAsia="宋体" w:cs="宋体"/>
          <w:b/>
          <w:color w:val="auto"/>
          <w:sz w:val="21"/>
          <w:szCs w:val="21"/>
          <w:highlight w:val="none"/>
          <w:lang w:eastAsia="zh-CN"/>
        </w:rPr>
        <w:t>（如有）</w:t>
      </w:r>
    </w:p>
    <w:p>
      <w:pPr>
        <w:pStyle w:val="19"/>
        <w:keepNext w:val="0"/>
        <w:keepLines w:val="0"/>
        <w:pageBreakBefore w:val="0"/>
        <w:widowControl w:val="0"/>
        <w:kinsoku/>
        <w:wordWrap/>
        <w:overflowPunct/>
        <w:topLinePunct w:val="0"/>
        <w:autoSpaceDE/>
        <w:autoSpaceDN/>
        <w:bidi w:val="0"/>
        <w:adjustRightInd w:val="0"/>
        <w:snapToGrid w:val="0"/>
        <w:spacing w:before="120" w:beforeLines="50" w:line="440" w:lineRule="exact"/>
        <w:ind w:right="0" w:rightChars="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：中小企业声明函</w:t>
      </w:r>
    </w:p>
    <w:p>
      <w:pPr>
        <w:pStyle w:val="19"/>
        <w:keepNext w:val="0"/>
        <w:keepLines w:val="0"/>
        <w:pageBreakBefore w:val="0"/>
        <w:widowControl w:val="0"/>
        <w:kinsoku/>
        <w:wordWrap/>
        <w:overflowPunct/>
        <w:topLinePunct w:val="0"/>
        <w:autoSpaceDE/>
        <w:autoSpaceDN/>
        <w:bidi w:val="0"/>
        <w:adjustRightInd w:val="0"/>
        <w:snapToGrid w:val="0"/>
        <w:spacing w:before="120" w:beforeLines="50" w:line="440" w:lineRule="exact"/>
        <w:ind w:right="0" w:right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附件4：</w:t>
      </w:r>
      <w:r>
        <w:rPr>
          <w:rFonts w:hint="eastAsia"/>
          <w:bCs/>
          <w:szCs w:val="21"/>
        </w:rPr>
        <w:t>“</w:t>
      </w:r>
      <w:r>
        <w:rPr>
          <w:bCs/>
          <w:szCs w:val="21"/>
        </w:rPr>
        <w:t>节能产品</w:t>
      </w:r>
      <w:r>
        <w:rPr>
          <w:rFonts w:hint="eastAsia"/>
          <w:bCs/>
          <w:szCs w:val="21"/>
        </w:rPr>
        <w:t>”</w:t>
      </w:r>
      <w:r>
        <w:rPr>
          <w:bCs/>
          <w:szCs w:val="21"/>
        </w:rPr>
        <w:t>、</w:t>
      </w:r>
      <w:r>
        <w:rPr>
          <w:rFonts w:hint="eastAsia"/>
          <w:bCs/>
          <w:szCs w:val="21"/>
        </w:rPr>
        <w:t>“</w:t>
      </w:r>
      <w:r>
        <w:rPr>
          <w:bCs/>
          <w:szCs w:val="21"/>
        </w:rPr>
        <w:t>环境标志产品</w:t>
      </w:r>
      <w:r>
        <w:rPr>
          <w:rFonts w:hint="eastAsia"/>
          <w:bCs/>
          <w:szCs w:val="21"/>
        </w:rPr>
        <w:t>”</w:t>
      </w:r>
      <w:r>
        <w:rPr>
          <w:bCs/>
          <w:szCs w:val="21"/>
        </w:rPr>
        <w:t>证明材料</w:t>
      </w:r>
    </w:p>
    <w:p>
      <w:pPr>
        <w:spacing w:line="588" w:lineRule="exact"/>
        <w:jc w:val="left"/>
        <w:rPr>
          <w:rFonts w:hint="eastAsia" w:ascii="宋体" w:hAnsi="宋体" w:eastAsia="宋体" w:cs="宋体"/>
          <w:b/>
          <w:spacing w:val="6"/>
          <w:szCs w:val="21"/>
          <w:highlight w:val="none"/>
        </w:rPr>
      </w:pPr>
      <w:r>
        <w:rPr>
          <w:rFonts w:hint="eastAsia" w:ascii="宋体" w:hAnsi="宋体" w:eastAsia="宋体" w:cs="宋体"/>
          <w:sz w:val="21"/>
          <w:szCs w:val="21"/>
          <w:highlight w:val="none"/>
        </w:rPr>
        <w:t>附件</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w:t>
      </w:r>
      <w:r>
        <w:rPr>
          <w:rFonts w:hint="eastAsia" w:ascii="宋体" w:hAnsi="宋体" w:eastAsia="宋体" w:cs="宋体"/>
          <w:b w:val="0"/>
          <w:bCs/>
          <w:spacing w:val="6"/>
          <w:szCs w:val="21"/>
          <w:highlight w:val="none"/>
        </w:rPr>
        <w:t>残疾人福利性单位声明函</w:t>
      </w:r>
    </w:p>
    <w:p>
      <w:pPr>
        <w:pStyle w:val="55"/>
        <w:spacing w:line="500" w:lineRule="exact"/>
        <w:rPr>
          <w:rFonts w:hint="eastAsia" w:ascii="宋体" w:hAnsi="宋体" w:eastAsia="宋体" w:cs="宋体"/>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50" w:line="440" w:lineRule="exact"/>
        <w:ind w:right="0" w:rightChars="0"/>
        <w:jc w:val="both"/>
        <w:textAlignment w:val="auto"/>
        <w:outlineLvl w:val="9"/>
        <w:rPr>
          <w:rFonts w:hint="default" w:ascii="Times New Roman" w:hAnsi="Times New Roman" w:eastAsia="宋体" w:cs="Times New Roman"/>
          <w:color w:val="auto"/>
          <w:sz w:val="21"/>
          <w:szCs w:val="21"/>
          <w:highlight w:val="none"/>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spacing w:line="44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投标人</w:t>
      </w:r>
      <w:r>
        <w:rPr>
          <w:rFonts w:hint="eastAsia" w:ascii="宋体" w:hAnsi="宋体" w:eastAsia="宋体" w:cs="宋体"/>
          <w:b/>
          <w:color w:val="auto"/>
          <w:sz w:val="21"/>
          <w:szCs w:val="21"/>
          <w:highlight w:val="none"/>
          <w:lang w:eastAsia="zh-CN"/>
        </w:rPr>
        <w:t>类似项目业绩</w:t>
      </w:r>
      <w:r>
        <w:rPr>
          <w:rFonts w:hint="eastAsia" w:ascii="宋体" w:hAnsi="宋体" w:eastAsia="宋体" w:cs="宋体"/>
          <w:b/>
          <w:color w:val="auto"/>
          <w:sz w:val="21"/>
          <w:szCs w:val="21"/>
          <w:highlight w:val="none"/>
        </w:rPr>
        <w:t>一览表</w:t>
      </w:r>
    </w:p>
    <w:p>
      <w:pPr>
        <w:spacing w:line="44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类似项目业绩</w:t>
      </w:r>
      <w:r>
        <w:rPr>
          <w:rFonts w:hint="default" w:ascii="Times New Roman" w:hAnsi="Times New Roman" w:eastAsia="宋体" w:cs="Times New Roman"/>
          <w:b/>
          <w:color w:val="auto"/>
          <w:sz w:val="21"/>
          <w:szCs w:val="21"/>
          <w:highlight w:val="none"/>
        </w:rPr>
        <w:t>一览表</w:t>
      </w:r>
    </w:p>
    <w:p>
      <w:pPr>
        <w:spacing w:line="4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投标人名称：</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 xml:space="preserve">               </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项目编号：</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p>
    <w:tbl>
      <w:tblPr>
        <w:tblStyle w:val="37"/>
        <w:tblW w:w="919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919"/>
        <w:gridCol w:w="1549"/>
        <w:gridCol w:w="1727"/>
        <w:gridCol w:w="1732"/>
        <w:gridCol w:w="1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082" w:type="dxa"/>
            <w:vAlign w:val="center"/>
          </w:tcPr>
          <w:p>
            <w:pPr>
              <w:pStyle w:val="12"/>
              <w:ind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年份</w:t>
            </w:r>
          </w:p>
        </w:tc>
        <w:tc>
          <w:tcPr>
            <w:tcW w:w="1919" w:type="dxa"/>
            <w:vAlign w:val="center"/>
          </w:tcPr>
          <w:p>
            <w:pPr>
              <w:pStyle w:val="12"/>
              <w:ind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1549" w:type="dxa"/>
            <w:vAlign w:val="center"/>
          </w:tcPr>
          <w:p>
            <w:pPr>
              <w:pStyle w:val="12"/>
              <w:ind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合同金额</w:t>
            </w:r>
          </w:p>
        </w:tc>
        <w:tc>
          <w:tcPr>
            <w:tcW w:w="1727" w:type="dxa"/>
            <w:vAlign w:val="center"/>
          </w:tcPr>
          <w:p>
            <w:pPr>
              <w:pStyle w:val="12"/>
              <w:ind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完成时间</w:t>
            </w:r>
          </w:p>
        </w:tc>
        <w:tc>
          <w:tcPr>
            <w:tcW w:w="1732" w:type="dxa"/>
            <w:vAlign w:val="center"/>
          </w:tcPr>
          <w:p>
            <w:pPr>
              <w:pStyle w:val="12"/>
              <w:ind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完成质量</w:t>
            </w:r>
          </w:p>
        </w:tc>
        <w:tc>
          <w:tcPr>
            <w:tcW w:w="1188" w:type="dxa"/>
            <w:vAlign w:val="center"/>
          </w:tcPr>
          <w:p>
            <w:pPr>
              <w:pStyle w:val="12"/>
              <w:ind w:firstLine="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82" w:type="dxa"/>
          </w:tcPr>
          <w:p>
            <w:pPr>
              <w:pStyle w:val="12"/>
              <w:ind w:firstLine="0"/>
              <w:rPr>
                <w:rFonts w:hint="default" w:ascii="Times New Roman" w:hAnsi="Times New Roman" w:eastAsia="宋体" w:cs="Times New Roman"/>
                <w:color w:val="auto"/>
                <w:sz w:val="21"/>
                <w:szCs w:val="21"/>
                <w:highlight w:val="none"/>
              </w:rPr>
            </w:pPr>
          </w:p>
        </w:tc>
        <w:tc>
          <w:tcPr>
            <w:tcW w:w="1919" w:type="dxa"/>
          </w:tcPr>
          <w:p>
            <w:pPr>
              <w:pStyle w:val="12"/>
              <w:ind w:firstLine="0"/>
              <w:rPr>
                <w:rFonts w:hint="default" w:ascii="Times New Roman" w:hAnsi="Times New Roman" w:eastAsia="宋体" w:cs="Times New Roman"/>
                <w:color w:val="auto"/>
                <w:sz w:val="21"/>
                <w:szCs w:val="21"/>
                <w:highlight w:val="none"/>
              </w:rPr>
            </w:pPr>
          </w:p>
        </w:tc>
        <w:tc>
          <w:tcPr>
            <w:tcW w:w="1549" w:type="dxa"/>
          </w:tcPr>
          <w:p>
            <w:pPr>
              <w:pStyle w:val="12"/>
              <w:ind w:firstLine="0"/>
              <w:rPr>
                <w:rFonts w:hint="default" w:ascii="Times New Roman" w:hAnsi="Times New Roman" w:eastAsia="宋体" w:cs="Times New Roman"/>
                <w:color w:val="auto"/>
                <w:sz w:val="21"/>
                <w:szCs w:val="21"/>
                <w:highlight w:val="none"/>
              </w:rPr>
            </w:pPr>
          </w:p>
        </w:tc>
        <w:tc>
          <w:tcPr>
            <w:tcW w:w="1727" w:type="dxa"/>
          </w:tcPr>
          <w:p>
            <w:pPr>
              <w:pStyle w:val="12"/>
              <w:ind w:firstLine="0"/>
              <w:rPr>
                <w:rFonts w:hint="default" w:ascii="Times New Roman" w:hAnsi="Times New Roman" w:eastAsia="宋体" w:cs="Times New Roman"/>
                <w:color w:val="auto"/>
                <w:sz w:val="21"/>
                <w:szCs w:val="21"/>
                <w:highlight w:val="none"/>
              </w:rPr>
            </w:pPr>
          </w:p>
        </w:tc>
        <w:tc>
          <w:tcPr>
            <w:tcW w:w="1732" w:type="dxa"/>
          </w:tcPr>
          <w:p>
            <w:pPr>
              <w:pStyle w:val="12"/>
              <w:ind w:firstLine="0"/>
              <w:rPr>
                <w:rFonts w:hint="default" w:ascii="Times New Roman" w:hAnsi="Times New Roman" w:eastAsia="宋体" w:cs="Times New Roman"/>
                <w:color w:val="auto"/>
                <w:sz w:val="21"/>
                <w:szCs w:val="21"/>
                <w:highlight w:val="none"/>
              </w:rPr>
            </w:pPr>
          </w:p>
        </w:tc>
        <w:tc>
          <w:tcPr>
            <w:tcW w:w="1188" w:type="dxa"/>
          </w:tcPr>
          <w:p>
            <w:pPr>
              <w:pStyle w:val="12"/>
              <w:ind w:firstLine="0"/>
              <w:rPr>
                <w:rFonts w:hint="default" w:ascii="Times New Roman" w:hAnsi="Times New Roman" w:eastAsia="宋体" w:cs="Times New Roman"/>
                <w:color w:val="auto"/>
                <w:sz w:val="21"/>
                <w:szCs w:val="21"/>
                <w:highlight w:val="none"/>
              </w:rPr>
            </w:pPr>
          </w:p>
        </w:tc>
      </w:tr>
    </w:tbl>
    <w:p>
      <w:pPr>
        <w:tabs>
          <w:tab w:val="left" w:pos="1680"/>
        </w:tabs>
        <w:snapToGrid w:val="0"/>
        <w:spacing w:line="360" w:lineRule="exact"/>
        <w:ind w:left="480" w:right="-42" w:rightChars="-20" w:hanging="420" w:hangingChars="200"/>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注：1、投标人应随此表后附相关的业绩证明（合同</w:t>
      </w:r>
      <w:r>
        <w:rPr>
          <w:rFonts w:hint="eastAsia" w:cs="Times New Roman"/>
          <w:caps/>
          <w:color w:val="auto"/>
          <w:sz w:val="21"/>
          <w:szCs w:val="21"/>
          <w:highlight w:val="none"/>
          <w:lang w:eastAsia="zh-CN"/>
        </w:rPr>
        <w:t>或中标通知书</w:t>
      </w:r>
      <w:r>
        <w:rPr>
          <w:rFonts w:hint="default" w:ascii="Times New Roman" w:hAnsi="Times New Roman" w:eastAsia="宋体" w:cs="Times New Roman"/>
          <w:caps/>
          <w:color w:val="auto"/>
          <w:sz w:val="21"/>
          <w:szCs w:val="21"/>
          <w:highlight w:val="none"/>
        </w:rPr>
        <w:t>的复印件）</w:t>
      </w:r>
    </w:p>
    <w:p>
      <w:pPr>
        <w:tabs>
          <w:tab w:val="left" w:pos="1680"/>
        </w:tabs>
        <w:snapToGrid w:val="0"/>
        <w:spacing w:line="360" w:lineRule="exact"/>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 xml:space="preserve">    2、如有多个</w:t>
      </w:r>
      <w:r>
        <w:rPr>
          <w:rFonts w:hint="default" w:ascii="Times New Roman" w:hAnsi="Times New Roman" w:eastAsia="宋体" w:cs="Times New Roman"/>
          <w:caps/>
          <w:color w:val="auto"/>
          <w:sz w:val="21"/>
          <w:szCs w:val="21"/>
          <w:highlight w:val="none"/>
          <w:lang w:eastAsia="zh-CN"/>
        </w:rPr>
        <w:t>同类</w:t>
      </w:r>
      <w:r>
        <w:rPr>
          <w:rFonts w:hint="default" w:ascii="Times New Roman" w:hAnsi="Times New Roman" w:eastAsia="宋体" w:cs="Times New Roman"/>
          <w:caps/>
          <w:color w:val="auto"/>
          <w:sz w:val="21"/>
          <w:szCs w:val="21"/>
          <w:highlight w:val="none"/>
        </w:rPr>
        <w:t>项目，可按此表格扩展。</w:t>
      </w:r>
    </w:p>
    <w:p>
      <w:pPr>
        <w:spacing w:line="440" w:lineRule="exact"/>
        <w:rPr>
          <w:rFonts w:hint="default" w:ascii="Times New Roman" w:hAnsi="Times New Roman" w:eastAsia="宋体" w:cs="Times New Roman"/>
          <w:color w:val="auto"/>
          <w:sz w:val="21"/>
          <w:szCs w:val="21"/>
          <w:highlight w:val="none"/>
        </w:rPr>
      </w:pPr>
    </w:p>
    <w:p>
      <w:pPr>
        <w:spacing w:beforeLines="100" w:afterLines="100" w:line="4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投标人：</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（单位全称、盖章）</w:t>
      </w:r>
    </w:p>
    <w:p>
      <w:pPr>
        <w:spacing w:beforeLines="100" w:afterLines="100" w:line="4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法定代表人或授权代表：</w:t>
      </w:r>
      <w:r>
        <w:rPr>
          <w:rFonts w:hint="default" w:ascii="Times New Roman" w:hAnsi="Times New Roman" w:eastAsia="宋体" w:cs="Times New Roman"/>
          <w:color w:val="auto"/>
          <w:sz w:val="21"/>
          <w:szCs w:val="21"/>
          <w:highlight w:val="none"/>
          <w:u w:val="single"/>
        </w:rPr>
        <w:t xml:space="preserve">   （</w:t>
      </w:r>
      <w:r>
        <w:rPr>
          <w:rFonts w:hint="eastAsia" w:cs="Times New Roman"/>
          <w:color w:val="auto"/>
          <w:sz w:val="21"/>
          <w:szCs w:val="21"/>
          <w:highlight w:val="none"/>
          <w:u w:val="single"/>
          <w:lang w:eastAsia="zh-CN"/>
        </w:rPr>
        <w:t>盖章或签字</w:t>
      </w:r>
      <w:r>
        <w:rPr>
          <w:rFonts w:hint="default" w:ascii="Times New Roman" w:hAnsi="Times New Roman" w:eastAsia="宋体" w:cs="Times New Roman"/>
          <w:color w:val="auto"/>
          <w:sz w:val="21"/>
          <w:szCs w:val="21"/>
          <w:highlight w:val="none"/>
          <w:u w:val="single"/>
        </w:rPr>
        <w:t xml:space="preserve">）         </w:t>
      </w:r>
    </w:p>
    <w:p>
      <w:pPr>
        <w:spacing w:beforeLines="100" w:afterLines="50" w:line="4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投标日期：</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b/>
          <w:bCs/>
          <w:color w:val="auto"/>
          <w:sz w:val="36"/>
          <w:szCs w:val="36"/>
          <w:highlight w:val="none"/>
          <w:lang w:val="en-US" w:eastAsia="zh-CN"/>
        </w:rPr>
      </w:pPr>
      <w:bookmarkStart w:id="51" w:name="_Toc28712"/>
      <w:bookmarkStart w:id="52" w:name="_Toc30379"/>
    </w:p>
    <w:bookmarkEnd w:id="51"/>
    <w:bookmarkEnd w:id="52"/>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宋体" w:hAnsi="宋体" w:eastAsia="宋体" w:cs="宋体"/>
          <w:b/>
          <w:bCs/>
          <w:color w:val="auto"/>
          <w:kern w:val="2"/>
          <w:sz w:val="36"/>
          <w:szCs w:val="36"/>
          <w:highlight w:val="yellow"/>
          <w:lang w:val="en-US" w:eastAsia="zh-CN" w:bidi="ar-SA"/>
        </w:rPr>
      </w:pPr>
      <w:r>
        <w:rPr>
          <w:rFonts w:hint="eastAsia"/>
          <w:b/>
          <w:bCs/>
          <w:color w:val="auto"/>
          <w:sz w:val="36"/>
          <w:szCs w:val="36"/>
          <w:highlight w:val="none"/>
          <w:lang w:val="en-US" w:eastAsia="zh-CN"/>
        </w:rPr>
        <w:t>六、投标方案说明书</w:t>
      </w:r>
    </w:p>
    <w:p>
      <w:pPr>
        <w:rPr>
          <w:rFonts w:hint="eastAsia"/>
          <w:color w:val="auto"/>
          <w:highlight w:val="none"/>
        </w:rPr>
      </w:pPr>
    </w:p>
    <w:p>
      <w:pPr>
        <w:ind w:firstLine="420"/>
        <w:rPr>
          <w:rFonts w:hint="eastAsia"/>
        </w:rPr>
      </w:pPr>
      <w:r>
        <w:rPr>
          <w:rFonts w:hint="eastAsia" w:ascii="Times New Roman" w:hAnsi="Times New Roman" w:eastAsia="宋体" w:cs="Times New Roman"/>
          <w:color w:val="auto"/>
          <w:sz w:val="21"/>
          <w:szCs w:val="21"/>
          <w:lang w:val="en-US" w:eastAsia="zh-CN"/>
        </w:rPr>
        <w:t>按照招标文件第三章“评标办法”及第四章“</w:t>
      </w:r>
      <w:r>
        <w:rPr>
          <w:rFonts w:hint="eastAsia" w:cs="Times New Roman"/>
          <w:color w:val="auto"/>
          <w:sz w:val="21"/>
          <w:szCs w:val="21"/>
          <w:highlight w:val="none"/>
          <w:lang w:val="en-US" w:eastAsia="zh-CN"/>
        </w:rPr>
        <w:t>采购</w:t>
      </w:r>
      <w:r>
        <w:rPr>
          <w:rFonts w:hint="eastAsia" w:ascii="Times New Roman" w:hAnsi="Times New Roman" w:eastAsia="宋体" w:cs="Times New Roman"/>
          <w:color w:val="auto"/>
          <w:sz w:val="21"/>
          <w:szCs w:val="21"/>
          <w:highlight w:val="none"/>
          <w:lang w:val="en-US" w:eastAsia="zh-CN"/>
        </w:rPr>
        <w:t>内容及要求</w:t>
      </w:r>
      <w:r>
        <w:rPr>
          <w:rFonts w:hint="eastAsia" w:ascii="Times New Roman" w:hAnsi="Times New Roman" w:eastAsia="宋体" w:cs="Times New Roman"/>
          <w:color w:val="auto"/>
          <w:sz w:val="21"/>
          <w:szCs w:val="21"/>
          <w:lang w:val="en-US" w:eastAsia="zh-CN"/>
        </w:rPr>
        <w:t>”的要求编制投标方案说明书，格式自拟。</w:t>
      </w: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rPr>
          <w:rFonts w:hint="eastAsia" w:ascii="Tahoma" w:hAnsi="Tahoma"/>
          <w:b/>
          <w:bCs/>
          <w:color w:val="auto"/>
          <w:sz w:val="21"/>
          <w:szCs w:val="21"/>
          <w:highlight w:val="none"/>
          <w:lang w:eastAsia="zh-CN"/>
        </w:rPr>
      </w:pPr>
    </w:p>
    <w:p>
      <w:pPr>
        <w:spacing w:line="440" w:lineRule="exact"/>
        <w:ind w:firstLine="420" w:firstLineChars="200"/>
        <w:rPr>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ascii="Tahoma" w:hAnsi="Tahoma"/>
          <w:b/>
          <w:bCs/>
          <w:color w:val="auto"/>
          <w:sz w:val="21"/>
          <w:szCs w:val="21"/>
          <w:highlight w:val="none"/>
          <w:lang w:eastAsia="zh-CN"/>
        </w:rPr>
      </w:pPr>
    </w:p>
    <w:p>
      <w:pPr>
        <w:rPr>
          <w:rFonts w:hint="eastAsia" w:ascii="Tahoma" w:hAnsi="Tahoma" w:cs="Times New Roman"/>
          <w:b/>
          <w:bCs/>
          <w:color w:val="auto"/>
          <w:sz w:val="21"/>
          <w:szCs w:val="21"/>
          <w:highlight w:val="none"/>
          <w:lang w:val="en-US" w:eastAsia="zh-CN"/>
        </w:rPr>
      </w:pPr>
      <w:bookmarkStart w:id="53" w:name="_Toc88223002"/>
      <w:bookmarkStart w:id="54" w:name="_Toc75385987"/>
      <w:r>
        <w:rPr>
          <w:rFonts w:hint="eastAsia" w:ascii="Tahoma" w:hAnsi="Tahoma" w:cs="Times New Roman"/>
          <w:b/>
          <w:bCs/>
          <w:color w:val="auto"/>
          <w:sz w:val="21"/>
          <w:szCs w:val="21"/>
          <w:highlight w:val="none"/>
          <w:lang w:val="en-US" w:eastAsia="zh-CN"/>
        </w:rPr>
        <w:br w:type="page"/>
      </w:r>
    </w:p>
    <w:bookmarkEnd w:id="53"/>
    <w:bookmarkEnd w:id="54"/>
    <w:p>
      <w:pPr>
        <w:spacing w:before="55"/>
        <w:ind w:right="2644"/>
        <w:jc w:val="left"/>
        <w:rPr>
          <w:rFonts w:hint="eastAsia" w:ascii="Tahoma" w:hAnsi="Tahoma"/>
          <w:b/>
          <w:bCs/>
          <w:color w:val="auto"/>
          <w:sz w:val="21"/>
          <w:szCs w:val="21"/>
          <w:highlight w:val="none"/>
          <w:lang w:val="en-US" w:eastAsia="zh-CN"/>
        </w:rPr>
      </w:pPr>
      <w:r>
        <w:rPr>
          <w:rFonts w:hint="eastAsia" w:ascii="Tahoma" w:hAnsi="Tahoma"/>
          <w:b/>
          <w:bCs/>
          <w:color w:val="auto"/>
          <w:sz w:val="21"/>
          <w:szCs w:val="21"/>
          <w:highlight w:val="none"/>
          <w:lang w:eastAsia="zh-CN"/>
        </w:rPr>
        <w:t>附表</w:t>
      </w:r>
      <w:r>
        <w:rPr>
          <w:rFonts w:hint="eastAsia" w:ascii="Tahoma" w:hAnsi="Tahoma"/>
          <w:b/>
          <w:bCs/>
          <w:color w:val="auto"/>
          <w:sz w:val="21"/>
          <w:szCs w:val="21"/>
          <w:highlight w:val="none"/>
          <w:lang w:val="en-US" w:eastAsia="zh-CN"/>
        </w:rPr>
        <w:t>1：技术规格响应偏离表（格式）</w:t>
      </w:r>
    </w:p>
    <w:p>
      <w:pPr>
        <w:keepNext w:val="0"/>
        <w:keepLines w:val="0"/>
        <w:pageBreakBefore w:val="0"/>
        <w:widowControl w:val="0"/>
        <w:kinsoku/>
        <w:wordWrap/>
        <w:overflowPunct/>
        <w:topLinePunct w:val="0"/>
        <w:autoSpaceDE/>
        <w:autoSpaceDN/>
        <w:bidi w:val="0"/>
        <w:adjustRightInd/>
        <w:snapToGrid/>
        <w:spacing w:before="0" w:beforeLines="100" w:after="0" w:afterLines="50" w:line="560" w:lineRule="exact"/>
        <w:ind w:left="0" w:leftChars="0" w:right="0" w:rightChars="0" w:firstLine="0" w:firstLineChars="0"/>
        <w:jc w:val="center"/>
        <w:textAlignment w:val="auto"/>
        <w:outlineLvl w:val="9"/>
        <w:rPr>
          <w:rFonts w:hint="eastAsia" w:ascii="宋体" w:hAnsi="宋体" w:eastAsia="宋体" w:cs="宋体"/>
          <w:b/>
          <w:bCs/>
          <w:color w:val="000000"/>
          <w:sz w:val="36"/>
          <w:szCs w:val="36"/>
          <w:highlight w:val="none"/>
          <w:lang w:eastAsia="zh-CN"/>
        </w:rPr>
      </w:pPr>
      <w:r>
        <w:rPr>
          <w:rFonts w:hint="eastAsia" w:ascii="宋体" w:hAnsi="宋体" w:eastAsia="宋体" w:cs="宋体"/>
          <w:b/>
          <w:bCs/>
          <w:color w:val="000000"/>
          <w:sz w:val="36"/>
          <w:szCs w:val="36"/>
          <w:highlight w:val="none"/>
          <w:lang w:eastAsia="zh-CN"/>
        </w:rPr>
        <w:t>技术要求偏离表</w:t>
      </w:r>
    </w:p>
    <w:p>
      <w:pPr>
        <w:spacing w:before="65" w:line="228" w:lineRule="auto"/>
        <w:ind w:firstLine="206" w:firstLineChars="100"/>
        <w:rPr>
          <w:rFonts w:hint="eastAsia" w:ascii="宋体" w:hAnsi="宋体" w:eastAsia="宋体" w:cs="宋体"/>
          <w:sz w:val="21"/>
          <w:szCs w:val="21"/>
        </w:rPr>
      </w:pPr>
      <w:r>
        <w:rPr>
          <w:rFonts w:hint="eastAsia" w:ascii="宋体" w:hAnsi="宋体" w:eastAsia="宋体" w:cs="宋体"/>
          <w:spacing w:val="-2"/>
          <w:sz w:val="21"/>
          <w:szCs w:val="21"/>
        </w:rPr>
        <w:t xml:space="preserve">项目名称： </w:t>
      </w:r>
      <w:r>
        <w:rPr>
          <w:rFonts w:hint="eastAsia" w:ascii="宋体" w:hAnsi="宋体" w:eastAsia="宋体" w:cs="宋体"/>
          <w:spacing w:val="-2"/>
          <w:sz w:val="21"/>
          <w:szCs w:val="21"/>
          <w:u w:val="single"/>
        </w:rPr>
        <w:t xml:space="preserve">           </w:t>
      </w:r>
      <w:r>
        <w:rPr>
          <w:rFonts w:hint="eastAsia" w:ascii="宋体" w:hAnsi="宋体" w:eastAsia="宋体" w:cs="宋体"/>
          <w:spacing w:val="-1"/>
          <w:sz w:val="21"/>
          <w:szCs w:val="21"/>
          <w:u w:val="single"/>
        </w:rPr>
        <w:t xml:space="preserve">         </w:t>
      </w:r>
      <w:r>
        <w:rPr>
          <w:rFonts w:hint="eastAsia" w:ascii="宋体" w:hAnsi="宋体" w:eastAsia="宋体" w:cs="宋体"/>
          <w:spacing w:val="-1"/>
          <w:sz w:val="21"/>
          <w:szCs w:val="21"/>
        </w:rPr>
        <w:t xml:space="preserve">                      </w:t>
      </w:r>
      <w:r>
        <w:rPr>
          <w:rFonts w:hint="eastAsia" w:ascii="宋体" w:hAnsi="宋体" w:cs="宋体"/>
          <w:spacing w:val="-1"/>
          <w:sz w:val="21"/>
          <w:szCs w:val="21"/>
          <w:lang w:val="en-US" w:eastAsia="zh-CN"/>
        </w:rPr>
        <w:t xml:space="preserve">     </w:t>
      </w:r>
      <w:r>
        <w:rPr>
          <w:rFonts w:hint="eastAsia" w:ascii="宋体" w:hAnsi="宋体" w:eastAsia="宋体" w:cs="宋体"/>
          <w:spacing w:val="-1"/>
          <w:sz w:val="21"/>
          <w:szCs w:val="21"/>
        </w:rPr>
        <w:t xml:space="preserve"> 项目编号：</w:t>
      </w:r>
      <w:r>
        <w:rPr>
          <w:rFonts w:hint="eastAsia" w:ascii="宋体" w:hAnsi="宋体" w:eastAsia="宋体" w:cs="宋体"/>
          <w:spacing w:val="-2"/>
          <w:sz w:val="21"/>
          <w:szCs w:val="21"/>
          <w:u w:val="single"/>
        </w:rPr>
        <w:t xml:space="preserve">           </w:t>
      </w:r>
      <w:r>
        <w:rPr>
          <w:rFonts w:hint="eastAsia" w:ascii="宋体" w:hAnsi="宋体" w:eastAsia="宋体" w:cs="宋体"/>
          <w:spacing w:val="-1"/>
          <w:sz w:val="21"/>
          <w:szCs w:val="21"/>
          <w:u w:val="single"/>
        </w:rPr>
        <w:t xml:space="preserve">         </w:t>
      </w:r>
      <w:r>
        <w:rPr>
          <w:rFonts w:hint="eastAsia" w:ascii="宋体" w:hAnsi="宋体" w:eastAsia="宋体" w:cs="宋体"/>
          <w:spacing w:val="-1"/>
          <w:sz w:val="21"/>
          <w:szCs w:val="21"/>
        </w:rPr>
        <w:t xml:space="preserve"> </w:t>
      </w:r>
    </w:p>
    <w:p>
      <w:pPr>
        <w:spacing w:line="131" w:lineRule="exact"/>
        <w:rPr>
          <w:rFonts w:hint="eastAsia" w:ascii="宋体" w:hAnsi="宋体" w:eastAsia="宋体" w:cs="宋体"/>
          <w:sz w:val="21"/>
          <w:szCs w:val="21"/>
        </w:rPr>
      </w:pPr>
    </w:p>
    <w:tbl>
      <w:tblPr>
        <w:tblStyle w:val="144"/>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4"/>
        <w:gridCol w:w="2838"/>
        <w:gridCol w:w="3191"/>
        <w:gridCol w:w="1398"/>
        <w:gridCol w:w="13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10" w:type="pct"/>
            <w:vAlign w:val="top"/>
          </w:tcPr>
          <w:p>
            <w:pPr>
              <w:spacing w:before="176" w:line="229" w:lineRule="auto"/>
              <w:ind w:left="143"/>
              <w:jc w:val="center"/>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1455" w:type="pct"/>
            <w:vAlign w:val="top"/>
          </w:tcPr>
          <w:p>
            <w:pPr>
              <w:spacing w:before="176" w:line="228" w:lineRule="auto"/>
              <w:ind w:left="131"/>
              <w:jc w:val="center"/>
              <w:rPr>
                <w:rFonts w:hint="eastAsia" w:ascii="宋体" w:hAnsi="宋体" w:eastAsia="宋体" w:cs="宋体"/>
                <w:b/>
                <w:bCs/>
                <w:sz w:val="21"/>
                <w:szCs w:val="21"/>
              </w:rPr>
            </w:pPr>
            <w:r>
              <w:rPr>
                <w:rFonts w:hint="eastAsia" w:ascii="宋体" w:hAnsi="宋体" w:eastAsia="宋体" w:cs="宋体"/>
                <w:b/>
                <w:bCs/>
                <w:spacing w:val="12"/>
                <w:sz w:val="21"/>
                <w:szCs w:val="21"/>
              </w:rPr>
              <w:t>招</w:t>
            </w:r>
            <w:r>
              <w:rPr>
                <w:rFonts w:hint="eastAsia" w:ascii="宋体" w:hAnsi="宋体" w:eastAsia="宋体" w:cs="宋体"/>
                <w:b/>
                <w:bCs/>
                <w:spacing w:val="8"/>
                <w:sz w:val="21"/>
                <w:szCs w:val="21"/>
              </w:rPr>
              <w:t>标文件要求</w:t>
            </w:r>
          </w:p>
        </w:tc>
        <w:tc>
          <w:tcPr>
            <w:tcW w:w="1636" w:type="pct"/>
            <w:vAlign w:val="top"/>
          </w:tcPr>
          <w:p>
            <w:pPr>
              <w:spacing w:before="176" w:line="228" w:lineRule="auto"/>
              <w:ind w:left="233"/>
              <w:jc w:val="center"/>
              <w:rPr>
                <w:rFonts w:hint="eastAsia" w:ascii="宋体" w:hAnsi="宋体" w:eastAsia="宋体" w:cs="宋体"/>
                <w:b/>
                <w:bCs/>
                <w:sz w:val="21"/>
                <w:szCs w:val="21"/>
                <w:lang w:val="en-US" w:eastAsia="zh-CN"/>
              </w:rPr>
            </w:pPr>
            <w:r>
              <w:rPr>
                <w:rFonts w:hint="eastAsia" w:ascii="宋体" w:hAnsi="宋体" w:eastAsia="宋体" w:cs="宋体"/>
                <w:b/>
                <w:bCs/>
                <w:spacing w:val="8"/>
                <w:sz w:val="21"/>
                <w:szCs w:val="21"/>
              </w:rPr>
              <w:t>投标文件</w:t>
            </w:r>
            <w:r>
              <w:rPr>
                <w:rFonts w:hint="eastAsia" w:ascii="宋体" w:hAnsi="宋体" w:eastAsia="宋体" w:cs="宋体"/>
                <w:b/>
                <w:bCs/>
                <w:spacing w:val="8"/>
                <w:sz w:val="21"/>
                <w:szCs w:val="21"/>
                <w:lang w:val="en-US" w:eastAsia="zh-CN"/>
              </w:rPr>
              <w:t>响应情况</w:t>
            </w:r>
          </w:p>
        </w:tc>
        <w:tc>
          <w:tcPr>
            <w:tcW w:w="717" w:type="pct"/>
            <w:vAlign w:val="top"/>
          </w:tcPr>
          <w:p>
            <w:pPr>
              <w:spacing w:before="176" w:line="228" w:lineRule="auto"/>
              <w:ind w:left="380"/>
              <w:jc w:val="both"/>
              <w:rPr>
                <w:rFonts w:hint="eastAsia" w:ascii="宋体" w:hAnsi="宋体" w:eastAsia="宋体" w:cs="宋体"/>
                <w:b/>
                <w:bCs/>
                <w:sz w:val="21"/>
                <w:szCs w:val="21"/>
              </w:rPr>
            </w:pPr>
            <w:r>
              <w:rPr>
                <w:rFonts w:hint="eastAsia" w:ascii="宋体" w:hAnsi="宋体" w:eastAsia="宋体" w:cs="宋体"/>
                <w:b/>
                <w:bCs/>
                <w:spacing w:val="5"/>
                <w:sz w:val="21"/>
                <w:szCs w:val="21"/>
              </w:rPr>
              <w:t>偏</w:t>
            </w:r>
            <w:r>
              <w:rPr>
                <w:rFonts w:hint="eastAsia" w:ascii="宋体" w:hAnsi="宋体" w:eastAsia="宋体" w:cs="宋体"/>
                <w:b/>
                <w:bCs/>
                <w:spacing w:val="4"/>
                <w:sz w:val="21"/>
                <w:szCs w:val="21"/>
              </w:rPr>
              <w:t>离</w:t>
            </w:r>
          </w:p>
        </w:tc>
        <w:tc>
          <w:tcPr>
            <w:tcW w:w="680" w:type="pct"/>
            <w:vAlign w:val="top"/>
          </w:tcPr>
          <w:p>
            <w:pPr>
              <w:spacing w:before="176" w:line="228" w:lineRule="auto"/>
              <w:ind w:left="355"/>
              <w:jc w:val="both"/>
              <w:rPr>
                <w:rFonts w:hint="eastAsia" w:ascii="宋体" w:hAnsi="宋体" w:eastAsia="宋体" w:cs="宋体"/>
                <w:b/>
                <w:bCs/>
                <w:sz w:val="21"/>
                <w:szCs w:val="21"/>
              </w:rPr>
            </w:pPr>
            <w:r>
              <w:rPr>
                <w:rFonts w:hint="eastAsia" w:ascii="新宋体" w:hAnsi="新宋体" w:cs="新宋体"/>
                <w:b/>
                <w:color w:val="auto"/>
                <w:sz w:val="21"/>
                <w:szCs w:val="21"/>
                <w:highlight w:val="none"/>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10" w:type="pct"/>
            <w:vAlign w:val="top"/>
          </w:tcPr>
          <w:p>
            <w:pPr>
              <w:rPr>
                <w:rFonts w:hint="eastAsia" w:ascii="宋体" w:hAnsi="宋体" w:eastAsia="宋体" w:cs="宋体"/>
                <w:sz w:val="21"/>
                <w:szCs w:val="21"/>
              </w:rPr>
            </w:pPr>
          </w:p>
        </w:tc>
        <w:tc>
          <w:tcPr>
            <w:tcW w:w="1455" w:type="pct"/>
            <w:vAlign w:val="top"/>
          </w:tcPr>
          <w:p>
            <w:pPr>
              <w:rPr>
                <w:rFonts w:hint="eastAsia" w:ascii="宋体" w:hAnsi="宋体" w:eastAsia="宋体" w:cs="宋体"/>
                <w:sz w:val="21"/>
                <w:szCs w:val="21"/>
              </w:rPr>
            </w:pPr>
          </w:p>
        </w:tc>
        <w:tc>
          <w:tcPr>
            <w:tcW w:w="1636" w:type="pct"/>
            <w:vAlign w:val="top"/>
          </w:tcPr>
          <w:p>
            <w:pPr>
              <w:rPr>
                <w:rFonts w:hint="eastAsia" w:ascii="宋体" w:hAnsi="宋体" w:eastAsia="宋体" w:cs="宋体"/>
                <w:sz w:val="21"/>
                <w:szCs w:val="21"/>
              </w:rPr>
            </w:pPr>
          </w:p>
        </w:tc>
        <w:tc>
          <w:tcPr>
            <w:tcW w:w="717" w:type="pct"/>
            <w:vAlign w:val="top"/>
          </w:tcPr>
          <w:p>
            <w:pPr>
              <w:rPr>
                <w:rFonts w:hint="eastAsia" w:ascii="宋体" w:hAnsi="宋体" w:eastAsia="宋体" w:cs="宋体"/>
                <w:sz w:val="21"/>
                <w:szCs w:val="21"/>
              </w:rPr>
            </w:pPr>
          </w:p>
        </w:tc>
        <w:tc>
          <w:tcPr>
            <w:tcW w:w="680" w:type="pct"/>
            <w:vAlign w:val="top"/>
          </w:tcPr>
          <w:p>
            <w:pPr>
              <w:rPr>
                <w:rFonts w:hint="eastAsia" w:ascii="宋体" w:hAnsi="宋体" w:eastAsia="宋体" w:cs="宋体"/>
                <w:sz w:val="21"/>
                <w:szCs w:val="21"/>
              </w:rPr>
            </w:pPr>
          </w:p>
        </w:tc>
      </w:tr>
    </w:tbl>
    <w:p>
      <w:pPr>
        <w:spacing w:before="139" w:line="369" w:lineRule="auto"/>
        <w:ind w:right="111" w:firstLine="272"/>
        <w:rPr>
          <w:rFonts w:hint="eastAsia" w:ascii="宋体" w:hAnsi="宋体" w:eastAsia="宋体" w:cs="宋体"/>
          <w:sz w:val="21"/>
          <w:szCs w:val="21"/>
        </w:rPr>
      </w:pPr>
      <w:r>
        <w:rPr>
          <w:rFonts w:hint="eastAsia" w:ascii="宋体" w:hAnsi="宋体" w:eastAsia="宋体" w:cs="宋体"/>
          <w:spacing w:val="18"/>
          <w:sz w:val="21"/>
          <w:szCs w:val="21"/>
        </w:rPr>
        <w:t>注</w:t>
      </w:r>
      <w:r>
        <w:rPr>
          <w:rFonts w:hint="eastAsia" w:ascii="宋体" w:hAnsi="宋体" w:eastAsia="宋体" w:cs="宋体"/>
          <w:spacing w:val="15"/>
          <w:sz w:val="21"/>
          <w:szCs w:val="21"/>
        </w:rPr>
        <w:t>：</w:t>
      </w:r>
      <w:r>
        <w:rPr>
          <w:rFonts w:hint="eastAsia" w:ascii="宋体" w:hAnsi="宋体" w:eastAsia="宋体" w:cs="宋体"/>
          <w:spacing w:val="9"/>
          <w:sz w:val="21"/>
          <w:szCs w:val="21"/>
        </w:rPr>
        <w:t>1.本表只填写投标文件中与招标文件有偏离(包括正偏离和负偏离)的内容，投标文件与招</w:t>
      </w:r>
      <w:r>
        <w:rPr>
          <w:rFonts w:hint="eastAsia" w:ascii="宋体" w:hAnsi="宋体" w:eastAsia="宋体" w:cs="宋体"/>
          <w:spacing w:val="17"/>
          <w:sz w:val="21"/>
          <w:szCs w:val="21"/>
        </w:rPr>
        <w:t>标</w:t>
      </w:r>
      <w:r>
        <w:rPr>
          <w:rFonts w:hint="eastAsia" w:ascii="宋体" w:hAnsi="宋体" w:eastAsia="宋体" w:cs="宋体"/>
          <w:spacing w:val="9"/>
          <w:sz w:val="21"/>
          <w:szCs w:val="21"/>
        </w:rPr>
        <w:t>文件要求完全一致的，不用在此表中列出，但必须提交空白表。</w:t>
      </w:r>
    </w:p>
    <w:p>
      <w:pPr>
        <w:spacing w:line="234" w:lineRule="auto"/>
        <w:ind w:firstLine="714" w:firstLineChars="300"/>
        <w:rPr>
          <w:rFonts w:hint="eastAsia" w:ascii="宋体" w:hAnsi="宋体" w:eastAsia="宋体" w:cs="宋体"/>
          <w:sz w:val="21"/>
          <w:szCs w:val="21"/>
        </w:rPr>
      </w:pPr>
      <w:r>
        <w:rPr>
          <w:rFonts w:hint="eastAsia" w:ascii="宋体" w:hAnsi="宋体" w:eastAsia="宋体" w:cs="宋体"/>
          <w:spacing w:val="14"/>
          <w:sz w:val="21"/>
          <w:szCs w:val="21"/>
        </w:rPr>
        <w:t>2.投</w:t>
      </w:r>
      <w:r>
        <w:rPr>
          <w:rFonts w:hint="eastAsia" w:ascii="宋体" w:hAnsi="宋体" w:eastAsia="宋体" w:cs="宋体"/>
          <w:spacing w:val="8"/>
          <w:sz w:val="21"/>
          <w:szCs w:val="21"/>
        </w:rPr>
        <w:t>标</w:t>
      </w:r>
      <w:r>
        <w:rPr>
          <w:rFonts w:hint="eastAsia" w:ascii="宋体" w:hAnsi="宋体" w:eastAsia="宋体" w:cs="宋体"/>
          <w:spacing w:val="7"/>
          <w:sz w:val="21"/>
          <w:szCs w:val="21"/>
        </w:rPr>
        <w:t>人必须据实填写，不得虚假响应，否则将取消其投标或中标资格，并按有关规定进行处罚。</w:t>
      </w:r>
    </w:p>
    <w:p>
      <w:pPr>
        <w:spacing w:line="260" w:lineRule="auto"/>
        <w:rPr>
          <w:rFonts w:hint="eastAsia" w:ascii="宋体" w:hAnsi="宋体" w:eastAsia="宋体" w:cs="宋体"/>
          <w:sz w:val="21"/>
          <w:szCs w:val="21"/>
        </w:rPr>
      </w:pPr>
    </w:p>
    <w:p>
      <w:pPr>
        <w:spacing w:line="260" w:lineRule="auto"/>
        <w:rPr>
          <w:rFonts w:hint="eastAsia" w:ascii="宋体" w:hAnsi="宋体" w:eastAsia="宋体" w:cs="宋体"/>
          <w:sz w:val="21"/>
          <w:szCs w:val="21"/>
        </w:rPr>
      </w:pPr>
    </w:p>
    <w:p>
      <w:pPr>
        <w:spacing w:line="260" w:lineRule="auto"/>
        <w:rPr>
          <w:rFonts w:hint="eastAsia" w:ascii="宋体" w:hAnsi="宋体" w:eastAsia="宋体" w:cs="宋体"/>
          <w:sz w:val="21"/>
          <w:szCs w:val="21"/>
        </w:rPr>
      </w:pPr>
    </w:p>
    <w:p>
      <w:pPr>
        <w:spacing w:before="65" w:line="227" w:lineRule="auto"/>
        <w:ind w:left="532" w:firstLine="2332" w:firstLineChars="1100"/>
        <w:rPr>
          <w:rFonts w:hint="eastAsia" w:ascii="宋体" w:hAnsi="宋体" w:eastAsia="宋体" w:cs="宋体"/>
          <w:sz w:val="21"/>
          <w:szCs w:val="21"/>
        </w:rPr>
      </w:pPr>
      <w:r>
        <w:rPr>
          <w:rFonts w:hint="eastAsia" w:ascii="宋体" w:hAnsi="宋体" w:eastAsia="宋体" w:cs="宋体"/>
          <w:spacing w:val="1"/>
          <w:sz w:val="21"/>
          <w:szCs w:val="21"/>
        </w:rPr>
        <w:t>投  标  人：</w:t>
      </w:r>
      <w:r>
        <w:rPr>
          <w:rFonts w:hint="eastAsia" w:ascii="宋体" w:hAnsi="宋体" w:eastAsia="宋体" w:cs="宋体"/>
          <w:spacing w:val="1"/>
          <w:sz w:val="21"/>
          <w:szCs w:val="21"/>
          <w:u w:val="single" w:color="auto"/>
        </w:rPr>
        <w:t xml:space="preserve">          </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(盖单位章)</w:t>
      </w:r>
    </w:p>
    <w:p>
      <w:pPr>
        <w:spacing w:before="299" w:line="227" w:lineRule="auto"/>
        <w:ind w:left="509" w:firstLine="2332" w:firstLineChars="1100"/>
        <w:rPr>
          <w:rFonts w:hint="eastAsia" w:ascii="宋体" w:hAnsi="宋体" w:eastAsia="宋体" w:cs="宋体"/>
          <w:sz w:val="21"/>
          <w:szCs w:val="21"/>
        </w:rPr>
      </w:pPr>
      <w:r>
        <w:rPr>
          <w:rFonts w:hint="eastAsia" w:ascii="宋体" w:hAnsi="宋体" w:eastAsia="宋体" w:cs="宋体"/>
          <w:spacing w:val="1"/>
          <w:sz w:val="21"/>
          <w:szCs w:val="21"/>
        </w:rPr>
        <w:t>法定代表人或委托代理人：</w:t>
      </w:r>
      <w:r>
        <w:rPr>
          <w:rFonts w:hint="eastAsia" w:ascii="宋体" w:hAnsi="宋体" w:eastAsia="宋体" w:cs="宋体"/>
          <w:spacing w:val="1"/>
          <w:sz w:val="21"/>
          <w:szCs w:val="21"/>
          <w:u w:val="single" w:color="auto"/>
        </w:rPr>
        <w:t xml:space="preserve">               </w:t>
      </w:r>
      <w:r>
        <w:rPr>
          <w:rFonts w:hint="eastAsia" w:ascii="宋体" w:hAnsi="宋体" w:eastAsia="宋体" w:cs="宋体"/>
          <w:spacing w:val="1"/>
          <w:sz w:val="21"/>
          <w:szCs w:val="21"/>
        </w:rPr>
        <w:t>(</w:t>
      </w:r>
      <w:r>
        <w:rPr>
          <w:rFonts w:hint="eastAsia" w:ascii="宋体" w:hAnsi="宋体" w:eastAsia="宋体" w:cs="宋体"/>
          <w:sz w:val="21"/>
          <w:szCs w:val="21"/>
        </w:rPr>
        <w:t>签字或盖章)</w:t>
      </w:r>
    </w:p>
    <w:p>
      <w:pPr>
        <w:spacing w:line="560" w:lineRule="exact"/>
        <w:ind w:firstLine="2884" w:firstLineChars="140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spacing w:val="-2"/>
          <w:sz w:val="21"/>
          <w:szCs w:val="21"/>
        </w:rPr>
        <w:t>投标日期 :</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年</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月</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 xml:space="preserve"> 日</w:t>
      </w:r>
    </w:p>
    <w:p>
      <w:pPr>
        <w:spacing w:line="560" w:lineRule="exact"/>
        <w:jc w:val="both"/>
        <w:rPr>
          <w:rFonts w:hint="default" w:ascii="Tahoma" w:hAnsi="Tahoma"/>
          <w:b/>
          <w:bCs/>
          <w:color w:val="auto"/>
          <w:sz w:val="21"/>
          <w:szCs w:val="21"/>
          <w:highlight w:val="none"/>
          <w:lang w:val="en-US" w:eastAsia="zh-CN"/>
        </w:rPr>
      </w:pPr>
      <w:r>
        <w:rPr>
          <w:rFonts w:hint="eastAsia" w:ascii="Tahoma" w:hAnsi="Tahoma"/>
          <w:b/>
          <w:bCs/>
          <w:color w:val="auto"/>
          <w:sz w:val="21"/>
          <w:szCs w:val="21"/>
          <w:highlight w:val="none"/>
          <w:lang w:eastAsia="zh-CN"/>
        </w:rPr>
        <w:t>附表</w:t>
      </w:r>
      <w:r>
        <w:rPr>
          <w:rFonts w:hint="eastAsia" w:ascii="Tahoma" w:hAnsi="Tahoma"/>
          <w:b/>
          <w:bCs/>
          <w:color w:val="auto"/>
          <w:sz w:val="21"/>
          <w:szCs w:val="21"/>
          <w:highlight w:val="none"/>
          <w:lang w:val="en-US" w:eastAsia="zh-CN"/>
        </w:rPr>
        <w:t>2：商务条款偏离表（格式）</w:t>
      </w:r>
    </w:p>
    <w:p>
      <w:pPr>
        <w:keepNext w:val="0"/>
        <w:keepLines w:val="0"/>
        <w:pageBreakBefore w:val="0"/>
        <w:widowControl w:val="0"/>
        <w:kinsoku/>
        <w:wordWrap/>
        <w:overflowPunct/>
        <w:topLinePunct w:val="0"/>
        <w:autoSpaceDE/>
        <w:autoSpaceDN/>
        <w:bidi w:val="0"/>
        <w:adjustRightInd/>
        <w:snapToGrid/>
        <w:spacing w:before="0" w:beforeLines="100" w:after="0" w:afterLines="50" w:line="560" w:lineRule="exact"/>
        <w:ind w:left="0" w:leftChars="0" w:right="0" w:rightChars="0" w:firstLine="0" w:firstLineChars="0"/>
        <w:jc w:val="center"/>
        <w:textAlignment w:val="auto"/>
        <w:outlineLvl w:val="9"/>
        <w:rPr>
          <w:rFonts w:hint="eastAsia" w:ascii="宋体" w:hAnsi="宋体" w:cs="宋体"/>
          <w:b/>
          <w:bCs/>
          <w:color w:val="000000"/>
          <w:sz w:val="36"/>
          <w:szCs w:val="36"/>
          <w:highlight w:val="none"/>
        </w:rPr>
      </w:pPr>
      <w:r>
        <w:rPr>
          <w:rFonts w:hint="eastAsia" w:ascii="宋体" w:hAnsi="宋体" w:cs="宋体"/>
          <w:b/>
          <w:bCs/>
          <w:color w:val="000000"/>
          <w:sz w:val="36"/>
          <w:szCs w:val="36"/>
          <w:highlight w:val="none"/>
          <w:lang w:eastAsia="zh-CN"/>
        </w:rPr>
        <w:t>商务条款</w:t>
      </w:r>
      <w:r>
        <w:rPr>
          <w:rFonts w:hint="eastAsia" w:ascii="宋体" w:hAnsi="宋体" w:cs="宋体"/>
          <w:b/>
          <w:bCs/>
          <w:color w:val="000000"/>
          <w:sz w:val="36"/>
          <w:szCs w:val="36"/>
          <w:highlight w:val="none"/>
        </w:rPr>
        <w:t>偏离表</w:t>
      </w:r>
    </w:p>
    <w:p>
      <w:pPr>
        <w:numPr>
          <w:ilvl w:val="0"/>
          <w:numId w:val="0"/>
        </w:numPr>
        <w:spacing w:line="560" w:lineRule="exact"/>
        <w:jc w:val="both"/>
        <w:rPr>
          <w:rFonts w:hint="eastAsia" w:ascii="宋体" w:hAnsi="宋体" w:cs="宋体"/>
          <w:b/>
          <w:bCs/>
          <w:color w:val="000000"/>
          <w:sz w:val="36"/>
          <w:szCs w:val="36"/>
          <w:highlight w:val="none"/>
        </w:rPr>
      </w:pPr>
      <w:r>
        <w:rPr>
          <w:rFonts w:hint="eastAsia" w:ascii="宋体" w:hAnsi="宋体"/>
          <w:szCs w:val="21"/>
          <w:highlight w:val="none"/>
          <w:lang w:eastAsia="zh-CN"/>
        </w:rPr>
        <w:t>投标人名称：</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none"/>
          <w:lang w:val="en-US" w:eastAsia="zh-CN"/>
        </w:rPr>
        <w:t xml:space="preserve">                         项目编号：</w:t>
      </w:r>
      <w:r>
        <w:rPr>
          <w:rFonts w:hint="eastAsia" w:ascii="宋体" w:hAnsi="宋体"/>
          <w:szCs w:val="21"/>
          <w:highlight w:val="none"/>
          <w:u w:val="single"/>
          <w:lang w:val="en-US" w:eastAsia="zh-CN"/>
        </w:rPr>
        <w:t xml:space="preserve">              </w:t>
      </w:r>
    </w:p>
    <w:tbl>
      <w:tblPr>
        <w:tblStyle w:val="38"/>
        <w:tblW w:w="9210" w:type="dxa"/>
        <w:tblInd w:w="13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910"/>
        <w:gridCol w:w="2625"/>
        <w:gridCol w:w="1590"/>
        <w:gridCol w:w="1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40" w:type="dxa"/>
            <w:tcBorders>
              <w:tl2br w:val="nil"/>
              <w:tr2bl w:val="nil"/>
            </w:tcBorders>
            <w:vAlign w:val="center"/>
          </w:tcPr>
          <w:p>
            <w:pPr>
              <w:spacing w:line="320" w:lineRule="exact"/>
              <w:ind w:left="-97" w:leftChars="-46"/>
              <w:jc w:val="center"/>
              <w:rPr>
                <w:rFonts w:hint="eastAsia" w:ascii="宋体" w:hAnsi="宋体"/>
                <w:b/>
                <w:bCs/>
                <w:position w:val="4"/>
                <w:sz w:val="21"/>
                <w:szCs w:val="21"/>
                <w:highlight w:val="none"/>
                <w:vertAlign w:val="baseline"/>
              </w:rPr>
            </w:pPr>
            <w:r>
              <w:rPr>
                <w:rFonts w:hint="eastAsia" w:ascii="新宋体" w:hAnsi="新宋体" w:cs="新宋体"/>
                <w:b/>
                <w:color w:val="auto"/>
                <w:sz w:val="21"/>
                <w:szCs w:val="21"/>
                <w:highlight w:val="none"/>
              </w:rPr>
              <w:t>序号</w:t>
            </w:r>
          </w:p>
        </w:tc>
        <w:tc>
          <w:tcPr>
            <w:tcW w:w="2910" w:type="dxa"/>
            <w:tcBorders>
              <w:tl2br w:val="nil"/>
              <w:tr2bl w:val="nil"/>
            </w:tcBorders>
            <w:vAlign w:val="center"/>
          </w:tcPr>
          <w:p>
            <w:pPr>
              <w:spacing w:line="320" w:lineRule="exact"/>
              <w:jc w:val="center"/>
              <w:rPr>
                <w:rFonts w:hint="eastAsia" w:ascii="宋体" w:hAnsi="宋体"/>
                <w:b/>
                <w:bCs/>
                <w:position w:val="4"/>
                <w:sz w:val="21"/>
                <w:szCs w:val="21"/>
                <w:highlight w:val="none"/>
                <w:vertAlign w:val="baseline"/>
              </w:rPr>
            </w:pPr>
            <w:r>
              <w:rPr>
                <w:rFonts w:hint="eastAsia" w:ascii="新宋体" w:hAnsi="新宋体" w:cs="新宋体"/>
                <w:b/>
                <w:color w:val="auto"/>
                <w:sz w:val="21"/>
                <w:szCs w:val="21"/>
                <w:highlight w:val="none"/>
              </w:rPr>
              <w:t>招标文件商务要求</w:t>
            </w:r>
          </w:p>
        </w:tc>
        <w:tc>
          <w:tcPr>
            <w:tcW w:w="2625" w:type="dxa"/>
            <w:tcBorders>
              <w:tl2br w:val="nil"/>
              <w:tr2bl w:val="nil"/>
            </w:tcBorders>
            <w:vAlign w:val="center"/>
          </w:tcPr>
          <w:p>
            <w:pPr>
              <w:spacing w:line="320" w:lineRule="exact"/>
              <w:jc w:val="center"/>
              <w:rPr>
                <w:rFonts w:hint="eastAsia" w:ascii="宋体" w:hAnsi="宋体"/>
                <w:b/>
                <w:bCs/>
                <w:position w:val="4"/>
                <w:sz w:val="21"/>
                <w:szCs w:val="21"/>
                <w:highlight w:val="none"/>
                <w:vertAlign w:val="baseline"/>
              </w:rPr>
            </w:pPr>
            <w:r>
              <w:rPr>
                <w:rFonts w:hint="eastAsia" w:ascii="新宋体" w:hAnsi="新宋体" w:cs="新宋体"/>
                <w:b/>
                <w:color w:val="auto"/>
                <w:sz w:val="21"/>
                <w:szCs w:val="21"/>
                <w:highlight w:val="none"/>
              </w:rPr>
              <w:t>投标文件商务响应</w:t>
            </w:r>
          </w:p>
        </w:tc>
        <w:tc>
          <w:tcPr>
            <w:tcW w:w="1590" w:type="dxa"/>
            <w:tcBorders>
              <w:tl2br w:val="nil"/>
              <w:tr2bl w:val="nil"/>
            </w:tcBorders>
            <w:vAlign w:val="center"/>
          </w:tcPr>
          <w:p>
            <w:pPr>
              <w:spacing w:line="320" w:lineRule="exact"/>
              <w:jc w:val="center"/>
              <w:rPr>
                <w:rFonts w:hint="eastAsia" w:ascii="宋体" w:hAnsi="宋体"/>
                <w:b/>
                <w:bCs/>
                <w:position w:val="4"/>
                <w:sz w:val="21"/>
                <w:szCs w:val="21"/>
                <w:highlight w:val="none"/>
                <w:vertAlign w:val="baseline"/>
              </w:rPr>
            </w:pPr>
            <w:r>
              <w:rPr>
                <w:rFonts w:hint="eastAsia" w:ascii="新宋体" w:hAnsi="新宋体" w:cs="新宋体"/>
                <w:b/>
                <w:color w:val="auto"/>
                <w:sz w:val="21"/>
                <w:szCs w:val="21"/>
                <w:highlight w:val="none"/>
              </w:rPr>
              <w:t>偏离情况</w:t>
            </w:r>
          </w:p>
        </w:tc>
        <w:tc>
          <w:tcPr>
            <w:tcW w:w="1245" w:type="dxa"/>
            <w:tcBorders>
              <w:tl2br w:val="nil"/>
              <w:tr2bl w:val="nil"/>
            </w:tcBorders>
            <w:vAlign w:val="center"/>
          </w:tcPr>
          <w:p>
            <w:pPr>
              <w:spacing w:line="320" w:lineRule="exact"/>
              <w:jc w:val="center"/>
              <w:rPr>
                <w:rFonts w:hint="eastAsia" w:ascii="宋体" w:hAnsi="宋体"/>
                <w:b/>
                <w:bCs/>
                <w:position w:val="4"/>
                <w:sz w:val="21"/>
                <w:szCs w:val="21"/>
                <w:highlight w:val="none"/>
                <w:vertAlign w:val="baseline"/>
              </w:rPr>
            </w:pPr>
            <w:r>
              <w:rPr>
                <w:rFonts w:hint="eastAsia" w:ascii="新宋体" w:hAnsi="新宋体" w:cs="新宋体"/>
                <w:b/>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91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625"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59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245" w:type="dxa"/>
            <w:tcBorders>
              <w:tl2br w:val="nil"/>
              <w:tr2bl w:val="nil"/>
            </w:tcBorders>
          </w:tcPr>
          <w:p>
            <w:pPr>
              <w:spacing w:line="560" w:lineRule="exact"/>
              <w:rPr>
                <w:rFonts w:hint="eastAsia" w:ascii="宋体" w:hAnsi="宋体"/>
                <w:b/>
                <w:bCs/>
                <w:position w:val="4"/>
                <w:sz w:val="32"/>
                <w:szCs w:val="32"/>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4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91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625"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59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245" w:type="dxa"/>
            <w:tcBorders>
              <w:tl2br w:val="nil"/>
              <w:tr2bl w:val="nil"/>
            </w:tcBorders>
          </w:tcPr>
          <w:p>
            <w:pPr>
              <w:spacing w:line="560" w:lineRule="exact"/>
              <w:rPr>
                <w:rFonts w:hint="eastAsia" w:ascii="宋体" w:hAnsi="宋体"/>
                <w:b/>
                <w:bCs/>
                <w:position w:val="4"/>
                <w:sz w:val="32"/>
                <w:szCs w:val="32"/>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91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625"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59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245" w:type="dxa"/>
            <w:tcBorders>
              <w:tl2br w:val="nil"/>
              <w:tr2bl w:val="nil"/>
            </w:tcBorders>
          </w:tcPr>
          <w:p>
            <w:pPr>
              <w:spacing w:line="560" w:lineRule="exact"/>
              <w:rPr>
                <w:rFonts w:hint="eastAsia" w:ascii="宋体" w:hAnsi="宋体"/>
                <w:b/>
                <w:bCs/>
                <w:position w:val="4"/>
                <w:sz w:val="32"/>
                <w:szCs w:val="32"/>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91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625"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59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245" w:type="dxa"/>
            <w:tcBorders>
              <w:tl2br w:val="nil"/>
              <w:tr2bl w:val="nil"/>
            </w:tcBorders>
          </w:tcPr>
          <w:p>
            <w:pPr>
              <w:spacing w:line="560" w:lineRule="exact"/>
              <w:rPr>
                <w:rFonts w:hint="eastAsia" w:ascii="宋体" w:hAnsi="宋体"/>
                <w:b/>
                <w:bCs/>
                <w:position w:val="4"/>
                <w:sz w:val="32"/>
                <w:szCs w:val="32"/>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91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625"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59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245" w:type="dxa"/>
            <w:tcBorders>
              <w:tl2br w:val="nil"/>
              <w:tr2bl w:val="nil"/>
            </w:tcBorders>
          </w:tcPr>
          <w:p>
            <w:pPr>
              <w:spacing w:line="560" w:lineRule="exact"/>
              <w:rPr>
                <w:rFonts w:hint="eastAsia" w:ascii="宋体" w:hAnsi="宋体"/>
                <w:b/>
                <w:bCs/>
                <w:position w:val="4"/>
                <w:sz w:val="32"/>
                <w:szCs w:val="32"/>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91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2625"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590" w:type="dxa"/>
            <w:tcBorders>
              <w:tl2br w:val="nil"/>
              <w:tr2bl w:val="nil"/>
            </w:tcBorders>
          </w:tcPr>
          <w:p>
            <w:pPr>
              <w:spacing w:line="560" w:lineRule="exact"/>
              <w:rPr>
                <w:rFonts w:hint="eastAsia" w:ascii="宋体" w:hAnsi="宋体"/>
                <w:b/>
                <w:bCs/>
                <w:position w:val="4"/>
                <w:sz w:val="32"/>
                <w:szCs w:val="32"/>
                <w:highlight w:val="none"/>
                <w:vertAlign w:val="baseline"/>
              </w:rPr>
            </w:pPr>
          </w:p>
        </w:tc>
        <w:tc>
          <w:tcPr>
            <w:tcW w:w="1245" w:type="dxa"/>
            <w:tcBorders>
              <w:tl2br w:val="nil"/>
              <w:tr2bl w:val="nil"/>
            </w:tcBorders>
          </w:tcPr>
          <w:p>
            <w:pPr>
              <w:spacing w:line="560" w:lineRule="exact"/>
              <w:rPr>
                <w:rFonts w:hint="eastAsia" w:ascii="宋体" w:hAnsi="宋体"/>
                <w:b/>
                <w:bCs/>
                <w:position w:val="4"/>
                <w:sz w:val="32"/>
                <w:szCs w:val="32"/>
                <w:highlight w:val="none"/>
                <w:vertAlign w:val="baseline"/>
              </w:rPr>
            </w:pPr>
          </w:p>
        </w:tc>
      </w:tr>
    </w:tbl>
    <w:p>
      <w:pPr>
        <w:spacing w:line="440" w:lineRule="exact"/>
        <w:rPr>
          <w:rFonts w:hint="eastAsia"/>
          <w:color w:val="auto"/>
          <w:szCs w:val="21"/>
          <w:highlight w:val="none"/>
        </w:rPr>
      </w:pPr>
      <w:r>
        <w:rPr>
          <w:rFonts w:hint="eastAsia"/>
          <w:color w:val="auto"/>
          <w:szCs w:val="21"/>
          <w:highlight w:val="none"/>
        </w:rPr>
        <w:t>注：</w:t>
      </w:r>
      <w:r>
        <w:rPr>
          <w:rFonts w:hint="eastAsia"/>
          <w:color w:val="auto"/>
          <w:position w:val="4"/>
          <w:szCs w:val="21"/>
          <w:highlight w:val="none"/>
        </w:rPr>
        <w:t>1、如对本项目商务条款有偏离的，请按上表所列内容依次填写；若未填视为其所有商务条款均完全响应“招标文件”中的要求。</w:t>
      </w:r>
    </w:p>
    <w:p>
      <w:pPr>
        <w:numPr>
          <w:ilvl w:val="0"/>
          <w:numId w:val="22"/>
        </w:numPr>
        <w:spacing w:line="440" w:lineRule="exact"/>
        <w:ind w:firstLine="420" w:firstLineChars="200"/>
        <w:rPr>
          <w:rFonts w:hint="eastAsia"/>
          <w:szCs w:val="21"/>
          <w:highlight w:val="none"/>
        </w:rPr>
      </w:pPr>
      <w:r>
        <w:rPr>
          <w:rFonts w:hint="eastAsia"/>
          <w:szCs w:val="21"/>
          <w:highlight w:val="none"/>
        </w:rPr>
        <w:t>投标人必须据实填写，不得虚假响应，否则将取消其投标或中标资格，并按有关规定进行处罚。</w:t>
      </w:r>
    </w:p>
    <w:p>
      <w:pPr>
        <w:numPr>
          <w:ilvl w:val="0"/>
          <w:numId w:val="0"/>
        </w:numPr>
        <w:spacing w:line="440" w:lineRule="exact"/>
        <w:rPr>
          <w:rFonts w:hint="eastAsia"/>
          <w:szCs w:val="21"/>
          <w:highlight w:val="none"/>
        </w:rPr>
      </w:pPr>
    </w:p>
    <w:p>
      <w:pPr>
        <w:numPr>
          <w:ilvl w:val="0"/>
          <w:numId w:val="0"/>
        </w:numPr>
        <w:spacing w:line="440" w:lineRule="exact"/>
        <w:rPr>
          <w:rFonts w:hint="eastAsia"/>
          <w:szCs w:val="21"/>
          <w:highlight w:val="none"/>
        </w:rPr>
      </w:pP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投标人：</w:t>
      </w:r>
      <w:r>
        <w:rPr>
          <w:rFonts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rPr>
        <w:t xml:space="preserve">  （单位全称、盖章）   </w:t>
      </w:r>
    </w:p>
    <w:p>
      <w:pPr>
        <w:pStyle w:val="68"/>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新宋体" w:hAnsi="新宋体"/>
          <w:b w:val="0"/>
          <w:color w:val="auto"/>
          <w:sz w:val="21"/>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法定代表人或授权代表：</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lang w:eastAsia="zh-CN"/>
        </w:rPr>
        <w:t>盖章或签字</w:t>
      </w:r>
      <w:r>
        <w:rPr>
          <w:rFonts w:hint="eastAsia" w:ascii="新宋体" w:hAnsi="新宋体"/>
          <w:b w:val="0"/>
          <w:color w:val="auto"/>
          <w:sz w:val="21"/>
          <w:szCs w:val="21"/>
          <w:highlight w:val="none"/>
          <w:u w:val="single"/>
        </w:rPr>
        <w:t xml:space="preserve">）    </w:t>
      </w:r>
    </w:p>
    <w:p>
      <w:pPr>
        <w:spacing w:line="440" w:lineRule="exact"/>
        <w:rPr>
          <w:rFonts w:hint="eastAsia"/>
          <w:szCs w:val="21"/>
          <w:highlight w:val="none"/>
        </w:rPr>
      </w:pPr>
      <w:r>
        <w:rPr>
          <w:rFonts w:hint="eastAsia" w:ascii="新宋体" w:hAnsi="新宋体"/>
          <w:b w:val="0"/>
          <w:color w:val="auto"/>
          <w:sz w:val="21"/>
          <w:szCs w:val="21"/>
          <w:highlight w:val="none"/>
          <w:lang w:val="en-US" w:eastAsia="zh-CN"/>
        </w:rPr>
        <w:t xml:space="preserve">                                             </w:t>
      </w:r>
      <w:r>
        <w:rPr>
          <w:rFonts w:hint="eastAsia" w:ascii="新宋体" w:hAnsi="新宋体"/>
          <w:b w:val="0"/>
          <w:color w:val="auto"/>
          <w:sz w:val="21"/>
          <w:szCs w:val="21"/>
          <w:highlight w:val="none"/>
        </w:rPr>
        <w:t>投标日期：</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年</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月</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rPr>
        <w:t>日</w:t>
      </w: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rPr>
          <w:rFonts w:hint="eastAsia" w:ascii="Tahoma" w:hAnsi="Tahoma"/>
          <w:color w:val="auto"/>
          <w:sz w:val="30"/>
          <w:szCs w:val="30"/>
          <w:highlight w:val="none"/>
        </w:rPr>
      </w:pPr>
    </w:p>
    <w:p>
      <w:pPr>
        <w:rPr>
          <w:rFonts w:hint="eastAsia" w:ascii="Tahoma" w:hAnsi="Tahoma"/>
          <w:color w:val="auto"/>
          <w:sz w:val="30"/>
          <w:szCs w:val="30"/>
          <w:highlight w:val="none"/>
        </w:rPr>
      </w:pPr>
    </w:p>
    <w:p>
      <w:pPr>
        <w:rPr>
          <w:rFonts w:hint="eastAsia" w:ascii="Tahoma" w:hAnsi="Tahoma"/>
          <w:color w:val="auto"/>
          <w:sz w:val="30"/>
          <w:szCs w:val="30"/>
          <w:highlight w:val="none"/>
        </w:rPr>
      </w:pPr>
    </w:p>
    <w:p>
      <w:pPr>
        <w:rPr>
          <w:rFonts w:hint="eastAsia" w:ascii="Tahoma" w:hAnsi="Tahoma"/>
          <w:color w:val="auto"/>
          <w:sz w:val="30"/>
          <w:szCs w:val="30"/>
          <w:highlight w:val="none"/>
        </w:rPr>
      </w:pPr>
    </w:p>
    <w:p>
      <w:pPr>
        <w:rPr>
          <w:rFonts w:hint="eastAsia"/>
          <w:color w:val="auto"/>
          <w:highlight w:val="none"/>
        </w:rPr>
      </w:pPr>
    </w:p>
    <w:p>
      <w:pPr>
        <w:rPr>
          <w:rFonts w:hint="eastAsia"/>
          <w:color w:val="auto"/>
          <w:highlight w:val="none"/>
        </w:rPr>
      </w:pPr>
      <w:bookmarkStart w:id="55" w:name="_Toc194663942"/>
      <w:bookmarkStart w:id="56" w:name="_Toc193187111"/>
      <w:bookmarkStart w:id="57" w:name="_Toc188808855"/>
      <w:bookmarkStart w:id="58" w:name="_Toc193126905"/>
      <w:bookmarkStart w:id="59" w:name="_Toc193126891"/>
      <w:bookmarkStart w:id="60" w:name="_Toc188808842"/>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rPr>
          <w:rFonts w:hint="eastAsia"/>
        </w:rPr>
      </w:pPr>
    </w:p>
    <w:p>
      <w:pPr>
        <w:pStyle w:val="24"/>
        <w:jc w:val="center"/>
        <w:rPr>
          <w:rFonts w:hint="eastAsia"/>
        </w:rPr>
      </w:pPr>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0" w:firstLineChars="0"/>
        <w:jc w:val="center"/>
        <w:textAlignment w:val="auto"/>
        <w:outlineLvl w:val="9"/>
        <w:rPr>
          <w:rFonts w:hint="eastAsia"/>
          <w:highlight w:val="none"/>
        </w:rPr>
      </w:pPr>
      <w:bookmarkStart w:id="61" w:name="_Toc4043"/>
      <w:bookmarkStart w:id="62" w:name="_Toc3536"/>
      <w:r>
        <w:rPr>
          <w:rFonts w:hint="eastAsia"/>
          <w:b/>
          <w:bCs/>
          <w:sz w:val="36"/>
          <w:szCs w:val="36"/>
          <w:highlight w:val="none"/>
          <w:lang w:val="en-US" w:eastAsia="zh-CN"/>
        </w:rPr>
        <w:t>七</w:t>
      </w:r>
      <w:r>
        <w:rPr>
          <w:rFonts w:hint="eastAsia"/>
          <w:b/>
          <w:bCs/>
          <w:sz w:val="36"/>
          <w:szCs w:val="36"/>
          <w:highlight w:val="none"/>
        </w:rPr>
        <w:t>、投标人认为有必要补充说明的事宜</w:t>
      </w:r>
      <w:bookmarkEnd w:id="61"/>
      <w:bookmarkEnd w:id="62"/>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b/>
          <w:bCs/>
          <w:sz w:val="36"/>
          <w:szCs w:val="36"/>
          <w:highlight w:val="none"/>
        </w:rPr>
      </w:pPr>
      <w:bookmarkStart w:id="63" w:name="_Toc27"/>
      <w:bookmarkStart w:id="64" w:name="_Toc22572"/>
      <w:r>
        <w:rPr>
          <w:rFonts w:hint="eastAsia"/>
          <w:b/>
          <w:bCs/>
          <w:sz w:val="36"/>
          <w:szCs w:val="36"/>
          <w:highlight w:val="none"/>
          <w:lang w:val="en-US" w:eastAsia="zh-CN"/>
        </w:rPr>
        <w:t>八</w:t>
      </w:r>
      <w:r>
        <w:rPr>
          <w:rFonts w:hint="eastAsia"/>
          <w:b/>
          <w:bCs/>
          <w:sz w:val="36"/>
          <w:szCs w:val="36"/>
          <w:highlight w:val="none"/>
        </w:rPr>
        <w:t>、《拒绝政府采购领域商业贿赂承诺书》</w:t>
      </w:r>
      <w:bookmarkEnd w:id="55"/>
      <w:bookmarkEnd w:id="56"/>
      <w:bookmarkEnd w:id="57"/>
      <w:bookmarkEnd w:id="58"/>
      <w:bookmarkEnd w:id="63"/>
      <w:bookmarkEnd w:id="64"/>
    </w:p>
    <w:p>
      <w:pPr>
        <w:widowControl/>
        <w:spacing w:line="480" w:lineRule="exact"/>
        <w:jc w:val="center"/>
        <w:rPr>
          <w:rFonts w:hint="default" w:ascii="Times New Roman" w:hAnsi="Times New Roman" w:eastAsia="宋体" w:cs="Times New Roman"/>
          <w:b/>
          <w:bCs/>
          <w:color w:val="auto"/>
          <w:sz w:val="21"/>
          <w:szCs w:val="21"/>
          <w:highlight w:val="none"/>
        </w:rPr>
      </w:pPr>
    </w:p>
    <w:bookmarkEnd w:id="59"/>
    <w:bookmarkEnd w:id="60"/>
    <w:p>
      <w:pPr>
        <w:widowControl/>
        <w:spacing w:line="4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陕西省政府采购投标人拒绝政府采购领域商业贿赂承诺书</w:t>
      </w:r>
    </w:p>
    <w:p>
      <w:pPr>
        <w:widowControl/>
        <w:spacing w:line="240" w:lineRule="exact"/>
        <w:ind w:firstLine="420" w:firstLineChars="200"/>
        <w:jc w:val="left"/>
        <w:rPr>
          <w:rFonts w:hint="default" w:ascii="Times New Roman" w:hAnsi="Times New Roman" w:eastAsia="宋体" w:cs="Times New Roman"/>
          <w:color w:val="auto"/>
          <w:sz w:val="21"/>
          <w:szCs w:val="21"/>
          <w:highlight w:val="none"/>
        </w:rPr>
      </w:pPr>
    </w:p>
    <w:p>
      <w:pPr>
        <w:widowControl/>
        <w:spacing w:line="440" w:lineRule="exac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为响应党中央、国务院关于治理政府采购领域商业贿赂行为的号召，我单位在此庄严承诺： </w:t>
      </w:r>
    </w:p>
    <w:p>
      <w:pPr>
        <w:widowControl/>
        <w:spacing w:line="440" w:lineRule="exact"/>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1、在参与政府采购活动中遵纪守法、诚信经营、公平竞标。 </w:t>
      </w:r>
    </w:p>
    <w:p>
      <w:pPr>
        <w:widowControl/>
        <w:spacing w:line="4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2、不向采购人、采购代理机构和政府采购评审专家进行任何形式的商业贿赂以谋取交易机会。 </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3、不向政府采购代理机构和采购人提供虚假资质文件或采用虚假应标方式参与政府采购市场竞争并谋取</w:t>
      </w:r>
      <w:r>
        <w:rPr>
          <w:rFonts w:hint="eastAsia" w:cs="Times New Roman"/>
          <w:color w:val="auto"/>
          <w:sz w:val="21"/>
          <w:szCs w:val="21"/>
          <w:highlight w:val="none"/>
          <w:lang w:eastAsia="zh-CN"/>
        </w:rPr>
        <w:t>成交</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中标</w:t>
      </w:r>
      <w:r>
        <w:rPr>
          <w:rFonts w:hint="default" w:ascii="Times New Roman" w:hAnsi="Times New Roman" w:eastAsia="宋体" w:cs="Times New Roman"/>
          <w:color w:val="auto"/>
          <w:sz w:val="21"/>
          <w:szCs w:val="21"/>
          <w:highlight w:val="none"/>
        </w:rPr>
        <w:t>。</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4、不采取</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围标、陪标</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等商业欺诈手段获得政府采购定单。 </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5、不采取不正当手段抵毁、排挤其他投标人。 </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6、不在提供商品和服务时</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偷梁换柱、以次充好</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损害采购人的合法权益。</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7、不与采购人、采购代理机构政府采购评审专家或其它投标人恶意串通，进行质疑和投诉，维护政府采购市场秩序。 </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8、尊重和接受政府采购监督管理部门的监督和政府采购代理机构招标要求，承担因违约行为给采购人造成的损失。 </w:t>
      </w:r>
    </w:p>
    <w:p>
      <w:pPr>
        <w:widowControl/>
        <w:spacing w:line="440" w:lineRule="exact"/>
        <w:ind w:firstLine="420" w:firstLineChars="20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 xml:space="preserve">9、不发生其他有悖于政府采购公开、公平、公正和诚信原则的行为。 </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承诺单位：</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（盖章）</w:t>
      </w:r>
    </w:p>
    <w:p>
      <w:pPr>
        <w:widowControl/>
        <w:spacing w:line="440" w:lineRule="exact"/>
        <w:ind w:firstLine="420" w:firstLineChars="200"/>
        <w:rPr>
          <w:rFonts w:hint="default" w:ascii="Times New Roman" w:hAnsi="Times New Roman" w:eastAsia="宋体" w:cs="Times New Roman"/>
          <w:color w:val="auto"/>
          <w:sz w:val="21"/>
          <w:szCs w:val="21"/>
          <w:highlight w:val="none"/>
        </w:rPr>
      </w:pPr>
      <w:r>
        <w:rPr>
          <w:rFonts w:hint="eastAsia" w:ascii="新宋体" w:hAnsi="新宋体"/>
          <w:b w:val="0"/>
          <w:color w:val="auto"/>
          <w:sz w:val="21"/>
          <w:szCs w:val="21"/>
          <w:highlight w:val="none"/>
        </w:rPr>
        <w:t>法定代表人或授权代表：</w:t>
      </w:r>
      <w:r>
        <w:rPr>
          <w:rFonts w:hint="eastAsia" w:ascii="新宋体" w:hAnsi="新宋体"/>
          <w:b w:val="0"/>
          <w:color w:val="auto"/>
          <w:sz w:val="21"/>
          <w:szCs w:val="21"/>
          <w:highlight w:val="none"/>
          <w:u w:val="single"/>
        </w:rPr>
        <w:t xml:space="preserve">     </w:t>
      </w:r>
      <w:r>
        <w:rPr>
          <w:rFonts w:hint="eastAsia" w:ascii="新宋体" w:hAnsi="新宋体"/>
          <w:b w:val="0"/>
          <w:color w:val="auto"/>
          <w:sz w:val="21"/>
          <w:szCs w:val="21"/>
          <w:highlight w:val="none"/>
          <w:u w:val="single"/>
          <w:lang w:val="en-US" w:eastAsia="zh-CN"/>
        </w:rPr>
        <w:t xml:space="preserve">          </w:t>
      </w:r>
      <w:r>
        <w:rPr>
          <w:rFonts w:hint="eastAsia" w:ascii="新宋体" w:hAnsi="新宋体"/>
          <w:b w:val="0"/>
          <w:color w:val="auto"/>
          <w:sz w:val="21"/>
          <w:szCs w:val="21"/>
          <w:highlight w:val="none"/>
          <w:u w:val="none"/>
        </w:rPr>
        <w:t>（</w:t>
      </w:r>
      <w:r>
        <w:rPr>
          <w:rFonts w:hint="eastAsia" w:ascii="新宋体" w:hAnsi="新宋体"/>
          <w:b w:val="0"/>
          <w:color w:val="auto"/>
          <w:sz w:val="21"/>
          <w:szCs w:val="21"/>
          <w:highlight w:val="none"/>
          <w:u w:val="none"/>
          <w:lang w:eastAsia="zh-CN"/>
        </w:rPr>
        <w:t>盖章或签字</w:t>
      </w:r>
      <w:r>
        <w:rPr>
          <w:rFonts w:hint="eastAsia" w:ascii="新宋体" w:hAnsi="新宋体"/>
          <w:b w:val="0"/>
          <w:color w:val="auto"/>
          <w:sz w:val="21"/>
          <w:szCs w:val="21"/>
          <w:highlight w:val="none"/>
          <w:u w:val="none"/>
        </w:rPr>
        <w:t>）</w:t>
      </w:r>
    </w:p>
    <w:p>
      <w:pPr>
        <w:widowControl/>
        <w:spacing w:line="520" w:lineRule="exact"/>
        <w:ind w:firstLine="420"/>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地　　址：</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p>
    <w:p>
      <w:pPr>
        <w:widowControl/>
        <w:spacing w:line="520" w:lineRule="exac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 xml:space="preserve">    邮    编：</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p>
    <w:p>
      <w:pPr>
        <w:widowControl/>
        <w:spacing w:line="52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电　　话：</w:t>
      </w:r>
      <w:r>
        <w:rPr>
          <w:rFonts w:hint="default" w:ascii="Times New Roman" w:hAnsi="Times New Roman" w:eastAsia="宋体" w:cs="Times New Roman"/>
          <w:color w:val="auto"/>
          <w:sz w:val="21"/>
          <w:szCs w:val="21"/>
          <w:highlight w:val="none"/>
          <w:u w:val="single"/>
        </w:rPr>
        <w:t>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w:t>
      </w:r>
    </w:p>
    <w:p>
      <w:pPr>
        <w:widowControl/>
        <w:spacing w:line="440" w:lineRule="exact"/>
        <w:ind w:firstLine="420" w:firstLineChars="200"/>
        <w:rPr>
          <w:rFonts w:hint="eastAsia" w:ascii="新宋体" w:hAnsi="新宋体" w:cs="新宋体"/>
          <w:color w:val="auto"/>
          <w:sz w:val="28"/>
          <w:szCs w:val="28"/>
          <w:highlight w:val="none"/>
        </w:rPr>
      </w:pP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u w:val="non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日</w:t>
      </w:r>
    </w:p>
    <w:p>
      <w:pPr>
        <w:spacing w:line="340" w:lineRule="exact"/>
        <w:ind w:firstLine="5740" w:firstLineChars="2050"/>
        <w:rPr>
          <w:rFonts w:hint="eastAsia" w:ascii="新宋体" w:hAnsi="新宋体" w:cs="新宋体"/>
          <w:color w:val="auto"/>
          <w:sz w:val="28"/>
          <w:szCs w:val="28"/>
          <w:highlight w:val="none"/>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新宋体" w:hAnsi="新宋体" w:eastAsia="新宋体" w:cs="新宋体"/>
          <w:color w:val="auto"/>
          <w:sz w:val="28"/>
          <w:szCs w:val="28"/>
          <w:highlight w:val="none"/>
          <w:lang w:val="en-US" w:eastAsia="zh-CN"/>
        </w:rPr>
      </w:pPr>
    </w:p>
    <w:p>
      <w:pP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0" w:beforeLines="50" w:line="440" w:lineRule="exact"/>
        <w:ind w:left="0" w:leftChars="0" w:right="0" w:rightChars="0" w:firstLine="0" w:firstLineChars="0"/>
        <w:jc w:val="left"/>
        <w:textAlignment w:val="auto"/>
        <w:outlineLvl w:val="9"/>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eastAsia="zh-CN"/>
        </w:rPr>
        <w:t>附件</w:t>
      </w:r>
      <w:r>
        <w:rPr>
          <w:rFonts w:hint="eastAsia" w:ascii="宋体" w:hAnsi="宋体" w:eastAsia="宋体" w:cs="宋体"/>
          <w:b/>
          <w:color w:val="auto"/>
          <w:sz w:val="21"/>
          <w:szCs w:val="21"/>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after="0" w:afterLines="50" w:line="440" w:lineRule="exact"/>
        <w:ind w:left="0" w:leftChars="0" w:right="0" w:rightChars="0" w:firstLine="0" w:firstLineChars="0"/>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法定代表人授权书</w:t>
      </w:r>
      <w:r>
        <w:rPr>
          <w:rFonts w:hint="eastAsia" w:ascii="宋体" w:hAnsi="宋体" w:eastAsia="宋体" w:cs="宋体"/>
          <w:b/>
          <w:color w:val="auto"/>
          <w:sz w:val="21"/>
          <w:szCs w:val="21"/>
          <w:highlight w:val="none"/>
          <w:lang w:eastAsia="zh-CN"/>
        </w:rPr>
        <w:t>（格式）</w:t>
      </w:r>
    </w:p>
    <w:p>
      <w:pPr>
        <w:spacing w:beforeLines="50" w:line="44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致：陕西国信招标有限公司</w:t>
      </w:r>
    </w:p>
    <w:p>
      <w:pPr>
        <w:spacing w:line="44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本授权声明：</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（投标人名称）按中华人民共和国法律于</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none"/>
        </w:rPr>
        <w:t>年</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none"/>
        </w:rPr>
        <w:t>月</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none"/>
        </w:rPr>
        <w:t>日</w:t>
      </w:r>
      <w:r>
        <w:rPr>
          <w:rFonts w:hint="default" w:ascii="Times New Roman" w:hAnsi="Times New Roman" w:eastAsia="宋体" w:cs="Times New Roman"/>
          <w:color w:val="auto"/>
          <w:sz w:val="21"/>
          <w:szCs w:val="21"/>
          <w:highlight w:val="none"/>
        </w:rPr>
        <w:t>成立。</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（法定代表人姓名、职务）特授权</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（被授权人姓名、职务、）为我方</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项目名称</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（GXZB</w:t>
      </w:r>
      <w:r>
        <w:rPr>
          <w:rFonts w:hint="eastAsia" w:ascii="Times New Roman" w:hAnsi="Times New Roman" w:eastAsia="宋体" w:cs="Times New Roman"/>
          <w:color w:val="auto"/>
          <w:sz w:val="21"/>
          <w:szCs w:val="21"/>
          <w:highlight w:val="none"/>
          <w:lang w:eastAsia="zh-CN"/>
        </w:rPr>
        <w:t>2</w:t>
      </w:r>
      <w:r>
        <w:rPr>
          <w:rFonts w:hint="eastAsia" w:cs="Times New Roman"/>
          <w:color w:val="auto"/>
          <w:sz w:val="21"/>
          <w:szCs w:val="21"/>
          <w:highlight w:val="none"/>
          <w:lang w:val="en-US" w:eastAsia="zh-CN"/>
        </w:rPr>
        <w:t>023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）投标活动的合法代表，以我方名义全权处理该项目有关投标、签订合同以及执行合同等一切事宜，本单位均予承认并负全部责任。</w:t>
      </w:r>
    </w:p>
    <w:p>
      <w:pPr>
        <w:spacing w:line="440" w:lineRule="exact"/>
        <w:ind w:firstLine="422" w:firstLineChars="200"/>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b/>
          <w:bCs w:val="0"/>
          <w:caps/>
          <w:color w:val="auto"/>
          <w:sz w:val="21"/>
          <w:szCs w:val="21"/>
          <w:highlight w:val="none"/>
        </w:rPr>
        <w:t>本授权有效期自</w:t>
      </w:r>
      <w:r>
        <w:rPr>
          <w:rFonts w:hint="eastAsia" w:ascii="宋体" w:hAnsi="宋体" w:cs="宋体"/>
          <w:b/>
          <w:bCs w:val="0"/>
          <w:caps/>
          <w:color w:val="auto"/>
          <w:sz w:val="21"/>
          <w:szCs w:val="21"/>
          <w:highlight w:val="none"/>
          <w:lang w:eastAsia="zh-CN"/>
        </w:rPr>
        <w:t>提交投标文件截止之日算起</w:t>
      </w:r>
      <w:r>
        <w:rPr>
          <w:rFonts w:hint="eastAsia" w:ascii="宋体" w:hAnsi="宋体" w:eastAsia="宋体" w:cs="宋体"/>
          <w:b/>
          <w:bCs w:val="0"/>
          <w:caps/>
          <w:color w:val="auto"/>
          <w:sz w:val="21"/>
          <w:szCs w:val="21"/>
          <w:highlight w:val="none"/>
        </w:rPr>
        <w:t>90</w:t>
      </w:r>
      <w:r>
        <w:rPr>
          <w:rFonts w:hint="eastAsia" w:ascii="宋体" w:hAnsi="宋体" w:eastAsia="宋体" w:cs="宋体"/>
          <w:b/>
          <w:bCs w:val="0"/>
          <w:caps/>
          <w:color w:val="auto"/>
          <w:sz w:val="21"/>
          <w:szCs w:val="21"/>
          <w:highlight w:val="none"/>
          <w:lang w:eastAsia="zh-CN"/>
        </w:rPr>
        <w:t>日历日</w:t>
      </w:r>
    </w:p>
    <w:p>
      <w:pPr>
        <w:spacing w:line="4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附：1、授权代表信息：</w:t>
      </w:r>
    </w:p>
    <w:p>
      <w:pPr>
        <w:spacing w:line="440" w:lineRule="exact"/>
        <w:ind w:firstLine="735" w:firstLineChars="35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授权代表姓名：</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 xml:space="preserve">  性别：</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 xml:space="preserve">  </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年龄：</w:t>
      </w:r>
      <w:r>
        <w:rPr>
          <w:rFonts w:hint="default" w:ascii="Times New Roman" w:hAnsi="Times New Roman" w:eastAsia="宋体" w:cs="Times New Roman"/>
          <w:color w:val="auto"/>
          <w:sz w:val="21"/>
          <w:szCs w:val="21"/>
          <w:highlight w:val="none"/>
          <w:u w:val="single"/>
        </w:rPr>
        <w:t xml:space="preserve">      </w:t>
      </w:r>
    </w:p>
    <w:p>
      <w:pPr>
        <w:spacing w:line="440" w:lineRule="exact"/>
        <w:ind w:firstLine="555"/>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 xml:space="preserve">  身份证号码：</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 xml:space="preserve">  职务：</w:t>
      </w:r>
      <w:r>
        <w:rPr>
          <w:rFonts w:hint="default" w:ascii="Times New Roman" w:hAnsi="Times New Roman" w:eastAsia="宋体" w:cs="Times New Roman"/>
          <w:color w:val="auto"/>
          <w:sz w:val="21"/>
          <w:szCs w:val="21"/>
          <w:highlight w:val="none"/>
          <w:u w:val="single"/>
        </w:rPr>
        <w:t xml:space="preserve">            </w:t>
      </w:r>
    </w:p>
    <w:p>
      <w:pPr>
        <w:spacing w:line="440" w:lineRule="exact"/>
        <w:ind w:firstLine="55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通讯地址：</w:t>
      </w:r>
      <w:r>
        <w:rPr>
          <w:rFonts w:hint="default" w:ascii="Times New Roman" w:hAnsi="Times New Roman" w:eastAsia="宋体" w:cs="Times New Roman"/>
          <w:color w:val="auto"/>
          <w:sz w:val="21"/>
          <w:szCs w:val="21"/>
          <w:highlight w:val="none"/>
          <w:u w:val="single"/>
        </w:rPr>
        <w:t xml:space="preserve">                                    </w:t>
      </w:r>
    </w:p>
    <w:p>
      <w:pPr>
        <w:spacing w:line="440" w:lineRule="exact"/>
        <w:ind w:firstLine="555"/>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 xml:space="preserve">  邮政编码：</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 xml:space="preserve"> 电话：</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 xml:space="preserve"> 传真：</w:t>
      </w:r>
      <w:r>
        <w:rPr>
          <w:rFonts w:hint="default" w:ascii="Times New Roman" w:hAnsi="Times New Roman" w:eastAsia="宋体" w:cs="Times New Roman"/>
          <w:color w:val="auto"/>
          <w:sz w:val="21"/>
          <w:szCs w:val="21"/>
          <w:highlight w:val="none"/>
          <w:u w:val="single"/>
        </w:rPr>
        <w:t xml:space="preserve">      </w:t>
      </w:r>
    </w:p>
    <w:p>
      <w:pPr>
        <w:spacing w:line="44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color w:val="auto"/>
          <w:sz w:val="21"/>
          <w:szCs w:val="21"/>
          <w:highlight w:val="none"/>
        </w:rPr>
        <w:t>2、法定代表人身份证复印件、授权代表身份证复印件（正反两面）</w:t>
      </w:r>
    </w:p>
    <w:tbl>
      <w:tblPr>
        <w:tblStyle w:val="37"/>
        <w:tblW w:w="93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50"/>
        <w:gridCol w:w="4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9" w:hRule="atLeast"/>
        </w:trPr>
        <w:tc>
          <w:tcPr>
            <w:tcW w:w="4650" w:type="dxa"/>
            <w:tcBorders>
              <w:tl2br w:val="nil"/>
              <w:tr2bl w:val="nil"/>
            </w:tcBorders>
          </w:tcPr>
          <w:p>
            <w:pPr>
              <w:spacing w:line="480" w:lineRule="exact"/>
              <w:rPr>
                <w:rFonts w:hint="eastAsia" w:ascii="宋体" w:hAnsi="宋体" w:eastAsia="宋体" w:cs="宋体"/>
                <w:color w:val="auto"/>
                <w:sz w:val="21"/>
                <w:szCs w:val="21"/>
                <w:highlight w:val="none"/>
              </w:rPr>
            </w:pPr>
          </w:p>
        </w:tc>
        <w:tc>
          <w:tcPr>
            <w:tcW w:w="4650" w:type="dxa"/>
            <w:tcBorders>
              <w:tl2br w:val="nil"/>
              <w:tr2bl w:val="nil"/>
            </w:tcBorders>
          </w:tcPr>
          <w:p>
            <w:pPr>
              <w:spacing w:line="480" w:lineRule="exact"/>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9" w:hRule="atLeast"/>
        </w:trPr>
        <w:tc>
          <w:tcPr>
            <w:tcW w:w="4650" w:type="dxa"/>
            <w:tcBorders>
              <w:tl2br w:val="nil"/>
              <w:tr2bl w:val="nil"/>
            </w:tcBorders>
          </w:tcPr>
          <w:p>
            <w:pPr>
              <w:spacing w:line="480" w:lineRule="exact"/>
              <w:rPr>
                <w:rFonts w:hint="eastAsia" w:ascii="宋体" w:hAnsi="宋体" w:eastAsia="宋体" w:cs="宋体"/>
                <w:color w:val="auto"/>
                <w:sz w:val="21"/>
                <w:szCs w:val="21"/>
                <w:highlight w:val="none"/>
              </w:rPr>
            </w:pPr>
          </w:p>
        </w:tc>
        <w:tc>
          <w:tcPr>
            <w:tcW w:w="4650" w:type="dxa"/>
            <w:tcBorders>
              <w:tl2br w:val="nil"/>
              <w:tr2bl w:val="nil"/>
            </w:tcBorders>
          </w:tcPr>
          <w:p>
            <w:pPr>
              <w:spacing w:line="480" w:lineRule="exact"/>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620" w:firstLineChars="2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法定代表人签字：</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授权代表签字：</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FF0000"/>
          <w:sz w:val="21"/>
          <w:szCs w:val="21"/>
          <w:highlight w:val="none"/>
          <w:lang w:val="en-US" w:eastAsia="zh-CN"/>
        </w:rPr>
        <w:t>　　</w:t>
      </w:r>
      <w:r>
        <w:rPr>
          <w:rFonts w:hint="eastAsia" w:ascii="宋体" w:hAnsi="宋体" w:cs="宋体"/>
          <w:color w:val="000000"/>
          <w:sz w:val="21"/>
          <w:szCs w:val="21"/>
          <w:highlight w:val="none"/>
          <w:lang w:val="en-US" w:eastAsia="zh-CN"/>
        </w:rPr>
        <w:t>日      期：</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日</w:t>
      </w:r>
    </w:p>
    <w:p>
      <w:pPr>
        <w:spacing w:beforeLines="50" w:afterLines="50" w:line="480" w:lineRule="exact"/>
        <w:rPr>
          <w:rFonts w:hint="default" w:ascii="宋体" w:hAnsi="宋体" w:eastAsia="宋体" w:cs="宋体"/>
          <w:b/>
          <w:color w:val="auto"/>
          <w:sz w:val="21"/>
          <w:szCs w:val="21"/>
          <w:highlight w:val="none"/>
          <w:lang w:eastAsia="zh-CN"/>
        </w:rPr>
      </w:pPr>
    </w:p>
    <w:p>
      <w:pPr>
        <w:spacing w:beforeLines="50" w:afterLines="50" w:line="480" w:lineRule="exact"/>
        <w:rPr>
          <w:rFonts w:hint="default" w:ascii="宋体" w:hAnsi="宋体" w:eastAsia="宋体" w:cs="宋体"/>
          <w:b/>
          <w:color w:val="auto"/>
          <w:sz w:val="21"/>
          <w:szCs w:val="21"/>
          <w:highlight w:val="none"/>
          <w:lang w:eastAsia="zh-CN"/>
        </w:rPr>
      </w:pPr>
      <w:r>
        <w:rPr>
          <w:rFonts w:hint="default" w:ascii="宋体" w:hAnsi="宋体" w:eastAsia="宋体" w:cs="宋体"/>
          <w:b/>
          <w:color w:val="auto"/>
          <w:sz w:val="21"/>
          <w:szCs w:val="21"/>
          <w:highlight w:val="none"/>
          <w:lang w:eastAsia="zh-CN"/>
        </w:rPr>
        <w:t>附件</w:t>
      </w:r>
      <w:r>
        <w:rPr>
          <w:rFonts w:hint="eastAsia" w:ascii="宋体" w:hAnsi="宋体" w:cs="宋体"/>
          <w:b/>
          <w:color w:val="auto"/>
          <w:sz w:val="21"/>
          <w:szCs w:val="21"/>
          <w:highlight w:val="none"/>
          <w:lang w:val="en-US" w:eastAsia="zh-CN"/>
        </w:rPr>
        <w:t>2</w:t>
      </w:r>
      <w:r>
        <w:rPr>
          <w:rFonts w:hint="default" w:ascii="宋体" w:hAnsi="宋体" w:eastAsia="宋体" w:cs="宋体"/>
          <w:b/>
          <w:color w:val="auto"/>
          <w:sz w:val="21"/>
          <w:szCs w:val="21"/>
          <w:highlight w:val="none"/>
          <w:lang w:eastAsia="zh-CN"/>
        </w:rPr>
        <w:t>：</w:t>
      </w:r>
    </w:p>
    <w:p>
      <w:pPr>
        <w:pStyle w:val="31"/>
        <w:keepNext w:val="0"/>
        <w:keepLines w:val="0"/>
        <w:pageBreakBefore w:val="0"/>
        <w:widowControl w:val="0"/>
        <w:kinsoku/>
        <w:wordWrap/>
        <w:overflowPunct/>
        <w:topLinePunct w:val="0"/>
        <w:autoSpaceDE/>
        <w:autoSpaceDN/>
        <w:bidi w:val="0"/>
        <w:adjustRightInd/>
        <w:snapToGrid w:val="0"/>
        <w:spacing w:after="240" w:afterLines="100" w:line="360" w:lineRule="auto"/>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关于信用担保的说明</w:t>
      </w:r>
    </w:p>
    <w:p>
      <w:pPr>
        <w:keepNext w:val="0"/>
        <w:keepLines w:val="0"/>
        <w:pageBreakBefore w:val="0"/>
        <w:kinsoku/>
        <w:wordWrap/>
        <w:overflowPunct/>
        <w:topLinePunct w:val="0"/>
        <w:autoSpaceDE/>
        <w:autoSpaceDN/>
        <w:bidi w:val="0"/>
        <w:adjustRightInd/>
        <w:snapToGrid w:val="0"/>
        <w:spacing w:line="360" w:lineRule="auto"/>
        <w:textAlignment w:val="auto"/>
        <w:rPr>
          <w:color w:val="auto"/>
          <w:szCs w:val="21"/>
          <w:highlight w:val="none"/>
        </w:rPr>
      </w:pPr>
      <w:r>
        <w:rPr>
          <w:rFonts w:hint="eastAsia"/>
          <w:color w:val="auto"/>
          <w:szCs w:val="21"/>
          <w:highlight w:val="none"/>
        </w:rPr>
        <w:t xml:space="preserve">    </w:t>
      </w:r>
      <w:r>
        <w:rPr>
          <w:color w:val="auto"/>
          <w:szCs w:val="21"/>
          <w:highlight w:val="none"/>
        </w:rPr>
        <w:t>1、</w:t>
      </w:r>
      <w:r>
        <w:rPr>
          <w:rFonts w:hint="eastAsia"/>
          <w:color w:val="auto"/>
          <w:szCs w:val="21"/>
          <w:highlight w:val="none"/>
          <w:lang w:val="en-US" w:eastAsia="zh-CN"/>
        </w:rPr>
        <w:t>投标人</w:t>
      </w:r>
      <w:r>
        <w:rPr>
          <w:color w:val="auto"/>
          <w:szCs w:val="21"/>
          <w:highlight w:val="none"/>
        </w:rPr>
        <w:t>在</w:t>
      </w:r>
      <w:r>
        <w:rPr>
          <w:rFonts w:hint="eastAsia"/>
          <w:color w:val="auto"/>
          <w:szCs w:val="21"/>
          <w:highlight w:val="none"/>
          <w:lang w:val="en-US" w:eastAsia="zh-CN"/>
        </w:rPr>
        <w:t>投标</w:t>
      </w:r>
      <w:r>
        <w:rPr>
          <w:color w:val="auto"/>
          <w:szCs w:val="21"/>
          <w:highlight w:val="none"/>
        </w:rPr>
        <w:t>、履约、融资等环节可自愿选择采取信用担保的形式。</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color w:val="auto"/>
          <w:szCs w:val="21"/>
          <w:highlight w:val="none"/>
        </w:rPr>
      </w:pPr>
      <w:r>
        <w:rPr>
          <w:color w:val="auto"/>
          <w:szCs w:val="21"/>
          <w:highlight w:val="none"/>
        </w:rPr>
        <w:t>2、</w:t>
      </w:r>
      <w:r>
        <w:rPr>
          <w:rFonts w:hint="eastAsia"/>
          <w:color w:val="auto"/>
          <w:szCs w:val="21"/>
          <w:highlight w:val="none"/>
          <w:lang w:val="en-US" w:eastAsia="zh-CN"/>
        </w:rPr>
        <w:t>投标人</w:t>
      </w:r>
      <w:r>
        <w:rPr>
          <w:color w:val="auto"/>
          <w:szCs w:val="21"/>
          <w:highlight w:val="none"/>
        </w:rPr>
        <w:t>可以自愿选择是否采取</w:t>
      </w:r>
      <w:r>
        <w:rPr>
          <w:rFonts w:hint="eastAsia"/>
          <w:color w:val="auto"/>
          <w:szCs w:val="21"/>
          <w:highlight w:val="none"/>
          <w:lang w:val="en-US" w:eastAsia="zh-CN"/>
        </w:rPr>
        <w:t>投标</w:t>
      </w:r>
      <w:r>
        <w:rPr>
          <w:color w:val="auto"/>
          <w:szCs w:val="21"/>
          <w:highlight w:val="none"/>
        </w:rPr>
        <w:t>担保函的形式交纳</w:t>
      </w:r>
      <w:r>
        <w:rPr>
          <w:rFonts w:hint="eastAsia"/>
          <w:color w:val="auto"/>
          <w:szCs w:val="21"/>
          <w:highlight w:val="none"/>
          <w:lang w:val="en-US" w:eastAsia="zh-CN"/>
        </w:rPr>
        <w:t>投标</w:t>
      </w:r>
      <w:r>
        <w:rPr>
          <w:rFonts w:hint="eastAsia"/>
          <w:color w:val="auto"/>
          <w:szCs w:val="21"/>
          <w:highlight w:val="none"/>
          <w:lang w:eastAsia="zh-CN"/>
        </w:rPr>
        <w:t>保证金</w:t>
      </w:r>
      <w:r>
        <w:rPr>
          <w:color w:val="auto"/>
          <w:szCs w:val="21"/>
          <w:highlight w:val="none"/>
        </w:rPr>
        <w:t>，也可以自愿选择是否采取履约担保函的形式交纳履约保证金。</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color w:val="auto"/>
          <w:szCs w:val="21"/>
          <w:highlight w:val="none"/>
          <w:lang w:eastAsia="zh-CN"/>
        </w:rPr>
      </w:pPr>
      <w:r>
        <w:rPr>
          <w:color w:val="auto"/>
          <w:szCs w:val="21"/>
          <w:highlight w:val="none"/>
        </w:rPr>
        <w:t>3、</w:t>
      </w:r>
      <w:r>
        <w:rPr>
          <w:rFonts w:hint="eastAsia"/>
          <w:color w:val="auto"/>
          <w:szCs w:val="21"/>
          <w:highlight w:val="none"/>
        </w:rPr>
        <w:t>根据中办、国办《关于促进中小企业健康发展的指导意见》、财政部、工信部《政府采购促进中小企业发展暂行办法》（财库〔2011〕181号）、陕西省政府《应对新冠肺炎疫情支持中小微企业稳定健康发展若干措施》（陕政办发〔2020〕4号）、陕西省财政厅《陕西省中小企业政府采购信用融资办法》（陕财办采〔2018〕23号）</w:t>
      </w:r>
      <w:r>
        <w:rPr>
          <w:rFonts w:hint="eastAsia"/>
          <w:color w:val="auto"/>
          <w:szCs w:val="21"/>
          <w:highlight w:val="none"/>
          <w:lang w:eastAsia="zh-CN"/>
        </w:rPr>
        <w:t>、《</w:t>
      </w:r>
      <w:r>
        <w:rPr>
          <w:rFonts w:hint="eastAsia"/>
          <w:color w:val="auto"/>
          <w:szCs w:val="21"/>
          <w:highlight w:val="none"/>
          <w:lang w:val="en-US" w:eastAsia="zh-CN"/>
        </w:rPr>
        <w:t>陕西省财政厅关于加快推进我省中小企业政府采购信仰融资工作的通知</w:t>
      </w:r>
      <w:r>
        <w:rPr>
          <w:rFonts w:hint="eastAsia"/>
          <w:color w:val="auto"/>
          <w:szCs w:val="21"/>
          <w:highlight w:val="none"/>
          <w:lang w:eastAsia="zh-CN"/>
        </w:rPr>
        <w:t>》</w:t>
      </w:r>
      <w:r>
        <w:rPr>
          <w:rFonts w:hint="eastAsia"/>
          <w:color w:val="auto"/>
          <w:szCs w:val="21"/>
          <w:highlight w:val="none"/>
        </w:rPr>
        <w:t>（陕</w:t>
      </w:r>
      <w:r>
        <w:rPr>
          <w:rFonts w:hint="eastAsia"/>
          <w:color w:val="auto"/>
          <w:szCs w:val="21"/>
          <w:highlight w:val="none"/>
          <w:lang w:val="en-US" w:eastAsia="zh-CN"/>
        </w:rPr>
        <w:t>财</w:t>
      </w:r>
      <w:r>
        <w:rPr>
          <w:rFonts w:hint="eastAsia"/>
          <w:color w:val="auto"/>
          <w:szCs w:val="21"/>
          <w:highlight w:val="none"/>
        </w:rPr>
        <w:t>办</w:t>
      </w:r>
      <w:r>
        <w:rPr>
          <w:rFonts w:hint="eastAsia"/>
          <w:color w:val="auto"/>
          <w:szCs w:val="21"/>
          <w:highlight w:val="none"/>
          <w:lang w:val="en-US" w:eastAsia="zh-CN"/>
        </w:rPr>
        <w:t>采</w:t>
      </w:r>
      <w:r>
        <w:rPr>
          <w:rFonts w:hint="eastAsia"/>
          <w:color w:val="auto"/>
          <w:szCs w:val="21"/>
          <w:highlight w:val="none"/>
        </w:rPr>
        <w:t>〔2020〕</w:t>
      </w:r>
      <w:r>
        <w:rPr>
          <w:rFonts w:hint="eastAsia"/>
          <w:color w:val="auto"/>
          <w:szCs w:val="21"/>
          <w:highlight w:val="none"/>
          <w:lang w:val="en-US" w:eastAsia="zh-CN"/>
        </w:rPr>
        <w:t>15</w:t>
      </w:r>
      <w:r>
        <w:rPr>
          <w:rFonts w:hint="eastAsia"/>
          <w:color w:val="auto"/>
          <w:szCs w:val="21"/>
          <w:highlight w:val="none"/>
        </w:rPr>
        <w:t>号）等有关规定，现对2021年至2022年陕西省政府采购支持中小企业信用融资合作银行予以公告</w:t>
      </w:r>
      <w:r>
        <w:rPr>
          <w:rFonts w:hint="eastAsia" w:ascii="宋体" w:hAnsi="宋体" w:cs="宋体"/>
          <w:color w:val="auto"/>
          <w:szCs w:val="21"/>
          <w:highlight w:val="none"/>
          <w:lang w:eastAsia="zh-CN"/>
        </w:rPr>
        <w:t>。</w:t>
      </w:r>
    </w:p>
    <w:tbl>
      <w:tblPr>
        <w:tblStyle w:val="38"/>
        <w:tblpPr w:leftFromText="180" w:rightFromText="180" w:vertAnchor="text" w:horzAnchor="page" w:tblpX="1418" w:tblpY="5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1"/>
        <w:gridCol w:w="6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6488"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highlight w:val="none"/>
              </w:rPr>
              <w:t>中国建设银行股份有限公司陕西省分行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highlight w:val="none"/>
              </w:rPr>
              <w:t>北京银行股份有限公司西安分行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highlight w:val="none"/>
              </w:rPr>
              <w:t>中国光大银行股份有限公司西安分行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4</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highlight w:val="none"/>
              </w:rPr>
              <w:t>上海浦东发展银行股份有限公司西安分行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highlight w:val="none"/>
              </w:rPr>
              <w:t>浙商银行股份有限公司西安分行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6</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highlight w:val="none"/>
              </w:rPr>
              <w:t>招商银行股份有限公司西安分行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7</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rPr>
              <w:t>中信银行股份有限公司西安分行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8</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highlight w:val="none"/>
              </w:rPr>
              <w:t>兴业银行股份有限公司西安分行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9</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highlight w:val="none"/>
              </w:rPr>
              <w:t>中国工商银行股份有限公司陕西省分行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10</w:t>
            </w:r>
          </w:p>
        </w:tc>
        <w:tc>
          <w:tcPr>
            <w:tcW w:w="648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val="0"/>
              <w:spacing w:before="0" w:beforeLines="50" w:beforeAutospacing="0" w:afterAutospacing="0" w:line="360" w:lineRule="auto"/>
              <w:jc w:val="center"/>
              <w:textAlignment w:val="auto"/>
              <w:rPr>
                <w:rFonts w:hint="eastAsia"/>
                <w:color w:val="auto"/>
                <w:sz w:val="21"/>
                <w:szCs w:val="21"/>
                <w:highlight w:val="none"/>
                <w:vertAlign w:val="baseline"/>
              </w:rPr>
            </w:pPr>
            <w:r>
              <w:rPr>
                <w:rFonts w:hint="eastAsia"/>
                <w:color w:val="auto"/>
                <w:sz w:val="21"/>
                <w:szCs w:val="21"/>
                <w:highlight w:val="none"/>
                <w:vertAlign w:val="baseline"/>
              </w:rPr>
              <w:t>长安银行股份有限公司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351"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11</w:t>
            </w:r>
          </w:p>
        </w:tc>
        <w:tc>
          <w:tcPr>
            <w:tcW w:w="6488" w:type="dxa"/>
            <w:tcBorders>
              <w:tl2br w:val="nil"/>
              <w:tr2bl w:val="nil"/>
            </w:tcBorders>
            <w:noWrap w:val="0"/>
            <w:vAlign w:val="top"/>
          </w:tcPr>
          <w:p>
            <w:pPr>
              <w:pStyle w:val="31"/>
              <w:keepNext w:val="0"/>
              <w:keepLines w:val="0"/>
              <w:pageBreakBefore w:val="0"/>
              <w:widowControl/>
              <w:kinsoku/>
              <w:wordWrap/>
              <w:overflowPunct/>
              <w:topLinePunct w:val="0"/>
              <w:autoSpaceDE/>
              <w:autoSpaceDN/>
              <w:bidi w:val="0"/>
              <w:adjustRightInd/>
              <w:snapToGrid w:val="0"/>
              <w:spacing w:before="0" w:beforeLines="50" w:beforeAutospacing="0" w:after="0" w:afterLines="0" w:afterAutospacing="0" w:line="36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浙商网商银行股份有限公司</w:t>
            </w:r>
          </w:p>
        </w:tc>
      </w:tr>
    </w:tbl>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highlight w:val="none"/>
          <w:lang w:eastAsia="zh-CN"/>
        </w:rPr>
      </w:pPr>
      <w:r>
        <w:rPr>
          <w:rFonts w:hint="eastAsia"/>
          <w:color w:val="auto"/>
          <w:szCs w:val="21"/>
          <w:highlight w:val="none"/>
          <w:lang w:eastAsia="zh-CN"/>
        </w:rPr>
        <w:t>合作银行如下（包括但不限于）：具体合作银行</w:t>
      </w:r>
      <w:r>
        <w:rPr>
          <w:rFonts w:hint="eastAsia"/>
          <w:color w:val="auto"/>
          <w:szCs w:val="21"/>
          <w:highlight w:val="none"/>
          <w:lang w:val="en-US" w:eastAsia="zh-CN"/>
        </w:rPr>
        <w:t>投标人</w:t>
      </w:r>
      <w:r>
        <w:rPr>
          <w:rFonts w:hint="eastAsia"/>
          <w:color w:val="auto"/>
          <w:szCs w:val="21"/>
          <w:highlight w:val="none"/>
          <w:lang w:eastAsia="zh-CN"/>
        </w:rPr>
        <w:t>可在陕西省政府采购网上进行查询。</w:t>
      </w:r>
    </w:p>
    <w:p>
      <w:pPr>
        <w:spacing w:beforeLines="50" w:afterLines="50" w:line="440" w:lineRule="exact"/>
        <w:jc w:val="left"/>
        <w:rPr>
          <w:rFonts w:hint="default" w:ascii="宋体" w:hAnsi="宋体" w:eastAsia="宋体" w:cs="宋体"/>
          <w:b/>
          <w:color w:val="auto"/>
          <w:sz w:val="21"/>
          <w:szCs w:val="21"/>
          <w:highlight w:val="none"/>
          <w:lang w:eastAsia="zh-CN"/>
        </w:rPr>
      </w:pPr>
    </w:p>
    <w:p>
      <w:pPr>
        <w:spacing w:beforeLines="50" w:afterLines="50" w:line="440" w:lineRule="exact"/>
        <w:jc w:val="left"/>
        <w:rPr>
          <w:rFonts w:hint="default" w:ascii="宋体" w:hAnsi="宋体" w:eastAsia="宋体" w:cs="宋体"/>
          <w:b/>
          <w:color w:val="auto"/>
          <w:sz w:val="21"/>
          <w:szCs w:val="21"/>
          <w:highlight w:val="none"/>
          <w:lang w:eastAsia="zh-CN"/>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p>
    <w:p>
      <w:pPr>
        <w:pStyle w:val="55"/>
        <w:spacing w:line="500" w:lineRule="exact"/>
        <w:rPr>
          <w:rFonts w:ascii="宋体" w:hAnsi="宋体" w:eastAsia="宋体" w:cs="宋体"/>
          <w:sz w:val="21"/>
          <w:szCs w:val="21"/>
        </w:rPr>
      </w:pPr>
      <w:r>
        <w:rPr>
          <w:rFonts w:ascii="宋体" w:hAnsi="宋体" w:eastAsia="宋体" w:cs="宋体"/>
          <w:sz w:val="21"/>
          <w:szCs w:val="21"/>
        </w:rPr>
        <w:t>附件</w:t>
      </w:r>
      <w:r>
        <w:rPr>
          <w:rFonts w:hint="eastAsia" w:ascii="宋体" w:hAnsi="宋体" w:eastAsia="宋体" w:cs="宋体"/>
          <w:sz w:val="21"/>
          <w:szCs w:val="21"/>
          <w:lang w:val="en-US" w:eastAsia="zh-CN"/>
        </w:rPr>
        <w:t>3</w:t>
      </w:r>
      <w:r>
        <w:rPr>
          <w:rFonts w:ascii="宋体" w:hAnsi="宋体" w:eastAsia="宋体" w:cs="宋体"/>
          <w:sz w:val="21"/>
          <w:szCs w:val="21"/>
        </w:rPr>
        <w:t>：</w:t>
      </w:r>
    </w:p>
    <w:p>
      <w:pPr>
        <w:widowControl/>
        <w:spacing w:line="500" w:lineRule="exact"/>
        <w:ind w:firstLine="482"/>
        <w:jc w:val="center"/>
        <w:textAlignment w:val="baseline"/>
        <w:rPr>
          <w:b/>
          <w:kern w:val="0"/>
          <w:szCs w:val="21"/>
        </w:rPr>
      </w:pPr>
      <w:r>
        <w:rPr>
          <w:b/>
          <w:kern w:val="0"/>
          <w:szCs w:val="21"/>
        </w:rPr>
        <w:t>中小企业声明函</w:t>
      </w:r>
      <w:r>
        <w:rPr>
          <w:rFonts w:hint="eastAsia"/>
          <w:b/>
          <w:kern w:val="0"/>
          <w:szCs w:val="21"/>
        </w:rPr>
        <w:t>（货物）</w:t>
      </w:r>
    </w:p>
    <w:p>
      <w:pPr>
        <w:widowControl/>
        <w:spacing w:line="500" w:lineRule="exact"/>
        <w:jc w:val="left"/>
        <w:textAlignment w:val="baseline"/>
        <w:rPr>
          <w:kern w:val="0"/>
          <w:szCs w:val="21"/>
        </w:rPr>
      </w:pPr>
      <w:r>
        <w:rPr>
          <w:b/>
          <w:szCs w:val="21"/>
        </w:rPr>
        <w:t>陕西国信招标有限公司：</w:t>
      </w:r>
    </w:p>
    <w:p>
      <w:pPr>
        <w:widowControl/>
        <w:spacing w:line="500" w:lineRule="exact"/>
        <w:ind w:firstLine="480"/>
        <w:jc w:val="left"/>
        <w:textAlignment w:val="baseline"/>
        <w:rPr>
          <w:rFonts w:ascii="宋体" w:hAnsi="宋体" w:cs="宋体"/>
          <w:kern w:val="0"/>
          <w:szCs w:val="21"/>
        </w:rPr>
      </w:pPr>
      <w:r>
        <w:rPr>
          <w:rFonts w:hint="eastAsia" w:ascii="宋体" w:hAnsi="宋体" w:cs="宋体"/>
          <w:kern w:val="0"/>
          <w:szCs w:val="21"/>
        </w:rPr>
        <w:t>本公司（联合体）郑重声明，根据《政府采购促进中小企业发展管理办法》（财库﹝2020﹞46 号）的规定，本公司（联合体）参加</w:t>
      </w:r>
      <w:r>
        <w:rPr>
          <w:rFonts w:hint="eastAsia" w:ascii="宋体" w:hAnsi="宋体" w:cs="宋体"/>
          <w:kern w:val="0"/>
          <w:szCs w:val="21"/>
          <w:u w:val="single"/>
        </w:rPr>
        <w:t>（单位名称）</w:t>
      </w:r>
      <w:r>
        <w:rPr>
          <w:rFonts w:hint="eastAsia" w:ascii="宋体" w:hAnsi="宋体" w:cs="宋体"/>
          <w:kern w:val="0"/>
          <w:szCs w:val="21"/>
        </w:rPr>
        <w:t>的</w:t>
      </w:r>
      <w:r>
        <w:rPr>
          <w:rFonts w:hint="eastAsia" w:ascii="宋体" w:hAnsi="宋体" w:cs="宋体"/>
          <w:kern w:val="0"/>
          <w:szCs w:val="21"/>
          <w:u w:val="single"/>
        </w:rPr>
        <w:t>（项目名称）</w:t>
      </w:r>
      <w:r>
        <w:rPr>
          <w:rFonts w:hint="eastAsia" w:ascii="宋体" w:hAnsi="宋体" w:cs="宋体"/>
          <w:kern w:val="0"/>
          <w:szCs w:val="21"/>
        </w:rPr>
        <w:t>采购活动，提供的货物全部由符合政策要求的中小企业制造。相关企业 （含联合体中的中小企业、签订分包意向协议的中小企业） 的具体情况如下：</w:t>
      </w:r>
    </w:p>
    <w:p>
      <w:pPr>
        <w:widowControl/>
        <w:spacing w:line="500" w:lineRule="exact"/>
        <w:ind w:firstLine="480"/>
        <w:jc w:val="left"/>
        <w:textAlignment w:val="baseline"/>
        <w:rPr>
          <w:rFonts w:ascii="宋体" w:hAnsi="宋体" w:cs="宋体"/>
          <w:kern w:val="0"/>
          <w:szCs w:val="21"/>
        </w:rPr>
      </w:pPr>
      <w:r>
        <w:rPr>
          <w:rFonts w:hint="eastAsia" w:ascii="宋体" w:hAnsi="宋体" w:cs="宋体"/>
          <w:kern w:val="0"/>
          <w:szCs w:val="21"/>
        </w:rPr>
        <w:t xml:space="preserve">1. </w:t>
      </w:r>
      <w:r>
        <w:rPr>
          <w:rFonts w:hint="eastAsia" w:ascii="宋体" w:hAnsi="宋体" w:cs="宋体"/>
          <w:kern w:val="0"/>
          <w:szCs w:val="21"/>
          <w:u w:val="single"/>
        </w:rPr>
        <w:t xml:space="preserve">（标的名称） </w:t>
      </w:r>
      <w:r>
        <w:rPr>
          <w:rFonts w:hint="eastAsia" w:ascii="宋体" w:hAnsi="宋体" w:cs="宋体"/>
          <w:kern w:val="0"/>
          <w:szCs w:val="21"/>
        </w:rPr>
        <w:t>，属于</w:t>
      </w:r>
      <w:r>
        <w:rPr>
          <w:rFonts w:hint="eastAsia" w:ascii="宋体" w:hAnsi="宋体" w:cs="宋体"/>
          <w:kern w:val="0"/>
          <w:szCs w:val="21"/>
          <w:u w:val="single"/>
        </w:rPr>
        <w:t xml:space="preserve">（采购文件中明确的所属行业） </w:t>
      </w:r>
      <w:r>
        <w:rPr>
          <w:rFonts w:hint="eastAsia" w:ascii="宋体" w:hAnsi="宋体" w:cs="宋体"/>
          <w:kern w:val="0"/>
          <w:szCs w:val="21"/>
        </w:rPr>
        <w:t>行业；制造商为</w:t>
      </w:r>
      <w:r>
        <w:rPr>
          <w:rFonts w:hint="eastAsia" w:ascii="宋体" w:hAnsi="宋体" w:cs="宋体"/>
          <w:kern w:val="0"/>
          <w:szCs w:val="21"/>
          <w:u w:val="single"/>
        </w:rPr>
        <w:t>（企业名称）</w:t>
      </w:r>
      <w:r>
        <w:rPr>
          <w:rFonts w:hint="eastAsia" w:ascii="宋体" w:hAnsi="宋体" w:cs="宋体"/>
          <w:kern w:val="0"/>
          <w:szCs w:val="21"/>
        </w:rPr>
        <w:t>，从业人员</w:t>
      </w:r>
      <w:r>
        <w:rPr>
          <w:rFonts w:hint="eastAsia" w:ascii="宋体" w:hAnsi="宋体" w:cs="宋体"/>
          <w:kern w:val="0"/>
          <w:szCs w:val="21"/>
          <w:u w:val="single"/>
        </w:rPr>
        <w:t xml:space="preserve">      </w:t>
      </w:r>
      <w:r>
        <w:rPr>
          <w:rFonts w:hint="eastAsia" w:ascii="宋体" w:hAnsi="宋体" w:cs="宋体"/>
          <w:kern w:val="0"/>
          <w:szCs w:val="21"/>
        </w:rPr>
        <w:t>人，营业收入为</w:t>
      </w:r>
      <w:r>
        <w:rPr>
          <w:rFonts w:hint="eastAsia" w:ascii="宋体" w:hAnsi="宋体" w:cs="宋体"/>
          <w:kern w:val="0"/>
          <w:szCs w:val="21"/>
          <w:u w:val="single"/>
        </w:rPr>
        <w:t xml:space="preserve">      </w:t>
      </w:r>
      <w:r>
        <w:rPr>
          <w:rFonts w:hint="eastAsia" w:ascii="宋体" w:hAnsi="宋体" w:cs="宋体"/>
          <w:kern w:val="0"/>
          <w:szCs w:val="21"/>
        </w:rPr>
        <w:t>万元，资产总额为</w:t>
      </w:r>
      <w:r>
        <w:rPr>
          <w:rFonts w:hint="eastAsia" w:ascii="宋体" w:hAnsi="宋体" w:cs="宋体"/>
          <w:kern w:val="0"/>
          <w:szCs w:val="21"/>
          <w:u w:val="single"/>
        </w:rPr>
        <w:t xml:space="preserve">      </w:t>
      </w:r>
      <w:r>
        <w:rPr>
          <w:rFonts w:hint="eastAsia" w:ascii="宋体" w:hAnsi="宋体" w:cs="宋体"/>
          <w:kern w:val="0"/>
          <w:szCs w:val="21"/>
        </w:rPr>
        <w:t>万元 ，属于</w:t>
      </w:r>
      <w:r>
        <w:rPr>
          <w:rFonts w:hint="eastAsia" w:ascii="宋体" w:hAnsi="宋体" w:cs="宋体"/>
          <w:kern w:val="0"/>
          <w:szCs w:val="21"/>
          <w:u w:val="single"/>
        </w:rPr>
        <w:t>（中型企业、小 型企业、微型企业）</w:t>
      </w:r>
      <w:r>
        <w:rPr>
          <w:rFonts w:hint="eastAsia" w:ascii="宋体" w:hAnsi="宋体" w:cs="宋体"/>
          <w:kern w:val="0"/>
          <w:szCs w:val="21"/>
        </w:rPr>
        <w:t xml:space="preserve">；    </w:t>
      </w:r>
    </w:p>
    <w:p>
      <w:pPr>
        <w:widowControl/>
        <w:spacing w:line="500" w:lineRule="exact"/>
        <w:ind w:firstLine="480"/>
        <w:jc w:val="left"/>
        <w:textAlignment w:val="baseline"/>
        <w:rPr>
          <w:rFonts w:hint="eastAsia" w:ascii="宋体" w:hAnsi="宋体" w:cs="宋体"/>
          <w:kern w:val="0"/>
          <w:szCs w:val="21"/>
        </w:rPr>
      </w:pPr>
      <w:r>
        <w:rPr>
          <w:rFonts w:hint="eastAsia" w:ascii="宋体" w:hAnsi="宋体" w:cs="宋体"/>
          <w:kern w:val="0"/>
          <w:szCs w:val="21"/>
        </w:rPr>
        <w:t xml:space="preserve">2. </w:t>
      </w:r>
      <w:r>
        <w:rPr>
          <w:rFonts w:hint="eastAsia" w:ascii="宋体" w:hAnsi="宋体" w:cs="宋体"/>
          <w:kern w:val="0"/>
          <w:szCs w:val="21"/>
          <w:u w:val="single"/>
        </w:rPr>
        <w:t xml:space="preserve">（标的名称） </w:t>
      </w:r>
      <w:r>
        <w:rPr>
          <w:rFonts w:hint="eastAsia" w:ascii="宋体" w:hAnsi="宋体" w:cs="宋体"/>
          <w:kern w:val="0"/>
          <w:szCs w:val="21"/>
        </w:rPr>
        <w:t>，属于</w:t>
      </w:r>
      <w:r>
        <w:rPr>
          <w:rFonts w:hint="eastAsia" w:ascii="宋体" w:hAnsi="宋体" w:cs="宋体"/>
          <w:kern w:val="0"/>
          <w:szCs w:val="21"/>
          <w:u w:val="single"/>
        </w:rPr>
        <w:t xml:space="preserve">（采购文件中明确的所属行业） </w:t>
      </w:r>
      <w:r>
        <w:rPr>
          <w:rFonts w:hint="eastAsia" w:ascii="宋体" w:hAnsi="宋体" w:cs="宋体"/>
          <w:kern w:val="0"/>
          <w:szCs w:val="21"/>
        </w:rPr>
        <w:t>行业；制造商为</w:t>
      </w:r>
      <w:r>
        <w:rPr>
          <w:rFonts w:hint="eastAsia" w:ascii="宋体" w:hAnsi="宋体" w:cs="宋体"/>
          <w:kern w:val="0"/>
          <w:szCs w:val="21"/>
          <w:u w:val="single"/>
        </w:rPr>
        <w:t>（企业名称）</w:t>
      </w:r>
      <w:r>
        <w:rPr>
          <w:rFonts w:hint="eastAsia" w:ascii="宋体" w:hAnsi="宋体" w:cs="宋体"/>
          <w:kern w:val="0"/>
          <w:szCs w:val="21"/>
        </w:rPr>
        <w:t>，从业人员</w:t>
      </w:r>
      <w:r>
        <w:rPr>
          <w:rFonts w:hint="eastAsia" w:ascii="宋体" w:hAnsi="宋体" w:cs="宋体"/>
          <w:kern w:val="0"/>
          <w:szCs w:val="21"/>
          <w:u w:val="single"/>
        </w:rPr>
        <w:t xml:space="preserve">      </w:t>
      </w:r>
      <w:r>
        <w:rPr>
          <w:rFonts w:hint="eastAsia" w:ascii="宋体" w:hAnsi="宋体" w:cs="宋体"/>
          <w:kern w:val="0"/>
          <w:szCs w:val="21"/>
        </w:rPr>
        <w:t>人，营业收入为</w:t>
      </w:r>
      <w:r>
        <w:rPr>
          <w:rFonts w:hint="eastAsia" w:ascii="宋体" w:hAnsi="宋体" w:cs="宋体"/>
          <w:kern w:val="0"/>
          <w:szCs w:val="21"/>
          <w:u w:val="single"/>
        </w:rPr>
        <w:t xml:space="preserve">       </w:t>
      </w:r>
      <w:r>
        <w:rPr>
          <w:rFonts w:hint="eastAsia" w:ascii="宋体" w:hAnsi="宋体" w:cs="宋体"/>
          <w:kern w:val="0"/>
          <w:szCs w:val="21"/>
        </w:rPr>
        <w:t>万元，资产总额为</w:t>
      </w:r>
      <w:r>
        <w:rPr>
          <w:rFonts w:hint="eastAsia" w:ascii="宋体" w:hAnsi="宋体" w:cs="宋体"/>
          <w:kern w:val="0"/>
          <w:szCs w:val="21"/>
          <w:u w:val="single"/>
        </w:rPr>
        <w:t xml:space="preserve">       </w:t>
      </w:r>
      <w:r>
        <w:rPr>
          <w:rFonts w:hint="eastAsia" w:ascii="宋体" w:hAnsi="宋体" w:cs="宋体"/>
          <w:kern w:val="0"/>
          <w:szCs w:val="21"/>
        </w:rPr>
        <w:t>万元，属于</w:t>
      </w:r>
      <w:r>
        <w:rPr>
          <w:rFonts w:hint="eastAsia" w:ascii="宋体" w:hAnsi="宋体" w:cs="宋体"/>
          <w:kern w:val="0"/>
          <w:szCs w:val="21"/>
          <w:u w:val="single"/>
        </w:rPr>
        <w:t>（中型企业、小型 企业、微型企业）</w:t>
      </w:r>
      <w:r>
        <w:rPr>
          <w:rFonts w:hint="eastAsia" w:ascii="宋体" w:hAnsi="宋体" w:cs="宋体"/>
          <w:kern w:val="0"/>
          <w:szCs w:val="21"/>
        </w:rPr>
        <w:t>；</w:t>
      </w:r>
    </w:p>
    <w:p>
      <w:pPr>
        <w:pStyle w:val="19"/>
        <w:ind w:firstLine="630" w:firstLineChars="300"/>
      </w:pPr>
      <w:r>
        <w:rPr>
          <w:rFonts w:hint="eastAsia"/>
        </w:rPr>
        <w:t>……</w:t>
      </w:r>
    </w:p>
    <w:p>
      <w:pPr>
        <w:widowControl/>
        <w:spacing w:line="500" w:lineRule="exact"/>
        <w:ind w:firstLine="480"/>
        <w:jc w:val="left"/>
        <w:textAlignment w:val="baseline"/>
        <w:rPr>
          <w:rFonts w:ascii="宋体" w:hAnsi="宋体" w:cs="宋体"/>
          <w:kern w:val="0"/>
          <w:szCs w:val="21"/>
        </w:rPr>
      </w:pPr>
      <w:r>
        <w:rPr>
          <w:rFonts w:hint="eastAsia" w:ascii="宋体" w:hAnsi="宋体" w:cs="宋体"/>
          <w:kern w:val="0"/>
          <w:szCs w:val="21"/>
        </w:rPr>
        <w:t xml:space="preserve">以上企业，不属于大企业的分支机构，不存在控股股东为大企业的情形，也不存在与大企业的负责人为同一人的情形。 </w:t>
      </w:r>
    </w:p>
    <w:p>
      <w:pPr>
        <w:widowControl/>
        <w:spacing w:line="500" w:lineRule="exact"/>
        <w:ind w:firstLine="480"/>
        <w:jc w:val="left"/>
        <w:textAlignment w:val="baseline"/>
        <w:rPr>
          <w:szCs w:val="21"/>
        </w:rPr>
      </w:pPr>
      <w:r>
        <w:rPr>
          <w:rFonts w:hint="eastAsia" w:ascii="宋体" w:hAnsi="宋体" w:cs="宋体"/>
          <w:kern w:val="0"/>
          <w:szCs w:val="21"/>
        </w:rPr>
        <w:t>本企业对上述声明内容的真实性负责。如有虚假，将依法承担相应责任。</w:t>
      </w:r>
    </w:p>
    <w:p>
      <w:pPr>
        <w:widowControl/>
        <w:spacing w:line="500" w:lineRule="exact"/>
        <w:ind w:firstLine="4200" w:firstLineChars="2000"/>
        <w:jc w:val="left"/>
        <w:textAlignment w:val="baseline"/>
        <w:rPr>
          <w:rFonts w:ascii="宋体" w:hAnsi="宋体" w:cs="宋体"/>
          <w:kern w:val="0"/>
          <w:szCs w:val="21"/>
        </w:rPr>
      </w:pPr>
      <w:r>
        <w:rPr>
          <w:rFonts w:hint="eastAsia" w:ascii="宋体" w:hAnsi="宋体" w:cs="宋体"/>
          <w:kern w:val="0"/>
          <w:szCs w:val="21"/>
        </w:rPr>
        <w:t>企业名称（盖章）：</w:t>
      </w:r>
      <w:r>
        <w:rPr>
          <w:rFonts w:hint="eastAsia" w:ascii="宋体" w:hAnsi="宋体" w:cs="宋体"/>
          <w:kern w:val="0"/>
          <w:szCs w:val="21"/>
          <w:u w:val="single"/>
        </w:rPr>
        <w:t xml:space="preserve">                </w:t>
      </w:r>
    </w:p>
    <w:p>
      <w:pPr>
        <w:widowControl/>
        <w:spacing w:line="500" w:lineRule="exact"/>
        <w:ind w:firstLine="4200" w:firstLineChars="2000"/>
        <w:jc w:val="left"/>
        <w:textAlignment w:val="baseline"/>
        <w:rPr>
          <w:b/>
          <w:kern w:val="0"/>
          <w:szCs w:val="21"/>
        </w:rPr>
      </w:pPr>
      <w:r>
        <w:rPr>
          <w:rFonts w:hint="eastAsia" w:ascii="宋体" w:hAnsi="宋体" w:cs="宋体"/>
          <w:kern w:val="0"/>
          <w:szCs w:val="21"/>
        </w:rPr>
        <w:t>日     期：</w:t>
      </w:r>
      <w:r>
        <w:rPr>
          <w:rFonts w:hint="eastAsia" w:ascii="宋体" w:hAnsi="宋体" w:cs="宋体"/>
          <w:kern w:val="0"/>
          <w:szCs w:val="21"/>
          <w:u w:val="single"/>
        </w:rPr>
        <w:t xml:space="preserve">                       </w:t>
      </w:r>
    </w:p>
    <w:p>
      <w:pPr>
        <w:adjustRightInd w:val="0"/>
        <w:snapToGrid w:val="0"/>
        <w:spacing w:line="500" w:lineRule="exact"/>
        <w:rPr>
          <w:rFonts w:ascii="宋体" w:hAnsi="宋体" w:cs="宋体"/>
          <w:szCs w:val="21"/>
        </w:rPr>
      </w:pPr>
      <w:r>
        <w:rPr>
          <w:rFonts w:hint="eastAsia" w:ascii="宋体" w:hAnsi="宋体" w:cs="宋体"/>
          <w:szCs w:val="21"/>
        </w:rPr>
        <w:t>说明：1、填写前请认真阅读</w:t>
      </w:r>
      <w:r>
        <w:rPr>
          <w:rFonts w:hint="eastAsia" w:ascii="宋体" w:hAnsi="宋体" w:cs="宋体"/>
          <w:spacing w:val="6"/>
          <w:kern w:val="0"/>
          <w:szCs w:val="21"/>
        </w:rPr>
        <w:t>《工业和信息化部、国家统计局、国家发展和改革委员会、财政部关于印发中小企业划型标准规定的通知》（工信部联企业[2011]300号）和财政部、工业和信息化部关于印发《政府采购促进中小企业发展管理办法》的通知</w:t>
      </w:r>
      <w:r>
        <w:rPr>
          <w:rFonts w:hint="eastAsia" w:ascii="宋体" w:hAnsi="宋体" w:cs="宋体"/>
          <w:bCs/>
          <w:szCs w:val="21"/>
        </w:rPr>
        <w:t>(财库〔2020〕46号</w:t>
      </w:r>
      <w:r>
        <w:rPr>
          <w:rFonts w:hint="eastAsia" w:ascii="宋体" w:hAnsi="宋体" w:cs="宋体"/>
          <w:szCs w:val="21"/>
        </w:rPr>
        <w:t>)相关规定。</w:t>
      </w:r>
    </w:p>
    <w:p>
      <w:pPr>
        <w:adjustRightInd w:val="0"/>
        <w:snapToGrid w:val="0"/>
        <w:spacing w:line="500" w:lineRule="exact"/>
        <w:ind w:firstLine="630" w:firstLineChars="300"/>
        <w:rPr>
          <w:rFonts w:ascii="宋体" w:hAnsi="宋体" w:cs="宋体"/>
          <w:szCs w:val="21"/>
        </w:rPr>
      </w:pPr>
      <w:r>
        <w:rPr>
          <w:rFonts w:hint="eastAsia" w:ascii="宋体" w:hAnsi="宋体" w:cs="宋体"/>
          <w:szCs w:val="21"/>
        </w:rPr>
        <w:t>2、从业人员、营业收入、资产总额填报上一年度数据，无上一年度数据的新成立企业可不填报。</w:t>
      </w:r>
    </w:p>
    <w:p>
      <w:pPr>
        <w:adjustRightInd w:val="0"/>
        <w:snapToGrid w:val="0"/>
        <w:spacing w:line="500" w:lineRule="exact"/>
        <w:ind w:firstLine="630" w:firstLineChars="300"/>
        <w:rPr>
          <w:rFonts w:ascii="宋体" w:hAnsi="宋体" w:cs="宋体"/>
          <w:szCs w:val="21"/>
        </w:rPr>
      </w:pPr>
      <w:r>
        <w:rPr>
          <w:rFonts w:hint="eastAsia" w:ascii="宋体" w:hAnsi="宋体" w:cs="宋体"/>
          <w:szCs w:val="21"/>
        </w:rPr>
        <w:t>3、中小企业</w:t>
      </w:r>
      <w:r>
        <w:rPr>
          <w:rFonts w:hint="eastAsia" w:ascii="宋体" w:hAnsi="宋体" w:cs="宋体"/>
          <w:spacing w:val="6"/>
          <w:kern w:val="0"/>
          <w:szCs w:val="21"/>
        </w:rPr>
        <w:t>部分</w:t>
      </w:r>
      <w:r>
        <w:rPr>
          <w:rFonts w:hint="eastAsia" w:ascii="宋体" w:hAnsi="宋体" w:cs="宋体"/>
          <w:szCs w:val="21"/>
        </w:rPr>
        <w:t>提供</w:t>
      </w:r>
      <w:r>
        <w:rPr>
          <w:rFonts w:hint="eastAsia" w:ascii="宋体" w:hAnsi="宋体" w:cs="宋体"/>
          <w:spacing w:val="6"/>
          <w:kern w:val="0"/>
          <w:szCs w:val="21"/>
        </w:rPr>
        <w:t>其他小、微企业制造货物的应另附</w:t>
      </w:r>
      <w:r>
        <w:rPr>
          <w:rFonts w:hint="eastAsia" w:ascii="宋体" w:hAnsi="宋体" w:cs="宋体"/>
          <w:szCs w:val="21"/>
        </w:rPr>
        <w:t>说明，并与《分项报价表》保持一致。</w:t>
      </w:r>
    </w:p>
    <w:p>
      <w:pPr>
        <w:keepNext w:val="0"/>
        <w:keepLines w:val="0"/>
        <w:pageBreakBefore w:val="0"/>
        <w:kinsoku/>
        <w:wordWrap/>
        <w:overflowPunct/>
        <w:topLinePunct w:val="0"/>
        <w:autoSpaceDE/>
        <w:autoSpaceDN/>
        <w:bidi w:val="0"/>
        <w:spacing w:line="500" w:lineRule="exact"/>
        <w:ind w:left="0" w:leftChars="0" w:right="0" w:rightChars="0" w:firstLine="630" w:firstLineChars="300"/>
        <w:rPr>
          <w:rFonts w:hint="default" w:ascii="Times New Roman" w:hAnsi="Times New Roman" w:eastAsia="宋体" w:cs="Times New Roman"/>
          <w:sz w:val="21"/>
          <w:szCs w:val="21"/>
          <w:highlight w:val="none"/>
        </w:rPr>
      </w:pPr>
      <w:r>
        <w:rPr>
          <w:rFonts w:hint="eastAsia" w:ascii="宋体" w:hAnsi="宋体" w:cs="宋体"/>
          <w:szCs w:val="21"/>
        </w:rPr>
        <w:t>4、</w:t>
      </w:r>
      <w:r>
        <w:rPr>
          <w:rFonts w:hint="eastAsia" w:ascii="宋体" w:hAnsi="宋体" w:cs="宋体"/>
          <w:bCs/>
          <w:szCs w:val="21"/>
        </w:rPr>
        <w:t>未按上述要求提供、</w:t>
      </w:r>
      <w:r>
        <w:rPr>
          <w:rFonts w:hint="eastAsia" w:ascii="宋体" w:hAnsi="宋体" w:cs="宋体"/>
          <w:szCs w:val="21"/>
        </w:rPr>
        <w:t>填写</w:t>
      </w:r>
      <w:r>
        <w:rPr>
          <w:rFonts w:hint="eastAsia" w:ascii="宋体" w:hAnsi="宋体" w:cs="宋体"/>
          <w:bCs/>
          <w:szCs w:val="21"/>
        </w:rPr>
        <w:t>的，评标时不予以考虑。</w:t>
      </w:r>
    </w:p>
    <w:p>
      <w:pPr>
        <w:pStyle w:val="55"/>
        <w:spacing w:line="500" w:lineRule="exact"/>
        <w:rPr>
          <w:rFonts w:hint="eastAsia" w:ascii="宋体" w:hAnsi="宋体" w:eastAsia="宋体" w:cs="宋体"/>
          <w:sz w:val="21"/>
          <w:szCs w:val="21"/>
          <w:highlight w:val="none"/>
        </w:rPr>
      </w:pPr>
    </w:p>
    <w:p>
      <w:pPr>
        <w:pStyle w:val="55"/>
        <w:spacing w:line="500" w:lineRule="exact"/>
        <w:rPr>
          <w:rFonts w:hint="eastAsia" w:ascii="宋体" w:hAnsi="宋体" w:eastAsia="宋体" w:cs="宋体"/>
          <w:sz w:val="21"/>
          <w:szCs w:val="21"/>
          <w:highlight w:val="none"/>
        </w:rPr>
      </w:pPr>
    </w:p>
    <w:p>
      <w:pPr>
        <w:pStyle w:val="55"/>
        <w:spacing w:line="500" w:lineRule="exact"/>
        <w:rPr>
          <w:rFonts w:hint="eastAsia" w:ascii="宋体" w:hAnsi="宋体" w:eastAsia="宋体" w:cs="宋体"/>
          <w:sz w:val="21"/>
          <w:szCs w:val="21"/>
          <w:highlight w:val="none"/>
        </w:rPr>
      </w:pPr>
    </w:p>
    <w:p>
      <w:pPr>
        <w:pStyle w:val="55"/>
        <w:spacing w:line="500" w:lineRule="exact"/>
        <w:rPr>
          <w:rFonts w:hint="eastAsia" w:ascii="宋体" w:hAnsi="宋体" w:eastAsia="宋体" w:cs="宋体"/>
          <w:sz w:val="21"/>
          <w:szCs w:val="21"/>
          <w:highlight w:val="none"/>
        </w:rPr>
        <w:sectPr>
          <w:headerReference r:id="rId7" w:type="default"/>
          <w:footerReference r:id="rId8" w:type="default"/>
          <w:footnotePr>
            <w:numFmt w:val="decimalEnclosedCircleChinese"/>
            <w:numRestart w:val="eachPage"/>
          </w:footnotePr>
          <w:pgSz w:w="11905" w:h="16838"/>
          <w:pgMar w:top="1440" w:right="1080" w:bottom="1440" w:left="1080" w:header="1020" w:footer="680" w:gutter="0"/>
          <w:pgBorders w:zOrder="back">
            <w:top w:val="thinThickSmallGap" w:color="auto" w:sz="24" w:space="1"/>
            <w:left w:val="none" w:sz="0" w:space="0"/>
            <w:bottom w:val="thinThickSmallGap" w:color="auto" w:sz="24" w:space="1"/>
            <w:right w:val="none" w:sz="0" w:space="0"/>
          </w:pgBorders>
          <w:pgNumType w:fmt="decimal"/>
          <w:cols w:space="0" w:num="1"/>
          <w:rtlGutter w:val="0"/>
          <w:docGrid w:type="lines" w:linePitch="319" w:charSpace="0"/>
        </w:sectPr>
      </w:pPr>
    </w:p>
    <w:p>
      <w:pPr>
        <w:pStyle w:val="55"/>
        <w:spacing w:line="500" w:lineRule="exact"/>
        <w:rPr>
          <w:rFonts w:ascii="宋体" w:hAnsi="宋体" w:eastAsia="宋体" w:cs="宋体"/>
          <w:sz w:val="21"/>
          <w:szCs w:val="21"/>
        </w:rPr>
      </w:pPr>
      <w:r>
        <w:rPr>
          <w:rFonts w:ascii="宋体" w:hAnsi="宋体" w:eastAsia="宋体" w:cs="宋体"/>
          <w:sz w:val="21"/>
          <w:szCs w:val="21"/>
        </w:rPr>
        <w:t>附件</w:t>
      </w:r>
      <w:r>
        <w:rPr>
          <w:rFonts w:hint="eastAsia" w:ascii="宋体" w:hAnsi="宋体" w:eastAsia="宋体" w:cs="宋体"/>
          <w:sz w:val="21"/>
          <w:szCs w:val="21"/>
          <w:lang w:val="en-US" w:eastAsia="zh-CN"/>
        </w:rPr>
        <w:t>4</w:t>
      </w:r>
      <w:r>
        <w:rPr>
          <w:rFonts w:ascii="宋体" w:hAnsi="宋体" w:eastAsia="宋体" w:cs="宋体"/>
          <w:sz w:val="21"/>
          <w:szCs w:val="21"/>
        </w:rPr>
        <w:t>：</w:t>
      </w:r>
    </w:p>
    <w:p>
      <w:pPr>
        <w:adjustRightInd w:val="0"/>
        <w:snapToGrid w:val="0"/>
        <w:spacing w:line="500" w:lineRule="exact"/>
        <w:jc w:val="center"/>
        <w:rPr>
          <w:b/>
          <w:bCs/>
          <w:szCs w:val="21"/>
        </w:rPr>
      </w:pPr>
      <w:r>
        <w:rPr>
          <w:rFonts w:hint="eastAsia"/>
          <w:b/>
          <w:szCs w:val="21"/>
        </w:rPr>
        <w:t>“</w:t>
      </w:r>
      <w:r>
        <w:rPr>
          <w:b/>
          <w:szCs w:val="21"/>
        </w:rPr>
        <w:t>节能</w:t>
      </w:r>
      <w:r>
        <w:rPr>
          <w:b/>
          <w:bCs/>
          <w:szCs w:val="21"/>
        </w:rPr>
        <w:t>产品</w:t>
      </w:r>
      <w:r>
        <w:rPr>
          <w:rFonts w:hint="eastAsia"/>
          <w:b/>
          <w:szCs w:val="21"/>
        </w:rPr>
        <w:t>”</w:t>
      </w:r>
      <w:r>
        <w:rPr>
          <w:b/>
          <w:szCs w:val="21"/>
        </w:rPr>
        <w:t>、</w:t>
      </w:r>
      <w:r>
        <w:rPr>
          <w:rFonts w:hint="eastAsia"/>
          <w:b/>
          <w:szCs w:val="21"/>
        </w:rPr>
        <w:t>“</w:t>
      </w:r>
      <w:r>
        <w:rPr>
          <w:b/>
          <w:szCs w:val="21"/>
        </w:rPr>
        <w:t>环境标志</w:t>
      </w:r>
      <w:r>
        <w:rPr>
          <w:b/>
          <w:bCs/>
          <w:szCs w:val="21"/>
        </w:rPr>
        <w:t>产品</w:t>
      </w:r>
      <w:r>
        <w:rPr>
          <w:rFonts w:hint="eastAsia"/>
          <w:b/>
          <w:szCs w:val="21"/>
        </w:rPr>
        <w:t>”</w:t>
      </w:r>
      <w:r>
        <w:rPr>
          <w:b/>
          <w:szCs w:val="21"/>
        </w:rPr>
        <w:t>证明材料</w:t>
      </w:r>
    </w:p>
    <w:p>
      <w:pPr>
        <w:spacing w:line="500" w:lineRule="exact"/>
        <w:rPr>
          <w:szCs w:val="21"/>
        </w:rPr>
      </w:pPr>
    </w:p>
    <w:p>
      <w:pPr>
        <w:adjustRightInd w:val="0"/>
        <w:snapToGrid w:val="0"/>
        <w:spacing w:line="500" w:lineRule="exact"/>
        <w:rPr>
          <w:szCs w:val="21"/>
        </w:rPr>
      </w:pPr>
      <w:r>
        <w:rPr>
          <w:szCs w:val="21"/>
        </w:rPr>
        <w:t>说明：</w:t>
      </w:r>
      <w:r>
        <w:rPr>
          <w:bCs/>
          <w:szCs w:val="21"/>
        </w:rPr>
        <w:t>1、</w:t>
      </w:r>
      <w:r>
        <w:rPr>
          <w:rFonts w:hint="eastAsia"/>
          <w:szCs w:val="21"/>
        </w:rPr>
        <w:t>投标人</w:t>
      </w:r>
      <w:r>
        <w:rPr>
          <w:szCs w:val="21"/>
        </w:rPr>
        <w:t>提供的产品</w:t>
      </w:r>
      <w:r>
        <w:rPr>
          <w:bCs/>
          <w:szCs w:val="21"/>
        </w:rPr>
        <w:t>属于</w:t>
      </w:r>
      <w:r>
        <w:rPr>
          <w:szCs w:val="21"/>
        </w:rPr>
        <w:t>下列情形，应按第二章</w:t>
      </w:r>
      <w:r>
        <w:rPr>
          <w:rFonts w:hint="eastAsia"/>
          <w:szCs w:val="21"/>
        </w:rPr>
        <w:t>投标人</w:t>
      </w:r>
      <w:r>
        <w:rPr>
          <w:szCs w:val="21"/>
        </w:rPr>
        <w:t>须知第20款规定提供相关证明材料(</w:t>
      </w:r>
      <w:r>
        <w:rPr>
          <w:bCs/>
          <w:szCs w:val="21"/>
        </w:rPr>
        <w:t>清单或目录所在页复印件</w:t>
      </w:r>
      <w:r>
        <w:rPr>
          <w:szCs w:val="21"/>
        </w:rPr>
        <w:t>)，并在《货物分项报价表》中提供相应数据。</w:t>
      </w:r>
    </w:p>
    <w:p>
      <w:pPr>
        <w:adjustRightInd w:val="0"/>
        <w:snapToGrid w:val="0"/>
        <w:spacing w:line="500" w:lineRule="exact"/>
        <w:rPr>
          <w:bCs/>
          <w:szCs w:val="21"/>
        </w:rPr>
      </w:pPr>
      <w:r>
        <w:rPr>
          <w:rFonts w:hint="eastAsia"/>
          <w:bCs/>
          <w:szCs w:val="21"/>
        </w:rPr>
        <w:t xml:space="preserve">    </w:t>
      </w:r>
      <w:r>
        <w:rPr>
          <w:bCs/>
          <w:szCs w:val="21"/>
        </w:rPr>
        <w:t>（1）符合</w:t>
      </w:r>
      <w:r>
        <w:rPr>
          <w:szCs w:val="21"/>
        </w:rPr>
        <w:t>政府采购强制采购政策的(《节能产品政府采购清单》</w:t>
      </w:r>
      <w:r>
        <w:rPr>
          <w:rFonts w:hint="eastAsia"/>
          <w:szCs w:val="21"/>
        </w:rPr>
        <w:t>成交</w:t>
      </w:r>
      <w:r>
        <w:rPr>
          <w:szCs w:val="21"/>
        </w:rPr>
        <w:t>记★符号节能产品及其他强制采购产品)；</w:t>
      </w:r>
    </w:p>
    <w:p>
      <w:pPr>
        <w:adjustRightInd w:val="0"/>
        <w:snapToGrid w:val="0"/>
        <w:spacing w:line="500" w:lineRule="exact"/>
        <w:rPr>
          <w:bCs/>
          <w:szCs w:val="21"/>
        </w:rPr>
      </w:pPr>
      <w:r>
        <w:rPr>
          <w:rFonts w:hint="eastAsia"/>
          <w:bCs/>
          <w:szCs w:val="21"/>
        </w:rPr>
        <w:t xml:space="preserve">    </w:t>
      </w:r>
      <w:r>
        <w:rPr>
          <w:bCs/>
          <w:szCs w:val="21"/>
        </w:rPr>
        <w:t>（2）符合</w:t>
      </w:r>
      <w:r>
        <w:rPr>
          <w:szCs w:val="21"/>
        </w:rPr>
        <w:t>政府采购优先采购政策的(《节能产品政府采购清单》中非标记★符号节能产品</w:t>
      </w:r>
      <w:r>
        <w:rPr>
          <w:rFonts w:hint="eastAsia"/>
          <w:szCs w:val="21"/>
        </w:rPr>
        <w:t>，</w:t>
      </w:r>
      <w:r>
        <w:rPr>
          <w:szCs w:val="21"/>
        </w:rPr>
        <w:t>《环境标志产品政府采购清单》中环境标志</w:t>
      </w:r>
      <w:r>
        <w:rPr>
          <w:bCs/>
          <w:szCs w:val="21"/>
        </w:rPr>
        <w:t>产品</w:t>
      </w:r>
      <w:r>
        <w:rPr>
          <w:szCs w:val="21"/>
        </w:rPr>
        <w:t>。</w:t>
      </w:r>
    </w:p>
    <w:p>
      <w:pPr>
        <w:spacing w:line="500" w:lineRule="exact"/>
        <w:rPr>
          <w:szCs w:val="21"/>
        </w:rPr>
      </w:pPr>
      <w:r>
        <w:rPr>
          <w:rFonts w:hint="eastAsia"/>
          <w:bCs/>
          <w:szCs w:val="21"/>
        </w:rPr>
        <w:t xml:space="preserve">    </w:t>
      </w:r>
      <w:r>
        <w:rPr>
          <w:bCs/>
          <w:szCs w:val="21"/>
        </w:rPr>
        <w:t>2、未按上述要求提供、</w:t>
      </w:r>
      <w:r>
        <w:rPr>
          <w:szCs w:val="21"/>
        </w:rPr>
        <w:t>填写</w:t>
      </w:r>
      <w:r>
        <w:rPr>
          <w:bCs/>
          <w:szCs w:val="21"/>
        </w:rPr>
        <w:t>的，</w:t>
      </w:r>
      <w:r>
        <w:rPr>
          <w:rFonts w:hint="eastAsia"/>
          <w:bCs/>
          <w:szCs w:val="21"/>
        </w:rPr>
        <w:t>评审</w:t>
      </w:r>
      <w:r>
        <w:rPr>
          <w:bCs/>
          <w:szCs w:val="21"/>
        </w:rPr>
        <w:t>时不予以考虑。</w:t>
      </w:r>
    </w:p>
    <w:p>
      <w:pPr>
        <w:pStyle w:val="55"/>
        <w:spacing w:line="500" w:lineRule="exact"/>
        <w:rPr>
          <w:rFonts w:hint="eastAsia" w:ascii="宋体" w:hAnsi="宋体" w:eastAsia="宋体" w:cs="宋体"/>
          <w:sz w:val="21"/>
          <w:szCs w:val="21"/>
          <w:highlight w:val="none"/>
        </w:rPr>
        <w:sectPr>
          <w:footnotePr>
            <w:numFmt w:val="decimalEnclosedCircleChinese"/>
            <w:numRestart w:val="eachPage"/>
          </w:footnotePr>
          <w:pgSz w:w="11905" w:h="16838"/>
          <w:pgMar w:top="1440" w:right="1080" w:bottom="1440" w:left="1080" w:header="1020" w:footer="680" w:gutter="0"/>
          <w:pgBorders w:zOrder="back">
            <w:top w:val="thinThickSmallGap" w:color="auto" w:sz="24" w:space="1"/>
            <w:left w:val="none" w:sz="0" w:space="0"/>
            <w:bottom w:val="thinThickSmallGap" w:color="auto" w:sz="24" w:space="1"/>
            <w:right w:val="none" w:sz="0" w:space="0"/>
          </w:pgBorders>
          <w:pgNumType w:fmt="decimal"/>
          <w:cols w:space="0" w:num="1"/>
          <w:rtlGutter w:val="0"/>
          <w:docGrid w:type="lines" w:linePitch="319" w:charSpace="0"/>
        </w:sectPr>
      </w:pPr>
    </w:p>
    <w:p>
      <w:pPr>
        <w:pStyle w:val="55"/>
        <w:spacing w:line="5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w:t>
      </w:r>
    </w:p>
    <w:p>
      <w:pPr>
        <w:spacing w:line="588" w:lineRule="exact"/>
        <w:jc w:val="center"/>
        <w:rPr>
          <w:rFonts w:hint="eastAsia" w:ascii="宋体" w:hAnsi="宋体" w:eastAsia="宋体" w:cs="宋体"/>
          <w:b/>
          <w:spacing w:val="6"/>
          <w:szCs w:val="21"/>
          <w:highlight w:val="none"/>
        </w:rPr>
      </w:pPr>
      <w:r>
        <w:rPr>
          <w:rFonts w:hint="eastAsia" w:ascii="宋体" w:hAnsi="宋体" w:eastAsia="宋体" w:cs="宋体"/>
          <w:b/>
          <w:spacing w:val="6"/>
          <w:szCs w:val="21"/>
          <w:highlight w:val="none"/>
        </w:rPr>
        <w:t>残疾人福利性单位声明函</w:t>
      </w:r>
    </w:p>
    <w:p>
      <w:pPr>
        <w:spacing w:line="588" w:lineRule="exact"/>
        <w:rPr>
          <w:rFonts w:hint="eastAsia" w:ascii="宋体" w:hAnsi="宋体" w:eastAsia="宋体" w:cs="宋体"/>
          <w:b/>
          <w:spacing w:val="6"/>
          <w:szCs w:val="21"/>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444" w:firstLineChars="200"/>
        <w:textAlignment w:val="auto"/>
        <w:outlineLvl w:val="9"/>
        <w:rPr>
          <w:rFonts w:hint="eastAsia" w:ascii="宋体" w:hAnsi="宋体" w:eastAsia="宋体" w:cs="宋体"/>
          <w:spacing w:val="6"/>
          <w:szCs w:val="21"/>
          <w:highlight w:val="none"/>
        </w:rPr>
      </w:pPr>
      <w:r>
        <w:rPr>
          <w:rFonts w:hint="eastAsia" w:ascii="宋体" w:hAnsi="宋体" w:eastAsia="宋体" w:cs="宋体"/>
          <w:spacing w:val="6"/>
          <w:szCs w:val="21"/>
          <w:highlight w:val="none"/>
        </w:rPr>
        <w:t>本单位郑重声明，根据《财政部 民政部 中国残疾人联合会关于促进残疾人就业政府采购政策的通知》（财库</w:t>
      </w:r>
      <w:r>
        <w:rPr>
          <w:rFonts w:hint="eastAsia" w:ascii="宋体" w:hAnsi="宋体" w:eastAsia="宋体" w:cs="宋体"/>
          <w:szCs w:val="21"/>
          <w:highlight w:val="none"/>
        </w:rPr>
        <w:t>〔2017〕 141</w:t>
      </w:r>
      <w:r>
        <w:rPr>
          <w:rFonts w:hint="eastAsia" w:ascii="宋体" w:hAnsi="宋体" w:eastAsia="宋体" w:cs="宋体"/>
          <w:spacing w:val="6"/>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44" w:firstLineChars="200"/>
        <w:textAlignment w:val="auto"/>
        <w:outlineLvl w:val="9"/>
        <w:rPr>
          <w:rFonts w:ascii="宋体" w:hAnsi="宋体"/>
          <w:spacing w:val="6"/>
          <w:szCs w:val="21"/>
          <w:highlight w:val="none"/>
        </w:rPr>
      </w:pPr>
      <w:r>
        <w:rPr>
          <w:rFonts w:hint="eastAsia" w:ascii="宋体" w:hAnsi="宋体" w:eastAsia="宋体" w:cs="宋体"/>
          <w:spacing w:val="6"/>
          <w:szCs w:val="21"/>
          <w:highlight w:val="none"/>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44" w:firstLineChars="200"/>
        <w:textAlignment w:val="auto"/>
        <w:outlineLvl w:val="9"/>
        <w:rPr>
          <w:rFonts w:ascii="宋体" w:hAnsi="宋体"/>
          <w:spacing w:val="6"/>
          <w:szCs w:val="21"/>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444" w:firstLineChars="200"/>
        <w:textAlignment w:val="auto"/>
        <w:outlineLvl w:val="9"/>
        <w:rPr>
          <w:rFonts w:ascii="宋体" w:hAnsi="宋体"/>
          <w:spacing w:val="6"/>
          <w:szCs w:val="21"/>
          <w:highlight w:val="none"/>
        </w:rPr>
      </w:pPr>
    </w:p>
    <w:p>
      <w:pPr>
        <w:keepNext w:val="0"/>
        <w:keepLines w:val="0"/>
        <w:pageBreakBefore w:val="0"/>
        <w:widowControl w:val="0"/>
        <w:tabs>
          <w:tab w:val="left" w:pos="4860"/>
        </w:tabs>
        <w:kinsoku/>
        <w:wordWrap/>
        <w:overflowPunct/>
        <w:topLinePunct w:val="0"/>
        <w:autoSpaceDE/>
        <w:autoSpaceDN/>
        <w:bidi w:val="0"/>
        <w:adjustRightInd/>
        <w:snapToGrid/>
        <w:spacing w:line="500" w:lineRule="exact"/>
        <w:ind w:left="0" w:leftChars="0" w:right="1560" w:firstLine="444" w:firstLineChars="200"/>
        <w:jc w:val="center"/>
        <w:textAlignment w:val="auto"/>
        <w:outlineLvl w:val="9"/>
        <w:rPr>
          <w:rFonts w:ascii="宋体" w:hAnsi="宋体"/>
          <w:spacing w:val="6"/>
          <w:szCs w:val="21"/>
          <w:highlight w:val="none"/>
          <w:u w:val="single"/>
        </w:rPr>
      </w:pPr>
      <w:r>
        <w:rPr>
          <w:rFonts w:ascii="宋体" w:hAnsi="宋体"/>
          <w:spacing w:val="6"/>
          <w:szCs w:val="21"/>
          <w:highlight w:val="none"/>
        </w:rPr>
        <w:t xml:space="preserve">               </w:t>
      </w:r>
      <w:r>
        <w:rPr>
          <w:rFonts w:hint="eastAsia" w:ascii="宋体" w:hAnsi="宋体"/>
          <w:spacing w:val="6"/>
          <w:szCs w:val="21"/>
          <w:highlight w:val="none"/>
        </w:rPr>
        <w:t>单位名称（盖章）：</w:t>
      </w:r>
      <w:r>
        <w:rPr>
          <w:rFonts w:hint="eastAsia" w:ascii="宋体" w:hAnsi="宋体"/>
          <w:spacing w:val="6"/>
          <w:szCs w:val="21"/>
          <w:highlight w:val="none"/>
          <w:u w:val="single"/>
        </w:rPr>
        <w:t xml:space="preserve">              </w:t>
      </w:r>
      <w:r>
        <w:rPr>
          <w:rFonts w:hint="eastAsia" w:ascii="宋体" w:hAnsi="宋体"/>
          <w:spacing w:val="6"/>
          <w:szCs w:val="21"/>
          <w:highlight w:val="none"/>
          <w:u w:val="single"/>
          <w:lang w:val="en-US" w:eastAsia="zh-CN"/>
        </w:rPr>
        <w:t xml:space="preserve">       </w:t>
      </w:r>
    </w:p>
    <w:p>
      <w:pPr>
        <w:spacing w:line="440" w:lineRule="exact"/>
        <w:rPr>
          <w:rFonts w:hint="default" w:eastAsia="宋体"/>
          <w:szCs w:val="21"/>
          <w:highlight w:val="none"/>
          <w:lang w:val="en-US" w:eastAsia="zh-CN"/>
        </w:rPr>
      </w:pPr>
      <w:r>
        <w:rPr>
          <w:rFonts w:ascii="宋体" w:hAnsi="宋体"/>
          <w:spacing w:val="6"/>
          <w:szCs w:val="21"/>
          <w:highlight w:val="none"/>
        </w:rPr>
        <w:t xml:space="preserve">       </w:t>
      </w:r>
      <w:r>
        <w:rPr>
          <w:rFonts w:hint="eastAsia" w:ascii="宋体" w:hAnsi="宋体"/>
          <w:spacing w:val="6"/>
          <w:szCs w:val="21"/>
          <w:highlight w:val="none"/>
        </w:rPr>
        <w:t xml:space="preserve">        </w:t>
      </w:r>
      <w:r>
        <w:rPr>
          <w:rFonts w:hint="eastAsia" w:ascii="宋体" w:hAnsi="宋体"/>
          <w:spacing w:val="6"/>
          <w:szCs w:val="21"/>
          <w:highlight w:val="none"/>
          <w:lang w:val="en-US" w:eastAsia="zh-CN"/>
        </w:rPr>
        <w:t xml:space="preserve">                   </w:t>
      </w:r>
      <w:r>
        <w:rPr>
          <w:rFonts w:hint="eastAsia" w:ascii="宋体" w:hAnsi="宋体"/>
          <w:spacing w:val="6"/>
          <w:szCs w:val="21"/>
          <w:highlight w:val="none"/>
        </w:rPr>
        <w:t>日</w:t>
      </w:r>
      <w:r>
        <w:rPr>
          <w:rFonts w:ascii="宋体" w:hAnsi="宋体"/>
          <w:spacing w:val="6"/>
          <w:szCs w:val="21"/>
          <w:highlight w:val="none"/>
        </w:rPr>
        <w:t xml:space="preserve"> </w:t>
      </w:r>
      <w:r>
        <w:rPr>
          <w:rFonts w:hint="eastAsia" w:ascii="宋体" w:hAnsi="宋体"/>
          <w:spacing w:val="6"/>
          <w:szCs w:val="21"/>
          <w:highlight w:val="none"/>
        </w:rPr>
        <w:t xml:space="preserve">        </w:t>
      </w:r>
      <w:r>
        <w:rPr>
          <w:rFonts w:ascii="宋体" w:hAnsi="宋体"/>
          <w:spacing w:val="6"/>
          <w:szCs w:val="21"/>
          <w:highlight w:val="none"/>
        </w:rPr>
        <w:t xml:space="preserve"> </w:t>
      </w:r>
      <w:r>
        <w:rPr>
          <w:rFonts w:hint="eastAsia" w:ascii="宋体" w:hAnsi="宋体"/>
          <w:spacing w:val="6"/>
          <w:szCs w:val="21"/>
          <w:highlight w:val="none"/>
        </w:rPr>
        <w:t>期：</w:t>
      </w:r>
      <w:r>
        <w:rPr>
          <w:rFonts w:hint="eastAsia" w:ascii="宋体" w:hAnsi="宋体"/>
          <w:spacing w:val="6"/>
          <w:szCs w:val="21"/>
          <w:highlight w:val="none"/>
          <w:u w:val="single"/>
        </w:rPr>
        <w:t xml:space="preserve">             </w:t>
      </w:r>
      <w:r>
        <w:rPr>
          <w:rFonts w:hint="eastAsia" w:ascii="宋体" w:hAnsi="宋体"/>
          <w:spacing w:val="6"/>
          <w:szCs w:val="21"/>
          <w:highlight w:val="none"/>
          <w:u w:val="single"/>
          <w:lang w:val="en-US" w:eastAsia="zh-CN"/>
        </w:rPr>
        <w:t xml:space="preserve">     </w:t>
      </w: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pStyle w:val="24"/>
        <w:rPr>
          <w:rFonts w:hint="eastAsia"/>
          <w:szCs w:val="21"/>
          <w:highlight w:val="none"/>
        </w:rPr>
      </w:pPr>
    </w:p>
    <w:p>
      <w:pPr>
        <w:pStyle w:val="24"/>
        <w:rPr>
          <w:rFonts w:hint="eastAsia"/>
          <w:szCs w:val="21"/>
          <w:highlight w:val="none"/>
        </w:rPr>
      </w:pPr>
    </w:p>
    <w:p>
      <w:pPr>
        <w:pStyle w:val="24"/>
        <w:rPr>
          <w:rFonts w:hint="eastAsia"/>
          <w:szCs w:val="21"/>
          <w:highlight w:val="none"/>
        </w:rPr>
      </w:pPr>
    </w:p>
    <w:p>
      <w:pPr>
        <w:pStyle w:val="24"/>
        <w:rPr>
          <w:rFonts w:hint="eastAsia"/>
          <w:szCs w:val="21"/>
          <w:highlight w:val="none"/>
        </w:rPr>
      </w:pPr>
    </w:p>
    <w:p>
      <w:pPr>
        <w:pStyle w:val="24"/>
        <w:rPr>
          <w:rFonts w:hint="eastAsia"/>
          <w:szCs w:val="21"/>
          <w:highlight w:val="none"/>
        </w:rPr>
      </w:pPr>
    </w:p>
    <w:p>
      <w:pPr>
        <w:pStyle w:val="24"/>
        <w:rPr>
          <w:rFonts w:hint="eastAsia"/>
          <w:szCs w:val="21"/>
          <w:highlight w:val="none"/>
        </w:rPr>
      </w:pPr>
    </w:p>
    <w:p>
      <w:pPr>
        <w:pStyle w:val="24"/>
        <w:rPr>
          <w:rFonts w:hint="eastAsia"/>
          <w:szCs w:val="21"/>
          <w:highlight w:val="none"/>
        </w:rPr>
      </w:pPr>
    </w:p>
    <w:p>
      <w:pPr>
        <w:spacing w:line="440" w:lineRule="exact"/>
        <w:jc w:val="center"/>
        <w:rPr>
          <w:rFonts w:hint="eastAsia" w:ascii="宋体" w:hAnsi="宋体" w:eastAsia="宋体" w:cs="宋体"/>
          <w:b/>
          <w:bCs/>
          <w:sz w:val="36"/>
          <w:szCs w:val="36"/>
          <w:highlight w:val="none"/>
          <w:lang w:eastAsia="zh-CN"/>
        </w:rPr>
      </w:pPr>
      <w:r>
        <w:rPr>
          <w:rFonts w:hint="eastAsia" w:ascii="宋体" w:hAnsi="宋体" w:eastAsia="宋体" w:cs="宋体"/>
          <w:b/>
          <w:bCs/>
          <w:sz w:val="36"/>
          <w:szCs w:val="36"/>
          <w:highlight w:val="none"/>
          <w:lang w:eastAsia="zh-CN"/>
        </w:rPr>
        <w:t>本页以下无内容</w:t>
      </w:r>
    </w:p>
    <w:p>
      <w:pPr>
        <w:rPr>
          <w:rFonts w:hint="eastAsia" w:ascii="宋体" w:hAnsi="宋体" w:eastAsia="宋体" w:cs="宋体"/>
          <w:b/>
          <w:bCs/>
          <w:kern w:val="2"/>
          <w:sz w:val="36"/>
          <w:szCs w:val="36"/>
          <w:highlight w:val="none"/>
          <w:lang w:val="en-US" w:eastAsia="zh-CN" w:bidi="ar-SA"/>
        </w:rPr>
      </w:pPr>
    </w:p>
    <w:p>
      <w:pPr>
        <w:rPr>
          <w:rFonts w:hint="eastAsia" w:ascii="宋体" w:hAnsi="宋体" w:eastAsia="宋体" w:cs="宋体"/>
          <w:b/>
          <w:bCs/>
          <w:kern w:val="2"/>
          <w:sz w:val="36"/>
          <w:szCs w:val="36"/>
          <w:highlight w:val="none"/>
          <w:lang w:val="en-US" w:eastAsia="zh-CN" w:bidi="ar-SA"/>
        </w:rPr>
      </w:pPr>
    </w:p>
    <w:p>
      <w:pPr>
        <w:rPr>
          <w:rFonts w:hint="eastAsia" w:ascii="宋体" w:hAnsi="宋体" w:eastAsia="宋体" w:cs="宋体"/>
          <w:b/>
          <w:bCs/>
          <w:kern w:val="2"/>
          <w:sz w:val="36"/>
          <w:szCs w:val="36"/>
          <w:highlight w:val="none"/>
          <w:lang w:val="en-US" w:eastAsia="zh-CN" w:bidi="ar-SA"/>
        </w:rPr>
      </w:pPr>
    </w:p>
    <w:p>
      <w:pPr>
        <w:rPr>
          <w:rFonts w:hint="eastAsia" w:ascii="宋体" w:hAnsi="宋体" w:eastAsia="宋体" w:cs="宋体"/>
          <w:b/>
          <w:bCs/>
          <w:kern w:val="2"/>
          <w:sz w:val="36"/>
          <w:szCs w:val="36"/>
          <w:highlight w:val="none"/>
          <w:lang w:val="en-US" w:eastAsia="zh-CN" w:bidi="ar-SA"/>
        </w:rPr>
      </w:pPr>
    </w:p>
    <w:p>
      <w:pPr>
        <w:rPr>
          <w:rFonts w:hint="eastAsia" w:ascii="宋体" w:hAnsi="宋体" w:eastAsia="宋体" w:cs="宋体"/>
          <w:b/>
          <w:bCs/>
          <w:kern w:val="2"/>
          <w:sz w:val="36"/>
          <w:szCs w:val="36"/>
          <w:highlight w:val="none"/>
          <w:lang w:val="en-US" w:eastAsia="zh-CN" w:bidi="ar-SA"/>
        </w:rPr>
      </w:pPr>
    </w:p>
    <w:p>
      <w:pPr>
        <w:tabs>
          <w:tab w:val="left" w:pos="1933"/>
        </w:tabs>
        <w:jc w:val="left"/>
        <w:rPr>
          <w:rFonts w:hint="eastAsia"/>
          <w:highlight w:val="none"/>
          <w:lang w:val="en-US" w:eastAsia="zh-CN"/>
        </w:rPr>
        <w:sectPr>
          <w:footnotePr>
            <w:numFmt w:val="decimalEnclosedCircleChinese"/>
            <w:numRestart w:val="eachPage"/>
          </w:footnotePr>
          <w:pgSz w:w="11905" w:h="16838"/>
          <w:pgMar w:top="1440" w:right="1080" w:bottom="1440" w:left="1080" w:header="1020" w:footer="680" w:gutter="0"/>
          <w:pgBorders w:zOrder="back">
            <w:top w:val="thinThickSmallGap" w:color="auto" w:sz="24" w:space="1"/>
            <w:left w:val="none" w:sz="0" w:space="0"/>
            <w:bottom w:val="thinThickSmallGap" w:color="auto" w:sz="24" w:space="1"/>
            <w:right w:val="none" w:sz="0" w:space="0"/>
          </w:pgBorders>
          <w:pgNumType w:fmt="decimal"/>
          <w:cols w:space="0" w:num="1"/>
          <w:rtlGutter w:val="0"/>
          <w:docGrid w:type="lines" w:linePitch="319" w:charSpace="0"/>
        </w:sectPr>
      </w:pPr>
      <w:r>
        <w:rPr>
          <w:rFonts w:hint="eastAsia" w:ascii="宋体" w:hAnsi="宋体" w:cs="宋体"/>
          <w:b/>
          <w:bCs/>
          <w:kern w:val="2"/>
          <w:sz w:val="36"/>
          <w:szCs w:val="36"/>
          <w:highlight w:val="none"/>
          <w:lang w:val="en-US" w:eastAsia="zh-CN" w:bidi="ar-SA"/>
        </w:rPr>
        <w:tab/>
      </w: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p>
    <w:p>
      <w:pPr>
        <w:spacing w:line="440" w:lineRule="exact"/>
        <w:rPr>
          <w:rFonts w:hint="eastAsia" w:ascii="宋体" w:hAnsi="宋体"/>
          <w:szCs w:val="21"/>
          <w:highlight w:val="none"/>
        </w:rPr>
      </w:pPr>
      <w:r>
        <w:rPr>
          <w:rFonts w:hint="eastAsia" w:ascii="宋体" w:hAnsi="宋体"/>
          <w:szCs w:val="21"/>
          <w:highlight w:val="none"/>
        </w:rPr>
        <w:drawing>
          <wp:anchor distT="0" distB="0" distL="0" distR="0" simplePos="0" relativeHeight="251661312" behindDoc="0" locked="0" layoutInCell="1" allowOverlap="1">
            <wp:simplePos x="0" y="0"/>
            <wp:positionH relativeFrom="column">
              <wp:posOffset>4495165</wp:posOffset>
            </wp:positionH>
            <wp:positionV relativeFrom="paragraph">
              <wp:posOffset>242570</wp:posOffset>
            </wp:positionV>
            <wp:extent cx="962025" cy="962025"/>
            <wp:effectExtent l="0" t="0" r="9525" b="9525"/>
            <wp:wrapNone/>
            <wp:docPr id="1029" name="图片 6" descr="qrcode_for_gh_7fdd6eb17f01_430"/>
            <wp:cNvGraphicFramePr/>
            <a:graphic xmlns:a="http://schemas.openxmlformats.org/drawingml/2006/main">
              <a:graphicData uri="http://schemas.openxmlformats.org/drawingml/2006/picture">
                <pic:pic xmlns:pic="http://schemas.openxmlformats.org/drawingml/2006/picture">
                  <pic:nvPicPr>
                    <pic:cNvPr id="1029" name="图片 6" descr="qrcode_for_gh_7fdd6eb17f01_430"/>
                    <pic:cNvPicPr/>
                  </pic:nvPicPr>
                  <pic:blipFill>
                    <a:blip r:embed="rId20" cstate="print"/>
                    <a:srcRect/>
                    <a:stretch>
                      <a:fillRect/>
                    </a:stretch>
                  </pic:blipFill>
                  <pic:spPr>
                    <a:xfrm>
                      <a:off x="0" y="0"/>
                      <a:ext cx="962025" cy="962025"/>
                    </a:xfrm>
                    <a:prstGeom prst="rect">
                      <a:avLst/>
                    </a:prstGeom>
                    <a:ln>
                      <a:noFill/>
                    </a:ln>
                  </pic:spPr>
                </pic:pic>
              </a:graphicData>
            </a:graphic>
          </wp:anchor>
        </w:drawing>
      </w:r>
    </w:p>
    <w:p>
      <w:pPr>
        <w:spacing w:line="440" w:lineRule="exact"/>
        <w:rPr>
          <w:rFonts w:hint="eastAsia" w:ascii="宋体" w:hAnsi="宋体"/>
          <w:sz w:val="21"/>
          <w:szCs w:val="21"/>
          <w:highlight w:val="none"/>
        </w:rPr>
      </w:pPr>
      <w:r>
        <w:rPr>
          <w:rFonts w:hint="eastAsia" w:ascii="宋体" w:hAnsi="宋体"/>
          <w:sz w:val="21"/>
          <w:szCs w:val="21"/>
          <w:highlight w:val="none"/>
          <w:lang w:eastAsia="zh-CN"/>
        </w:rPr>
        <w:t>采购代理机构</w:t>
      </w:r>
      <w:r>
        <w:rPr>
          <w:rFonts w:hint="eastAsia" w:ascii="宋体" w:hAnsi="宋体"/>
          <w:sz w:val="21"/>
          <w:szCs w:val="21"/>
          <w:highlight w:val="none"/>
        </w:rPr>
        <w:t>：陕西国信招标有限公司</w:t>
      </w:r>
    </w:p>
    <w:p>
      <w:pPr>
        <w:spacing w:line="440" w:lineRule="exact"/>
        <w:rPr>
          <w:rFonts w:hint="eastAsia" w:ascii="宋体" w:hAnsi="宋体"/>
          <w:sz w:val="21"/>
          <w:szCs w:val="21"/>
          <w:highlight w:val="none"/>
        </w:rPr>
      </w:pPr>
      <w:r>
        <w:rPr>
          <w:rFonts w:hint="eastAsia" w:ascii="宋体" w:hAnsi="宋体"/>
          <w:sz w:val="21"/>
          <w:szCs w:val="21"/>
          <w:highlight w:val="none"/>
        </w:rPr>
        <w:t>邮箱：</w:t>
      </w:r>
      <w:r>
        <w:rPr>
          <w:rFonts w:hint="eastAsia" w:ascii="宋体" w:hAnsi="宋体"/>
          <w:sz w:val="21"/>
          <w:szCs w:val="21"/>
          <w:highlight w:val="none"/>
        </w:rPr>
        <w:fldChar w:fldCharType="begin"/>
      </w:r>
      <w:r>
        <w:rPr>
          <w:rFonts w:hint="eastAsia" w:ascii="宋体" w:hAnsi="宋体"/>
          <w:sz w:val="21"/>
          <w:szCs w:val="21"/>
          <w:highlight w:val="none"/>
        </w:rPr>
        <w:instrText xml:space="preserve"> HYPERLINK "mailto:guoxin_zb@126.com" </w:instrText>
      </w:r>
      <w:r>
        <w:rPr>
          <w:rFonts w:hint="eastAsia" w:ascii="宋体" w:hAnsi="宋体"/>
          <w:sz w:val="21"/>
          <w:szCs w:val="21"/>
          <w:highlight w:val="none"/>
        </w:rPr>
        <w:fldChar w:fldCharType="separate"/>
      </w:r>
      <w:r>
        <w:rPr>
          <w:rStyle w:val="44"/>
          <w:rFonts w:hint="eastAsia" w:ascii="宋体" w:hAnsi="宋体"/>
          <w:color w:val="auto"/>
          <w:sz w:val="21"/>
          <w:szCs w:val="21"/>
          <w:highlight w:val="none"/>
          <w:u w:val="none"/>
        </w:rPr>
        <w:t>guoxin_zb@126.com</w:t>
      </w:r>
      <w:r>
        <w:rPr>
          <w:rFonts w:hint="eastAsia" w:ascii="宋体" w:hAnsi="宋体"/>
          <w:sz w:val="21"/>
          <w:szCs w:val="21"/>
          <w:highlight w:val="none"/>
        </w:rPr>
        <w:fldChar w:fldCharType="end"/>
      </w:r>
    </w:p>
    <w:p>
      <w:pPr>
        <w:spacing w:line="440" w:lineRule="exact"/>
        <w:rPr>
          <w:rFonts w:hint="eastAsia" w:ascii="宋体" w:hAnsi="宋体" w:eastAsia="宋体"/>
          <w:sz w:val="21"/>
          <w:szCs w:val="21"/>
          <w:highlight w:val="none"/>
          <w:lang w:eastAsia="zh-CN"/>
        </w:rPr>
      </w:pPr>
      <w:r>
        <w:rPr>
          <w:rFonts w:hint="eastAsia" w:ascii="宋体" w:hAnsi="宋体"/>
          <w:sz w:val="21"/>
          <w:szCs w:val="21"/>
          <w:highlight w:val="none"/>
        </w:rPr>
        <w:t>电话：</w:t>
      </w:r>
      <w:r>
        <w:rPr>
          <w:rFonts w:hint="eastAsia" w:ascii="宋体" w:hAnsi="宋体"/>
          <w:sz w:val="21"/>
          <w:szCs w:val="21"/>
          <w:highlight w:val="none"/>
          <w:lang w:eastAsia="zh-CN"/>
        </w:rPr>
        <w:t>029-82680977</w:t>
      </w:r>
      <w:r>
        <w:rPr>
          <w:rFonts w:hint="eastAsia" w:ascii="宋体" w:hAnsi="宋体"/>
          <w:sz w:val="21"/>
          <w:szCs w:val="21"/>
          <w:highlight w:val="none"/>
        </w:rPr>
        <w:t>/</w:t>
      </w:r>
      <w:r>
        <w:rPr>
          <w:rFonts w:hint="eastAsia" w:ascii="宋体" w:hAnsi="宋体"/>
          <w:sz w:val="21"/>
          <w:szCs w:val="21"/>
          <w:highlight w:val="none"/>
          <w:lang w:eastAsia="zh-CN"/>
        </w:rPr>
        <w:t>029-82680977</w:t>
      </w:r>
    </w:p>
    <w:p>
      <w:pPr>
        <w:spacing w:line="440" w:lineRule="exact"/>
        <w:rPr>
          <w:rFonts w:hint="eastAsia" w:ascii="宋体" w:hAnsi="宋体"/>
          <w:b w:val="0"/>
          <w:bCs w:val="0"/>
          <w:sz w:val="21"/>
          <w:szCs w:val="21"/>
          <w:highlight w:val="none"/>
          <w:lang w:val="en-US" w:eastAsia="zh-CN"/>
        </w:rPr>
      </w:pPr>
      <w:r>
        <w:rPr>
          <w:rFonts w:hint="eastAsia" w:ascii="宋体" w:hAnsi="宋体"/>
          <w:sz w:val="21"/>
          <w:szCs w:val="21"/>
          <w:highlight w:val="none"/>
        </w:rPr>
        <w:t>地址：陕西省西安市曲江新区旺座曲江B座3105</w:t>
      </w:r>
    </w:p>
    <w:sectPr>
      <w:headerReference r:id="rId9" w:type="default"/>
      <w:footerReference r:id="rId10" w:type="default"/>
      <w:footnotePr>
        <w:numFmt w:val="decimalEnclosedCircleChinese"/>
        <w:numRestart w:val="eachPage"/>
      </w:footnotePr>
      <w:pgSz w:w="11905" w:h="16838"/>
      <w:pgMar w:top="1440" w:right="1080" w:bottom="1440" w:left="1080" w:header="1020" w:footer="680" w:gutter="0"/>
      <w:pgBorders w:zOrder="back">
        <w:top w:val="thinThickSmallGap" w:color="auto" w:sz="24" w:space="1"/>
        <w:left w:val="none" w:sz="0" w:space="0"/>
        <w:bottom w:val="thinThickSmallGap" w:color="auto" w:sz="24" w:space="1"/>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方正姚体">
    <w:altName w:val="宋体"/>
    <w:panose1 w:val="02010601030101010101"/>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A00002EF" w:usb1="4000004B" w:usb2="00000000" w:usb3="00000000" w:csb0="200000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华文隶书">
    <w:altName w:val="微软雅黑"/>
    <w:panose1 w:val="0201080004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b/>
        <w:bCs/>
        <w:sz w:val="21"/>
        <w:szCs w:val="21"/>
        <w:lang w:eastAsia="zh-CN"/>
      </w:rPr>
    </w:pPr>
    <w:r>
      <w:rPr>
        <w:rFonts w:hint="eastAsia"/>
        <w:b/>
        <w:bCs/>
        <w:sz w:val="21"/>
        <w:szCs w:val="21"/>
        <w:lang w:eastAsia="zh-CN"/>
      </w:rPr>
      <w:t>采购代理机构：陕西国信招标有限公司</w:t>
    </w:r>
  </w:p>
  <w:p>
    <w:pPr>
      <w:pStyle w:val="24"/>
      <w:ind w:right="7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b/>
        <w:bCs/>
        <w:sz w:val="21"/>
        <w:szCs w:val="21"/>
        <w:lang w:eastAsia="zh-CN"/>
      </w:rP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110</w:t>
                    </w:r>
                    <w:r>
                      <w:t xml:space="preserve"> 页</w:t>
                    </w:r>
                  </w:p>
                </w:txbxContent>
              </v:textbox>
            </v:shape>
          </w:pict>
        </mc:Fallback>
      </mc:AlternateContent>
    </w:r>
    <w:r>
      <w:rPr>
        <w:rFonts w:hint="eastAsia"/>
        <w:b/>
        <w:bCs/>
        <w:sz w:val="21"/>
        <w:szCs w:val="21"/>
        <w:lang w:eastAsia="zh-CN"/>
      </w:rPr>
      <w:t>采购代理机构：陕西国信招标有限公司</w:t>
    </w:r>
  </w:p>
  <w:p>
    <w:pPr>
      <w:pStyle w:val="24"/>
      <w:ind w:right="72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b/>
        <w:bCs/>
        <w:sz w:val="21"/>
        <w:szCs w:val="21"/>
        <w:lang w:eastAsia="zh-CN"/>
      </w:rPr>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44</w:t>
                          </w:r>
                          <w:r>
                            <w:fldChar w:fldCharType="end"/>
                          </w:r>
                          <w:r>
                            <w:t xml:space="preserve"> 页 共 </w:t>
                          </w:r>
                          <w:r>
                            <w:rPr>
                              <w:rFonts w:hint="eastAsia"/>
                              <w:lang w:val="en-US" w:eastAsia="zh-CN"/>
                            </w:rPr>
                            <w:t>110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44</w:t>
                    </w:r>
                    <w:r>
                      <w:fldChar w:fldCharType="end"/>
                    </w:r>
                    <w:r>
                      <w:t xml:space="preserve"> 页 共 </w:t>
                    </w:r>
                    <w:r>
                      <w:rPr>
                        <w:rFonts w:hint="eastAsia"/>
                        <w:lang w:val="en-US" w:eastAsia="zh-CN"/>
                      </w:rPr>
                      <w:t>110</w:t>
                    </w:r>
                    <w:r>
                      <w:t xml:space="preserve"> 页</w:t>
                    </w:r>
                  </w:p>
                </w:txbxContent>
              </v:textbox>
            </v:shape>
          </w:pict>
        </mc:Fallback>
      </mc:AlternateContent>
    </w:r>
    <w:r>
      <w:rPr>
        <w:rFonts w:hint="eastAsia"/>
        <w:b/>
        <w:bCs/>
        <w:sz w:val="21"/>
        <w:szCs w:val="21"/>
        <w:lang w:eastAsia="zh-CN"/>
      </w:rPr>
      <w:t>采购代理机构：陕西国信招标有限公司</w:t>
    </w:r>
  </w:p>
  <w:p>
    <w:pPr>
      <w:pStyle w:val="24"/>
      <w:rPr>
        <w:rFonts w:hint="eastAsia"/>
        <w:b/>
        <w:bCs/>
        <w:sz w:val="21"/>
        <w:szCs w:val="21"/>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720"/>
      <w:rPr>
        <w:rFonts w:hint="eastAsia" w:ascii="宋体" w:hAnsi="宋体" w:eastAsia="宋体"/>
        <w:b/>
        <w:kern w:val="2"/>
        <w:sz w:val="21"/>
        <w:szCs w:val="21"/>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1"/>
      </w:pBdr>
      <w:tabs>
        <w:tab w:val="left" w:pos="416"/>
        <w:tab w:val="right" w:pos="9206"/>
      </w:tabs>
      <w:kinsoku/>
      <w:wordWrap/>
      <w:overflowPunct/>
      <w:topLinePunct w:val="0"/>
      <w:autoSpaceDE/>
      <w:autoSpaceDN/>
      <w:bidi w:val="0"/>
      <w:adjustRightInd/>
      <w:snapToGrid w:val="0"/>
      <w:spacing w:line="312" w:lineRule="auto"/>
      <w:ind w:right="-21" w:rightChars="-10"/>
      <w:textAlignment w:val="auto"/>
    </w:pPr>
    <w:r>
      <w:rPr>
        <w:rFonts w:hint="eastAsia" w:ascii="宋体" w:hAnsi="宋体"/>
        <w:b/>
        <w:color w:val="auto"/>
        <w:sz w:val="21"/>
        <w:szCs w:val="21"/>
        <w:lang w:eastAsia="zh-CN"/>
      </w:rPr>
      <w:t>2023年长安区太乙街道中心学校、黄良街道湖村小学等5所学校设备采购项目（二次）招标文件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1"/>
      </w:pBdr>
      <w:tabs>
        <w:tab w:val="left" w:pos="416"/>
        <w:tab w:val="right" w:pos="9206"/>
      </w:tabs>
      <w:kinsoku/>
      <w:wordWrap/>
      <w:overflowPunct/>
      <w:topLinePunct w:val="0"/>
      <w:autoSpaceDE/>
      <w:autoSpaceDN/>
      <w:bidi w:val="0"/>
      <w:adjustRightInd/>
      <w:snapToGrid/>
      <w:spacing w:line="360" w:lineRule="auto"/>
      <w:ind w:right="-21" w:rightChars="-10"/>
      <w:textAlignment w:val="auto"/>
      <w:rPr>
        <w:rFonts w:ascii="宋体" w:hAnsi="宋体"/>
        <w:b/>
        <w:color w:val="FF0000"/>
        <w:szCs w:val="21"/>
      </w:rPr>
    </w:pPr>
    <w:r>
      <w:rPr>
        <w:rFonts w:hint="eastAsia" w:ascii="宋体" w:hAnsi="宋体"/>
        <w:b/>
        <w:color w:val="auto"/>
        <w:sz w:val="21"/>
        <w:szCs w:val="21"/>
        <w:lang w:eastAsia="zh-CN"/>
      </w:rPr>
      <w:t>2023年长安区太乙街道中心学校、黄良街道湖村小学等5所学校设备采购项目（二次）招标文件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left" w:pos="416"/>
        <w:tab w:val="right" w:pos="9206"/>
      </w:tabs>
      <w:spacing w:line="240" w:lineRule="exact"/>
      <w:ind w:right="-21" w:rightChars="-10"/>
      <w:rPr>
        <w:rFonts w:hint="eastAsia" w:ascii="宋体" w:hAnsi="宋体"/>
        <w:b/>
        <w:color w:val="auto"/>
        <w:sz w:val="21"/>
        <w:szCs w:val="21"/>
        <w:lang w:eastAsia="zh-CN"/>
      </w:rPr>
    </w:pPr>
  </w:p>
  <w:p>
    <w:pPr>
      <w:pBdr>
        <w:bottom w:val="none" w:color="auto" w:sz="0" w:space="1"/>
      </w:pBdr>
      <w:tabs>
        <w:tab w:val="left" w:pos="416"/>
        <w:tab w:val="right" w:pos="9206"/>
      </w:tabs>
      <w:spacing w:line="240" w:lineRule="exact"/>
      <w:ind w:right="-21" w:rightChars="-10"/>
      <w:rPr>
        <w:rFonts w:ascii="宋体" w:hAnsi="宋体"/>
        <w:b/>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03B27"/>
    <w:multiLevelType w:val="singleLevel"/>
    <w:tmpl w:val="8BD03B27"/>
    <w:lvl w:ilvl="0" w:tentative="0">
      <w:start w:val="1"/>
      <w:numFmt w:val="decimal"/>
      <w:lvlText w:val="%1."/>
      <w:lvlJc w:val="left"/>
      <w:pPr>
        <w:ind w:left="635" w:hanging="425"/>
      </w:pPr>
      <w:rPr>
        <w:rFonts w:hint="default"/>
      </w:rPr>
    </w:lvl>
  </w:abstractNum>
  <w:abstractNum w:abstractNumId="1">
    <w:nsid w:val="916B7A27"/>
    <w:multiLevelType w:val="singleLevel"/>
    <w:tmpl w:val="916B7A27"/>
    <w:lvl w:ilvl="0" w:tentative="0">
      <w:start w:val="1"/>
      <w:numFmt w:val="decimal"/>
      <w:lvlText w:val="%1."/>
      <w:lvlJc w:val="left"/>
      <w:pPr>
        <w:tabs>
          <w:tab w:val="left" w:pos="312"/>
        </w:tabs>
      </w:pPr>
    </w:lvl>
  </w:abstractNum>
  <w:abstractNum w:abstractNumId="2">
    <w:nsid w:val="94A264B8"/>
    <w:multiLevelType w:val="singleLevel"/>
    <w:tmpl w:val="94A264B8"/>
    <w:lvl w:ilvl="0" w:tentative="0">
      <w:start w:val="1"/>
      <w:numFmt w:val="decimal"/>
      <w:lvlText w:val="%1."/>
      <w:lvlJc w:val="left"/>
      <w:pPr>
        <w:ind w:left="425" w:hanging="425"/>
      </w:pPr>
      <w:rPr>
        <w:rFonts w:hint="default"/>
        <w:b w:val="0"/>
        <w:bCs w:val="0"/>
      </w:rPr>
    </w:lvl>
  </w:abstractNum>
  <w:abstractNum w:abstractNumId="3">
    <w:nsid w:val="9A46D9A7"/>
    <w:multiLevelType w:val="singleLevel"/>
    <w:tmpl w:val="9A46D9A7"/>
    <w:lvl w:ilvl="0" w:tentative="0">
      <w:start w:val="1"/>
      <w:numFmt w:val="decimal"/>
      <w:lvlText w:val="%1."/>
      <w:lvlJc w:val="left"/>
      <w:pPr>
        <w:ind w:left="425" w:hanging="425"/>
      </w:pPr>
      <w:rPr>
        <w:rFonts w:hint="default"/>
        <w:b w:val="0"/>
        <w:bCs w:val="0"/>
      </w:rPr>
    </w:lvl>
  </w:abstractNum>
  <w:abstractNum w:abstractNumId="4">
    <w:nsid w:val="E65C36B6"/>
    <w:multiLevelType w:val="singleLevel"/>
    <w:tmpl w:val="E65C36B6"/>
    <w:lvl w:ilvl="0" w:tentative="0">
      <w:start w:val="2"/>
      <w:numFmt w:val="chineseCounting"/>
      <w:suff w:val="nothing"/>
      <w:lvlText w:val="%1、"/>
      <w:lvlJc w:val="left"/>
      <w:rPr>
        <w:rFonts w:hint="eastAsia"/>
      </w:rPr>
    </w:lvl>
  </w:abstractNum>
  <w:abstractNum w:abstractNumId="5">
    <w:nsid w:val="E8B6E242"/>
    <w:multiLevelType w:val="singleLevel"/>
    <w:tmpl w:val="E8B6E242"/>
    <w:lvl w:ilvl="0" w:tentative="0">
      <w:start w:val="1"/>
      <w:numFmt w:val="decimal"/>
      <w:lvlText w:val="%1."/>
      <w:lvlJc w:val="left"/>
      <w:pPr>
        <w:ind w:left="425" w:hanging="425"/>
      </w:pPr>
      <w:rPr>
        <w:rFonts w:hint="default"/>
        <w:b w:val="0"/>
        <w:bCs w:val="0"/>
      </w:rPr>
    </w:lvl>
  </w:abstractNum>
  <w:abstractNum w:abstractNumId="6">
    <w:nsid w:val="ECEFBCA7"/>
    <w:multiLevelType w:val="singleLevel"/>
    <w:tmpl w:val="ECEFBCA7"/>
    <w:lvl w:ilvl="0" w:tentative="0">
      <w:start w:val="9"/>
      <w:numFmt w:val="decimal"/>
      <w:suff w:val="nothing"/>
      <w:lvlText w:val="%1、"/>
      <w:lvlJc w:val="left"/>
    </w:lvl>
  </w:abstractNum>
  <w:abstractNum w:abstractNumId="7">
    <w:nsid w:val="00000000"/>
    <w:multiLevelType w:val="singleLevel"/>
    <w:tmpl w:val="00000000"/>
    <w:lvl w:ilvl="0" w:tentative="0">
      <w:start w:val="501"/>
      <w:numFmt w:val="decimal"/>
      <w:pStyle w:val="23"/>
      <w:lvlText w:val="%1节"/>
      <w:lvlJc w:val="left"/>
      <w:pPr>
        <w:tabs>
          <w:tab w:val="left" w:pos="1005"/>
        </w:tabs>
        <w:ind w:left="1005" w:hanging="1005"/>
      </w:pPr>
      <w:rPr>
        <w:rFonts w:hint="eastAsia"/>
      </w:rPr>
    </w:lvl>
  </w:abstractNum>
  <w:abstractNum w:abstractNumId="8">
    <w:nsid w:val="00000001"/>
    <w:multiLevelType w:val="multilevel"/>
    <w:tmpl w:val="00000001"/>
    <w:lvl w:ilvl="0" w:tentative="0">
      <w:start w:val="1"/>
      <w:numFmt w:val="decimal"/>
      <w:pStyle w:val="74"/>
      <w:lvlText w:val="（%1）"/>
      <w:lvlJc w:val="left"/>
      <w:pPr>
        <w:tabs>
          <w:tab w:val="left" w:pos="1560"/>
        </w:tabs>
        <w:ind w:left="1560" w:hanging="72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00000002"/>
    <w:multiLevelType w:val="singleLevel"/>
    <w:tmpl w:val="00000002"/>
    <w:lvl w:ilvl="0" w:tentative="0">
      <w:start w:val="1"/>
      <w:numFmt w:val="upperLetter"/>
      <w:pStyle w:val="4"/>
      <w:lvlText w:val="%1、"/>
      <w:lvlJc w:val="left"/>
      <w:pPr>
        <w:tabs>
          <w:tab w:val="left" w:pos="960"/>
        </w:tabs>
        <w:ind w:left="960" w:hanging="324"/>
      </w:pPr>
      <w:rPr>
        <w:rFonts w:hint="eastAsia"/>
      </w:rPr>
    </w:lvl>
  </w:abstractNum>
  <w:abstractNum w:abstractNumId="10">
    <w:nsid w:val="00000003"/>
    <w:multiLevelType w:val="singleLevel"/>
    <w:tmpl w:val="00000003"/>
    <w:lvl w:ilvl="0" w:tentative="0">
      <w:start w:val="1"/>
      <w:numFmt w:val="upperLetter"/>
      <w:pStyle w:val="3"/>
      <w:lvlText w:val="%1．"/>
      <w:lvlJc w:val="left"/>
      <w:pPr>
        <w:tabs>
          <w:tab w:val="left" w:pos="324"/>
        </w:tabs>
        <w:ind w:left="4524" w:hanging="324"/>
      </w:pPr>
      <w:rPr>
        <w:rFonts w:hint="eastAsia"/>
      </w:rPr>
    </w:lvl>
  </w:abstractNum>
  <w:abstractNum w:abstractNumId="11">
    <w:nsid w:val="00000004"/>
    <w:multiLevelType w:val="singleLevel"/>
    <w:tmpl w:val="00000004"/>
    <w:lvl w:ilvl="0" w:tentative="0">
      <w:start w:val="1"/>
      <w:numFmt w:val="upperLetter"/>
      <w:pStyle w:val="5"/>
      <w:lvlText w:val="%1、"/>
      <w:lvlJc w:val="left"/>
      <w:pPr>
        <w:tabs>
          <w:tab w:val="left" w:pos="960"/>
        </w:tabs>
        <w:ind w:left="960" w:hanging="324"/>
      </w:pPr>
      <w:rPr>
        <w:rFonts w:hint="eastAsia"/>
      </w:rPr>
    </w:lvl>
  </w:abstractNum>
  <w:abstractNum w:abstractNumId="12">
    <w:nsid w:val="00000005"/>
    <w:multiLevelType w:val="multilevel"/>
    <w:tmpl w:val="00000005"/>
    <w:lvl w:ilvl="0" w:tentative="0">
      <w:start w:val="2"/>
      <w:numFmt w:val="upperLetter"/>
      <w:pStyle w:val="6"/>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07"/>
    <w:multiLevelType w:val="singleLevel"/>
    <w:tmpl w:val="00000007"/>
    <w:lvl w:ilvl="0" w:tentative="0">
      <w:start w:val="2"/>
      <w:numFmt w:val="decimal"/>
      <w:suff w:val="nothing"/>
      <w:lvlText w:val="%1、"/>
      <w:lvlJc w:val="left"/>
    </w:lvl>
  </w:abstractNum>
  <w:abstractNum w:abstractNumId="14">
    <w:nsid w:val="00000008"/>
    <w:multiLevelType w:val="multilevel"/>
    <w:tmpl w:val="00000008"/>
    <w:lvl w:ilvl="0" w:tentative="0">
      <w:start w:val="2"/>
      <w:numFmt w:val="decimal"/>
      <w:suff w:val="nothing"/>
      <w:lvlText w:val="%1、"/>
      <w:lvlJc w:val="left"/>
    </w:lvl>
    <w:lvl w:ilvl="1" w:tentative="0">
      <w:start w:val="1"/>
      <w:numFmt w:val="decimal"/>
      <w:lvlText w:val="%1.%2."/>
      <w:lvlJc w:val="left"/>
      <w:pPr>
        <w:tabs>
          <w:tab w:val="left" w:pos="3556"/>
        </w:tabs>
        <w:ind w:left="3403"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14DBC857"/>
    <w:multiLevelType w:val="singleLevel"/>
    <w:tmpl w:val="14DBC857"/>
    <w:lvl w:ilvl="0" w:tentative="0">
      <w:start w:val="1"/>
      <w:numFmt w:val="decimal"/>
      <w:lvlText w:val="%1."/>
      <w:lvlJc w:val="left"/>
      <w:pPr>
        <w:ind w:left="425" w:hanging="425"/>
      </w:pPr>
      <w:rPr>
        <w:rFonts w:hint="default"/>
      </w:rPr>
    </w:lvl>
  </w:abstractNum>
  <w:abstractNum w:abstractNumId="16">
    <w:nsid w:val="2063D542"/>
    <w:multiLevelType w:val="singleLevel"/>
    <w:tmpl w:val="2063D542"/>
    <w:lvl w:ilvl="0" w:tentative="0">
      <w:start w:val="6"/>
      <w:numFmt w:val="decimal"/>
      <w:suff w:val="nothing"/>
      <w:lvlText w:val="%1、"/>
      <w:lvlJc w:val="left"/>
      <w:pPr>
        <w:ind w:left="-30"/>
      </w:pPr>
    </w:lvl>
  </w:abstractNum>
  <w:abstractNum w:abstractNumId="17">
    <w:nsid w:val="3E661F53"/>
    <w:multiLevelType w:val="multilevel"/>
    <w:tmpl w:val="3E661F5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6F84B5C"/>
    <w:multiLevelType w:val="multilevel"/>
    <w:tmpl w:val="46F84B5C"/>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8DB5BCB"/>
    <w:multiLevelType w:val="singleLevel"/>
    <w:tmpl w:val="58DB5BCB"/>
    <w:lvl w:ilvl="0" w:tentative="0">
      <w:start w:val="3"/>
      <w:numFmt w:val="chineseCounting"/>
      <w:suff w:val="nothing"/>
      <w:lvlText w:val="%1、"/>
      <w:lvlJc w:val="left"/>
    </w:lvl>
  </w:abstractNum>
  <w:abstractNum w:abstractNumId="20">
    <w:nsid w:val="6E9CB68F"/>
    <w:multiLevelType w:val="singleLevel"/>
    <w:tmpl w:val="6E9CB68F"/>
    <w:lvl w:ilvl="0" w:tentative="0">
      <w:start w:val="2"/>
      <w:numFmt w:val="chineseCounting"/>
      <w:suff w:val="nothing"/>
      <w:lvlText w:val="%1、"/>
      <w:lvlJc w:val="left"/>
      <w:rPr>
        <w:rFonts w:hint="eastAsia"/>
      </w:rPr>
    </w:lvl>
  </w:abstractNum>
  <w:abstractNum w:abstractNumId="21">
    <w:nsid w:val="7AD931FC"/>
    <w:multiLevelType w:val="singleLevel"/>
    <w:tmpl w:val="7AD931FC"/>
    <w:lvl w:ilvl="0" w:tentative="0">
      <w:start w:val="5"/>
      <w:numFmt w:val="decimal"/>
      <w:suff w:val="nothing"/>
      <w:lvlText w:val="（%1）"/>
      <w:lvlJc w:val="left"/>
    </w:lvl>
  </w:abstractNum>
  <w:num w:numId="1">
    <w:abstractNumId w:val="10"/>
  </w:num>
  <w:num w:numId="2">
    <w:abstractNumId w:val="9"/>
  </w:num>
  <w:num w:numId="3">
    <w:abstractNumId w:val="11"/>
  </w:num>
  <w:num w:numId="4">
    <w:abstractNumId w:val="12"/>
  </w:num>
  <w:num w:numId="5">
    <w:abstractNumId w:val="7"/>
  </w:num>
  <w:num w:numId="6">
    <w:abstractNumId w:val="8"/>
  </w:num>
  <w:num w:numId="7">
    <w:abstractNumId w:val="21"/>
  </w:num>
  <w:num w:numId="8">
    <w:abstractNumId w:val="4"/>
  </w:num>
  <w:num w:numId="9">
    <w:abstractNumId w:val="0"/>
  </w:num>
  <w:num w:numId="10">
    <w:abstractNumId w:val="15"/>
  </w:num>
  <w:num w:numId="11">
    <w:abstractNumId w:val="2"/>
  </w:num>
  <w:num w:numId="12">
    <w:abstractNumId w:val="5"/>
  </w:num>
  <w:num w:numId="13">
    <w:abstractNumId w:val="3"/>
  </w:num>
  <w:num w:numId="14">
    <w:abstractNumId w:val="16"/>
  </w:num>
  <w:num w:numId="15">
    <w:abstractNumId w:val="1"/>
  </w:num>
  <w:num w:numId="16">
    <w:abstractNumId w:val="6"/>
  </w:num>
  <w:num w:numId="17">
    <w:abstractNumId w:val="18"/>
  </w:num>
  <w:num w:numId="18">
    <w:abstractNumId w:val="17"/>
  </w:num>
  <w:num w:numId="19">
    <w:abstractNumId w:val="20"/>
  </w:num>
  <w:num w:numId="20">
    <w:abstractNumId w:val="19"/>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alignBordersAndEdges w:val="1"/>
  <w:bordersDoNotSurroundHeader w:val="1"/>
  <w:bordersDoNotSurroundFooter w:val="1"/>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OGMxYjUwNjQ1MzAwZWJiZTY3ZmE3MTgzNmYxM2UifQ=="/>
  </w:docVars>
  <w:rsids>
    <w:rsidRoot w:val="00000000"/>
    <w:rsid w:val="001E0333"/>
    <w:rsid w:val="00337586"/>
    <w:rsid w:val="0078143C"/>
    <w:rsid w:val="00906786"/>
    <w:rsid w:val="00B16CAD"/>
    <w:rsid w:val="00B5443F"/>
    <w:rsid w:val="00B73A45"/>
    <w:rsid w:val="00CD3536"/>
    <w:rsid w:val="00D3394F"/>
    <w:rsid w:val="00E951FB"/>
    <w:rsid w:val="010E46EA"/>
    <w:rsid w:val="01121891"/>
    <w:rsid w:val="01284C10"/>
    <w:rsid w:val="013F4B28"/>
    <w:rsid w:val="015754F6"/>
    <w:rsid w:val="01AB0F5B"/>
    <w:rsid w:val="01CB720C"/>
    <w:rsid w:val="01E23011"/>
    <w:rsid w:val="01EC0BC9"/>
    <w:rsid w:val="02096D5F"/>
    <w:rsid w:val="020E3E06"/>
    <w:rsid w:val="021D04ED"/>
    <w:rsid w:val="02240417"/>
    <w:rsid w:val="022655F4"/>
    <w:rsid w:val="026B3007"/>
    <w:rsid w:val="027D2D3A"/>
    <w:rsid w:val="028916DF"/>
    <w:rsid w:val="02A76009"/>
    <w:rsid w:val="02A91D81"/>
    <w:rsid w:val="034634D7"/>
    <w:rsid w:val="0361265C"/>
    <w:rsid w:val="03C06A6D"/>
    <w:rsid w:val="03FA1665"/>
    <w:rsid w:val="03FB485E"/>
    <w:rsid w:val="040E6340"/>
    <w:rsid w:val="042F398A"/>
    <w:rsid w:val="04553BA2"/>
    <w:rsid w:val="04C9495C"/>
    <w:rsid w:val="04FA35EF"/>
    <w:rsid w:val="0523406D"/>
    <w:rsid w:val="0530224E"/>
    <w:rsid w:val="053A3164"/>
    <w:rsid w:val="05C70E9C"/>
    <w:rsid w:val="05FE717A"/>
    <w:rsid w:val="06066E48"/>
    <w:rsid w:val="0607573C"/>
    <w:rsid w:val="060A0D89"/>
    <w:rsid w:val="06257970"/>
    <w:rsid w:val="062762E3"/>
    <w:rsid w:val="063D115E"/>
    <w:rsid w:val="06791BE5"/>
    <w:rsid w:val="068612A4"/>
    <w:rsid w:val="068B1EC9"/>
    <w:rsid w:val="06C453DB"/>
    <w:rsid w:val="06CA2FD8"/>
    <w:rsid w:val="06F64AEE"/>
    <w:rsid w:val="070C732D"/>
    <w:rsid w:val="07216AE2"/>
    <w:rsid w:val="072D59A7"/>
    <w:rsid w:val="072E2BDA"/>
    <w:rsid w:val="074344E3"/>
    <w:rsid w:val="074D53D1"/>
    <w:rsid w:val="076646E5"/>
    <w:rsid w:val="07F7533D"/>
    <w:rsid w:val="08000695"/>
    <w:rsid w:val="080E54DE"/>
    <w:rsid w:val="084E1AF7"/>
    <w:rsid w:val="0869448C"/>
    <w:rsid w:val="087C03D9"/>
    <w:rsid w:val="08803584"/>
    <w:rsid w:val="08B130B1"/>
    <w:rsid w:val="08B17BE1"/>
    <w:rsid w:val="08D833C0"/>
    <w:rsid w:val="08E91129"/>
    <w:rsid w:val="09221A8D"/>
    <w:rsid w:val="094C15FE"/>
    <w:rsid w:val="09566B22"/>
    <w:rsid w:val="09594501"/>
    <w:rsid w:val="0966277A"/>
    <w:rsid w:val="099C263F"/>
    <w:rsid w:val="0A0D7099"/>
    <w:rsid w:val="0A1D4FB4"/>
    <w:rsid w:val="0A2978EC"/>
    <w:rsid w:val="0A2A7C4B"/>
    <w:rsid w:val="0A4E393A"/>
    <w:rsid w:val="0A4F1460"/>
    <w:rsid w:val="0A5D7B76"/>
    <w:rsid w:val="0A8B2E3A"/>
    <w:rsid w:val="0AB87005"/>
    <w:rsid w:val="0AC736EC"/>
    <w:rsid w:val="0AF76584"/>
    <w:rsid w:val="0B6902FF"/>
    <w:rsid w:val="0B7A347B"/>
    <w:rsid w:val="0B7E5B70"/>
    <w:rsid w:val="0BCD4D32"/>
    <w:rsid w:val="0BCE3453"/>
    <w:rsid w:val="0BF6576F"/>
    <w:rsid w:val="0BFC73C5"/>
    <w:rsid w:val="0C1069CD"/>
    <w:rsid w:val="0C3721AC"/>
    <w:rsid w:val="0C3D1EB8"/>
    <w:rsid w:val="0C654F6B"/>
    <w:rsid w:val="0CF453B0"/>
    <w:rsid w:val="0D046532"/>
    <w:rsid w:val="0D111C84"/>
    <w:rsid w:val="0D166FB7"/>
    <w:rsid w:val="0D2D2D0E"/>
    <w:rsid w:val="0D38267F"/>
    <w:rsid w:val="0D474214"/>
    <w:rsid w:val="0D4C0523"/>
    <w:rsid w:val="0D5F7C0C"/>
    <w:rsid w:val="0D643474"/>
    <w:rsid w:val="0DB717F6"/>
    <w:rsid w:val="0DE72548"/>
    <w:rsid w:val="0E057AA3"/>
    <w:rsid w:val="0E1F739B"/>
    <w:rsid w:val="0E5D6966"/>
    <w:rsid w:val="0E7A4D4D"/>
    <w:rsid w:val="0E811E04"/>
    <w:rsid w:val="0F430481"/>
    <w:rsid w:val="0F5A68DD"/>
    <w:rsid w:val="0F681681"/>
    <w:rsid w:val="0FA67D74"/>
    <w:rsid w:val="0FB104C7"/>
    <w:rsid w:val="0FDB1F49"/>
    <w:rsid w:val="100131FC"/>
    <w:rsid w:val="10044A9B"/>
    <w:rsid w:val="101677EF"/>
    <w:rsid w:val="10294501"/>
    <w:rsid w:val="105453B4"/>
    <w:rsid w:val="105B24BD"/>
    <w:rsid w:val="10606C2C"/>
    <w:rsid w:val="106A6D97"/>
    <w:rsid w:val="10A67900"/>
    <w:rsid w:val="10C54B77"/>
    <w:rsid w:val="10EF31EE"/>
    <w:rsid w:val="11034D52"/>
    <w:rsid w:val="11074842"/>
    <w:rsid w:val="111331E7"/>
    <w:rsid w:val="11160F29"/>
    <w:rsid w:val="11491DAA"/>
    <w:rsid w:val="116A4DD1"/>
    <w:rsid w:val="11F0177A"/>
    <w:rsid w:val="11F33019"/>
    <w:rsid w:val="12241424"/>
    <w:rsid w:val="12296A3A"/>
    <w:rsid w:val="12330942"/>
    <w:rsid w:val="12414FE6"/>
    <w:rsid w:val="127A7296"/>
    <w:rsid w:val="12966798"/>
    <w:rsid w:val="129E2F84"/>
    <w:rsid w:val="12AB242A"/>
    <w:rsid w:val="12DA506C"/>
    <w:rsid w:val="12EA6DB9"/>
    <w:rsid w:val="12FE3A23"/>
    <w:rsid w:val="13422116"/>
    <w:rsid w:val="134C29E0"/>
    <w:rsid w:val="13A0488B"/>
    <w:rsid w:val="13CE33F5"/>
    <w:rsid w:val="13EF6EA7"/>
    <w:rsid w:val="14027543"/>
    <w:rsid w:val="143040B0"/>
    <w:rsid w:val="144B3255"/>
    <w:rsid w:val="14720225"/>
    <w:rsid w:val="14726397"/>
    <w:rsid w:val="14847F58"/>
    <w:rsid w:val="14857DA1"/>
    <w:rsid w:val="149E54BE"/>
    <w:rsid w:val="14AD5701"/>
    <w:rsid w:val="14BA7E1E"/>
    <w:rsid w:val="14ED3D4F"/>
    <w:rsid w:val="14F11A91"/>
    <w:rsid w:val="14FD48D3"/>
    <w:rsid w:val="15017452"/>
    <w:rsid w:val="151B6B0E"/>
    <w:rsid w:val="155E3DAC"/>
    <w:rsid w:val="169048C6"/>
    <w:rsid w:val="169E44A6"/>
    <w:rsid w:val="16AC7F60"/>
    <w:rsid w:val="16B7206D"/>
    <w:rsid w:val="16DF2374"/>
    <w:rsid w:val="16E318AE"/>
    <w:rsid w:val="1706559C"/>
    <w:rsid w:val="172D2B29"/>
    <w:rsid w:val="17516817"/>
    <w:rsid w:val="17910D8D"/>
    <w:rsid w:val="179A7FB4"/>
    <w:rsid w:val="17A728DB"/>
    <w:rsid w:val="17C43DD0"/>
    <w:rsid w:val="17CC4CEA"/>
    <w:rsid w:val="18477C1A"/>
    <w:rsid w:val="18716994"/>
    <w:rsid w:val="18753A1D"/>
    <w:rsid w:val="18A8170A"/>
    <w:rsid w:val="18BD1C8B"/>
    <w:rsid w:val="18C65AF5"/>
    <w:rsid w:val="18D05E62"/>
    <w:rsid w:val="18DC497C"/>
    <w:rsid w:val="190B1ADE"/>
    <w:rsid w:val="1921046B"/>
    <w:rsid w:val="19436634"/>
    <w:rsid w:val="1957007A"/>
    <w:rsid w:val="19C83604"/>
    <w:rsid w:val="19D61256"/>
    <w:rsid w:val="1A5C75B8"/>
    <w:rsid w:val="1A903AFB"/>
    <w:rsid w:val="1A9441C4"/>
    <w:rsid w:val="1A951FBB"/>
    <w:rsid w:val="1A952EBF"/>
    <w:rsid w:val="1A976C37"/>
    <w:rsid w:val="1AD01845"/>
    <w:rsid w:val="1AD339E7"/>
    <w:rsid w:val="1B486183"/>
    <w:rsid w:val="1B4A1EFB"/>
    <w:rsid w:val="1B815BEA"/>
    <w:rsid w:val="1BC577D4"/>
    <w:rsid w:val="1C35495A"/>
    <w:rsid w:val="1C365BA0"/>
    <w:rsid w:val="1C381D54"/>
    <w:rsid w:val="1C47643B"/>
    <w:rsid w:val="1C6D66F8"/>
    <w:rsid w:val="1C7F7983"/>
    <w:rsid w:val="1CB174D9"/>
    <w:rsid w:val="1CC4564C"/>
    <w:rsid w:val="1CED401B"/>
    <w:rsid w:val="1D216C8C"/>
    <w:rsid w:val="1D484219"/>
    <w:rsid w:val="1DA867CF"/>
    <w:rsid w:val="1DC064A5"/>
    <w:rsid w:val="1DDC2BB3"/>
    <w:rsid w:val="1DED4DC0"/>
    <w:rsid w:val="1E087E4C"/>
    <w:rsid w:val="1E185F0A"/>
    <w:rsid w:val="1E4638B9"/>
    <w:rsid w:val="1E480248"/>
    <w:rsid w:val="1E7051C7"/>
    <w:rsid w:val="1E7E1EBC"/>
    <w:rsid w:val="1E9D0594"/>
    <w:rsid w:val="1EAA4A5F"/>
    <w:rsid w:val="1EB72AEB"/>
    <w:rsid w:val="1EB83620"/>
    <w:rsid w:val="1EC5130A"/>
    <w:rsid w:val="1ED609F7"/>
    <w:rsid w:val="1EE461C3"/>
    <w:rsid w:val="1F0C1276"/>
    <w:rsid w:val="1F164100"/>
    <w:rsid w:val="1F494278"/>
    <w:rsid w:val="1F4E5D32"/>
    <w:rsid w:val="1F666BD8"/>
    <w:rsid w:val="1F8A2775"/>
    <w:rsid w:val="1F973235"/>
    <w:rsid w:val="1FAA740D"/>
    <w:rsid w:val="1FD9384E"/>
    <w:rsid w:val="20261B51"/>
    <w:rsid w:val="20361B94"/>
    <w:rsid w:val="207D5D6C"/>
    <w:rsid w:val="209459C7"/>
    <w:rsid w:val="20981796"/>
    <w:rsid w:val="20AF45AF"/>
    <w:rsid w:val="20BE47F2"/>
    <w:rsid w:val="211A5ECC"/>
    <w:rsid w:val="21461202"/>
    <w:rsid w:val="216655B5"/>
    <w:rsid w:val="216E26D1"/>
    <w:rsid w:val="21A32365"/>
    <w:rsid w:val="21CE6CB6"/>
    <w:rsid w:val="21E533F6"/>
    <w:rsid w:val="21FA5CFD"/>
    <w:rsid w:val="22005268"/>
    <w:rsid w:val="22160D89"/>
    <w:rsid w:val="22447AB7"/>
    <w:rsid w:val="224D7A95"/>
    <w:rsid w:val="225C610B"/>
    <w:rsid w:val="2273247E"/>
    <w:rsid w:val="22795622"/>
    <w:rsid w:val="22BB36DF"/>
    <w:rsid w:val="22CE3412"/>
    <w:rsid w:val="22E36792"/>
    <w:rsid w:val="22ED3A86"/>
    <w:rsid w:val="22EF3388"/>
    <w:rsid w:val="23037246"/>
    <w:rsid w:val="230735DE"/>
    <w:rsid w:val="23166B67"/>
    <w:rsid w:val="23307C29"/>
    <w:rsid w:val="233D3D5B"/>
    <w:rsid w:val="23983A20"/>
    <w:rsid w:val="23A67EEB"/>
    <w:rsid w:val="23C30A9D"/>
    <w:rsid w:val="23F24DBD"/>
    <w:rsid w:val="24147014"/>
    <w:rsid w:val="24190A5E"/>
    <w:rsid w:val="242D4168"/>
    <w:rsid w:val="246B5982"/>
    <w:rsid w:val="24725622"/>
    <w:rsid w:val="247635B5"/>
    <w:rsid w:val="24A81A41"/>
    <w:rsid w:val="24BB22A5"/>
    <w:rsid w:val="25035EB8"/>
    <w:rsid w:val="25302162"/>
    <w:rsid w:val="254F010E"/>
    <w:rsid w:val="255B4D05"/>
    <w:rsid w:val="25714529"/>
    <w:rsid w:val="259A582D"/>
    <w:rsid w:val="259E4E53"/>
    <w:rsid w:val="25C8440B"/>
    <w:rsid w:val="25ED1E01"/>
    <w:rsid w:val="25F76F6E"/>
    <w:rsid w:val="26282E39"/>
    <w:rsid w:val="262A4E03"/>
    <w:rsid w:val="266F6CBA"/>
    <w:rsid w:val="267869B5"/>
    <w:rsid w:val="26923FD2"/>
    <w:rsid w:val="26937225"/>
    <w:rsid w:val="26A10E3D"/>
    <w:rsid w:val="27367680"/>
    <w:rsid w:val="274E2D73"/>
    <w:rsid w:val="27537BDE"/>
    <w:rsid w:val="275B2D9A"/>
    <w:rsid w:val="27834769"/>
    <w:rsid w:val="278440C7"/>
    <w:rsid w:val="279E69CF"/>
    <w:rsid w:val="27B50439"/>
    <w:rsid w:val="27C272BD"/>
    <w:rsid w:val="27ED45CA"/>
    <w:rsid w:val="284A3BAE"/>
    <w:rsid w:val="285B7E69"/>
    <w:rsid w:val="285D0A72"/>
    <w:rsid w:val="287C121A"/>
    <w:rsid w:val="288F6E77"/>
    <w:rsid w:val="28D04BA3"/>
    <w:rsid w:val="28D70B46"/>
    <w:rsid w:val="28EF67CA"/>
    <w:rsid w:val="28FA4C81"/>
    <w:rsid w:val="298567F4"/>
    <w:rsid w:val="29936842"/>
    <w:rsid w:val="29DA08EE"/>
    <w:rsid w:val="2A3443AE"/>
    <w:rsid w:val="2A801885"/>
    <w:rsid w:val="2A816FBC"/>
    <w:rsid w:val="2A9272C5"/>
    <w:rsid w:val="2AAD766E"/>
    <w:rsid w:val="2ABA68CB"/>
    <w:rsid w:val="2ADA57C6"/>
    <w:rsid w:val="2AFC6BF4"/>
    <w:rsid w:val="2B2B6F28"/>
    <w:rsid w:val="2B610D51"/>
    <w:rsid w:val="2B7D59D5"/>
    <w:rsid w:val="2B8A5870"/>
    <w:rsid w:val="2BAE0B66"/>
    <w:rsid w:val="2BD80E5D"/>
    <w:rsid w:val="2C1B6F9C"/>
    <w:rsid w:val="2C240664"/>
    <w:rsid w:val="2C3A67D4"/>
    <w:rsid w:val="2C4B7881"/>
    <w:rsid w:val="2C714E0E"/>
    <w:rsid w:val="2C8346DD"/>
    <w:rsid w:val="2C936DDA"/>
    <w:rsid w:val="2C9446D6"/>
    <w:rsid w:val="2DA60AE7"/>
    <w:rsid w:val="2DD438A6"/>
    <w:rsid w:val="2DED6F03"/>
    <w:rsid w:val="2E2C723F"/>
    <w:rsid w:val="2E2E745B"/>
    <w:rsid w:val="2E4D70A5"/>
    <w:rsid w:val="2E555DDB"/>
    <w:rsid w:val="2E5D1AEE"/>
    <w:rsid w:val="2E5F4766"/>
    <w:rsid w:val="2E823302"/>
    <w:rsid w:val="2E8452CD"/>
    <w:rsid w:val="2E9923B3"/>
    <w:rsid w:val="2EDA4EED"/>
    <w:rsid w:val="2EDF0755"/>
    <w:rsid w:val="2EED4C20"/>
    <w:rsid w:val="2F3C7955"/>
    <w:rsid w:val="2F6F6681"/>
    <w:rsid w:val="2F7075FF"/>
    <w:rsid w:val="2F7C6285"/>
    <w:rsid w:val="2FAC4236"/>
    <w:rsid w:val="2FC71915"/>
    <w:rsid w:val="2FF87D20"/>
    <w:rsid w:val="2FFD70E5"/>
    <w:rsid w:val="30202DD3"/>
    <w:rsid w:val="303E0AC2"/>
    <w:rsid w:val="304A7E50"/>
    <w:rsid w:val="307E37F0"/>
    <w:rsid w:val="30885608"/>
    <w:rsid w:val="30A52836"/>
    <w:rsid w:val="30C1096A"/>
    <w:rsid w:val="30ED387E"/>
    <w:rsid w:val="30FD3114"/>
    <w:rsid w:val="313E0AA9"/>
    <w:rsid w:val="314037D6"/>
    <w:rsid w:val="31464ABB"/>
    <w:rsid w:val="31480833"/>
    <w:rsid w:val="31592805"/>
    <w:rsid w:val="3179279B"/>
    <w:rsid w:val="31983220"/>
    <w:rsid w:val="319C46DB"/>
    <w:rsid w:val="31CF5FF3"/>
    <w:rsid w:val="31D64091"/>
    <w:rsid w:val="31F41E8F"/>
    <w:rsid w:val="31F64DF4"/>
    <w:rsid w:val="3253123E"/>
    <w:rsid w:val="32654C1F"/>
    <w:rsid w:val="32A61E4B"/>
    <w:rsid w:val="32C40736"/>
    <w:rsid w:val="32CA1513"/>
    <w:rsid w:val="32F93204"/>
    <w:rsid w:val="32FE490C"/>
    <w:rsid w:val="330C33F3"/>
    <w:rsid w:val="33136C1F"/>
    <w:rsid w:val="331F55C4"/>
    <w:rsid w:val="332B3F69"/>
    <w:rsid w:val="334465AA"/>
    <w:rsid w:val="337C793D"/>
    <w:rsid w:val="339424C0"/>
    <w:rsid w:val="341B6FBB"/>
    <w:rsid w:val="34270BD4"/>
    <w:rsid w:val="34442671"/>
    <w:rsid w:val="346F6A70"/>
    <w:rsid w:val="34871673"/>
    <w:rsid w:val="34CF6B76"/>
    <w:rsid w:val="34D0301A"/>
    <w:rsid w:val="34D643A8"/>
    <w:rsid w:val="34EA6447"/>
    <w:rsid w:val="34EC3BCC"/>
    <w:rsid w:val="35103416"/>
    <w:rsid w:val="35AB1391"/>
    <w:rsid w:val="35E14DB3"/>
    <w:rsid w:val="361A6F25"/>
    <w:rsid w:val="361C5FF4"/>
    <w:rsid w:val="3627310D"/>
    <w:rsid w:val="363925D5"/>
    <w:rsid w:val="36590DED"/>
    <w:rsid w:val="366928B3"/>
    <w:rsid w:val="368E4CCF"/>
    <w:rsid w:val="36902B61"/>
    <w:rsid w:val="369D794B"/>
    <w:rsid w:val="36AE4022"/>
    <w:rsid w:val="36AF6C5F"/>
    <w:rsid w:val="36BE6EA2"/>
    <w:rsid w:val="36EF34FF"/>
    <w:rsid w:val="370B658B"/>
    <w:rsid w:val="37221CFB"/>
    <w:rsid w:val="372238D5"/>
    <w:rsid w:val="37620175"/>
    <w:rsid w:val="37AE0B5F"/>
    <w:rsid w:val="3801798E"/>
    <w:rsid w:val="38044D88"/>
    <w:rsid w:val="380A4A95"/>
    <w:rsid w:val="3857135C"/>
    <w:rsid w:val="389E342F"/>
    <w:rsid w:val="38B90269"/>
    <w:rsid w:val="38CF183A"/>
    <w:rsid w:val="38E946AA"/>
    <w:rsid w:val="39333B77"/>
    <w:rsid w:val="39737BE3"/>
    <w:rsid w:val="39822409"/>
    <w:rsid w:val="39897C3B"/>
    <w:rsid w:val="39C80763"/>
    <w:rsid w:val="39DC420F"/>
    <w:rsid w:val="39F5734E"/>
    <w:rsid w:val="3A0A0D7C"/>
    <w:rsid w:val="3A773F37"/>
    <w:rsid w:val="3A8B1791"/>
    <w:rsid w:val="3A920D71"/>
    <w:rsid w:val="3AA16523"/>
    <w:rsid w:val="3AD16020"/>
    <w:rsid w:val="3B07350D"/>
    <w:rsid w:val="3B145DD6"/>
    <w:rsid w:val="3B196D9D"/>
    <w:rsid w:val="3B28560F"/>
    <w:rsid w:val="3B3D498A"/>
    <w:rsid w:val="3B4C6675"/>
    <w:rsid w:val="3B6C511E"/>
    <w:rsid w:val="3B8033E1"/>
    <w:rsid w:val="3BC75B83"/>
    <w:rsid w:val="3BCB0097"/>
    <w:rsid w:val="3BDA652C"/>
    <w:rsid w:val="3BE623BC"/>
    <w:rsid w:val="3BF55114"/>
    <w:rsid w:val="3C3A521C"/>
    <w:rsid w:val="3C5E7B62"/>
    <w:rsid w:val="3C746980"/>
    <w:rsid w:val="3C857FF1"/>
    <w:rsid w:val="3C94492D"/>
    <w:rsid w:val="3CCF1E09"/>
    <w:rsid w:val="3CD70CBD"/>
    <w:rsid w:val="3CE968BC"/>
    <w:rsid w:val="3D17424B"/>
    <w:rsid w:val="3D757B8D"/>
    <w:rsid w:val="3D8A6981"/>
    <w:rsid w:val="3D997B79"/>
    <w:rsid w:val="3D9A2417"/>
    <w:rsid w:val="3DB159B2"/>
    <w:rsid w:val="3DBE6FB6"/>
    <w:rsid w:val="3DD1395F"/>
    <w:rsid w:val="3DE73A23"/>
    <w:rsid w:val="3DE825E4"/>
    <w:rsid w:val="3DFA453C"/>
    <w:rsid w:val="3E0E3F70"/>
    <w:rsid w:val="3E432FF6"/>
    <w:rsid w:val="3E470969"/>
    <w:rsid w:val="3E5C147A"/>
    <w:rsid w:val="3E647F8A"/>
    <w:rsid w:val="3E726EF0"/>
    <w:rsid w:val="3EE17BD1"/>
    <w:rsid w:val="3F1C6E5B"/>
    <w:rsid w:val="3F4050D9"/>
    <w:rsid w:val="3FA53259"/>
    <w:rsid w:val="3FB05F21"/>
    <w:rsid w:val="3FED5056"/>
    <w:rsid w:val="40077B0C"/>
    <w:rsid w:val="40330901"/>
    <w:rsid w:val="407056B1"/>
    <w:rsid w:val="40815C3F"/>
    <w:rsid w:val="40817376"/>
    <w:rsid w:val="40BE641C"/>
    <w:rsid w:val="40D043A1"/>
    <w:rsid w:val="40D93256"/>
    <w:rsid w:val="40E9779F"/>
    <w:rsid w:val="40ED01DD"/>
    <w:rsid w:val="40FD4609"/>
    <w:rsid w:val="41160006"/>
    <w:rsid w:val="41265C6A"/>
    <w:rsid w:val="412A2779"/>
    <w:rsid w:val="41517290"/>
    <w:rsid w:val="418F7DB9"/>
    <w:rsid w:val="41970A1B"/>
    <w:rsid w:val="41DE12A5"/>
    <w:rsid w:val="41FE1A94"/>
    <w:rsid w:val="420F7875"/>
    <w:rsid w:val="42275059"/>
    <w:rsid w:val="423A41C8"/>
    <w:rsid w:val="42537038"/>
    <w:rsid w:val="42794574"/>
    <w:rsid w:val="42CD0B98"/>
    <w:rsid w:val="43036368"/>
    <w:rsid w:val="43124F59"/>
    <w:rsid w:val="432804C5"/>
    <w:rsid w:val="43AD2778"/>
    <w:rsid w:val="43D86936"/>
    <w:rsid w:val="44315157"/>
    <w:rsid w:val="443A225E"/>
    <w:rsid w:val="44687ECD"/>
    <w:rsid w:val="446E021C"/>
    <w:rsid w:val="44A54F08"/>
    <w:rsid w:val="44C45FCB"/>
    <w:rsid w:val="44F02BE4"/>
    <w:rsid w:val="44F22B38"/>
    <w:rsid w:val="452C2CDF"/>
    <w:rsid w:val="452F1F56"/>
    <w:rsid w:val="45637C6F"/>
    <w:rsid w:val="4565330A"/>
    <w:rsid w:val="45BB5620"/>
    <w:rsid w:val="45C1250B"/>
    <w:rsid w:val="45C515FE"/>
    <w:rsid w:val="45E35E71"/>
    <w:rsid w:val="460F5CE8"/>
    <w:rsid w:val="46333BF5"/>
    <w:rsid w:val="464C78F3"/>
    <w:rsid w:val="4654512D"/>
    <w:rsid w:val="466E61EE"/>
    <w:rsid w:val="47171ECF"/>
    <w:rsid w:val="473A2575"/>
    <w:rsid w:val="47446077"/>
    <w:rsid w:val="47486A40"/>
    <w:rsid w:val="47694CAD"/>
    <w:rsid w:val="4793717B"/>
    <w:rsid w:val="47A103D5"/>
    <w:rsid w:val="47A520E4"/>
    <w:rsid w:val="47BA5463"/>
    <w:rsid w:val="47F646ED"/>
    <w:rsid w:val="47FE35A2"/>
    <w:rsid w:val="482E032B"/>
    <w:rsid w:val="484111F0"/>
    <w:rsid w:val="48422CAA"/>
    <w:rsid w:val="485E04E5"/>
    <w:rsid w:val="48626A2A"/>
    <w:rsid w:val="488620DE"/>
    <w:rsid w:val="48A64365"/>
    <w:rsid w:val="48C37541"/>
    <w:rsid w:val="49374FBE"/>
    <w:rsid w:val="49491156"/>
    <w:rsid w:val="49620A21"/>
    <w:rsid w:val="49C63CB5"/>
    <w:rsid w:val="4A0D3F70"/>
    <w:rsid w:val="4A0F1A96"/>
    <w:rsid w:val="4A34774F"/>
    <w:rsid w:val="4A3F11E7"/>
    <w:rsid w:val="4A431740"/>
    <w:rsid w:val="4A6F7E85"/>
    <w:rsid w:val="4AA35E39"/>
    <w:rsid w:val="4AD666AF"/>
    <w:rsid w:val="4AEC1DD8"/>
    <w:rsid w:val="4B3F2946"/>
    <w:rsid w:val="4B4A723A"/>
    <w:rsid w:val="4B55797D"/>
    <w:rsid w:val="4BBD2A15"/>
    <w:rsid w:val="4BF82656"/>
    <w:rsid w:val="4BFA22D2"/>
    <w:rsid w:val="4C013661"/>
    <w:rsid w:val="4C1C66ED"/>
    <w:rsid w:val="4C252331"/>
    <w:rsid w:val="4C9B3AB5"/>
    <w:rsid w:val="4C9F5ED2"/>
    <w:rsid w:val="4CAC5CC3"/>
    <w:rsid w:val="4D007DBC"/>
    <w:rsid w:val="4D0E24D9"/>
    <w:rsid w:val="4D106251"/>
    <w:rsid w:val="4D2910C1"/>
    <w:rsid w:val="4D537CDA"/>
    <w:rsid w:val="4DA150FB"/>
    <w:rsid w:val="4DB12E65"/>
    <w:rsid w:val="4DC66293"/>
    <w:rsid w:val="4DDB1658"/>
    <w:rsid w:val="4DF87413"/>
    <w:rsid w:val="4E8642F1"/>
    <w:rsid w:val="4ECD1F20"/>
    <w:rsid w:val="4EEF32A8"/>
    <w:rsid w:val="4F057E34"/>
    <w:rsid w:val="4F501116"/>
    <w:rsid w:val="4F5A1A06"/>
    <w:rsid w:val="4F777BEA"/>
    <w:rsid w:val="505D7A63"/>
    <w:rsid w:val="505F4DFA"/>
    <w:rsid w:val="507D0E09"/>
    <w:rsid w:val="50B93349"/>
    <w:rsid w:val="50C64E79"/>
    <w:rsid w:val="50E07940"/>
    <w:rsid w:val="50E21CB3"/>
    <w:rsid w:val="510A2FB8"/>
    <w:rsid w:val="5136545E"/>
    <w:rsid w:val="515B2312"/>
    <w:rsid w:val="51E35FFB"/>
    <w:rsid w:val="51F964E8"/>
    <w:rsid w:val="5209326F"/>
    <w:rsid w:val="521A547C"/>
    <w:rsid w:val="522B1438"/>
    <w:rsid w:val="525E35BB"/>
    <w:rsid w:val="527903F5"/>
    <w:rsid w:val="531445C2"/>
    <w:rsid w:val="53220A8C"/>
    <w:rsid w:val="5334607A"/>
    <w:rsid w:val="533C1E97"/>
    <w:rsid w:val="534722A1"/>
    <w:rsid w:val="53487DC7"/>
    <w:rsid w:val="53642E53"/>
    <w:rsid w:val="538A26CA"/>
    <w:rsid w:val="53A56FC8"/>
    <w:rsid w:val="53BA6F17"/>
    <w:rsid w:val="53D61877"/>
    <w:rsid w:val="53DD0E57"/>
    <w:rsid w:val="53FF0F4C"/>
    <w:rsid w:val="54115FFB"/>
    <w:rsid w:val="54324CFF"/>
    <w:rsid w:val="54381264"/>
    <w:rsid w:val="54776400"/>
    <w:rsid w:val="549A6BC3"/>
    <w:rsid w:val="54EB1352"/>
    <w:rsid w:val="54F90042"/>
    <w:rsid w:val="55760C1C"/>
    <w:rsid w:val="55B71961"/>
    <w:rsid w:val="55D32878"/>
    <w:rsid w:val="55EC5382"/>
    <w:rsid w:val="55FC3817"/>
    <w:rsid w:val="56666EE2"/>
    <w:rsid w:val="567F61F6"/>
    <w:rsid w:val="56BE0ACC"/>
    <w:rsid w:val="56CD6F61"/>
    <w:rsid w:val="56D06A51"/>
    <w:rsid w:val="56D11E55"/>
    <w:rsid w:val="56D77DE0"/>
    <w:rsid w:val="56DD6A32"/>
    <w:rsid w:val="57154464"/>
    <w:rsid w:val="572E6CA7"/>
    <w:rsid w:val="57555489"/>
    <w:rsid w:val="57580244"/>
    <w:rsid w:val="57947A7F"/>
    <w:rsid w:val="58711B6E"/>
    <w:rsid w:val="58CB5722"/>
    <w:rsid w:val="59407D32"/>
    <w:rsid w:val="594554D5"/>
    <w:rsid w:val="59594ADC"/>
    <w:rsid w:val="59A26483"/>
    <w:rsid w:val="59BB7545"/>
    <w:rsid w:val="59EF5441"/>
    <w:rsid w:val="59FE7432"/>
    <w:rsid w:val="5A07278A"/>
    <w:rsid w:val="5A1804F3"/>
    <w:rsid w:val="5A3A2B60"/>
    <w:rsid w:val="5A50779D"/>
    <w:rsid w:val="5A5920C0"/>
    <w:rsid w:val="5A847BB1"/>
    <w:rsid w:val="5A9A1850"/>
    <w:rsid w:val="5AB73756"/>
    <w:rsid w:val="5AC62645"/>
    <w:rsid w:val="5AC73CC7"/>
    <w:rsid w:val="5ACD780A"/>
    <w:rsid w:val="5AD740A4"/>
    <w:rsid w:val="5B0B0058"/>
    <w:rsid w:val="5B1909C7"/>
    <w:rsid w:val="5B411CCC"/>
    <w:rsid w:val="5BD31449"/>
    <w:rsid w:val="5BD90554"/>
    <w:rsid w:val="5C043425"/>
    <w:rsid w:val="5C0F1DCA"/>
    <w:rsid w:val="5C20033C"/>
    <w:rsid w:val="5C3971AB"/>
    <w:rsid w:val="5C841E70"/>
    <w:rsid w:val="5C877BB2"/>
    <w:rsid w:val="5C983B6D"/>
    <w:rsid w:val="5CBA1D36"/>
    <w:rsid w:val="5CD61853"/>
    <w:rsid w:val="5CF05758"/>
    <w:rsid w:val="5D665A1A"/>
    <w:rsid w:val="5DB449D7"/>
    <w:rsid w:val="5DE7453D"/>
    <w:rsid w:val="5DF44BCD"/>
    <w:rsid w:val="5E225A2C"/>
    <w:rsid w:val="5E2D4789"/>
    <w:rsid w:val="5E3818C6"/>
    <w:rsid w:val="5E8315C9"/>
    <w:rsid w:val="5E8720EC"/>
    <w:rsid w:val="5EAC1B52"/>
    <w:rsid w:val="5EFE30E2"/>
    <w:rsid w:val="5F326791"/>
    <w:rsid w:val="5FA8056B"/>
    <w:rsid w:val="5FB50936"/>
    <w:rsid w:val="5FEF7F48"/>
    <w:rsid w:val="5FF67D5C"/>
    <w:rsid w:val="60071D41"/>
    <w:rsid w:val="60073FFE"/>
    <w:rsid w:val="60082DB8"/>
    <w:rsid w:val="601E438A"/>
    <w:rsid w:val="602C4CF9"/>
    <w:rsid w:val="604A5AD5"/>
    <w:rsid w:val="605207DE"/>
    <w:rsid w:val="60612708"/>
    <w:rsid w:val="60930B64"/>
    <w:rsid w:val="60A971FB"/>
    <w:rsid w:val="60C66201"/>
    <w:rsid w:val="60CC2038"/>
    <w:rsid w:val="60FF240D"/>
    <w:rsid w:val="611761CB"/>
    <w:rsid w:val="61371BA7"/>
    <w:rsid w:val="613B4863"/>
    <w:rsid w:val="613D2F35"/>
    <w:rsid w:val="61630BEE"/>
    <w:rsid w:val="6198016C"/>
    <w:rsid w:val="61AE19EB"/>
    <w:rsid w:val="61B34FA6"/>
    <w:rsid w:val="61BD7BD2"/>
    <w:rsid w:val="61F07FA8"/>
    <w:rsid w:val="62145A44"/>
    <w:rsid w:val="62246DE6"/>
    <w:rsid w:val="624436AB"/>
    <w:rsid w:val="62757F11"/>
    <w:rsid w:val="6280132C"/>
    <w:rsid w:val="62946B85"/>
    <w:rsid w:val="629E5C56"/>
    <w:rsid w:val="62AF234F"/>
    <w:rsid w:val="62B45562"/>
    <w:rsid w:val="62C872B6"/>
    <w:rsid w:val="62F5355F"/>
    <w:rsid w:val="636447A9"/>
    <w:rsid w:val="636634D8"/>
    <w:rsid w:val="638C5AAE"/>
    <w:rsid w:val="63910A5A"/>
    <w:rsid w:val="639641A2"/>
    <w:rsid w:val="63F0603D"/>
    <w:rsid w:val="64105324"/>
    <w:rsid w:val="642A77A1"/>
    <w:rsid w:val="642D54E3"/>
    <w:rsid w:val="64393E88"/>
    <w:rsid w:val="646005BF"/>
    <w:rsid w:val="64C62870"/>
    <w:rsid w:val="64DE3090"/>
    <w:rsid w:val="650D71B9"/>
    <w:rsid w:val="651D3868"/>
    <w:rsid w:val="65363F24"/>
    <w:rsid w:val="65481071"/>
    <w:rsid w:val="65495368"/>
    <w:rsid w:val="655A0520"/>
    <w:rsid w:val="655A5F1F"/>
    <w:rsid w:val="655C6080"/>
    <w:rsid w:val="65605444"/>
    <w:rsid w:val="6571289C"/>
    <w:rsid w:val="65885DDB"/>
    <w:rsid w:val="658C7FE7"/>
    <w:rsid w:val="659375C8"/>
    <w:rsid w:val="659438C5"/>
    <w:rsid w:val="659F41BF"/>
    <w:rsid w:val="664D7D8A"/>
    <w:rsid w:val="668D2269"/>
    <w:rsid w:val="66C45CD1"/>
    <w:rsid w:val="671D35ED"/>
    <w:rsid w:val="67863587"/>
    <w:rsid w:val="679F04A6"/>
    <w:rsid w:val="67A02450"/>
    <w:rsid w:val="67A21B13"/>
    <w:rsid w:val="67C1568D"/>
    <w:rsid w:val="67D22629"/>
    <w:rsid w:val="67D6069A"/>
    <w:rsid w:val="6804655B"/>
    <w:rsid w:val="68112A26"/>
    <w:rsid w:val="6816466F"/>
    <w:rsid w:val="68262975"/>
    <w:rsid w:val="689A102C"/>
    <w:rsid w:val="689C0FA2"/>
    <w:rsid w:val="68BE1872"/>
    <w:rsid w:val="68D0643D"/>
    <w:rsid w:val="68ED5241"/>
    <w:rsid w:val="695C2BDF"/>
    <w:rsid w:val="69644728"/>
    <w:rsid w:val="6966327F"/>
    <w:rsid w:val="6973226A"/>
    <w:rsid w:val="69972FAF"/>
    <w:rsid w:val="69A73642"/>
    <w:rsid w:val="69AB1384"/>
    <w:rsid w:val="69B557D7"/>
    <w:rsid w:val="6A022AE0"/>
    <w:rsid w:val="6A0740E0"/>
    <w:rsid w:val="6A1231B1"/>
    <w:rsid w:val="6A4B221F"/>
    <w:rsid w:val="6A5E7759"/>
    <w:rsid w:val="6A973B9A"/>
    <w:rsid w:val="6A9A2A75"/>
    <w:rsid w:val="6AF31EC5"/>
    <w:rsid w:val="6B014FD4"/>
    <w:rsid w:val="6B2B444B"/>
    <w:rsid w:val="6B4A21B7"/>
    <w:rsid w:val="6B5A0A5A"/>
    <w:rsid w:val="6B826114"/>
    <w:rsid w:val="6B925922"/>
    <w:rsid w:val="6B96396E"/>
    <w:rsid w:val="6BA440FC"/>
    <w:rsid w:val="6BE566A3"/>
    <w:rsid w:val="6BF40694"/>
    <w:rsid w:val="6C0E79A8"/>
    <w:rsid w:val="6C3C2CA5"/>
    <w:rsid w:val="6C620B69"/>
    <w:rsid w:val="6C850385"/>
    <w:rsid w:val="6CAC766A"/>
    <w:rsid w:val="6CD815B8"/>
    <w:rsid w:val="6CDB1F80"/>
    <w:rsid w:val="6CEE4B13"/>
    <w:rsid w:val="6D1234C8"/>
    <w:rsid w:val="6D5B6C1D"/>
    <w:rsid w:val="6D7952F5"/>
    <w:rsid w:val="6DBA02B8"/>
    <w:rsid w:val="6DC742B3"/>
    <w:rsid w:val="6DDD3AD6"/>
    <w:rsid w:val="6DED035C"/>
    <w:rsid w:val="6DF15609"/>
    <w:rsid w:val="6E0D53F9"/>
    <w:rsid w:val="6E1C2FD8"/>
    <w:rsid w:val="6E2D397D"/>
    <w:rsid w:val="6E417566"/>
    <w:rsid w:val="6E600263"/>
    <w:rsid w:val="6E6C53FE"/>
    <w:rsid w:val="6E9323E7"/>
    <w:rsid w:val="6EB365E5"/>
    <w:rsid w:val="6EBF1029"/>
    <w:rsid w:val="6EE40E94"/>
    <w:rsid w:val="6EFC61DE"/>
    <w:rsid w:val="6F0C70B7"/>
    <w:rsid w:val="6F265731"/>
    <w:rsid w:val="6F451933"/>
    <w:rsid w:val="6F4638FD"/>
    <w:rsid w:val="6F59781A"/>
    <w:rsid w:val="6F667AFB"/>
    <w:rsid w:val="6F751A24"/>
    <w:rsid w:val="6F753110"/>
    <w:rsid w:val="6F8D5088"/>
    <w:rsid w:val="70017544"/>
    <w:rsid w:val="70091F23"/>
    <w:rsid w:val="70147557"/>
    <w:rsid w:val="70236308"/>
    <w:rsid w:val="70456247"/>
    <w:rsid w:val="70462C40"/>
    <w:rsid w:val="70C44AD9"/>
    <w:rsid w:val="71896B48"/>
    <w:rsid w:val="71A36B3E"/>
    <w:rsid w:val="71B14A32"/>
    <w:rsid w:val="71B8416D"/>
    <w:rsid w:val="71ED7FE4"/>
    <w:rsid w:val="71F72C8D"/>
    <w:rsid w:val="721369B0"/>
    <w:rsid w:val="726D700A"/>
    <w:rsid w:val="727A7B45"/>
    <w:rsid w:val="727E48DC"/>
    <w:rsid w:val="72AE1645"/>
    <w:rsid w:val="72C62D8B"/>
    <w:rsid w:val="730C2768"/>
    <w:rsid w:val="73123D56"/>
    <w:rsid w:val="731E6FCD"/>
    <w:rsid w:val="73223D39"/>
    <w:rsid w:val="734C6418"/>
    <w:rsid w:val="73511981"/>
    <w:rsid w:val="73A104E6"/>
    <w:rsid w:val="73D2750D"/>
    <w:rsid w:val="744867BC"/>
    <w:rsid w:val="746F4A04"/>
    <w:rsid w:val="74E55790"/>
    <w:rsid w:val="751853F4"/>
    <w:rsid w:val="755C1784"/>
    <w:rsid w:val="75734D20"/>
    <w:rsid w:val="75A66EA3"/>
    <w:rsid w:val="76215F9C"/>
    <w:rsid w:val="762F3B18"/>
    <w:rsid w:val="763532DA"/>
    <w:rsid w:val="7645151F"/>
    <w:rsid w:val="76880357"/>
    <w:rsid w:val="77084735"/>
    <w:rsid w:val="770E2F52"/>
    <w:rsid w:val="770E550B"/>
    <w:rsid w:val="771F6F0D"/>
    <w:rsid w:val="77505319"/>
    <w:rsid w:val="776D5884"/>
    <w:rsid w:val="77704E1F"/>
    <w:rsid w:val="77A70C5A"/>
    <w:rsid w:val="77AD3E71"/>
    <w:rsid w:val="77E03367"/>
    <w:rsid w:val="781E45F4"/>
    <w:rsid w:val="782D7408"/>
    <w:rsid w:val="788E1BA1"/>
    <w:rsid w:val="789E3A1F"/>
    <w:rsid w:val="78B96EEE"/>
    <w:rsid w:val="78DC7617"/>
    <w:rsid w:val="79167E9C"/>
    <w:rsid w:val="792E3F95"/>
    <w:rsid w:val="794013BD"/>
    <w:rsid w:val="795D525C"/>
    <w:rsid w:val="79786DA9"/>
    <w:rsid w:val="798B0BF5"/>
    <w:rsid w:val="79C922CD"/>
    <w:rsid w:val="79CE69C9"/>
    <w:rsid w:val="79E033A0"/>
    <w:rsid w:val="79E166FC"/>
    <w:rsid w:val="79FC3536"/>
    <w:rsid w:val="7A0B0395"/>
    <w:rsid w:val="7A146884"/>
    <w:rsid w:val="7A3A149A"/>
    <w:rsid w:val="7A6C4D78"/>
    <w:rsid w:val="7A94376E"/>
    <w:rsid w:val="7AA339B1"/>
    <w:rsid w:val="7ADD5115"/>
    <w:rsid w:val="7AF03C47"/>
    <w:rsid w:val="7B187EFC"/>
    <w:rsid w:val="7B5B603A"/>
    <w:rsid w:val="7B633ACC"/>
    <w:rsid w:val="7B7D2454"/>
    <w:rsid w:val="7BA06143"/>
    <w:rsid w:val="7BBD6CF5"/>
    <w:rsid w:val="7BC34613"/>
    <w:rsid w:val="7BF86EFA"/>
    <w:rsid w:val="7C093CE8"/>
    <w:rsid w:val="7C52568F"/>
    <w:rsid w:val="7C770B1E"/>
    <w:rsid w:val="7C9D162F"/>
    <w:rsid w:val="7CB2612E"/>
    <w:rsid w:val="7D11554A"/>
    <w:rsid w:val="7D3B6123"/>
    <w:rsid w:val="7D593F53"/>
    <w:rsid w:val="7D6B2F00"/>
    <w:rsid w:val="7D777879"/>
    <w:rsid w:val="7D7A6397"/>
    <w:rsid w:val="7D7F24B4"/>
    <w:rsid w:val="7D9D293A"/>
    <w:rsid w:val="7E05073C"/>
    <w:rsid w:val="7E215844"/>
    <w:rsid w:val="7E2B43EA"/>
    <w:rsid w:val="7E494870"/>
    <w:rsid w:val="7E58763C"/>
    <w:rsid w:val="7E656727"/>
    <w:rsid w:val="7E77762F"/>
    <w:rsid w:val="7EFE6417"/>
    <w:rsid w:val="7F323556"/>
    <w:rsid w:val="7F435148"/>
    <w:rsid w:val="7F6E0A32"/>
    <w:rsid w:val="7F713C31"/>
    <w:rsid w:val="7F7D6EC7"/>
    <w:rsid w:val="7F81705C"/>
    <w:rsid w:val="7F9B734D"/>
    <w:rsid w:val="DFF351C2"/>
    <w:rsid w:val="F7FDD4E8"/>
    <w:rsid w:val="FF5D49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jc w:val="center"/>
      <w:outlineLvl w:val="0"/>
    </w:pPr>
    <w:rPr>
      <w:rFonts w:ascii="黑体" w:eastAsia="黑体"/>
      <w:sz w:val="30"/>
      <w:szCs w:val="20"/>
    </w:rPr>
  </w:style>
  <w:style w:type="paragraph" w:styleId="4">
    <w:name w:val="heading 2"/>
    <w:basedOn w:val="1"/>
    <w:next w:val="1"/>
    <w:link w:val="133"/>
    <w:autoRedefine/>
    <w:qFormat/>
    <w:uiPriority w:val="0"/>
    <w:pPr>
      <w:keepNext/>
      <w:numPr>
        <w:ilvl w:val="0"/>
        <w:numId w:val="2"/>
      </w:numPr>
      <w:jc w:val="center"/>
      <w:outlineLvl w:val="1"/>
    </w:pPr>
    <w:rPr>
      <w:rFonts w:ascii="黑体" w:eastAsia="黑体"/>
      <w:color w:val="000000"/>
      <w:kern w:val="2"/>
      <w:sz w:val="28"/>
      <w:lang w:val="en-US" w:eastAsia="zh-CN" w:bidi="ar-SA"/>
    </w:rPr>
  </w:style>
  <w:style w:type="paragraph" w:styleId="5">
    <w:name w:val="heading 3"/>
    <w:basedOn w:val="1"/>
    <w:next w:val="1"/>
    <w:link w:val="138"/>
    <w:qFormat/>
    <w:uiPriority w:val="0"/>
    <w:pPr>
      <w:keepNext/>
      <w:numPr>
        <w:ilvl w:val="0"/>
        <w:numId w:val="3"/>
      </w:numPr>
      <w:jc w:val="center"/>
      <w:outlineLvl w:val="2"/>
    </w:pPr>
    <w:rPr>
      <w:rFonts w:ascii="黑体" w:eastAsia="黑体"/>
      <w:color w:val="000000"/>
      <w:kern w:val="2"/>
      <w:sz w:val="32"/>
      <w:lang w:val="en-US" w:eastAsia="zh-CN" w:bidi="ar-SA"/>
    </w:rPr>
  </w:style>
  <w:style w:type="paragraph" w:styleId="6">
    <w:name w:val="heading 4"/>
    <w:basedOn w:val="1"/>
    <w:next w:val="1"/>
    <w:link w:val="127"/>
    <w:qFormat/>
    <w:uiPriority w:val="0"/>
    <w:pPr>
      <w:keepNext/>
      <w:numPr>
        <w:ilvl w:val="0"/>
        <w:numId w:val="4"/>
      </w:numPr>
      <w:tabs>
        <w:tab w:val="clear" w:pos="720"/>
      </w:tabs>
      <w:autoSpaceDE w:val="0"/>
      <w:autoSpaceDN w:val="0"/>
      <w:adjustRightInd w:val="0"/>
      <w:jc w:val="center"/>
      <w:outlineLvl w:val="3"/>
    </w:pPr>
    <w:rPr>
      <w:rFonts w:ascii="方正姚体" w:eastAsia="方正姚体"/>
      <w:kern w:val="2"/>
      <w:sz w:val="36"/>
      <w:szCs w:val="32"/>
      <w:lang w:val="en-US" w:eastAsia="zh-CN" w:bidi="ar-SA"/>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link w:val="124"/>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sz w:val="24"/>
      <w:szCs w:val="24"/>
      <w:lang w:val="en-US" w:eastAsia="zh-CN" w:bidi="ar-SA"/>
    </w:rPr>
  </w:style>
  <w:style w:type="paragraph" w:styleId="9">
    <w:name w:val="heading 7"/>
    <w:basedOn w:val="1"/>
    <w:next w:val="1"/>
    <w:link w:val="137"/>
    <w:qFormat/>
    <w:uiPriority w:val="0"/>
    <w:pPr>
      <w:keepNext/>
      <w:keepLines/>
      <w:widowControl/>
      <w:tabs>
        <w:tab w:val="left" w:pos="2520"/>
      </w:tabs>
      <w:spacing w:before="240" w:after="64" w:line="320" w:lineRule="auto"/>
      <w:ind w:left="1296" w:hanging="1296"/>
      <w:jc w:val="left"/>
      <w:outlineLvl w:val="6"/>
    </w:pPr>
    <w:rPr>
      <w:rFonts w:eastAsia="宋体"/>
      <w:b/>
      <w:bCs/>
      <w:sz w:val="24"/>
      <w:szCs w:val="24"/>
      <w:lang w:val="en-US" w:eastAsia="zh-CN" w:bidi="ar-SA"/>
    </w:rPr>
  </w:style>
  <w:style w:type="paragraph" w:styleId="10">
    <w:name w:val="heading 8"/>
    <w:basedOn w:val="1"/>
    <w:next w:val="1"/>
    <w:link w:val="132"/>
    <w:qFormat/>
    <w:uiPriority w:val="0"/>
    <w:pPr>
      <w:keepNext/>
      <w:keepLines/>
      <w:widowControl/>
      <w:tabs>
        <w:tab w:val="left" w:pos="1440"/>
      </w:tabs>
      <w:spacing w:before="240" w:after="64" w:line="320" w:lineRule="auto"/>
      <w:ind w:left="1440" w:hanging="1440"/>
      <w:jc w:val="left"/>
      <w:outlineLvl w:val="7"/>
    </w:pPr>
    <w:rPr>
      <w:rFonts w:ascii="Arial" w:hAnsi="Arial" w:eastAsia="黑体"/>
      <w:sz w:val="24"/>
      <w:szCs w:val="24"/>
      <w:lang w:val="en-US" w:eastAsia="zh-CN" w:bidi="ar-SA"/>
    </w:rPr>
  </w:style>
  <w:style w:type="paragraph" w:styleId="11">
    <w:name w:val="heading 9"/>
    <w:basedOn w:val="1"/>
    <w:next w:val="1"/>
    <w:link w:val="13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sz w:val="21"/>
      <w:szCs w:val="21"/>
      <w:lang w:val="en-US" w:eastAsia="zh-CN" w:bidi="ar-SA"/>
    </w:rPr>
  </w:style>
  <w:style w:type="character" w:default="1" w:styleId="39">
    <w:name w:val="Default Paragraph Font"/>
    <w:qFormat/>
    <w:uiPriority w:val="0"/>
  </w:style>
  <w:style w:type="table" w:default="1" w:styleId="37">
    <w:name w:val="Normal Table"/>
    <w:qFormat/>
    <w:uiPriority w:val="0"/>
    <w:tblPr>
      <w:tblCellMar>
        <w:top w:w="0" w:type="dxa"/>
        <w:left w:w="108" w:type="dxa"/>
        <w:bottom w:w="0" w:type="dxa"/>
        <w:right w:w="108" w:type="dxa"/>
      </w:tblCellMar>
    </w:tblPr>
  </w:style>
  <w:style w:type="paragraph" w:styleId="2">
    <w:name w:val="Body Text"/>
    <w:basedOn w:val="1"/>
    <w:next w:val="1"/>
    <w:link w:val="122"/>
    <w:autoRedefine/>
    <w:qFormat/>
    <w:uiPriority w:val="0"/>
    <w:pPr>
      <w:ind w:right="-84" w:rightChars="-40"/>
      <w:jc w:val="center"/>
    </w:pPr>
    <w:rPr>
      <w:rFonts w:eastAsia="宋体"/>
      <w:kern w:val="2"/>
      <w:sz w:val="21"/>
      <w:szCs w:val="24"/>
      <w:lang w:val="en-US" w:eastAsia="zh-CN" w:bidi="ar-SA"/>
    </w:rPr>
  </w:style>
  <w:style w:type="paragraph" w:styleId="12">
    <w:name w:val="Normal Indent"/>
    <w:basedOn w:val="1"/>
    <w:qFormat/>
    <w:uiPriority w:val="0"/>
    <w:pPr>
      <w:ind w:firstLine="420"/>
    </w:pPr>
    <w:rPr>
      <w:szCs w:val="20"/>
    </w:rPr>
  </w:style>
  <w:style w:type="paragraph" w:styleId="13">
    <w:name w:val="Document Map"/>
    <w:basedOn w:val="1"/>
    <w:link w:val="119"/>
    <w:autoRedefine/>
    <w:qFormat/>
    <w:uiPriority w:val="0"/>
    <w:pPr>
      <w:shd w:val="clear" w:color="auto" w:fill="000080"/>
    </w:pPr>
    <w:rPr>
      <w:rFonts w:eastAsia="宋体"/>
      <w:kern w:val="2"/>
      <w:sz w:val="21"/>
      <w:szCs w:val="24"/>
      <w:lang w:val="en-US" w:eastAsia="zh-CN" w:bidi="ar-SA"/>
    </w:rPr>
  </w:style>
  <w:style w:type="paragraph" w:styleId="14">
    <w:name w:val="annotation text"/>
    <w:basedOn w:val="1"/>
    <w:link w:val="129"/>
    <w:qFormat/>
    <w:uiPriority w:val="0"/>
    <w:pPr>
      <w:jc w:val="left"/>
    </w:pPr>
    <w:rPr>
      <w:rFonts w:eastAsia="宋体"/>
      <w:kern w:val="2"/>
      <w:sz w:val="21"/>
      <w:szCs w:val="24"/>
      <w:lang w:val="en-US" w:eastAsia="zh-CN" w:bidi="ar-SA"/>
    </w:rPr>
  </w:style>
  <w:style w:type="paragraph" w:styleId="15">
    <w:name w:val="Body Text 3"/>
    <w:basedOn w:val="1"/>
    <w:link w:val="135"/>
    <w:qFormat/>
    <w:uiPriority w:val="0"/>
    <w:rPr>
      <w:rFonts w:ascii="宋体" w:eastAsia="宋体"/>
      <w:color w:val="000000"/>
      <w:kern w:val="2"/>
      <w:sz w:val="32"/>
      <w:lang w:val="en-US" w:eastAsia="zh-CN" w:bidi="ar-SA"/>
    </w:rPr>
  </w:style>
  <w:style w:type="paragraph" w:styleId="16">
    <w:name w:val="Body Text Indent"/>
    <w:basedOn w:val="1"/>
    <w:link w:val="134"/>
    <w:qFormat/>
    <w:uiPriority w:val="0"/>
    <w:pPr>
      <w:spacing w:line="360" w:lineRule="auto"/>
      <w:ind w:firstLine="480"/>
    </w:pPr>
    <w:rPr>
      <w:rFonts w:ascii="宋体" w:eastAsia="宋体"/>
      <w:kern w:val="2"/>
      <w:sz w:val="24"/>
      <w:szCs w:val="24"/>
      <w:lang w:val="en-US" w:eastAsia="zh-CN" w:bidi="ar-SA"/>
    </w:rPr>
  </w:style>
  <w:style w:type="paragraph" w:styleId="17">
    <w:name w:val="Block Text"/>
    <w:basedOn w:val="1"/>
    <w:autoRedefine/>
    <w:qFormat/>
    <w:uiPriority w:val="0"/>
    <w:pPr>
      <w:ind w:left="-78" w:leftChars="-37" w:right="-162" w:rightChars="-77" w:firstLine="78" w:firstLineChars="37"/>
      <w:jc w:val="center"/>
    </w:pPr>
    <w:rPr>
      <w:rFonts w:ascii="宋体" w:hAnsi="宋体"/>
      <w:szCs w:val="21"/>
    </w:rPr>
  </w:style>
  <w:style w:type="paragraph" w:styleId="18">
    <w:name w:val="toc 3"/>
    <w:basedOn w:val="1"/>
    <w:next w:val="1"/>
    <w:qFormat/>
    <w:uiPriority w:val="39"/>
    <w:pPr>
      <w:ind w:left="840" w:leftChars="400"/>
    </w:pPr>
  </w:style>
  <w:style w:type="paragraph" w:styleId="19">
    <w:name w:val="Plain Text"/>
    <w:basedOn w:val="1"/>
    <w:link w:val="139"/>
    <w:qFormat/>
    <w:uiPriority w:val="0"/>
    <w:rPr>
      <w:rFonts w:ascii="宋体" w:hAnsi="Courier New" w:eastAsia="宋体" w:cs="黑体"/>
      <w:sz w:val="21"/>
      <w:szCs w:val="21"/>
      <w:lang w:val="en-US" w:eastAsia="zh-CN" w:bidi="ar-SA"/>
    </w:rPr>
  </w:style>
  <w:style w:type="paragraph" w:styleId="20">
    <w:name w:val="Date"/>
    <w:basedOn w:val="1"/>
    <w:next w:val="1"/>
    <w:autoRedefine/>
    <w:qFormat/>
    <w:uiPriority w:val="0"/>
    <w:rPr>
      <w:szCs w:val="20"/>
    </w:rPr>
  </w:style>
  <w:style w:type="paragraph" w:styleId="21">
    <w:name w:val="Body Text Indent 2"/>
    <w:basedOn w:val="1"/>
    <w:autoRedefine/>
    <w:qFormat/>
    <w:uiPriority w:val="0"/>
    <w:pPr>
      <w:spacing w:line="360" w:lineRule="auto"/>
      <w:ind w:firstLine="480"/>
    </w:pPr>
    <w:rPr>
      <w:rFonts w:ascii="宋体" w:hAnsi="宋体"/>
      <w:szCs w:val="21"/>
    </w:rPr>
  </w:style>
  <w:style w:type="paragraph" w:styleId="22">
    <w:name w:val="endnote text"/>
    <w:basedOn w:val="1"/>
    <w:link w:val="125"/>
    <w:autoRedefine/>
    <w:qFormat/>
    <w:uiPriority w:val="0"/>
    <w:pPr>
      <w:snapToGrid w:val="0"/>
      <w:jc w:val="left"/>
    </w:pPr>
    <w:rPr>
      <w:rFonts w:eastAsia="宋体"/>
      <w:kern w:val="2"/>
      <w:sz w:val="21"/>
      <w:lang w:val="en-US" w:eastAsia="zh-CN" w:bidi="ar-SA"/>
    </w:rPr>
  </w:style>
  <w:style w:type="paragraph" w:styleId="23">
    <w:name w:val="Balloon Text"/>
    <w:basedOn w:val="1"/>
    <w:link w:val="126"/>
    <w:autoRedefine/>
    <w:qFormat/>
    <w:uiPriority w:val="0"/>
    <w:pPr>
      <w:numPr>
        <w:ilvl w:val="0"/>
        <w:numId w:val="5"/>
      </w:numPr>
      <w:tabs>
        <w:tab w:val="clear" w:pos="1005"/>
      </w:tabs>
      <w:ind w:left="0" w:firstLine="0"/>
    </w:pPr>
    <w:rPr>
      <w:rFonts w:eastAsia="宋体"/>
      <w:kern w:val="2"/>
      <w:sz w:val="18"/>
      <w:szCs w:val="18"/>
      <w:lang w:val="en-US" w:eastAsia="zh-CN" w:bidi="ar-SA"/>
    </w:rPr>
  </w:style>
  <w:style w:type="paragraph" w:styleId="24">
    <w:name w:val="footer"/>
    <w:basedOn w:val="1"/>
    <w:link w:val="140"/>
    <w:autoRedefine/>
    <w:qFormat/>
    <w:uiPriority w:val="99"/>
    <w:pPr>
      <w:tabs>
        <w:tab w:val="center" w:pos="4153"/>
        <w:tab w:val="right" w:pos="8306"/>
      </w:tabs>
      <w:snapToGrid w:val="0"/>
      <w:jc w:val="left"/>
    </w:pPr>
    <w:rPr>
      <w:rFonts w:eastAsia="宋体"/>
      <w:kern w:val="2"/>
      <w:sz w:val="18"/>
      <w:lang w:val="en-US" w:eastAsia="zh-CN" w:bidi="ar-SA"/>
    </w:rPr>
  </w:style>
  <w:style w:type="paragraph" w:styleId="25">
    <w:name w:val="header"/>
    <w:basedOn w:val="1"/>
    <w:link w:val="130"/>
    <w:autoRedefine/>
    <w:qFormat/>
    <w:uiPriority w:val="99"/>
    <w:pPr>
      <w:pBdr>
        <w:bottom w:val="single" w:color="auto" w:sz="6" w:space="1"/>
      </w:pBdr>
      <w:tabs>
        <w:tab w:val="center" w:pos="4153"/>
        <w:tab w:val="right" w:pos="8306"/>
      </w:tabs>
      <w:snapToGrid w:val="0"/>
      <w:jc w:val="center"/>
    </w:pPr>
    <w:rPr>
      <w:rFonts w:eastAsia="宋体"/>
      <w:kern w:val="2"/>
      <w:sz w:val="18"/>
      <w:szCs w:val="18"/>
      <w:lang w:val="en-US" w:eastAsia="zh-CN" w:bidi="ar-SA"/>
    </w:rPr>
  </w:style>
  <w:style w:type="paragraph" w:styleId="26">
    <w:name w:val="toc 1"/>
    <w:basedOn w:val="1"/>
    <w:next w:val="1"/>
    <w:autoRedefine/>
    <w:qFormat/>
    <w:uiPriority w:val="0"/>
    <w:pPr>
      <w:tabs>
        <w:tab w:val="right" w:leader="dot" w:pos="8280"/>
        <w:tab w:val="right" w:leader="dot" w:pos="9360"/>
      </w:tabs>
      <w:adjustRightInd w:val="0"/>
      <w:snapToGrid w:val="0"/>
      <w:spacing w:line="300" w:lineRule="auto"/>
      <w:ind w:firstLine="538" w:firstLineChars="192"/>
    </w:pPr>
    <w:rPr>
      <w:rFonts w:ascii="宋体" w:hAnsi="宋体"/>
      <w:bCs/>
      <w:sz w:val="28"/>
    </w:rPr>
  </w:style>
  <w:style w:type="paragraph" w:styleId="27">
    <w:name w:val="footnote text"/>
    <w:basedOn w:val="1"/>
    <w:link w:val="121"/>
    <w:autoRedefine/>
    <w:qFormat/>
    <w:uiPriority w:val="0"/>
    <w:pPr>
      <w:snapToGrid w:val="0"/>
      <w:jc w:val="left"/>
    </w:pPr>
    <w:rPr>
      <w:rFonts w:eastAsia="宋体"/>
      <w:kern w:val="2"/>
      <w:sz w:val="18"/>
      <w:lang w:val="en-US" w:eastAsia="zh-CN" w:bidi="ar-SA"/>
    </w:rPr>
  </w:style>
  <w:style w:type="paragraph" w:styleId="28">
    <w:name w:val="Body Text Indent 3"/>
    <w:basedOn w:val="1"/>
    <w:link w:val="120"/>
    <w:autoRedefine/>
    <w:qFormat/>
    <w:uiPriority w:val="0"/>
    <w:pPr>
      <w:spacing w:line="480" w:lineRule="exact"/>
      <w:ind w:firstLine="540" w:firstLineChars="257"/>
    </w:pPr>
    <w:rPr>
      <w:rFonts w:ascii="宋体" w:hAnsi="宋体" w:eastAsia="宋体"/>
      <w:kern w:val="2"/>
      <w:sz w:val="21"/>
      <w:szCs w:val="21"/>
      <w:lang w:val="en-US" w:eastAsia="zh-CN" w:bidi="ar-SA"/>
    </w:rPr>
  </w:style>
  <w:style w:type="paragraph" w:styleId="29">
    <w:name w:val="toc 2"/>
    <w:basedOn w:val="1"/>
    <w:next w:val="1"/>
    <w:autoRedefine/>
    <w:qFormat/>
    <w:uiPriority w:val="39"/>
    <w:pPr>
      <w:ind w:left="420" w:leftChars="200"/>
    </w:pPr>
  </w:style>
  <w:style w:type="paragraph" w:styleId="30">
    <w:name w:val="Body Text 2"/>
    <w:basedOn w:val="1"/>
    <w:link w:val="136"/>
    <w:autoRedefine/>
    <w:qFormat/>
    <w:uiPriority w:val="0"/>
    <w:rPr>
      <w:rFonts w:ascii="宋体" w:eastAsia="宋体"/>
      <w:kern w:val="2"/>
      <w:sz w:val="28"/>
      <w:lang w:val="en-US" w:eastAsia="zh-CN" w:bidi="ar-SA"/>
    </w:rPr>
  </w:style>
  <w:style w:type="paragraph" w:styleId="31">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32">
    <w:name w:val="index 1"/>
    <w:basedOn w:val="1"/>
    <w:next w:val="1"/>
    <w:autoRedefine/>
    <w:qFormat/>
    <w:uiPriority w:val="0"/>
    <w:pPr>
      <w:spacing w:line="220" w:lineRule="exact"/>
      <w:jc w:val="center"/>
    </w:pPr>
    <w:rPr>
      <w:rFonts w:ascii="仿宋_GB2312" w:eastAsia="仿宋_GB2312"/>
      <w:szCs w:val="21"/>
    </w:rPr>
  </w:style>
  <w:style w:type="paragraph" w:styleId="33">
    <w:name w:val="Title"/>
    <w:basedOn w:val="1"/>
    <w:next w:val="1"/>
    <w:link w:val="128"/>
    <w:autoRedefine/>
    <w:qFormat/>
    <w:uiPriority w:val="0"/>
    <w:pPr>
      <w:adjustRightInd w:val="0"/>
      <w:spacing w:before="240" w:after="60" w:line="420" w:lineRule="atLeast"/>
      <w:jc w:val="center"/>
      <w:textAlignment w:val="baseline"/>
      <w:outlineLvl w:val="0"/>
    </w:pPr>
    <w:rPr>
      <w:rFonts w:ascii="Arial" w:hAnsi="Arial" w:eastAsia="宋体"/>
      <w:b/>
      <w:sz w:val="32"/>
      <w:lang w:val="en-US" w:eastAsia="zh-CN" w:bidi="ar-SA"/>
    </w:rPr>
  </w:style>
  <w:style w:type="paragraph" w:styleId="34">
    <w:name w:val="annotation subject"/>
    <w:basedOn w:val="14"/>
    <w:next w:val="14"/>
    <w:autoRedefine/>
    <w:qFormat/>
    <w:uiPriority w:val="0"/>
    <w:rPr>
      <w:b/>
      <w:bCs/>
    </w:rPr>
  </w:style>
  <w:style w:type="paragraph" w:styleId="35">
    <w:name w:val="Body Text First Indent"/>
    <w:basedOn w:val="2"/>
    <w:autoRedefine/>
    <w:qFormat/>
    <w:uiPriority w:val="0"/>
    <w:pPr>
      <w:spacing w:after="120"/>
      <w:ind w:right="0" w:rightChars="0" w:firstLine="420" w:firstLineChars="100"/>
      <w:jc w:val="both"/>
    </w:pPr>
    <w:rPr>
      <w:szCs w:val="20"/>
    </w:rPr>
  </w:style>
  <w:style w:type="paragraph" w:styleId="36">
    <w:name w:val="Body Text First Indent 2"/>
    <w:basedOn w:val="16"/>
    <w:autoRedefine/>
    <w:qFormat/>
    <w:uiPriority w:val="0"/>
    <w:pPr>
      <w:ind w:firstLine="420" w:firstLineChars="200"/>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autoRedefine/>
    <w:qFormat/>
    <w:uiPriority w:val="0"/>
    <w:rPr>
      <w:b/>
      <w:bCs/>
    </w:rPr>
  </w:style>
  <w:style w:type="character" w:styleId="41">
    <w:name w:val="page number"/>
    <w:basedOn w:val="39"/>
    <w:autoRedefine/>
    <w:qFormat/>
    <w:uiPriority w:val="0"/>
  </w:style>
  <w:style w:type="character" w:styleId="42">
    <w:name w:val="FollowedHyperlink"/>
    <w:autoRedefine/>
    <w:qFormat/>
    <w:uiPriority w:val="0"/>
    <w:rPr>
      <w:color w:val="800080"/>
      <w:u w:val="single"/>
    </w:rPr>
  </w:style>
  <w:style w:type="character" w:styleId="43">
    <w:name w:val="Emphasis"/>
    <w:autoRedefine/>
    <w:qFormat/>
    <w:uiPriority w:val="20"/>
    <w:rPr>
      <w:i/>
      <w:iCs/>
    </w:rPr>
  </w:style>
  <w:style w:type="character" w:styleId="44">
    <w:name w:val="Hyperlink"/>
    <w:autoRedefine/>
    <w:qFormat/>
    <w:uiPriority w:val="99"/>
    <w:rPr>
      <w:color w:val="0000FF"/>
      <w:u w:val="single"/>
    </w:rPr>
  </w:style>
  <w:style w:type="character" w:styleId="45">
    <w:name w:val="annotation reference"/>
    <w:autoRedefine/>
    <w:qFormat/>
    <w:uiPriority w:val="0"/>
    <w:rPr>
      <w:sz w:val="21"/>
      <w:szCs w:val="21"/>
    </w:rPr>
  </w:style>
  <w:style w:type="character" w:styleId="46">
    <w:name w:val="footnote reference"/>
    <w:autoRedefine/>
    <w:qFormat/>
    <w:uiPriority w:val="0"/>
    <w:rPr>
      <w:vertAlign w:val="superscript"/>
    </w:rPr>
  </w:style>
  <w:style w:type="paragraph" w:customStyle="1" w:styleId="47">
    <w:name w:val="表格"/>
    <w:next w:val="1"/>
    <w:autoRedefine/>
    <w:qFormat/>
    <w:uiPriority w:val="0"/>
    <w:rPr>
      <w:rFonts w:ascii="等线" w:hAnsi="等线" w:eastAsia="仿宋" w:cs="Times New Roman"/>
      <w:kern w:val="2"/>
      <w:sz w:val="21"/>
      <w:szCs w:val="22"/>
      <w:lang w:val="en-US" w:eastAsia="zh-CN" w:bidi="ar-SA"/>
    </w:rPr>
  </w:style>
  <w:style w:type="paragraph" w:customStyle="1" w:styleId="48">
    <w:name w:val="样式1"/>
    <w:basedOn w:val="1"/>
    <w:qFormat/>
    <w:uiPriority w:val="0"/>
    <w:pPr>
      <w:adjustRightInd w:val="0"/>
      <w:spacing w:before="360" w:after="240" w:line="360" w:lineRule="auto"/>
      <w:jc w:val="center"/>
      <w:textAlignment w:val="baseline"/>
    </w:pPr>
    <w:rPr>
      <w:rFonts w:ascii="黑体" w:eastAsia="黑体"/>
      <w:kern w:val="0"/>
      <w:sz w:val="32"/>
      <w:szCs w:val="20"/>
    </w:rPr>
  </w:style>
  <w:style w:type="paragraph" w:customStyle="1" w:styleId="49">
    <w:name w:val="列出段落1"/>
    <w:basedOn w:val="1"/>
    <w:qFormat/>
    <w:uiPriority w:val="34"/>
    <w:pPr>
      <w:ind w:firstLine="420" w:firstLineChars="200"/>
    </w:pPr>
  </w:style>
  <w:style w:type="paragraph" w:customStyle="1" w:styleId="50">
    <w:name w:val="xl3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kern w:val="0"/>
      <w:sz w:val="24"/>
    </w:rPr>
  </w:style>
  <w:style w:type="paragraph" w:customStyle="1" w:styleId="51">
    <w:name w:val="xl3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4"/>
    </w:rPr>
  </w:style>
  <w:style w:type="paragraph" w:customStyle="1" w:styleId="52">
    <w:name w:val="font8"/>
    <w:basedOn w:val="1"/>
    <w:qFormat/>
    <w:uiPriority w:val="0"/>
    <w:pPr>
      <w:widowControl/>
      <w:spacing w:before="100" w:beforeAutospacing="1" w:after="100" w:afterAutospacing="1"/>
      <w:jc w:val="left"/>
    </w:pPr>
    <w:rPr>
      <w:kern w:val="0"/>
      <w:sz w:val="24"/>
    </w:rPr>
  </w:style>
  <w:style w:type="paragraph" w:customStyle="1" w:styleId="53">
    <w:name w:val="xl49"/>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hint="eastAsia" w:ascii="黑体" w:hAnsi="Arial Unicode MS" w:eastAsia="黑体"/>
      <w:kern w:val="0"/>
      <w:sz w:val="24"/>
    </w:rPr>
  </w:style>
  <w:style w:type="paragraph" w:customStyle="1" w:styleId="54">
    <w:name w:val="xl50"/>
    <w:basedOn w:val="1"/>
    <w:autoRedefine/>
    <w:qFormat/>
    <w:uiPriority w:val="0"/>
    <w:pPr>
      <w:widowControl/>
      <w:spacing w:before="100" w:beforeAutospacing="1" w:after="100" w:afterAutospacing="1"/>
      <w:jc w:val="center"/>
      <w:textAlignment w:val="top"/>
    </w:pPr>
    <w:rPr>
      <w:rFonts w:hint="eastAsia" w:ascii="黑体" w:hAnsi="Arial Unicode MS" w:eastAsia="黑体"/>
      <w:b/>
      <w:bCs/>
      <w:kern w:val="0"/>
      <w:sz w:val="36"/>
      <w:szCs w:val="36"/>
    </w:rPr>
  </w:style>
  <w:style w:type="paragraph" w:customStyle="1" w:styleId="55">
    <w:name w:val="Char1"/>
    <w:basedOn w:val="1"/>
    <w:qFormat/>
    <w:uiPriority w:val="0"/>
    <w:rPr>
      <w:rFonts w:ascii="仿宋_GB2312" w:eastAsia="仿宋_GB2312"/>
      <w:b/>
      <w:sz w:val="32"/>
      <w:szCs w:val="32"/>
    </w:rPr>
  </w:style>
  <w:style w:type="paragraph" w:customStyle="1" w:styleId="56">
    <w:name w:val="表中"/>
    <w:basedOn w:val="1"/>
    <w:qFormat/>
    <w:uiPriority w:val="0"/>
    <w:pPr>
      <w:adjustRightInd w:val="0"/>
      <w:spacing w:line="360" w:lineRule="atLeast"/>
      <w:jc w:val="center"/>
      <w:textAlignment w:val="baseline"/>
    </w:pPr>
    <w:rPr>
      <w:kern w:val="0"/>
      <w:szCs w:val="20"/>
    </w:rPr>
  </w:style>
  <w:style w:type="paragraph" w:customStyle="1" w:styleId="57">
    <w:name w:val=":)"/>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58">
    <w:name w:val="xl4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Arial Unicode MS" w:eastAsia="黑体"/>
      <w:kern w:val="0"/>
      <w:sz w:val="24"/>
    </w:rPr>
  </w:style>
  <w:style w:type="paragraph" w:customStyle="1" w:styleId="59">
    <w:name w:val="xl52"/>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60">
    <w:name w:val="xl51"/>
    <w:basedOn w:val="1"/>
    <w:qFormat/>
    <w:uiPriority w:val="0"/>
    <w:pPr>
      <w:widowControl/>
      <w:spacing w:before="100" w:beforeAutospacing="1" w:after="100" w:afterAutospacing="1"/>
      <w:jc w:val="left"/>
      <w:textAlignment w:val="center"/>
    </w:pPr>
    <w:rPr>
      <w:rFonts w:ascii="Arial Unicode MS" w:hAnsi="Arial Unicode MS"/>
      <w:kern w:val="0"/>
      <w:sz w:val="24"/>
    </w:rPr>
  </w:style>
  <w:style w:type="paragraph" w:customStyle="1" w:styleId="61">
    <w:name w:val="xl29"/>
    <w:basedOn w:val="1"/>
    <w:qFormat/>
    <w:uiPriority w:val="0"/>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62">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3">
    <w:name w:val="样式 首行缩进:  2 字符"/>
    <w:basedOn w:val="1"/>
    <w:autoRedefine/>
    <w:qFormat/>
    <w:uiPriority w:val="0"/>
    <w:pPr>
      <w:spacing w:line="400" w:lineRule="exact"/>
      <w:ind w:firstLine="200" w:firstLineChars="200"/>
    </w:pPr>
    <w:rPr>
      <w:rFonts w:cs="宋体"/>
      <w:szCs w:val="24"/>
    </w:rPr>
  </w:style>
  <w:style w:type="paragraph" w:customStyle="1" w:styleId="64">
    <w:name w:val="我的正文"/>
    <w:basedOn w:val="1"/>
    <w:link w:val="123"/>
    <w:autoRedefine/>
    <w:qFormat/>
    <w:uiPriority w:val="0"/>
    <w:pPr>
      <w:snapToGrid w:val="0"/>
      <w:spacing w:line="300" w:lineRule="auto"/>
      <w:ind w:firstLine="150" w:firstLineChars="150"/>
    </w:pPr>
    <w:rPr>
      <w:rFonts w:ascii="宋体" w:hAnsi="宋体" w:eastAsia="宋体"/>
      <w:kern w:val="2"/>
      <w:sz w:val="24"/>
      <w:szCs w:val="24"/>
      <w:lang w:val="en-US" w:eastAsia="zh-CN" w:bidi="ar-SA"/>
    </w:rPr>
  </w:style>
  <w:style w:type="paragraph" w:customStyle="1" w:styleId="65">
    <w:name w:val="font7"/>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66">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67">
    <w:name w:val="xl3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8">
    <w:name w:val="目录"/>
    <w:basedOn w:val="1"/>
    <w:qFormat/>
    <w:uiPriority w:val="0"/>
    <w:pPr>
      <w:widowControl/>
      <w:jc w:val="center"/>
    </w:pPr>
    <w:rPr>
      <w:rFonts w:hAnsi="Times New Roman"/>
      <w:b/>
      <w:sz w:val="36"/>
    </w:rPr>
  </w:style>
  <w:style w:type="paragraph" w:customStyle="1" w:styleId="6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70">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kern w:val="0"/>
      <w:sz w:val="24"/>
    </w:rPr>
  </w:style>
  <w:style w:type="paragraph" w:customStyle="1" w:styleId="71">
    <w:name w:val="xl3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kern w:val="0"/>
      <w:sz w:val="24"/>
    </w:rPr>
  </w:style>
  <w:style w:type="paragraph" w:customStyle="1" w:styleId="72">
    <w:name w:val="_Style 67"/>
    <w:basedOn w:val="1"/>
    <w:qFormat/>
    <w:uiPriority w:val="0"/>
    <w:pPr>
      <w:ind w:firstLine="420" w:firstLineChars="200"/>
    </w:pPr>
    <w:rPr>
      <w:szCs w:val="20"/>
    </w:rPr>
  </w:style>
  <w:style w:type="paragraph" w:customStyle="1" w:styleId="73">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74">
    <w:name w:val="样式2"/>
    <w:basedOn w:val="1"/>
    <w:qFormat/>
    <w:uiPriority w:val="0"/>
    <w:pPr>
      <w:numPr>
        <w:ilvl w:val="0"/>
        <w:numId w:val="6"/>
      </w:numPr>
      <w:spacing w:line="360" w:lineRule="auto"/>
      <w:jc w:val="center"/>
    </w:pPr>
    <w:rPr>
      <w:rFonts w:ascii="黑体" w:eastAsia="黑体"/>
      <w:szCs w:val="20"/>
    </w:rPr>
  </w:style>
  <w:style w:type="paragraph" w:customStyle="1" w:styleId="7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76">
    <w:name w:val="样式 标题 2 + 宋体"/>
    <w:basedOn w:val="4"/>
    <w:autoRedefine/>
    <w:qFormat/>
    <w:uiPriority w:val="0"/>
    <w:pPr>
      <w:keepLines/>
      <w:numPr>
        <w:ilvl w:val="0"/>
        <w:numId w:val="0"/>
      </w:numPr>
      <w:tabs>
        <w:tab w:val="clear" w:pos="960"/>
      </w:tabs>
      <w:spacing w:line="360" w:lineRule="auto"/>
      <w:ind w:firstLine="482" w:firstLineChars="200"/>
      <w:jc w:val="left"/>
    </w:pPr>
    <w:rPr>
      <w:rFonts w:ascii="宋体" w:hAnsi="宋体" w:eastAsia="宋体" w:cs="宋体"/>
      <w:b/>
      <w:bCs/>
      <w:color w:val="auto"/>
      <w:sz w:val="24"/>
    </w:rPr>
  </w:style>
  <w:style w:type="paragraph" w:customStyle="1" w:styleId="77">
    <w:name w:val="xl3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7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9">
    <w:name w:val="简单回函地址"/>
    <w:basedOn w:val="1"/>
    <w:qFormat/>
    <w:uiPriority w:val="0"/>
  </w:style>
  <w:style w:type="paragraph" w:customStyle="1" w:styleId="80">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kern w:val="0"/>
      <w:sz w:val="24"/>
    </w:rPr>
  </w:style>
  <w:style w:type="paragraph" w:customStyle="1" w:styleId="81">
    <w:name w:val="&lt;=&gt;"/>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82">
    <w:name w:val="Plain Text_abf15973-5b10-4159-8d08-3275f6f892b8"/>
    <w:basedOn w:val="1"/>
    <w:qFormat/>
    <w:uiPriority w:val="0"/>
    <w:pPr>
      <w:adjustRightInd w:val="0"/>
      <w:textAlignment w:val="baseline"/>
    </w:pPr>
    <w:rPr>
      <w:rFonts w:ascii="宋体" w:hAnsi="Courier New"/>
      <w:szCs w:val="20"/>
    </w:rPr>
  </w:style>
  <w:style w:type="paragraph" w:customStyle="1" w:styleId="83">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4">
    <w:name w:val="font11"/>
    <w:basedOn w:val="1"/>
    <w:qFormat/>
    <w:uiPriority w:val="0"/>
    <w:pPr>
      <w:widowControl/>
      <w:spacing w:before="100" w:beforeAutospacing="1" w:after="100" w:afterAutospacing="1"/>
      <w:jc w:val="left"/>
    </w:pPr>
    <w:rPr>
      <w:b/>
      <w:bCs/>
      <w:kern w:val="0"/>
      <w:sz w:val="24"/>
    </w:rPr>
  </w:style>
  <w:style w:type="paragraph" w:customStyle="1" w:styleId="85">
    <w:name w:val="样式 标题 2 + Times New Roman 四号 非加粗 段前: 5 磅 段后: 0 磅 行距: 固定值 20..."/>
    <w:basedOn w:val="4"/>
    <w:qFormat/>
    <w:uiPriority w:val="0"/>
    <w:pPr>
      <w:keepLines/>
      <w:numPr>
        <w:ilvl w:val="0"/>
        <w:numId w:val="0"/>
      </w:numPr>
      <w:spacing w:before="100" w:line="400" w:lineRule="exact"/>
      <w:jc w:val="both"/>
    </w:pPr>
    <w:rPr>
      <w:rFonts w:ascii="Times New Roman" w:cs="宋体"/>
      <w:color w:val="auto"/>
    </w:rPr>
  </w:style>
  <w:style w:type="paragraph" w:customStyle="1" w:styleId="86">
    <w:name w:val=":-)"/>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87">
    <w:name w:val="_Style 8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xl3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kern w:val="0"/>
      <w:sz w:val="24"/>
    </w:rPr>
  </w:style>
  <w:style w:type="paragraph" w:customStyle="1" w:styleId="89">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90">
    <w:name w:val="&lt;--"/>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91">
    <w:name w:val="xl4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kern w:val="0"/>
      <w:sz w:val="24"/>
    </w:rPr>
  </w:style>
  <w:style w:type="paragraph" w:customStyle="1" w:styleId="92">
    <w:name w:val="_Style 87"/>
    <w:qFormat/>
    <w:uiPriority w:val="99"/>
    <w:rPr>
      <w:rFonts w:ascii="Times New Roman" w:hAnsi="Times New Roman" w:eastAsia="宋体" w:cs="Times New Roman"/>
      <w:kern w:val="2"/>
      <w:sz w:val="21"/>
      <w:szCs w:val="24"/>
      <w:lang w:val="en-US" w:eastAsia="zh-CN" w:bidi="ar-SA"/>
    </w:rPr>
  </w:style>
  <w:style w:type="paragraph" w:customStyle="1" w:styleId="9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94">
    <w:name w:val="xl4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95">
    <w:name w:val=":("/>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9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97">
    <w:name w:val="&lt;=="/>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98">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kern w:val="0"/>
      <w:sz w:val="24"/>
    </w:rPr>
  </w:style>
  <w:style w:type="paragraph" w:customStyle="1" w:styleId="99">
    <w:name w:val="font10"/>
    <w:basedOn w:val="1"/>
    <w:qFormat/>
    <w:uiPriority w:val="0"/>
    <w:pPr>
      <w:widowControl/>
      <w:spacing w:before="100" w:beforeAutospacing="1" w:after="100" w:afterAutospacing="1"/>
      <w:jc w:val="left"/>
    </w:pPr>
    <w:rPr>
      <w:rFonts w:hint="eastAsia" w:ascii="宋体" w:hAnsi="宋体"/>
      <w:b/>
      <w:bCs/>
      <w:kern w:val="0"/>
      <w:sz w:val="24"/>
    </w:rPr>
  </w:style>
  <w:style w:type="paragraph" w:customStyle="1" w:styleId="100">
    <w:name w:val="标题 3 New"/>
    <w:basedOn w:val="78"/>
    <w:next w:val="78"/>
    <w:qFormat/>
    <w:uiPriority w:val="0"/>
    <w:pPr>
      <w:keepNext/>
      <w:keepLines/>
      <w:spacing w:line="360" w:lineRule="auto"/>
      <w:ind w:firstLine="200" w:firstLineChars="200"/>
      <w:outlineLvl w:val="2"/>
    </w:pPr>
    <w:rPr>
      <w:b/>
      <w:bCs/>
      <w:szCs w:val="32"/>
    </w:rPr>
  </w:style>
  <w:style w:type="paragraph" w:customStyle="1" w:styleId="101">
    <w:name w:val="xl3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kern w:val="0"/>
      <w:sz w:val="24"/>
    </w:rPr>
  </w:style>
  <w:style w:type="paragraph" w:customStyle="1" w:styleId="102">
    <w:name w:val="样式 标题 2 + 宋体 四号 居中"/>
    <w:basedOn w:val="4"/>
    <w:qFormat/>
    <w:uiPriority w:val="0"/>
    <w:pPr>
      <w:keepLines/>
      <w:numPr>
        <w:ilvl w:val="0"/>
        <w:numId w:val="0"/>
      </w:numPr>
      <w:tabs>
        <w:tab w:val="clear" w:pos="960"/>
      </w:tabs>
      <w:spacing w:before="260" w:after="260" w:line="415" w:lineRule="auto"/>
    </w:pPr>
    <w:rPr>
      <w:rFonts w:ascii="宋体" w:hAnsi="宋体" w:eastAsia="宋体" w:cs="宋体"/>
      <w:b/>
      <w:bCs/>
      <w:color w:val="auto"/>
      <w:sz w:val="30"/>
    </w:rPr>
  </w:style>
  <w:style w:type="paragraph" w:customStyle="1" w:styleId="103">
    <w:name w:val="_Style 99"/>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104">
    <w:name w:val="表格文字"/>
    <w:basedOn w:val="1"/>
    <w:qFormat/>
    <w:uiPriority w:val="0"/>
    <w:pPr>
      <w:adjustRightInd w:val="0"/>
      <w:spacing w:line="420" w:lineRule="atLeast"/>
      <w:jc w:val="left"/>
      <w:textAlignment w:val="baseline"/>
    </w:pPr>
    <w:rPr>
      <w:kern w:val="0"/>
      <w:szCs w:val="20"/>
    </w:rPr>
  </w:style>
  <w:style w:type="paragraph" w:customStyle="1" w:styleId="10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kern w:val="0"/>
      <w:sz w:val="24"/>
    </w:rPr>
  </w:style>
  <w:style w:type="paragraph" w:customStyle="1" w:styleId="106">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kern w:val="0"/>
      <w:sz w:val="24"/>
    </w:rPr>
  </w:style>
  <w:style w:type="paragraph" w:customStyle="1" w:styleId="107">
    <w:name w:val="font9"/>
    <w:basedOn w:val="1"/>
    <w:qFormat/>
    <w:uiPriority w:val="0"/>
    <w:pPr>
      <w:widowControl/>
      <w:spacing w:before="100" w:beforeAutospacing="1" w:after="100" w:afterAutospacing="1"/>
      <w:jc w:val="left"/>
    </w:pPr>
    <w:rPr>
      <w:kern w:val="0"/>
      <w:sz w:val="24"/>
      <w:u w:val="single"/>
    </w:rPr>
  </w:style>
  <w:style w:type="paragraph" w:customStyle="1" w:styleId="10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9">
    <w:name w:val=":-("/>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110">
    <w:name w:val=" Char"/>
    <w:basedOn w:val="1"/>
    <w:qFormat/>
    <w:uiPriority w:val="0"/>
    <w:pPr>
      <w:widowControl/>
      <w:spacing w:after="160" w:line="240" w:lineRule="exact"/>
      <w:jc w:val="left"/>
    </w:pPr>
    <w:rPr>
      <w:szCs w:val="20"/>
    </w:rPr>
  </w:style>
  <w:style w:type="paragraph" w:customStyle="1" w:styleId="111">
    <w:name w:val="font6"/>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12">
    <w:name w:val=":-|"/>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113">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14">
    <w:name w:val="==&gt;"/>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paragraph" w:customStyle="1" w:styleId="115">
    <w:name w:val="xl4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kern w:val="0"/>
      <w:sz w:val="24"/>
    </w:rPr>
  </w:style>
  <w:style w:type="paragraph" w:customStyle="1" w:styleId="116">
    <w:name w:val="xl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b/>
      <w:bCs/>
      <w:color w:val="FF0000"/>
      <w:kern w:val="0"/>
      <w:sz w:val="24"/>
    </w:rPr>
  </w:style>
  <w:style w:type="paragraph" w:customStyle="1" w:styleId="117">
    <w:name w:val="xl4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黑体" w:hAnsi="Arial Unicode MS" w:eastAsia="黑体"/>
      <w:kern w:val="0"/>
      <w:sz w:val="24"/>
    </w:rPr>
  </w:style>
  <w:style w:type="paragraph" w:customStyle="1" w:styleId="118">
    <w:name w:val=":|"/>
    <w:qFormat/>
    <w:uiPriority w:val="0"/>
    <w:pPr>
      <w:overflowPunct w:val="0"/>
      <w:autoSpaceDE w:val="0"/>
      <w:autoSpaceDN w:val="0"/>
      <w:adjustRightInd w:val="0"/>
      <w:textAlignment w:val="baseline"/>
    </w:pPr>
    <w:rPr>
      <w:rFonts w:ascii="Times New Roman" w:hAnsi="Times New Roman" w:eastAsia="宋体" w:cs="Times New Roman"/>
      <w:lang w:val="en-GB" w:eastAsia="zh-CN" w:bidi="ar-SA"/>
    </w:rPr>
  </w:style>
  <w:style w:type="character" w:customStyle="1" w:styleId="119">
    <w:name w:val="文档结构图 Char"/>
    <w:link w:val="13"/>
    <w:qFormat/>
    <w:uiPriority w:val="0"/>
    <w:rPr>
      <w:rFonts w:eastAsia="宋体"/>
      <w:kern w:val="2"/>
      <w:sz w:val="21"/>
      <w:szCs w:val="24"/>
      <w:lang w:val="en-US" w:eastAsia="zh-CN" w:bidi="ar-SA"/>
    </w:rPr>
  </w:style>
  <w:style w:type="character" w:customStyle="1" w:styleId="120">
    <w:name w:val="正文文本缩进 3 Char"/>
    <w:link w:val="28"/>
    <w:qFormat/>
    <w:uiPriority w:val="0"/>
    <w:rPr>
      <w:rFonts w:ascii="宋体" w:hAnsi="宋体" w:eastAsia="宋体"/>
      <w:kern w:val="2"/>
      <w:sz w:val="21"/>
      <w:szCs w:val="21"/>
      <w:lang w:val="en-US" w:eastAsia="zh-CN" w:bidi="ar-SA"/>
    </w:rPr>
  </w:style>
  <w:style w:type="character" w:customStyle="1" w:styleId="121">
    <w:name w:val="脚注文本 Char"/>
    <w:link w:val="27"/>
    <w:qFormat/>
    <w:uiPriority w:val="0"/>
    <w:rPr>
      <w:rFonts w:eastAsia="宋体"/>
      <w:kern w:val="2"/>
      <w:sz w:val="18"/>
      <w:lang w:val="en-US" w:eastAsia="zh-CN" w:bidi="ar-SA"/>
    </w:rPr>
  </w:style>
  <w:style w:type="character" w:customStyle="1" w:styleId="122">
    <w:name w:val="正文文本 Char"/>
    <w:link w:val="2"/>
    <w:qFormat/>
    <w:uiPriority w:val="0"/>
    <w:rPr>
      <w:rFonts w:eastAsia="宋体"/>
      <w:kern w:val="2"/>
      <w:sz w:val="21"/>
      <w:szCs w:val="24"/>
      <w:lang w:val="en-US" w:eastAsia="zh-CN" w:bidi="ar-SA"/>
    </w:rPr>
  </w:style>
  <w:style w:type="character" w:customStyle="1" w:styleId="123">
    <w:name w:val="我的正文 Char Char"/>
    <w:link w:val="64"/>
    <w:qFormat/>
    <w:uiPriority w:val="0"/>
    <w:rPr>
      <w:rFonts w:ascii="宋体" w:hAnsi="宋体" w:eastAsia="宋体"/>
      <w:kern w:val="2"/>
      <w:sz w:val="24"/>
      <w:szCs w:val="24"/>
      <w:lang w:val="en-US" w:eastAsia="zh-CN" w:bidi="ar-SA"/>
    </w:rPr>
  </w:style>
  <w:style w:type="character" w:customStyle="1" w:styleId="124">
    <w:name w:val="标题 6 Char"/>
    <w:link w:val="8"/>
    <w:qFormat/>
    <w:uiPriority w:val="0"/>
    <w:rPr>
      <w:rFonts w:ascii="Arial" w:hAnsi="Arial" w:eastAsia="黑体"/>
      <w:b/>
      <w:bCs/>
      <w:sz w:val="24"/>
      <w:szCs w:val="24"/>
      <w:lang w:val="en-US" w:eastAsia="zh-CN" w:bidi="ar-SA"/>
    </w:rPr>
  </w:style>
  <w:style w:type="character" w:customStyle="1" w:styleId="125">
    <w:name w:val="尾注文本 Char"/>
    <w:link w:val="22"/>
    <w:qFormat/>
    <w:uiPriority w:val="0"/>
    <w:rPr>
      <w:rFonts w:eastAsia="宋体"/>
      <w:kern w:val="2"/>
      <w:sz w:val="21"/>
      <w:lang w:val="en-US" w:eastAsia="zh-CN" w:bidi="ar-SA"/>
    </w:rPr>
  </w:style>
  <w:style w:type="character" w:customStyle="1" w:styleId="126">
    <w:name w:val="批注框文本 Char"/>
    <w:link w:val="23"/>
    <w:qFormat/>
    <w:uiPriority w:val="0"/>
    <w:rPr>
      <w:rFonts w:eastAsia="宋体"/>
      <w:kern w:val="2"/>
      <w:sz w:val="18"/>
      <w:szCs w:val="18"/>
      <w:lang w:val="en-US" w:eastAsia="zh-CN" w:bidi="ar-SA"/>
    </w:rPr>
  </w:style>
  <w:style w:type="character" w:customStyle="1" w:styleId="127">
    <w:name w:val="标题 4 Char"/>
    <w:link w:val="6"/>
    <w:qFormat/>
    <w:uiPriority w:val="0"/>
    <w:rPr>
      <w:rFonts w:ascii="方正姚体" w:eastAsia="方正姚体"/>
      <w:kern w:val="2"/>
      <w:sz w:val="36"/>
      <w:szCs w:val="32"/>
      <w:lang w:val="en-US" w:eastAsia="zh-CN" w:bidi="ar-SA"/>
    </w:rPr>
  </w:style>
  <w:style w:type="character" w:customStyle="1" w:styleId="128">
    <w:name w:val="标题 Char"/>
    <w:link w:val="33"/>
    <w:qFormat/>
    <w:uiPriority w:val="0"/>
    <w:rPr>
      <w:rFonts w:ascii="Arial" w:hAnsi="Arial" w:eastAsia="宋体"/>
      <w:b/>
      <w:sz w:val="32"/>
      <w:lang w:val="en-US" w:eastAsia="zh-CN" w:bidi="ar-SA"/>
    </w:rPr>
  </w:style>
  <w:style w:type="character" w:customStyle="1" w:styleId="129">
    <w:name w:val="批注文字 Char"/>
    <w:link w:val="14"/>
    <w:qFormat/>
    <w:uiPriority w:val="0"/>
    <w:rPr>
      <w:rFonts w:eastAsia="宋体"/>
      <w:kern w:val="2"/>
      <w:sz w:val="21"/>
      <w:szCs w:val="24"/>
      <w:lang w:val="en-US" w:eastAsia="zh-CN" w:bidi="ar-SA"/>
    </w:rPr>
  </w:style>
  <w:style w:type="character" w:customStyle="1" w:styleId="130">
    <w:name w:val="页眉 Char"/>
    <w:link w:val="25"/>
    <w:qFormat/>
    <w:uiPriority w:val="99"/>
    <w:rPr>
      <w:rFonts w:eastAsia="宋体"/>
      <w:kern w:val="2"/>
      <w:sz w:val="18"/>
      <w:szCs w:val="18"/>
      <w:lang w:val="en-US" w:eastAsia="zh-CN" w:bidi="ar-SA"/>
    </w:rPr>
  </w:style>
  <w:style w:type="character" w:customStyle="1" w:styleId="131">
    <w:name w:val="标题 9 Char"/>
    <w:link w:val="11"/>
    <w:qFormat/>
    <w:uiPriority w:val="0"/>
    <w:rPr>
      <w:rFonts w:ascii="Arial" w:hAnsi="Arial" w:eastAsia="黑体"/>
      <w:sz w:val="21"/>
      <w:szCs w:val="21"/>
      <w:lang w:val="en-US" w:eastAsia="zh-CN" w:bidi="ar-SA"/>
    </w:rPr>
  </w:style>
  <w:style w:type="character" w:customStyle="1" w:styleId="132">
    <w:name w:val="标题 8 Char"/>
    <w:link w:val="10"/>
    <w:qFormat/>
    <w:uiPriority w:val="0"/>
    <w:rPr>
      <w:rFonts w:ascii="Arial" w:hAnsi="Arial" w:eastAsia="黑体"/>
      <w:sz w:val="24"/>
      <w:szCs w:val="24"/>
      <w:lang w:val="en-US" w:eastAsia="zh-CN" w:bidi="ar-SA"/>
    </w:rPr>
  </w:style>
  <w:style w:type="character" w:customStyle="1" w:styleId="133">
    <w:name w:val="标题 2 Char"/>
    <w:link w:val="4"/>
    <w:qFormat/>
    <w:uiPriority w:val="0"/>
    <w:rPr>
      <w:rFonts w:ascii="黑体" w:eastAsia="黑体"/>
      <w:color w:val="000000"/>
      <w:kern w:val="2"/>
      <w:sz w:val="28"/>
      <w:lang w:val="en-US" w:eastAsia="zh-CN" w:bidi="ar-SA"/>
    </w:rPr>
  </w:style>
  <w:style w:type="character" w:customStyle="1" w:styleId="134">
    <w:name w:val="正文文本缩进 Char"/>
    <w:link w:val="16"/>
    <w:qFormat/>
    <w:uiPriority w:val="0"/>
    <w:rPr>
      <w:rFonts w:ascii="宋体" w:eastAsia="宋体"/>
      <w:kern w:val="2"/>
      <w:sz w:val="24"/>
      <w:szCs w:val="24"/>
      <w:lang w:val="en-US" w:eastAsia="zh-CN" w:bidi="ar-SA"/>
    </w:rPr>
  </w:style>
  <w:style w:type="character" w:customStyle="1" w:styleId="135">
    <w:name w:val="正文文本 3 Char"/>
    <w:link w:val="15"/>
    <w:qFormat/>
    <w:uiPriority w:val="0"/>
    <w:rPr>
      <w:rFonts w:ascii="宋体" w:eastAsia="宋体"/>
      <w:color w:val="000000"/>
      <w:kern w:val="2"/>
      <w:sz w:val="32"/>
      <w:lang w:val="en-US" w:eastAsia="zh-CN" w:bidi="ar-SA"/>
    </w:rPr>
  </w:style>
  <w:style w:type="character" w:customStyle="1" w:styleId="136">
    <w:name w:val="正文文本 2 Char"/>
    <w:link w:val="30"/>
    <w:qFormat/>
    <w:uiPriority w:val="0"/>
    <w:rPr>
      <w:rFonts w:ascii="宋体" w:eastAsia="宋体"/>
      <w:kern w:val="2"/>
      <w:sz w:val="28"/>
      <w:lang w:val="en-US" w:eastAsia="zh-CN" w:bidi="ar-SA"/>
    </w:rPr>
  </w:style>
  <w:style w:type="character" w:customStyle="1" w:styleId="137">
    <w:name w:val="标题 7 Char"/>
    <w:link w:val="9"/>
    <w:qFormat/>
    <w:uiPriority w:val="0"/>
    <w:rPr>
      <w:rFonts w:eastAsia="宋体"/>
      <w:b/>
      <w:bCs/>
      <w:sz w:val="24"/>
      <w:szCs w:val="24"/>
      <w:lang w:val="en-US" w:eastAsia="zh-CN" w:bidi="ar-SA"/>
    </w:rPr>
  </w:style>
  <w:style w:type="character" w:customStyle="1" w:styleId="138">
    <w:name w:val="标题 3 Char"/>
    <w:link w:val="5"/>
    <w:qFormat/>
    <w:uiPriority w:val="0"/>
    <w:rPr>
      <w:rFonts w:ascii="黑体" w:eastAsia="黑体"/>
      <w:color w:val="000000"/>
      <w:kern w:val="2"/>
      <w:sz w:val="32"/>
      <w:lang w:val="en-US" w:eastAsia="zh-CN" w:bidi="ar-SA"/>
    </w:rPr>
  </w:style>
  <w:style w:type="character" w:customStyle="1" w:styleId="139">
    <w:name w:val="纯文本 Char"/>
    <w:link w:val="19"/>
    <w:qFormat/>
    <w:uiPriority w:val="0"/>
    <w:rPr>
      <w:rFonts w:ascii="宋体" w:hAnsi="Courier New" w:eastAsia="宋体" w:cs="黑体"/>
      <w:sz w:val="21"/>
      <w:szCs w:val="21"/>
      <w:lang w:val="en-US" w:eastAsia="zh-CN" w:bidi="ar-SA"/>
    </w:rPr>
  </w:style>
  <w:style w:type="character" w:customStyle="1" w:styleId="140">
    <w:name w:val="页脚 Char"/>
    <w:link w:val="24"/>
    <w:qFormat/>
    <w:uiPriority w:val="99"/>
    <w:rPr>
      <w:rFonts w:eastAsia="宋体"/>
      <w:kern w:val="2"/>
      <w:sz w:val="18"/>
      <w:lang w:val="en-US" w:eastAsia="zh-CN" w:bidi="ar-SA"/>
    </w:rPr>
  </w:style>
  <w:style w:type="paragraph" w:customStyle="1" w:styleId="141">
    <w:name w:val="无间隔1"/>
    <w:qFormat/>
    <w:uiPriority w:val="1"/>
    <w:pPr>
      <w:adjustRightInd w:val="0"/>
      <w:snapToGrid w:val="0"/>
    </w:pPr>
    <w:rPr>
      <w:rFonts w:ascii="Tahoma" w:hAnsi="Tahoma" w:eastAsia="微软雅黑" w:cs="宋体"/>
      <w:kern w:val="0"/>
      <w:sz w:val="22"/>
      <w:szCs w:val="22"/>
      <w:lang w:val="en-US" w:eastAsia="zh-CN" w:bidi="ar-SA"/>
    </w:rPr>
  </w:style>
  <w:style w:type="character" w:customStyle="1" w:styleId="142">
    <w:name w:val="mark"/>
    <w:basedOn w:val="39"/>
    <w:qFormat/>
    <w:uiPriority w:val="0"/>
    <w:rPr>
      <w:rFonts w:ascii="Times New Roman" w:hAnsi="Times New Roman" w:eastAsia="宋体" w:cs="Times New Roman"/>
    </w:rPr>
  </w:style>
  <w:style w:type="character" w:customStyle="1" w:styleId="143">
    <w:name w:val="apple-style-span"/>
    <w:basedOn w:val="39"/>
    <w:qFormat/>
    <w:uiPriority w:val="0"/>
  </w:style>
  <w:style w:type="table" w:customStyle="1" w:styleId="144">
    <w:name w:val="Table Normal"/>
    <w:qFormat/>
    <w:uiPriority w:val="0"/>
    <w:tblPr>
      <w:tblCellMar>
        <w:top w:w="0" w:type="dxa"/>
        <w:left w:w="0" w:type="dxa"/>
        <w:bottom w:w="0" w:type="dxa"/>
        <w:right w:w="0" w:type="dxa"/>
      </w:tblCellMar>
    </w:tblPr>
  </w:style>
  <w:style w:type="paragraph" w:customStyle="1" w:styleId="145">
    <w:name w:val="正文1"/>
    <w:basedOn w:val="1"/>
    <w:qFormat/>
    <w:uiPriority w:val="0"/>
    <w:pPr>
      <w:spacing w:after="200" w:line="300" w:lineRule="atLeast"/>
    </w:pPr>
    <w:rPr>
      <w:rFonts w:ascii="Calibri" w:hAnsi="Calibri" w:cs="宋体"/>
      <w:sz w:val="22"/>
      <w:szCs w:val="22"/>
      <w:lang w:eastAsia="zh-CN"/>
    </w:rPr>
  </w:style>
  <w:style w:type="paragraph" w:customStyle="1" w:styleId="146">
    <w:name w:val="Body text|1"/>
    <w:basedOn w:val="1"/>
    <w:qFormat/>
    <w:uiPriority w:val="0"/>
    <w:pPr>
      <w:spacing w:line="396" w:lineRule="auto"/>
      <w:ind w:firstLine="400"/>
    </w:pPr>
    <w:rPr>
      <w:rFonts w:ascii="宋体" w:hAnsi="宋体" w:cs="宋体"/>
      <w:color w:val="222124"/>
      <w:sz w:val="30"/>
      <w:szCs w:val="30"/>
      <w:lang w:val="zh-TW" w:eastAsia="zh-TW" w:bidi="zh-TW"/>
    </w:rPr>
  </w:style>
  <w:style w:type="paragraph" w:customStyle="1" w:styleId="147">
    <w:name w:val="Other|1"/>
    <w:basedOn w:val="1"/>
    <w:qFormat/>
    <w:uiPriority w:val="0"/>
    <w:pPr>
      <w:spacing w:line="396" w:lineRule="auto"/>
      <w:ind w:firstLine="400"/>
    </w:pPr>
    <w:rPr>
      <w:rFonts w:ascii="宋体" w:hAnsi="宋体" w:cs="宋体"/>
      <w:color w:val="222124"/>
      <w:sz w:val="30"/>
      <w:szCs w:val="30"/>
      <w:lang w:val="zh-TW" w:eastAsia="zh-TW" w:bidi="zh-TW"/>
    </w:rPr>
  </w:style>
  <w:style w:type="paragraph" w:styleId="148">
    <w:name w:val="List Paragraph"/>
    <w:basedOn w:val="1"/>
    <w:qFormat/>
    <w:uiPriority w:val="34"/>
    <w:pPr>
      <w:ind w:firstLine="420" w:firstLineChars="200"/>
    </w:pPr>
    <w:rPr>
      <w:rFonts w:ascii="Calibri" w:hAnsi="Calibri"/>
    </w:rPr>
  </w:style>
  <w:style w:type="character" w:customStyle="1" w:styleId="149">
    <w:name w:val="font81"/>
    <w:basedOn w:val="39"/>
    <w:qFormat/>
    <w:uiPriority w:val="0"/>
    <w:rPr>
      <w:rFonts w:hint="eastAsia" w:ascii="宋体" w:hAnsi="宋体" w:eastAsia="宋体" w:cs="宋体"/>
      <w:color w:val="000000"/>
      <w:sz w:val="16"/>
      <w:szCs w:val="16"/>
      <w:u w:val="none"/>
    </w:rPr>
  </w:style>
  <w:style w:type="character" w:customStyle="1" w:styleId="150">
    <w:name w:val="font01"/>
    <w:basedOn w:val="39"/>
    <w:qFormat/>
    <w:uiPriority w:val="0"/>
    <w:rPr>
      <w:rFonts w:hint="eastAsia" w:ascii="宋体" w:hAnsi="宋体" w:eastAsia="宋体" w:cs="宋体"/>
      <w:color w:val="FF0000"/>
      <w:sz w:val="16"/>
      <w:szCs w:val="16"/>
      <w:u w:val="none"/>
    </w:rPr>
  </w:style>
  <w:style w:type="character" w:customStyle="1" w:styleId="151">
    <w:name w:val="font51"/>
    <w:basedOn w:val="39"/>
    <w:qFormat/>
    <w:uiPriority w:val="0"/>
    <w:rPr>
      <w:rFonts w:hint="eastAsia" w:ascii="宋体" w:hAnsi="宋体" w:eastAsia="宋体" w:cs="宋体"/>
      <w:color w:val="000000"/>
      <w:sz w:val="16"/>
      <w:szCs w:val="16"/>
      <w:u w:val="none"/>
    </w:rPr>
  </w:style>
  <w:style w:type="character" w:customStyle="1" w:styleId="152">
    <w:name w:val="font41"/>
    <w:basedOn w:val="39"/>
    <w:qFormat/>
    <w:uiPriority w:val="0"/>
    <w:rPr>
      <w:rFonts w:ascii="Calibri" w:hAnsi="Calibri" w:cs="Calibri"/>
      <w:color w:val="000000"/>
      <w:sz w:val="16"/>
      <w:szCs w:val="16"/>
      <w:u w:val="none"/>
    </w:rPr>
  </w:style>
  <w:style w:type="character" w:customStyle="1" w:styleId="153">
    <w:name w:val="font91"/>
    <w:basedOn w:val="39"/>
    <w:qFormat/>
    <w:uiPriority w:val="0"/>
    <w:rPr>
      <w:rFonts w:ascii="Calibri" w:hAnsi="Calibri" w:cs="Calibri"/>
      <w:color w:val="000000"/>
      <w:sz w:val="16"/>
      <w:szCs w:val="16"/>
      <w:u w:val="none"/>
    </w:rPr>
  </w:style>
  <w:style w:type="character" w:customStyle="1" w:styleId="154">
    <w:name w:val="font21"/>
    <w:basedOn w:val="39"/>
    <w:qFormat/>
    <w:uiPriority w:val="0"/>
    <w:rPr>
      <w:rFonts w:hint="eastAsia" w:ascii="宋体" w:hAnsi="宋体" w:eastAsia="宋体" w:cs="宋体"/>
      <w:color w:val="000000"/>
      <w:sz w:val="16"/>
      <w:szCs w:val="16"/>
      <w:u w:val="none"/>
    </w:rPr>
  </w:style>
  <w:style w:type="character" w:customStyle="1" w:styleId="155">
    <w:name w:val="font111"/>
    <w:basedOn w:val="39"/>
    <w:qFormat/>
    <w:uiPriority w:val="0"/>
    <w:rPr>
      <w:rFonts w:hint="eastAsia" w:ascii="宋体" w:hAnsi="宋体" w:eastAsia="宋体" w:cs="宋体"/>
      <w:color w:val="FF0000"/>
      <w:sz w:val="16"/>
      <w:szCs w:val="16"/>
      <w:u w:val="none"/>
    </w:rPr>
  </w:style>
  <w:style w:type="character" w:customStyle="1" w:styleId="156">
    <w:name w:val="font122"/>
    <w:basedOn w:val="39"/>
    <w:qFormat/>
    <w:uiPriority w:val="0"/>
    <w:rPr>
      <w:rFonts w:ascii="Calibri" w:hAnsi="Calibri" w:cs="Calibri"/>
      <w:color w:val="000000"/>
      <w:sz w:val="16"/>
      <w:szCs w:val="16"/>
      <w:u w:val="none"/>
    </w:rPr>
  </w:style>
  <w:style w:type="character" w:customStyle="1" w:styleId="157">
    <w:name w:val="font31"/>
    <w:basedOn w:val="39"/>
    <w:qFormat/>
    <w:uiPriority w:val="0"/>
    <w:rPr>
      <w:rFonts w:hint="eastAsia" w:ascii="宋体" w:hAnsi="宋体" w:eastAsia="宋体" w:cs="宋体"/>
      <w:color w:val="000000"/>
      <w:sz w:val="20"/>
      <w:szCs w:val="20"/>
      <w:u w:val="none"/>
    </w:rPr>
  </w:style>
  <w:style w:type="character" w:customStyle="1" w:styleId="158">
    <w:name w:val="font121"/>
    <w:basedOn w:val="39"/>
    <w:qFormat/>
    <w:uiPriority w:val="0"/>
    <w:rPr>
      <w:rFonts w:hint="eastAsia" w:ascii="微软雅黑" w:hAnsi="微软雅黑" w:eastAsia="微软雅黑" w:cs="微软雅黑"/>
      <w:b/>
      <w:bCs/>
      <w:color w:val="000000"/>
      <w:sz w:val="26"/>
      <w:szCs w:val="26"/>
      <w:u w:val="none"/>
    </w:rPr>
  </w:style>
  <w:style w:type="character" w:customStyle="1" w:styleId="159">
    <w:name w:val="font141"/>
    <w:basedOn w:val="39"/>
    <w:qFormat/>
    <w:uiPriority w:val="0"/>
    <w:rPr>
      <w:rFonts w:ascii="Calibri" w:hAnsi="Calibri" w:cs="Calibri"/>
      <w:color w:val="000000"/>
      <w:sz w:val="22"/>
      <w:szCs w:val="22"/>
      <w:u w:val="none"/>
    </w:rPr>
  </w:style>
  <w:style w:type="character" w:customStyle="1" w:styleId="160">
    <w:name w:val="font101"/>
    <w:basedOn w:val="39"/>
    <w:qFormat/>
    <w:uiPriority w:val="0"/>
    <w:rPr>
      <w:rFonts w:hint="eastAsia" w:ascii="微软雅黑" w:hAnsi="微软雅黑" w:eastAsia="微软雅黑" w:cs="微软雅黑"/>
      <w:color w:val="FF0000"/>
      <w:sz w:val="20"/>
      <w:szCs w:val="20"/>
      <w:u w:val="none"/>
    </w:rPr>
  </w:style>
  <w:style w:type="character" w:customStyle="1" w:styleId="161">
    <w:name w:val="font71"/>
    <w:basedOn w:val="39"/>
    <w:qFormat/>
    <w:uiPriority w:val="0"/>
    <w:rPr>
      <w:rFonts w:hint="eastAsia" w:ascii="微软雅黑" w:hAnsi="微软雅黑" w:eastAsia="微软雅黑" w:cs="微软雅黑"/>
      <w:b/>
      <w:bCs/>
      <w:color w:val="000000"/>
      <w:sz w:val="26"/>
      <w:szCs w:val="26"/>
      <w:u w:val="none"/>
    </w:rPr>
  </w:style>
  <w:style w:type="character" w:customStyle="1" w:styleId="162">
    <w:name w:val="font132"/>
    <w:basedOn w:val="39"/>
    <w:qFormat/>
    <w:uiPriority w:val="0"/>
    <w:rPr>
      <w:rFonts w:hint="eastAsia" w:ascii="微软雅黑" w:hAnsi="微软雅黑" w:eastAsia="微软雅黑" w:cs="微软雅黑"/>
      <w:b/>
      <w:bCs/>
      <w:color w:val="000000"/>
      <w:sz w:val="26"/>
      <w:szCs w:val="26"/>
      <w:u w:val="none"/>
    </w:rPr>
  </w:style>
  <w:style w:type="character" w:customStyle="1" w:styleId="163">
    <w:name w:val="font131"/>
    <w:basedOn w:val="39"/>
    <w:qFormat/>
    <w:uiPriority w:val="0"/>
    <w:rPr>
      <w:rFonts w:hint="eastAsia" w:ascii="微软雅黑" w:hAnsi="微软雅黑" w:eastAsia="微软雅黑" w:cs="微软雅黑"/>
      <w:b/>
      <w:bCs/>
      <w:color w:val="000000"/>
      <w:sz w:val="26"/>
      <w:szCs w:val="26"/>
      <w:u w:val="none"/>
    </w:rPr>
  </w:style>
  <w:style w:type="paragraph" w:customStyle="1" w:styleId="164">
    <w:name w:val="正文 缩进2字符"/>
    <w:basedOn w:val="1"/>
    <w:qFormat/>
    <w:uiPriority w:val="0"/>
    <w:pPr>
      <w:spacing w:afterLines="50" w:line="360" w:lineRule="auto"/>
      <w:ind w:firstLine="480" w:firstLineChars="200"/>
    </w:pPr>
    <w:rPr>
      <w:rFonts w:ascii="宋体" w:hAnsi="宋体"/>
      <w:sz w:val="24"/>
    </w:rPr>
  </w:style>
  <w:style w:type="paragraph" w:customStyle="1" w:styleId="165">
    <w:name w:val="Table Paragraph"/>
    <w:basedOn w:val="1"/>
    <w:autoRedefine/>
    <w:qFormat/>
    <w:uiPriority w:val="1"/>
    <w:rPr>
      <w:rFonts w:ascii="宋体" w:hAnsi="宋体" w:eastAsia="宋体" w:cs="宋体"/>
      <w:lang w:val="zh-CN" w:eastAsia="zh-CN" w:bidi="zh-CN"/>
    </w:rPr>
  </w:style>
  <w:style w:type="paragraph" w:customStyle="1" w:styleId="166">
    <w:name w:val="Body text|5"/>
    <w:basedOn w:val="1"/>
    <w:qFormat/>
    <w:uiPriority w:val="0"/>
    <w:pPr>
      <w:widowControl w:val="0"/>
      <w:shd w:val="clear" w:color="auto" w:fill="auto"/>
      <w:spacing w:line="391" w:lineRule="auto"/>
    </w:pPr>
    <w:rPr>
      <w:sz w:val="30"/>
      <w:szCs w:val="30"/>
      <w:u w:val="none"/>
      <w:shd w:val="clear" w:color="auto" w:fill="auto"/>
    </w:rPr>
  </w:style>
  <w:style w:type="paragraph" w:customStyle="1" w:styleId="167">
    <w:name w:val="Heading #3|1"/>
    <w:basedOn w:val="1"/>
    <w:qFormat/>
    <w:uiPriority w:val="0"/>
    <w:pPr>
      <w:widowControl w:val="0"/>
      <w:shd w:val="clear" w:color="auto" w:fill="auto"/>
      <w:spacing w:after="540"/>
      <w:jc w:val="center"/>
      <w:outlineLvl w:val="2"/>
    </w:pPr>
    <w:rPr>
      <w:rFonts w:ascii="宋体" w:hAnsi="宋体" w:eastAsia="宋体" w:cs="宋体"/>
      <w:sz w:val="34"/>
      <w:szCs w:val="34"/>
      <w:u w:val="none"/>
      <w:shd w:val="clear" w:color="auto" w:fill="auto"/>
      <w:lang w:val="zh-TW" w:eastAsia="zh-TW" w:bidi="zh-TW"/>
    </w:rPr>
  </w:style>
  <w:style w:type="paragraph" w:customStyle="1" w:styleId="168">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169">
    <w:name w:val="Heading #4|1"/>
    <w:basedOn w:val="1"/>
    <w:qFormat/>
    <w:uiPriority w:val="0"/>
    <w:pPr>
      <w:widowControl w:val="0"/>
      <w:shd w:val="clear" w:color="auto" w:fill="auto"/>
      <w:spacing w:after="240"/>
      <w:ind w:right="180" w:firstLine="160"/>
      <w:outlineLvl w:val="3"/>
    </w:pPr>
    <w:rPr>
      <w:rFonts w:ascii="宋体" w:hAnsi="宋体" w:eastAsia="宋体" w:cs="宋体"/>
      <w:sz w:val="28"/>
      <w:szCs w:val="28"/>
      <w:u w:val="none"/>
      <w:shd w:val="clear" w:color="auto" w:fill="FFFFFF"/>
    </w:rPr>
  </w:style>
  <w:style w:type="paragraph" w:customStyle="1" w:styleId="170">
    <w:name w:val="Body text|3"/>
    <w:basedOn w:val="1"/>
    <w:qFormat/>
    <w:uiPriority w:val="0"/>
    <w:pPr>
      <w:widowControl w:val="0"/>
      <w:shd w:val="clear" w:color="auto" w:fill="auto"/>
      <w:spacing w:line="590" w:lineRule="exact"/>
      <w:ind w:firstLine="540"/>
    </w:pPr>
    <w:rPr>
      <w:rFonts w:ascii="宋体" w:hAnsi="宋体" w:eastAsia="宋体" w:cs="宋体"/>
      <w:sz w:val="20"/>
      <w:szCs w:val="20"/>
      <w:u w:val="none"/>
      <w:shd w:val="clear" w:color="auto" w:fill="auto"/>
      <w:lang w:val="zh-TW" w:eastAsia="zh-TW" w:bidi="zh-TW"/>
    </w:rPr>
  </w:style>
  <w:style w:type="paragraph" w:customStyle="1" w:styleId="171">
    <w:name w:val="Heading #5|1"/>
    <w:basedOn w:val="1"/>
    <w:qFormat/>
    <w:uiPriority w:val="0"/>
    <w:pPr>
      <w:widowControl w:val="0"/>
      <w:shd w:val="clear" w:color="auto" w:fill="auto"/>
      <w:spacing w:line="590" w:lineRule="exact"/>
      <w:ind w:firstLine="560"/>
      <w:outlineLvl w:val="4"/>
    </w:pPr>
    <w:rPr>
      <w:sz w:val="28"/>
      <w:szCs w:val="28"/>
      <w:u w:val="none"/>
      <w:shd w:val="clear" w:color="auto" w:fill="auto"/>
      <w:lang w:val="zh-TW" w:eastAsia="zh-TW" w:bidi="zh-TW"/>
    </w:rPr>
  </w:style>
  <w:style w:type="paragraph" w:customStyle="1" w:styleId="172">
    <w:name w:val="Heading #6|1"/>
    <w:basedOn w:val="1"/>
    <w:qFormat/>
    <w:uiPriority w:val="0"/>
    <w:pPr>
      <w:widowControl w:val="0"/>
      <w:shd w:val="clear" w:color="auto" w:fill="auto"/>
      <w:outlineLvl w:val="5"/>
    </w:pPr>
    <w:rPr>
      <w:rFonts w:ascii="宋体" w:hAnsi="宋体" w:eastAsia="宋体" w:cs="宋体"/>
      <w:sz w:val="20"/>
      <w:szCs w:val="20"/>
      <w:u w:val="none"/>
      <w:shd w:val="clear" w:color="auto" w:fill="auto"/>
      <w:lang w:val="zh-TW" w:eastAsia="zh-TW" w:bidi="zh-TW"/>
    </w:rPr>
  </w:style>
  <w:style w:type="paragraph" w:customStyle="1" w:styleId="173">
    <w:name w:val="Heading #2|1"/>
    <w:basedOn w:val="1"/>
    <w:qFormat/>
    <w:uiPriority w:val="0"/>
    <w:pPr>
      <w:widowControl w:val="0"/>
      <w:shd w:val="clear" w:color="auto" w:fill="auto"/>
      <w:spacing w:after="520" w:line="557" w:lineRule="exact"/>
      <w:jc w:val="center"/>
      <w:outlineLvl w:val="1"/>
    </w:pPr>
    <w:rPr>
      <w:rFonts w:ascii="宋体" w:hAnsi="宋体" w:eastAsia="宋体" w:cs="宋体"/>
      <w:sz w:val="42"/>
      <w:szCs w:val="42"/>
      <w:u w:val="none"/>
      <w:shd w:val="clear" w:color="auto" w:fill="auto"/>
      <w:lang w:val="zh-TW" w:eastAsia="zh-TW" w:bidi="zh-TW"/>
    </w:rPr>
  </w:style>
  <w:style w:type="paragraph" w:customStyle="1" w:styleId="174">
    <w:name w:val="正文 New New New New"/>
    <w:qFormat/>
    <w:uiPriority w:val="0"/>
    <w:pPr>
      <w:widowControl w:val="0"/>
      <w:jc w:val="both"/>
    </w:pPr>
    <w:rPr>
      <w:rFonts w:ascii="Times New Roman" w:hAnsi="Times New Roman" w:eastAsia="宋体" w:cs="Times New Roman"/>
      <w:kern w:val="0"/>
      <w:sz w:val="20"/>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jtj</Company>
  <Pages>112</Pages>
  <Words>55138</Words>
  <Characters>61083</Characters>
  <Paragraphs>4236</Paragraphs>
  <TotalTime>126</TotalTime>
  <ScaleCrop>false</ScaleCrop>
  <LinksUpToDate>false</LinksUpToDate>
  <CharactersWithSpaces>66551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2016-11-02T04:42:00Z</dcterms:created>
  <dc:creator>user25</dc:creator>
  <cp:lastModifiedBy>刺眼的彩虹</cp:lastModifiedBy>
  <cp:lastPrinted>2023-10-19T03:56:00Z</cp:lastPrinted>
  <dcterms:modified xsi:type="dcterms:W3CDTF">2023-12-21T02:57:52Z</dcterms:modified>
  <dc:title>第一篇 投标邀请书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5F98BA635DC5445792EEA0228558C5A4_13</vt:lpwstr>
  </property>
</Properties>
</file>