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napToGrid w:val="0"/>
        <w:spacing w:line="360" w:lineRule="auto"/>
        <w:jc w:val="center"/>
        <w:outlineLvl w:val="0"/>
        <w:rPr>
          <w:rFonts w:hint="eastAsia" w:ascii="宋体" w:hAnsi="宋体" w:eastAsia="宋体" w:cs="宋体"/>
          <w:b/>
          <w:bCs/>
          <w:sz w:val="32"/>
          <w:szCs w:val="32"/>
          <w:highlight w:val="none"/>
          <w:lang w:val="en-US" w:eastAsia="zh-CN"/>
        </w:rPr>
      </w:pPr>
      <w:bookmarkStart w:id="0" w:name="_Toc7311"/>
      <w:bookmarkStart w:id="1" w:name="_Toc20363"/>
      <w:bookmarkStart w:id="2" w:name="_Toc9392"/>
      <w:bookmarkStart w:id="3" w:name="_Toc14960"/>
      <w:r>
        <w:rPr>
          <w:rFonts w:hint="eastAsia" w:ascii="宋体" w:hAnsi="宋体" w:cs="宋体"/>
          <w:b/>
          <w:bCs/>
          <w:color w:val="000000"/>
          <w:sz w:val="32"/>
          <w:szCs w:val="32"/>
          <w:highlight w:val="none"/>
          <w:lang w:val="zh-CN"/>
        </w:rPr>
        <w:t>采购内容及要求</w:t>
      </w:r>
      <w:bookmarkEnd w:id="0"/>
      <w:bookmarkEnd w:id="1"/>
      <w:bookmarkEnd w:id="2"/>
      <w:bookmarkEnd w:id="3"/>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0" w:firstLineChars="0"/>
        <w:jc w:val="both"/>
        <w:textAlignment w:val="auto"/>
        <w:rPr>
          <w:rFonts w:hint="default" w:ascii="宋体" w:hAnsi="宋体" w:eastAsia="宋体" w:cs="宋体"/>
          <w:b/>
          <w:bCs/>
          <w:color w:val="000000"/>
          <w:spacing w:val="0"/>
          <w:w w:val="100"/>
          <w:position w:val="0"/>
          <w:sz w:val="24"/>
          <w:szCs w:val="24"/>
          <w:highlight w:val="none"/>
          <w:lang w:val="en-US" w:eastAsia="zh-CN"/>
        </w:rPr>
      </w:pPr>
      <w:r>
        <w:rPr>
          <w:rFonts w:hint="eastAsia" w:ascii="宋体" w:hAnsi="宋体" w:eastAsia="宋体" w:cs="宋体"/>
          <w:b/>
          <w:bCs/>
          <w:color w:val="000000"/>
          <w:spacing w:val="0"/>
          <w:w w:val="100"/>
          <w:position w:val="0"/>
          <w:sz w:val="24"/>
          <w:szCs w:val="24"/>
          <w:highlight w:val="none"/>
          <w:lang w:val="en-US" w:eastAsia="zh-CN" w:bidi="en-US"/>
        </w:rPr>
        <w:t>一、</w:t>
      </w:r>
      <w:r>
        <w:rPr>
          <w:rFonts w:hint="eastAsia" w:cs="宋体"/>
          <w:b/>
          <w:bCs/>
          <w:color w:val="000000"/>
          <w:spacing w:val="0"/>
          <w:w w:val="100"/>
          <w:position w:val="0"/>
          <w:sz w:val="24"/>
          <w:szCs w:val="24"/>
          <w:highlight w:val="none"/>
          <w:lang w:val="en-US" w:eastAsia="zh-CN"/>
        </w:rPr>
        <w:t>项目概况：</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left="0" w:leftChars="0" w:right="0" w:firstLine="480" w:firstLineChars="200"/>
        <w:jc w:val="both"/>
        <w:textAlignment w:val="auto"/>
        <w:rPr>
          <w:rFonts w:hint="default" w:ascii="宋体" w:hAnsi="宋体" w:eastAsia="宋体" w:cs="宋体"/>
          <w:b w:val="0"/>
          <w:bCs w:val="0"/>
          <w:color w:val="000000"/>
          <w:spacing w:val="0"/>
          <w:w w:val="100"/>
          <w:position w:val="0"/>
          <w:sz w:val="24"/>
          <w:szCs w:val="24"/>
          <w:highlight w:val="none"/>
          <w:lang w:val="en-US" w:eastAsia="zh-CN"/>
        </w:rPr>
      </w:pPr>
      <w:r>
        <w:rPr>
          <w:rFonts w:hint="eastAsia" w:ascii="宋体" w:hAnsi="宋体" w:eastAsia="宋体" w:cs="宋体"/>
          <w:b w:val="0"/>
          <w:bCs w:val="0"/>
          <w:color w:val="000000"/>
          <w:spacing w:val="0"/>
          <w:w w:val="100"/>
          <w:position w:val="0"/>
          <w:sz w:val="24"/>
          <w:szCs w:val="24"/>
          <w:highlight w:val="none"/>
          <w:lang w:val="en-US" w:eastAsia="zh-CN"/>
        </w:rPr>
        <w:t>根据</w:t>
      </w:r>
      <w:r>
        <w:rPr>
          <w:rFonts w:hint="eastAsia" w:cs="宋体"/>
          <w:b w:val="0"/>
          <w:bCs w:val="0"/>
          <w:color w:val="000000"/>
          <w:spacing w:val="0"/>
          <w:w w:val="100"/>
          <w:position w:val="0"/>
          <w:sz w:val="24"/>
          <w:szCs w:val="24"/>
          <w:highlight w:val="none"/>
          <w:lang w:val="en-US" w:eastAsia="zh-CN"/>
        </w:rPr>
        <w:t>长安区住房和城乡建设局</w:t>
      </w:r>
      <w:r>
        <w:rPr>
          <w:rFonts w:hint="eastAsia" w:ascii="宋体" w:hAnsi="宋体" w:eastAsia="宋体" w:cs="宋体"/>
          <w:b w:val="0"/>
          <w:bCs w:val="0"/>
          <w:color w:val="000000"/>
          <w:spacing w:val="0"/>
          <w:w w:val="100"/>
          <w:position w:val="0"/>
          <w:sz w:val="24"/>
          <w:szCs w:val="24"/>
          <w:highlight w:val="none"/>
          <w:lang w:val="en-US" w:eastAsia="zh-CN"/>
        </w:rPr>
        <w:t>要求对全区列入高烈度区抗震改造试点的既有农房进行抗震安全调查，包</w:t>
      </w:r>
      <w:bookmarkStart w:id="4" w:name="_GoBack"/>
      <w:bookmarkEnd w:id="4"/>
      <w:r>
        <w:rPr>
          <w:rFonts w:hint="eastAsia" w:ascii="宋体" w:hAnsi="宋体" w:eastAsia="宋体" w:cs="宋体"/>
          <w:b w:val="0"/>
          <w:bCs w:val="0"/>
          <w:color w:val="000000"/>
          <w:spacing w:val="0"/>
          <w:w w:val="100"/>
          <w:position w:val="0"/>
          <w:sz w:val="24"/>
          <w:szCs w:val="24"/>
          <w:highlight w:val="none"/>
          <w:lang w:val="en-US" w:eastAsia="zh-CN"/>
        </w:rPr>
        <w:t>括房屋建造年代、建筑材料、结构类型、主体结构损伤变形及房屋维护情况等。在此基础上逐户进行抗震鉴定，提交鉴定报告。对抗震不达标的农房，按照“一户一策”，进行加固改造设计，并给出加固改造工程设计预算。对试点村的农房，由于加固改造影响建筑原有风貌时，应对建筑风貌进行修复设计，对部分环境杂乱的庭院进行方案设计。</w:t>
      </w:r>
      <w:r>
        <w:rPr>
          <w:rFonts w:hint="eastAsia" w:cs="宋体"/>
          <w:b w:val="0"/>
          <w:bCs w:val="0"/>
          <w:color w:val="000000"/>
          <w:spacing w:val="0"/>
          <w:w w:val="100"/>
          <w:position w:val="0"/>
          <w:sz w:val="24"/>
          <w:szCs w:val="24"/>
          <w:highlight w:val="none"/>
          <w:lang w:val="en-US" w:eastAsia="zh-CN"/>
        </w:rPr>
        <w:t>项目服务完成后需提供相关成果文件及竣工图纸。</w:t>
      </w:r>
    </w:p>
    <w:p>
      <w:pPr>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right="0"/>
        <w:jc w:val="both"/>
        <w:textAlignment w:val="auto"/>
        <w:rPr>
          <w:rFonts w:hint="eastAsia" w:ascii="宋体" w:hAnsi="宋体" w:eastAsia="宋体" w:cs="宋体"/>
          <w:b/>
          <w:bCs w:val="0"/>
          <w:kern w:val="2"/>
          <w:sz w:val="24"/>
          <w:szCs w:val="24"/>
          <w:highlight w:val="none"/>
          <w:lang w:val="en-US" w:eastAsia="zh-CN" w:bidi="ar"/>
        </w:rPr>
      </w:pPr>
      <w:r>
        <w:rPr>
          <w:rFonts w:hint="eastAsia" w:ascii="宋体" w:hAnsi="宋体" w:eastAsia="宋体" w:cs="宋体"/>
          <w:b/>
          <w:sz w:val="24"/>
          <w:szCs w:val="24"/>
          <w:highlight w:val="none"/>
          <w:lang w:val="en-US" w:eastAsia="zh-CN"/>
        </w:rPr>
        <w:t>二、</w:t>
      </w:r>
      <w:r>
        <w:rPr>
          <w:rFonts w:hint="eastAsia" w:ascii="宋体" w:hAnsi="宋体" w:cs="宋体"/>
          <w:b/>
          <w:bCs w:val="0"/>
          <w:kern w:val="2"/>
          <w:sz w:val="24"/>
          <w:szCs w:val="24"/>
          <w:highlight w:val="none"/>
          <w:lang w:val="en-US" w:eastAsia="zh-CN" w:bidi="ar"/>
        </w:rPr>
        <w:t>服务</w:t>
      </w:r>
      <w:r>
        <w:rPr>
          <w:rFonts w:hint="eastAsia" w:ascii="宋体" w:hAnsi="宋体" w:eastAsia="宋体" w:cs="宋体"/>
          <w:b/>
          <w:bCs w:val="0"/>
          <w:kern w:val="2"/>
          <w:sz w:val="24"/>
          <w:szCs w:val="24"/>
          <w:highlight w:val="none"/>
          <w:lang w:val="en-US" w:eastAsia="zh-CN" w:bidi="ar"/>
        </w:rPr>
        <w:t>内容</w:t>
      </w:r>
      <w:r>
        <w:rPr>
          <w:rFonts w:hint="eastAsia" w:ascii="宋体" w:hAnsi="宋体" w:cs="宋体"/>
          <w:b/>
          <w:bCs w:val="0"/>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kern w:val="2"/>
          <w:sz w:val="24"/>
          <w:szCs w:val="24"/>
          <w:highlight w:val="none"/>
          <w:lang w:val="en-US" w:eastAsia="zh-CN" w:bidi="ar"/>
        </w:rPr>
      </w:pPr>
      <w:r>
        <w:rPr>
          <w:rFonts w:hint="eastAsia" w:ascii="宋体" w:hAnsi="宋体" w:eastAsia="宋体" w:cs="宋体"/>
          <w:b w:val="0"/>
          <w:bCs/>
          <w:kern w:val="2"/>
          <w:sz w:val="24"/>
          <w:szCs w:val="24"/>
          <w:highlight w:val="none"/>
          <w:lang w:val="en-US" w:eastAsia="zh-CN" w:bidi="ar"/>
        </w:rPr>
        <w:t>为</w:t>
      </w:r>
      <w:r>
        <w:rPr>
          <w:rFonts w:hint="eastAsia" w:ascii="宋体" w:hAnsi="宋体" w:eastAsia="宋体" w:cs="宋体"/>
          <w:kern w:val="2"/>
          <w:sz w:val="24"/>
          <w:szCs w:val="24"/>
          <w:highlight w:val="none"/>
          <w:lang w:val="en-US" w:eastAsia="zh-CN" w:bidi="ar"/>
        </w:rPr>
        <w:t>西安市长安区</w:t>
      </w:r>
      <w:r>
        <w:rPr>
          <w:rFonts w:hint="eastAsia" w:ascii="宋体" w:hAnsi="宋体" w:cs="宋体"/>
          <w:kern w:val="2"/>
          <w:sz w:val="24"/>
          <w:szCs w:val="24"/>
          <w:highlight w:val="none"/>
          <w:lang w:val="en-US" w:eastAsia="zh-CN" w:bidi="ar"/>
        </w:rPr>
        <w:t>共</w:t>
      </w:r>
      <w:r>
        <w:rPr>
          <w:rFonts w:hint="eastAsia" w:ascii="宋体" w:hAnsi="宋体" w:eastAsia="宋体" w:cs="宋体"/>
          <w:kern w:val="2"/>
          <w:sz w:val="24"/>
          <w:szCs w:val="24"/>
          <w:highlight w:val="none"/>
          <w:lang w:val="en-US" w:eastAsia="zh-CN" w:bidi="ar"/>
        </w:rPr>
        <w:t>200户农房提供抗震鉴定、加固改造设计与技术服务</w:t>
      </w:r>
      <w:r>
        <w:rPr>
          <w:rFonts w:hint="eastAsia" w:ascii="宋体" w:hAnsi="宋体" w:cs="宋体"/>
          <w:kern w:val="2"/>
          <w:sz w:val="24"/>
          <w:szCs w:val="24"/>
          <w:highlight w:val="none"/>
          <w:lang w:val="en-US" w:eastAsia="zh-CN" w:bidi="ar"/>
        </w:rPr>
        <w:t>，并提供相关成果文件及竣工图纸。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lang w:eastAsia="zh-CN"/>
        </w:rPr>
        <w:t>、</w:t>
      </w:r>
      <w:r>
        <w:rPr>
          <w:rFonts w:hint="eastAsia" w:ascii="宋体" w:hAnsi="宋体" w:cs="宋体"/>
          <w:b/>
          <w:sz w:val="24"/>
          <w:szCs w:val="24"/>
          <w:highlight w:val="none"/>
          <w:lang w:val="en-US" w:eastAsia="zh-CN"/>
        </w:rPr>
        <w:t>技术要求</w:t>
      </w:r>
      <w:r>
        <w:rPr>
          <w:rFonts w:hint="eastAsia" w:ascii="宋体" w:hAnsi="宋体" w:eastAsia="宋体" w:cs="宋体"/>
          <w:b/>
          <w:sz w:val="24"/>
          <w:szCs w:val="24"/>
          <w:highlight w:val="none"/>
          <w:lang w:eastAsia="zh-CN"/>
        </w:rPr>
        <w:t>：</w:t>
      </w:r>
    </w:p>
    <w:p>
      <w:pPr>
        <w:pStyle w:val="5"/>
        <w:keepNext w:val="0"/>
        <w:keepLines w:val="0"/>
        <w:pageBreakBefore w:val="0"/>
        <w:widowControl w:val="0"/>
        <w:kinsoku/>
        <w:wordWrap/>
        <w:overflowPunct/>
        <w:topLinePunct w:val="0"/>
        <w:autoSpaceDE/>
        <w:autoSpaceDN/>
        <w:bidi w:val="0"/>
        <w:spacing w:afterLines="0" w:line="360" w:lineRule="auto"/>
        <w:textAlignment w:val="auto"/>
        <w:rPr>
          <w:rFonts w:hint="eastAsia" w:cs="宋体"/>
          <w:b w:val="0"/>
          <w:bCs/>
          <w:sz w:val="24"/>
          <w:szCs w:val="24"/>
          <w:highlight w:val="none"/>
          <w:lang w:val="en-US" w:eastAsia="zh-CN"/>
        </w:rPr>
      </w:pPr>
      <w:r>
        <w:rPr>
          <w:rFonts w:hint="eastAsia" w:cs="宋体"/>
          <w:b w:val="0"/>
          <w:bCs/>
          <w:sz w:val="24"/>
          <w:szCs w:val="24"/>
          <w:highlight w:val="none"/>
          <w:lang w:val="en-US" w:eastAsia="zh-CN"/>
        </w:rPr>
        <w:t>对全区列入高烈度区抗震改造试点的既有农房进行抗震安全调查，包括房屋建造年代、建筑材料、结构类型、主体结构损伤变形及房屋维护情况等，对抗震不达标的农房，进行加固改造设计。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JiNTk1MTkzOGNmNTc4MTRlMjY0N2M5MGJlZDQifQ=="/>
  </w:docVars>
  <w:rsids>
    <w:rsidRoot w:val="711C20FE"/>
    <w:rsid w:val="711C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1"/>
    <w:pPr>
      <w:spacing w:after="120"/>
    </w:pPr>
  </w:style>
  <w:style w:type="paragraph" w:styleId="4">
    <w:name w:val="Date"/>
    <w:basedOn w:val="1"/>
    <w:next w:val="1"/>
    <w:qFormat/>
    <w:uiPriority w:val="0"/>
    <w:rPr>
      <w:rFonts w:ascii="Copperplate Gothic Bold" w:hAnsi="Copperplate Gothic Bold"/>
      <w:sz w:val="32"/>
    </w:rPr>
  </w:style>
  <w:style w:type="paragraph" w:styleId="5">
    <w:name w:val="Body Text Indent"/>
    <w:basedOn w:val="1"/>
    <w:next w:val="3"/>
    <w:qFormat/>
    <w:uiPriority w:val="99"/>
    <w:pPr>
      <w:spacing w:afterLines="50" w:line="360" w:lineRule="exact"/>
      <w:ind w:firstLine="480" w:firstLineChars="200"/>
    </w:pPr>
    <w:rPr>
      <w:rFonts w:ascii="宋体" w:hAnsi="宋体"/>
      <w:szCs w:val="24"/>
    </w:rPr>
  </w:style>
  <w:style w:type="paragraph" w:customStyle="1" w:styleId="8">
    <w:name w:val="Body text|1"/>
    <w:basedOn w:val="1"/>
    <w:qFormat/>
    <w:uiPriority w:val="0"/>
    <w:pPr>
      <w:spacing w:line="480" w:lineRule="auto"/>
      <w:ind w:firstLine="400"/>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2023-03-28T03:20:00Z</dcterms:created>
  <dc:creator>acer</dc:creator>
  <cp:lastModifiedBy>acer</cp:lastModifiedBy>
  <dcterms:modified xsi:type="dcterms:W3CDTF">2023-03-28T03:21:15Z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41843A9D0400423486BA14BAED196BA9</vt:lpwstr>
  </property>
</Properties>
</file>