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-733425</wp:posOffset>
            </wp:positionH>
            <wp:positionV relativeFrom="paragraph">
              <wp:posOffset>-681990</wp:posOffset>
            </wp:positionV>
            <wp:extent cx="7203440" cy="10064750"/>
            <wp:effectExtent l="0" t="0" r="0" b="0"/>
            <wp:wrapNone/>
            <wp:docPr id="1" name="图片 1" descr="ced0b8098294380fb167705d1389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d0b8098294380fb167705d138964c"/>
                    <pic:cNvPicPr>
                      <a:picLocks noChangeAspect="1"/>
                    </pic:cNvPicPr>
                  </pic:nvPicPr>
                  <pic:blipFill>
                    <a:blip r:embed="rId9"/>
                    <a:srcRect b="558"/>
                    <a:stretch>
                      <a:fillRect/>
                    </a:stretch>
                  </pic:blipFill>
                  <pic:spPr>
                    <a:xfrm>
                      <a:off x="0" y="0"/>
                      <a:ext cx="7203440" cy="10064750"/>
                    </a:xfrm>
                    <a:prstGeom prst="rect">
                      <a:avLst/>
                    </a:prstGeom>
                  </pic:spPr>
                </pic:pic>
              </a:graphicData>
            </a:graphic>
          </wp:anchor>
        </w:drawing>
      </w:r>
    </w:p>
    <w:p>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2"/>
          <w:szCs w:val="32"/>
          <w:highlight w:val="none"/>
        </w:rPr>
        <w:t>项目编号：</w:t>
      </w:r>
      <w:r>
        <w:rPr>
          <w:rFonts w:hint="eastAsia" w:ascii="仿宋" w:hAnsi="仿宋" w:eastAsia="仿宋" w:cs="仿宋"/>
          <w:b/>
          <w:bCs/>
          <w:color w:val="auto"/>
          <w:sz w:val="32"/>
          <w:szCs w:val="32"/>
          <w:highlight w:val="none"/>
          <w:lang w:eastAsia="zh-CN"/>
        </w:rPr>
        <w:t>HXGJXM2023-ZC-CS1017</w:t>
      </w:r>
    </w:p>
    <w:p>
      <w:pPr>
        <w:rPr>
          <w:rFonts w:hint="eastAsia" w:ascii="仿宋" w:hAnsi="仿宋" w:eastAsia="仿宋" w:cs="仿宋"/>
          <w:b/>
          <w:bCs/>
          <w:color w:val="auto"/>
          <w:sz w:val="36"/>
          <w:szCs w:val="36"/>
          <w:highlight w:val="none"/>
        </w:rPr>
      </w:pPr>
    </w:p>
    <w:p>
      <w:pPr>
        <w:rPr>
          <w:rFonts w:hint="eastAsia" w:ascii="仿宋" w:hAnsi="仿宋" w:eastAsia="仿宋" w:cs="仿宋"/>
          <w:b/>
          <w:bCs/>
          <w:color w:val="auto"/>
          <w:sz w:val="70"/>
          <w:szCs w:val="70"/>
          <w:highlight w:val="none"/>
        </w:rPr>
      </w:pPr>
    </w:p>
    <w:p>
      <w:pPr>
        <w:spacing w:line="72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长安区五台街道新农村、华家新村、星火村、石砭峪新村安全饮水巩固</w:t>
      </w:r>
    </w:p>
    <w:p>
      <w:pPr>
        <w:spacing w:line="72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提升项目</w:t>
      </w:r>
    </w:p>
    <w:p>
      <w:pPr>
        <w:jc w:val="center"/>
        <w:rPr>
          <w:rFonts w:hint="eastAsia" w:ascii="仿宋" w:hAnsi="仿宋" w:eastAsia="仿宋" w:cs="仿宋"/>
          <w:b/>
          <w:bCs/>
          <w:color w:val="auto"/>
          <w:sz w:val="36"/>
          <w:szCs w:val="36"/>
          <w:highlight w:val="none"/>
        </w:rPr>
      </w:pPr>
    </w:p>
    <w:p>
      <w:pPr>
        <w:jc w:val="center"/>
        <w:rPr>
          <w:rFonts w:hint="eastAsia" w:ascii="仿宋" w:hAnsi="仿宋" w:eastAsia="仿宋" w:cs="仿宋"/>
          <w:b/>
          <w:bCs/>
          <w:color w:val="auto"/>
          <w:sz w:val="36"/>
          <w:szCs w:val="36"/>
          <w:highlight w:val="none"/>
        </w:rPr>
      </w:pPr>
    </w:p>
    <w:p>
      <w:pPr>
        <w:jc w:val="center"/>
        <w:rPr>
          <w:rFonts w:hint="eastAsia" w:ascii="仿宋" w:hAnsi="仿宋" w:eastAsia="仿宋" w:cs="仿宋"/>
          <w:b/>
          <w:bCs/>
          <w:color w:val="auto"/>
          <w:sz w:val="32"/>
          <w:szCs w:val="32"/>
          <w:highlight w:val="none"/>
        </w:rPr>
      </w:pPr>
    </w:p>
    <w:p>
      <w:pPr>
        <w:spacing w:line="780" w:lineRule="auto"/>
        <w:jc w:val="center"/>
        <w:rPr>
          <w:rFonts w:hint="eastAsia" w:ascii="仿宋" w:hAnsi="仿宋" w:eastAsia="仿宋" w:cs="仿宋"/>
          <w:b/>
          <w:color w:val="auto"/>
          <w:sz w:val="56"/>
          <w:szCs w:val="56"/>
          <w:highlight w:val="none"/>
          <w:lang w:eastAsia="zh-CN"/>
        </w:rPr>
      </w:pPr>
      <w:bookmarkStart w:id="0" w:name="_Toc363463325"/>
      <w:r>
        <w:rPr>
          <w:rFonts w:hint="eastAsia" w:ascii="仿宋" w:hAnsi="仿宋" w:eastAsia="仿宋" w:cs="仿宋"/>
          <w:b/>
          <w:color w:val="auto"/>
          <w:sz w:val="56"/>
          <w:szCs w:val="56"/>
          <w:highlight w:val="none"/>
          <w:lang w:eastAsia="zh-CN"/>
        </w:rPr>
        <w:t>竞争性磋商文件</w:t>
      </w:r>
    </w:p>
    <w:p>
      <w:pPr>
        <w:jc w:val="center"/>
        <w:rPr>
          <w:rFonts w:hint="eastAsia" w:ascii="仿宋" w:hAnsi="仿宋" w:eastAsia="仿宋" w:cs="仿宋"/>
          <w:b/>
          <w:bCs/>
          <w:color w:val="auto"/>
          <w:sz w:val="96"/>
          <w:szCs w:val="96"/>
          <w:highlight w:val="none"/>
        </w:rPr>
      </w:pPr>
    </w:p>
    <w:bookmarkEnd w:id="0"/>
    <w:p>
      <w:pPr>
        <w:rPr>
          <w:rFonts w:hint="eastAsia" w:ascii="仿宋" w:hAnsi="仿宋" w:eastAsia="仿宋" w:cs="仿宋"/>
          <w:color w:val="auto"/>
          <w:sz w:val="18"/>
          <w:szCs w:val="18"/>
          <w:highlight w:val="none"/>
        </w:rPr>
      </w:pPr>
    </w:p>
    <w:p>
      <w:pPr>
        <w:rPr>
          <w:rFonts w:hint="eastAsia" w:ascii="仿宋" w:hAnsi="仿宋" w:eastAsia="仿宋" w:cs="仿宋"/>
          <w:color w:val="auto"/>
          <w:sz w:val="18"/>
          <w:szCs w:val="18"/>
          <w:highlight w:val="none"/>
        </w:rPr>
      </w:pPr>
    </w:p>
    <w:p>
      <w:pPr>
        <w:rPr>
          <w:rFonts w:hint="eastAsia" w:ascii="仿宋" w:hAnsi="仿宋" w:eastAsia="仿宋" w:cs="仿宋"/>
          <w:color w:val="auto"/>
          <w:sz w:val="18"/>
          <w:szCs w:val="18"/>
          <w:highlight w:val="none"/>
        </w:rPr>
      </w:pPr>
    </w:p>
    <w:p>
      <w:pPr>
        <w:rPr>
          <w:rFonts w:hint="eastAsia" w:ascii="仿宋" w:hAnsi="仿宋" w:eastAsia="仿宋" w:cs="仿宋"/>
          <w:color w:val="auto"/>
          <w:sz w:val="18"/>
          <w:szCs w:val="18"/>
          <w:highlight w:val="none"/>
        </w:rPr>
      </w:pPr>
    </w:p>
    <w:p>
      <w:pPr>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华夏国际项目管理有限公司</w:t>
      </w:r>
    </w:p>
    <w:p>
      <w:pPr>
        <w:tabs>
          <w:tab w:val="left" w:pos="525"/>
        </w:tabs>
        <w:ind w:left="-2" w:leftChars="-1" w:firstLine="1"/>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w:t>
      </w:r>
      <w:r>
        <w:rPr>
          <w:rFonts w:hint="eastAsia" w:ascii="仿宋" w:hAnsi="仿宋" w:eastAsia="仿宋" w:cs="仿宋"/>
          <w:b/>
          <w:bCs/>
          <w:color w:val="auto"/>
          <w:sz w:val="32"/>
          <w:szCs w:val="32"/>
          <w:highlight w:val="none"/>
          <w:lang w:eastAsia="zh-CN"/>
        </w:rPr>
        <w:t>二</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月</w:t>
      </w:r>
    </w:p>
    <w:p>
      <w:pPr>
        <w:spacing w:line="800" w:lineRule="exact"/>
        <w:jc w:val="center"/>
        <w:rPr>
          <w:rFonts w:hint="eastAsia" w:ascii="仿宋" w:hAnsi="仿宋" w:eastAsia="仿宋" w:cs="仿宋"/>
          <w:b/>
          <w:bCs/>
          <w:color w:val="auto"/>
          <w:sz w:val="32"/>
          <w:szCs w:val="32"/>
          <w:highlight w:val="none"/>
        </w:rPr>
      </w:pPr>
    </w:p>
    <w:p>
      <w:pPr>
        <w:rPr>
          <w:rFonts w:hint="eastAsia" w:ascii="仿宋" w:hAnsi="仿宋" w:eastAsia="仿宋" w:cs="仿宋"/>
          <w:b/>
          <w:bCs/>
          <w:color w:val="auto"/>
          <w:sz w:val="36"/>
          <w:szCs w:val="36"/>
          <w:highlight w:val="none"/>
        </w:rPr>
      </w:pPr>
      <w:bookmarkStart w:id="1" w:name="_Toc389582033"/>
      <w:bookmarkStart w:id="2" w:name="_Toc20652"/>
      <w:bookmarkStart w:id="3" w:name="_Toc16218"/>
      <w:bookmarkStart w:id="4" w:name="_Toc5293"/>
      <w:bookmarkStart w:id="5" w:name="_Toc20858"/>
      <w:bookmarkStart w:id="6" w:name="_Toc19886"/>
      <w:bookmarkStart w:id="7" w:name="_Toc438073527"/>
      <w:bookmarkStart w:id="8" w:name="_Toc21518"/>
      <w:r>
        <w:rPr>
          <w:rFonts w:hint="eastAsia" w:ascii="仿宋" w:hAnsi="仿宋" w:eastAsia="仿宋" w:cs="仿宋"/>
          <w:b/>
          <w:bCs/>
          <w:color w:val="auto"/>
          <w:sz w:val="36"/>
          <w:szCs w:val="36"/>
          <w:highlight w:val="none"/>
        </w:rPr>
        <w:br w:type="page"/>
      </w:r>
    </w:p>
    <w:p>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特别提示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，在此我们特别提醒您注意以下事项：</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有关</w:t>
      </w:r>
      <w:r>
        <w:rPr>
          <w:rFonts w:hint="eastAsia" w:ascii="仿宋" w:hAnsi="仿宋" w:eastAsia="仿宋" w:cs="仿宋"/>
          <w:b/>
          <w:bCs/>
          <w:color w:val="auto"/>
          <w:sz w:val="24"/>
          <w:szCs w:val="24"/>
          <w:highlight w:val="none"/>
          <w:lang w:eastAsia="zh-CN"/>
        </w:rPr>
        <w:t>磋商响应</w:t>
      </w:r>
      <w:r>
        <w:rPr>
          <w:rFonts w:hint="eastAsia" w:ascii="仿宋" w:hAnsi="仿宋" w:eastAsia="仿宋" w:cs="仿宋"/>
          <w:b/>
          <w:bCs/>
          <w:color w:val="auto"/>
          <w:sz w:val="24"/>
          <w:szCs w:val="24"/>
          <w:highlight w:val="none"/>
        </w:rPr>
        <w:t>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、请</w:t>
      </w:r>
      <w:r>
        <w:rPr>
          <w:rFonts w:hint="eastAsia" w:ascii="仿宋" w:hAnsi="仿宋" w:eastAsia="仿宋" w:cs="仿宋"/>
          <w:b w:val="0"/>
          <w:bCs w:val="0"/>
          <w:color w:val="auto"/>
          <w:sz w:val="24"/>
          <w:szCs w:val="24"/>
          <w:highlight w:val="none"/>
        </w:rPr>
        <w:t>仔细阅读</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文件并正确理解</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文件中各项具体要求。如对</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文件有疑问，请在</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文件规定的时间内以书面形式提出，逾期将被</w:t>
      </w:r>
      <w:r>
        <w:rPr>
          <w:rFonts w:hint="eastAsia" w:ascii="仿宋" w:hAnsi="仿宋" w:eastAsia="仿宋" w:cs="仿宋"/>
          <w:b w:val="0"/>
          <w:bCs w:val="0"/>
          <w:color w:val="auto"/>
          <w:sz w:val="24"/>
          <w:szCs w:val="24"/>
          <w:highlight w:val="none"/>
          <w:lang w:eastAsia="zh-CN"/>
        </w:rPr>
        <w:t>拒绝</w:t>
      </w:r>
      <w:r>
        <w:rPr>
          <w:rFonts w:hint="eastAsia" w:ascii="仿宋" w:hAnsi="仿宋" w:eastAsia="仿宋" w:cs="仿宋"/>
          <w:b w:val="0"/>
          <w:bCs w:val="0"/>
          <w:color w:val="auto"/>
          <w:sz w:val="24"/>
          <w:szCs w:val="24"/>
          <w:highlight w:val="none"/>
        </w:rPr>
        <w:t>受理。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2、请严格按照</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文件载明的</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文件的格式要求编制</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文件须胶装成册</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3、请仔细核对</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文件是否已按照</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文件的要求签字、签章和加盖单位公章，实质性条款是否满足</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文件中所附资格证明等资料是否齐全、有效且是否满足</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4、请您按照</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文件要求密封</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文件，并正确标记</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提示：</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文件若不满足以上条件将有被否决的风险</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二、有关</w:t>
      </w:r>
      <w:r>
        <w:rPr>
          <w:rFonts w:hint="eastAsia" w:ascii="仿宋" w:hAnsi="仿宋" w:eastAsia="仿宋" w:cs="仿宋"/>
          <w:b/>
          <w:bCs/>
          <w:color w:val="auto"/>
          <w:sz w:val="24"/>
          <w:szCs w:val="24"/>
          <w:highlight w:val="none"/>
          <w:lang w:eastAsia="zh-CN"/>
        </w:rPr>
        <w:t>磋商：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除磋商文件要求递交的文件和资料外，</w:t>
      </w:r>
      <w:r>
        <w:rPr>
          <w:rFonts w:hint="eastAsia" w:ascii="仿宋" w:hAnsi="仿宋" w:eastAsia="仿宋" w:cs="仿宋"/>
          <w:b w:val="0"/>
          <w:bCs w:val="0"/>
          <w:color w:val="auto"/>
          <w:sz w:val="24"/>
          <w:szCs w:val="24"/>
          <w:highlight w:val="none"/>
        </w:rPr>
        <w:t>请随身携带</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文件要求提供的其他备查文件原件。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2、请务必考虑天气情况、交通情况以及您对</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地址的路线熟悉等情况于</w:t>
      </w:r>
      <w:r>
        <w:rPr>
          <w:rFonts w:hint="eastAsia" w:ascii="仿宋" w:hAnsi="仿宋" w:eastAsia="仿宋" w:cs="仿宋"/>
          <w:b w:val="0"/>
          <w:bCs w:val="0"/>
          <w:color w:val="auto"/>
          <w:sz w:val="24"/>
          <w:szCs w:val="24"/>
          <w:highlight w:val="none"/>
          <w:lang w:val="en-US" w:eastAsia="zh-CN"/>
        </w:rPr>
        <w:t>磋商公告规定的时间及地点</w:t>
      </w:r>
      <w:r>
        <w:rPr>
          <w:rFonts w:hint="eastAsia" w:ascii="仿宋" w:hAnsi="仿宋" w:eastAsia="仿宋" w:cs="仿宋"/>
          <w:b w:val="0"/>
          <w:bCs w:val="0"/>
          <w:color w:val="auto"/>
          <w:sz w:val="24"/>
          <w:szCs w:val="24"/>
          <w:highlight w:val="none"/>
        </w:rPr>
        <w:t>递交</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文件逾期到达，将被拒绝接收。</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3、各供应商限派一名代表（法定代表人或授权代表）参加磋商活动。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、请到达文件递交地点后及时到</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文件接收处签字登记</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、关于弃标的说明</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按照《西安市财政局关于促进政府采购公平竞争优化营商环境的通知》（市财函〔2021) 431号）规定：供应商登记免费领取磋商文件的，如不参与项目磋商，应在递交磋商响应文件截止时间前一日以书面形式告知釆购代理机构。否则，采购代理机构可以向财政部门反映情况并提供相应的佐证。供应商一年内累计出现三次该情形，将被监管部门记录为失信行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四、关于供应商注册登记提醒：</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请各</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仔细</w:t>
      </w:r>
      <w:r>
        <w:rPr>
          <w:rFonts w:hint="eastAsia" w:ascii="仿宋" w:hAnsi="仿宋" w:eastAsia="仿宋" w:cs="仿宋"/>
          <w:b/>
          <w:bCs/>
          <w:color w:val="auto"/>
          <w:sz w:val="24"/>
          <w:szCs w:val="24"/>
          <w:highlight w:val="none"/>
          <w:lang w:eastAsia="zh-CN"/>
        </w:rPr>
        <w:t>阅</w:t>
      </w:r>
      <w:r>
        <w:rPr>
          <w:rFonts w:hint="eastAsia" w:ascii="仿宋" w:hAnsi="仿宋" w:eastAsia="仿宋" w:cs="仿宋"/>
          <w:b/>
          <w:bCs/>
          <w:color w:val="auto"/>
          <w:sz w:val="24"/>
          <w:szCs w:val="24"/>
          <w:highlight w:val="none"/>
        </w:rPr>
        <w:t>读上述提示。如需帮助，请您与我们的工作人员联系</w:t>
      </w:r>
      <w:r>
        <w:rPr>
          <w:rFonts w:hint="eastAsia" w:ascii="仿宋" w:hAnsi="仿宋" w:eastAsia="仿宋" w:cs="仿宋"/>
          <w:b/>
          <w:bCs/>
          <w:color w:val="auto"/>
          <w:sz w:val="24"/>
          <w:szCs w:val="24"/>
          <w:highlight w:val="none"/>
          <w:lang w:eastAsia="zh-CN"/>
        </w:rPr>
        <w:t>，我们将非常高兴地为您服务。</w:t>
      </w:r>
    </w:p>
    <w:p>
      <w:pPr>
        <w:jc w:val="center"/>
        <w:rPr>
          <w:rFonts w:hint="eastAsia" w:ascii="仿宋" w:hAnsi="仿宋" w:eastAsia="仿宋" w:cs="仿宋"/>
          <w:b/>
          <w:bCs/>
          <w:color w:val="auto"/>
          <w:sz w:val="44"/>
          <w:szCs w:val="44"/>
          <w:highlight w:val="none"/>
        </w:rPr>
        <w:sectPr>
          <w:headerReference r:id="rId3" w:type="default"/>
          <w:footerReference r:id="rId4" w:type="default"/>
          <w:pgSz w:w="11906" w:h="16838"/>
          <w:pgMar w:top="1417" w:right="1417" w:bottom="1417" w:left="1417" w:header="851" w:footer="992" w:gutter="0"/>
          <w:pgNumType w:fmt="decimal"/>
          <w:cols w:space="0" w:num="1"/>
          <w:rtlGutter w:val="0"/>
          <w:docGrid w:type="lines" w:linePitch="312" w:charSpace="0"/>
        </w:sect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目</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录</w:t>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"1-3" \h \u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_Toc10815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第一章</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rPr>
        <w:t>竞争性磋商公告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_Toc10815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_Toc12054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供应商须知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_Toc12054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_Toc10644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评审方法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_Toc10644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_Toc4006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_Toc4006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_Toc9746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工程量清单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_Toc9746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_Toc16560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章 技术</w:t>
      </w:r>
      <w:r>
        <w:rPr>
          <w:rFonts w:hint="eastAsia" w:ascii="仿宋" w:hAnsi="仿宋" w:eastAsia="仿宋" w:cs="仿宋"/>
          <w:color w:val="auto"/>
          <w:sz w:val="28"/>
          <w:szCs w:val="28"/>
          <w:highlight w:val="none"/>
          <w:lang w:eastAsia="zh-CN"/>
        </w:rPr>
        <w:t>标准及</w:t>
      </w:r>
      <w:r>
        <w:rPr>
          <w:rFonts w:hint="eastAsia" w:ascii="仿宋" w:hAnsi="仿宋" w:eastAsia="仿宋" w:cs="仿宋"/>
          <w:color w:val="auto"/>
          <w:sz w:val="28"/>
          <w:szCs w:val="28"/>
          <w:highlight w:val="none"/>
        </w:rPr>
        <w:t>要求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_Toc16560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_Toc27303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竞争性磋商响应文件</w:t>
      </w:r>
      <w:r>
        <w:rPr>
          <w:rFonts w:hint="eastAsia" w:ascii="仿宋" w:hAnsi="仿宋" w:eastAsia="仿宋" w:cs="仿宋"/>
          <w:color w:val="auto"/>
          <w:sz w:val="28"/>
          <w:szCs w:val="28"/>
          <w:highlight w:val="none"/>
        </w:rPr>
        <w:t>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_Toc27303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7"/>
        </w:tabs>
        <w:kinsoku/>
        <w:wordWrap/>
        <w:overflowPunct/>
        <w:topLinePunct w:val="0"/>
        <w:autoSpaceDE/>
        <w:autoSpaceDN/>
        <w:bidi w:val="0"/>
        <w:adjustRightInd/>
        <w:snapToGrid/>
        <w:spacing w:before="0" w:after="0" w:line="60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fldChar w:fldCharType="end"/>
      </w:r>
    </w:p>
    <w:p>
      <w:pPr>
        <w:rPr>
          <w:rFonts w:hint="eastAsia" w:ascii="仿宋" w:hAnsi="仿宋" w:eastAsia="仿宋" w:cs="仿宋"/>
          <w:color w:val="auto"/>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bookmarkEnd w:id="1"/>
    <w:bookmarkEnd w:id="2"/>
    <w:bookmarkEnd w:id="3"/>
    <w:bookmarkEnd w:id="4"/>
    <w:bookmarkEnd w:id="5"/>
    <w:bookmarkEnd w:id="6"/>
    <w:bookmarkEnd w:id="7"/>
    <w:bookmarkEnd w:id="8"/>
    <w:p>
      <w:pPr>
        <w:pStyle w:val="3"/>
        <w:keepNext w:val="0"/>
        <w:keepLines/>
        <w:pageBreakBefore/>
        <w:spacing w:before="156" w:beforeLines="50" w:after="156" w:afterLines="50" w:line="360" w:lineRule="auto"/>
        <w:jc w:val="center"/>
        <w:outlineLvl w:val="0"/>
        <w:rPr>
          <w:rFonts w:hint="eastAsia" w:ascii="仿宋" w:hAnsi="仿宋" w:eastAsia="仿宋" w:cs="仿宋"/>
          <w:b/>
          <w:bCs/>
          <w:color w:val="auto"/>
          <w:sz w:val="32"/>
          <w:szCs w:val="32"/>
          <w:highlight w:val="none"/>
        </w:rPr>
        <w:sectPr>
          <w:headerReference r:id="rId5" w:type="default"/>
          <w:footerReference r:id="rId6" w:type="default"/>
          <w:pgSz w:w="11906" w:h="16838"/>
          <w:pgMar w:top="1417" w:right="1417" w:bottom="1417" w:left="1417" w:header="851" w:footer="992" w:gutter="0"/>
          <w:pgNumType w:start="1"/>
          <w:cols w:space="0" w:num="1"/>
          <w:rtlGutter w:val="0"/>
          <w:docGrid w:type="lines" w:linePitch="312" w:charSpace="0"/>
        </w:sectPr>
      </w:pPr>
      <w:bookmarkStart w:id="9" w:name="_Toc2360"/>
      <w:bookmarkStart w:id="10" w:name="_Toc452384741"/>
      <w:bookmarkStart w:id="11" w:name="_Toc10815"/>
    </w:p>
    <w:p>
      <w:pPr>
        <w:pStyle w:val="3"/>
        <w:keepNext w:val="0"/>
        <w:keepLines/>
        <w:pageBreakBefore/>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第一章</w:t>
      </w:r>
      <w:bookmarkEnd w:id="9"/>
      <w:bookmarkEnd w:id="10"/>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竞争性磋商公告</w:t>
      </w:r>
      <w:bookmarkEnd w:id="11"/>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80"/>
        </w:tabs>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仿宋" w:hAnsi="仿宋" w:eastAsia="仿宋" w:cs="仿宋"/>
          <w:b/>
          <w:bCs w:val="0"/>
          <w:i w:val="0"/>
          <w:caps w:val="0"/>
          <w:color w:val="auto"/>
          <w:spacing w:val="0"/>
          <w:sz w:val="24"/>
          <w:szCs w:val="24"/>
          <w:highlight w:val="none"/>
          <w:shd w:val="clear" w:color="auto" w:fill="FFFFFF"/>
        </w:rPr>
      </w:pPr>
      <w:r>
        <w:rPr>
          <w:rFonts w:hint="eastAsia" w:ascii="仿宋" w:hAnsi="仿宋" w:eastAsia="仿宋" w:cs="仿宋"/>
          <w:b/>
          <w:bCs w:val="0"/>
          <w:i w:val="0"/>
          <w:caps w:val="0"/>
          <w:color w:val="auto"/>
          <w:spacing w:val="0"/>
          <w:sz w:val="24"/>
          <w:szCs w:val="24"/>
          <w:highlight w:val="none"/>
          <w:shd w:val="clear" w:color="auto" w:fill="FFFFFF"/>
        </w:rPr>
        <w:t>项目概况</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80"/>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仿宋" w:hAnsi="仿宋" w:eastAsia="仿宋" w:cs="仿宋"/>
          <w:b/>
          <w:i w:val="0"/>
          <w:caps w:val="0"/>
          <w:color w:val="auto"/>
          <w:spacing w:val="0"/>
          <w:sz w:val="24"/>
          <w:szCs w:val="24"/>
          <w:highlight w:val="none"/>
          <w:shd w:val="clear" w:color="auto" w:fill="FFFFFF"/>
        </w:rPr>
      </w:pPr>
      <w:r>
        <w:rPr>
          <w:rFonts w:hint="eastAsia" w:ascii="仿宋" w:hAnsi="仿宋" w:eastAsia="仿宋" w:cs="仿宋"/>
          <w:b/>
          <w:i w:val="0"/>
          <w:caps w:val="0"/>
          <w:color w:val="auto"/>
          <w:spacing w:val="0"/>
          <w:sz w:val="24"/>
          <w:szCs w:val="24"/>
          <w:highlight w:val="none"/>
          <w:shd w:val="clear" w:color="auto" w:fill="FFFFFF"/>
        </w:rPr>
        <w:t> </w:t>
      </w:r>
      <w:r>
        <w:rPr>
          <w:rFonts w:hint="eastAsia" w:ascii="仿宋" w:hAnsi="仿宋" w:eastAsia="仿宋" w:cs="仿宋"/>
          <w:b/>
          <w:i w:val="0"/>
          <w:caps w:val="0"/>
          <w:color w:val="auto"/>
          <w:spacing w:val="0"/>
          <w:sz w:val="24"/>
          <w:szCs w:val="24"/>
          <w:highlight w:val="none"/>
          <w:shd w:val="clear" w:color="auto" w:fill="FFFFFF"/>
          <w:lang w:eastAsia="zh-CN"/>
        </w:rPr>
        <w:t>长安区五台街道新农村、华家新村、星火村、石砭峪新村安全饮水巩固提升项目</w:t>
      </w:r>
      <w:r>
        <w:rPr>
          <w:rFonts w:hint="eastAsia" w:ascii="仿宋" w:hAnsi="仿宋" w:eastAsia="仿宋" w:cs="仿宋"/>
          <w:b w:val="0"/>
          <w:bCs/>
          <w:i w:val="0"/>
          <w:caps w:val="0"/>
          <w:color w:val="auto"/>
          <w:spacing w:val="0"/>
          <w:sz w:val="24"/>
          <w:szCs w:val="24"/>
          <w:highlight w:val="none"/>
          <w:shd w:val="clear" w:color="auto" w:fill="FFFFFF"/>
        </w:rPr>
        <w:t>的潜在供应商应在陕西省西安市高新区科技五路8号数字大厦11层获取采购文件，并于 202</w:t>
      </w:r>
      <w:r>
        <w:rPr>
          <w:rFonts w:hint="eastAsia" w:ascii="仿宋" w:hAnsi="仿宋" w:eastAsia="仿宋" w:cs="仿宋"/>
          <w:b w:val="0"/>
          <w:bCs/>
          <w:i w:val="0"/>
          <w:caps w:val="0"/>
          <w:color w:val="auto"/>
          <w:spacing w:val="0"/>
          <w:sz w:val="24"/>
          <w:szCs w:val="24"/>
          <w:highlight w:val="none"/>
          <w:shd w:val="clear" w:color="auto" w:fill="FFFFFF"/>
          <w:lang w:val="en-US" w:eastAsia="zh-CN"/>
        </w:rPr>
        <w:t>3</w:t>
      </w:r>
      <w:r>
        <w:rPr>
          <w:rFonts w:hint="eastAsia" w:ascii="仿宋" w:hAnsi="仿宋" w:eastAsia="仿宋" w:cs="仿宋"/>
          <w:b w:val="0"/>
          <w:bCs/>
          <w:i w:val="0"/>
          <w:caps w:val="0"/>
          <w:color w:val="auto"/>
          <w:spacing w:val="0"/>
          <w:sz w:val="24"/>
          <w:szCs w:val="24"/>
          <w:highlight w:val="none"/>
          <w:shd w:val="clear" w:color="auto" w:fill="FFFFFF"/>
        </w:rPr>
        <w:t>年</w:t>
      </w:r>
      <w:r>
        <w:rPr>
          <w:rFonts w:hint="eastAsia" w:ascii="仿宋" w:hAnsi="仿宋" w:eastAsia="仿宋" w:cs="仿宋"/>
          <w:b w:val="0"/>
          <w:bCs/>
          <w:i w:val="0"/>
          <w:caps w:val="0"/>
          <w:color w:val="auto"/>
          <w:spacing w:val="0"/>
          <w:sz w:val="24"/>
          <w:szCs w:val="24"/>
          <w:highlight w:val="none"/>
          <w:shd w:val="clear" w:color="auto" w:fill="FFFFFF"/>
          <w:lang w:val="en-US" w:eastAsia="zh-CN"/>
        </w:rPr>
        <w:t>05</w:t>
      </w:r>
      <w:r>
        <w:rPr>
          <w:rFonts w:hint="eastAsia" w:ascii="仿宋" w:hAnsi="仿宋" w:eastAsia="仿宋" w:cs="仿宋"/>
          <w:b w:val="0"/>
          <w:bCs/>
          <w:i w:val="0"/>
          <w:caps w:val="0"/>
          <w:color w:val="auto"/>
          <w:spacing w:val="0"/>
          <w:sz w:val="24"/>
          <w:szCs w:val="24"/>
          <w:highlight w:val="none"/>
          <w:shd w:val="clear" w:color="auto" w:fill="FFFFFF"/>
        </w:rPr>
        <w:t>月</w:t>
      </w:r>
      <w:r>
        <w:rPr>
          <w:rFonts w:hint="eastAsia" w:ascii="仿宋" w:hAnsi="仿宋" w:eastAsia="仿宋" w:cs="仿宋"/>
          <w:b w:val="0"/>
          <w:bCs/>
          <w:i w:val="0"/>
          <w:caps w:val="0"/>
          <w:color w:val="auto"/>
          <w:spacing w:val="0"/>
          <w:sz w:val="24"/>
          <w:szCs w:val="24"/>
          <w:highlight w:val="none"/>
          <w:shd w:val="clear" w:color="auto" w:fill="FFFFFF"/>
          <w:lang w:val="en-US" w:eastAsia="zh-CN"/>
        </w:rPr>
        <w:t>04</w:t>
      </w:r>
      <w:r>
        <w:rPr>
          <w:rFonts w:hint="eastAsia" w:ascii="仿宋" w:hAnsi="仿宋" w:eastAsia="仿宋" w:cs="仿宋"/>
          <w:b w:val="0"/>
          <w:bCs/>
          <w:i w:val="0"/>
          <w:caps w:val="0"/>
          <w:color w:val="auto"/>
          <w:spacing w:val="0"/>
          <w:sz w:val="24"/>
          <w:szCs w:val="24"/>
          <w:highlight w:val="none"/>
          <w:shd w:val="clear" w:color="auto" w:fill="FFFFFF"/>
        </w:rPr>
        <w:t>日</w:t>
      </w:r>
      <w:r>
        <w:rPr>
          <w:rFonts w:hint="eastAsia" w:ascii="仿宋" w:hAnsi="仿宋" w:eastAsia="仿宋" w:cs="仿宋"/>
          <w:b w:val="0"/>
          <w:bCs/>
          <w:i w:val="0"/>
          <w:caps w:val="0"/>
          <w:color w:val="auto"/>
          <w:spacing w:val="0"/>
          <w:sz w:val="24"/>
          <w:szCs w:val="24"/>
          <w:highlight w:val="none"/>
          <w:shd w:val="clear" w:color="auto" w:fill="FFFFFF"/>
          <w:lang w:val="en-US" w:eastAsia="zh-CN"/>
        </w:rPr>
        <w:t>14</w:t>
      </w:r>
      <w:r>
        <w:rPr>
          <w:rFonts w:hint="eastAsia" w:ascii="仿宋" w:hAnsi="仿宋" w:eastAsia="仿宋" w:cs="仿宋"/>
          <w:b w:val="0"/>
          <w:bCs/>
          <w:i w:val="0"/>
          <w:caps w:val="0"/>
          <w:color w:val="auto"/>
          <w:spacing w:val="0"/>
          <w:sz w:val="24"/>
          <w:szCs w:val="24"/>
          <w:highlight w:val="none"/>
          <w:shd w:val="clear" w:color="auto" w:fill="FFFFFF"/>
        </w:rPr>
        <w:t>时</w:t>
      </w:r>
      <w:r>
        <w:rPr>
          <w:rFonts w:hint="eastAsia" w:ascii="仿宋" w:hAnsi="仿宋" w:eastAsia="仿宋" w:cs="仿宋"/>
          <w:b w:val="0"/>
          <w:bCs/>
          <w:i w:val="0"/>
          <w:caps w:val="0"/>
          <w:color w:val="auto"/>
          <w:spacing w:val="0"/>
          <w:sz w:val="24"/>
          <w:szCs w:val="24"/>
          <w:highlight w:val="none"/>
          <w:shd w:val="clear" w:color="auto" w:fill="FFFFFF"/>
          <w:lang w:val="en-US" w:eastAsia="zh-CN"/>
        </w:rPr>
        <w:t>30</w:t>
      </w:r>
      <w:r>
        <w:rPr>
          <w:rFonts w:hint="eastAsia" w:ascii="仿宋" w:hAnsi="仿宋" w:eastAsia="仿宋" w:cs="仿宋"/>
          <w:b w:val="0"/>
          <w:bCs/>
          <w:i w:val="0"/>
          <w:caps w:val="0"/>
          <w:color w:val="auto"/>
          <w:spacing w:val="0"/>
          <w:sz w:val="24"/>
          <w:szCs w:val="24"/>
          <w:highlight w:val="none"/>
          <w:shd w:val="clear" w:color="auto" w:fill="FFFFFF"/>
        </w:rPr>
        <w:t>分 （北京时间）前提交</w:t>
      </w:r>
      <w:r>
        <w:rPr>
          <w:rFonts w:hint="eastAsia" w:ascii="仿宋" w:hAnsi="仿宋" w:eastAsia="仿宋" w:cs="仿宋"/>
          <w:b w:val="0"/>
          <w:bCs/>
          <w:i w:val="0"/>
          <w:caps w:val="0"/>
          <w:color w:val="auto"/>
          <w:spacing w:val="0"/>
          <w:sz w:val="24"/>
          <w:szCs w:val="24"/>
          <w:highlight w:val="none"/>
          <w:shd w:val="clear" w:color="auto" w:fill="FFFFFF"/>
          <w:lang w:val="en-US" w:eastAsia="zh-CN"/>
        </w:rPr>
        <w:t>响应</w:t>
      </w:r>
      <w:r>
        <w:rPr>
          <w:rFonts w:hint="eastAsia" w:ascii="仿宋" w:hAnsi="仿宋" w:eastAsia="仿宋" w:cs="仿宋"/>
          <w:b w:val="0"/>
          <w:bCs/>
          <w:i w:val="0"/>
          <w:caps w:val="0"/>
          <w:color w:val="auto"/>
          <w:spacing w:val="0"/>
          <w:sz w:val="24"/>
          <w:szCs w:val="24"/>
          <w:highlight w:val="none"/>
          <w:shd w:val="clear" w:color="auto" w:fill="FFFFFF"/>
        </w:rPr>
        <w:t>文件。</w:t>
      </w:r>
    </w:p>
    <w:p>
      <w:pPr>
        <w:pStyle w:val="31"/>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color="auto" w:fill="FFFFFF"/>
        </w:rPr>
      </w:pPr>
      <w:r>
        <w:rPr>
          <w:rFonts w:hint="eastAsia" w:ascii="仿宋" w:hAnsi="仿宋" w:eastAsia="仿宋" w:cs="仿宋"/>
          <w:b/>
          <w:i w:val="0"/>
          <w:caps w:val="0"/>
          <w:color w:val="auto"/>
          <w:spacing w:val="0"/>
          <w:sz w:val="24"/>
          <w:szCs w:val="24"/>
          <w:highlight w:val="none"/>
          <w:shd w:val="clear" w:color="auto" w:fill="FFFFFF"/>
        </w:rPr>
        <w:t>项目基本情况</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rPr>
        <w:t>项目编号：</w:t>
      </w:r>
      <w:r>
        <w:rPr>
          <w:rFonts w:hint="eastAsia" w:ascii="仿宋" w:hAnsi="仿宋" w:eastAsia="仿宋" w:cs="仿宋"/>
          <w:b w:val="0"/>
          <w:bCs/>
          <w:i w:val="0"/>
          <w:caps w:val="0"/>
          <w:color w:val="auto"/>
          <w:spacing w:val="0"/>
          <w:sz w:val="24"/>
          <w:szCs w:val="24"/>
          <w:highlight w:val="none"/>
          <w:shd w:val="clear" w:color="auto" w:fill="FFFFFF"/>
          <w:lang w:eastAsia="zh-CN"/>
        </w:rPr>
        <w:t>HXGJXM2023-ZC-CS1017</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rPr>
        <w:t>项目名称：</w:t>
      </w:r>
      <w:r>
        <w:rPr>
          <w:rFonts w:hint="eastAsia" w:ascii="仿宋" w:hAnsi="仿宋" w:eastAsia="仿宋" w:cs="仿宋"/>
          <w:b w:val="0"/>
          <w:bCs/>
          <w:i w:val="0"/>
          <w:caps w:val="0"/>
          <w:color w:val="auto"/>
          <w:spacing w:val="0"/>
          <w:sz w:val="24"/>
          <w:szCs w:val="24"/>
          <w:highlight w:val="none"/>
          <w:shd w:val="clear" w:color="auto" w:fill="FFFFFF"/>
          <w:lang w:eastAsia="zh-CN"/>
        </w:rPr>
        <w:t>长安区五台街道新农村、华家新村、星火村、石砭峪新村安全饮水巩固提升项目</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rPr>
        <w:t>采购方式：</w:t>
      </w:r>
      <w:r>
        <w:rPr>
          <w:rFonts w:hint="eastAsia" w:ascii="仿宋" w:hAnsi="仿宋" w:eastAsia="仿宋" w:cs="仿宋"/>
          <w:b w:val="0"/>
          <w:bCs/>
          <w:i w:val="0"/>
          <w:caps w:val="0"/>
          <w:color w:val="auto"/>
          <w:spacing w:val="0"/>
          <w:sz w:val="24"/>
          <w:szCs w:val="24"/>
          <w:highlight w:val="none"/>
          <w:shd w:val="clear" w:color="auto" w:fill="FFFFFF"/>
          <w:lang w:val="en-US" w:eastAsia="zh-CN"/>
        </w:rPr>
        <w:t>竞争性磋商</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预算金额：</w:t>
      </w:r>
      <w:r>
        <w:rPr>
          <w:rFonts w:hint="eastAsia" w:ascii="仿宋" w:hAnsi="仿宋" w:eastAsia="仿宋" w:cs="仿宋"/>
          <w:b w:val="0"/>
          <w:bCs/>
          <w:i w:val="0"/>
          <w:caps w:val="0"/>
          <w:color w:val="auto"/>
          <w:spacing w:val="0"/>
          <w:sz w:val="24"/>
          <w:szCs w:val="24"/>
          <w:highlight w:val="none"/>
          <w:shd w:val="clear" w:color="auto" w:fill="FFFFFF"/>
          <w:lang w:val="en-US" w:eastAsia="zh-CN"/>
        </w:rPr>
        <w:t>2,288,308.31</w:t>
      </w:r>
      <w:r>
        <w:rPr>
          <w:rFonts w:hint="eastAsia" w:ascii="仿宋" w:hAnsi="仿宋" w:eastAsia="仿宋" w:cs="仿宋"/>
          <w:b w:val="0"/>
          <w:bCs/>
          <w:i w:val="0"/>
          <w:caps w:val="0"/>
          <w:color w:val="auto"/>
          <w:spacing w:val="0"/>
          <w:sz w:val="24"/>
          <w:szCs w:val="24"/>
          <w:highlight w:val="none"/>
          <w:shd w:val="clear" w:color="auto" w:fill="FFFFFF"/>
        </w:rPr>
        <w:t>元</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采购需求：</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合同包1(</w:t>
      </w:r>
      <w:r>
        <w:rPr>
          <w:rFonts w:hint="eastAsia" w:ascii="仿宋" w:hAnsi="仿宋" w:eastAsia="仿宋" w:cs="仿宋"/>
          <w:b w:val="0"/>
          <w:bCs/>
          <w:i w:val="0"/>
          <w:caps w:val="0"/>
          <w:color w:val="auto"/>
          <w:spacing w:val="0"/>
          <w:sz w:val="24"/>
          <w:szCs w:val="24"/>
          <w:highlight w:val="none"/>
          <w:shd w:val="clear" w:color="auto" w:fill="FFFFFF"/>
          <w:lang w:val="en-US" w:eastAsia="zh-CN"/>
        </w:rPr>
        <w:t>新农村</w:t>
      </w:r>
      <w:r>
        <w:rPr>
          <w:rFonts w:hint="eastAsia" w:ascii="仿宋" w:hAnsi="仿宋" w:eastAsia="仿宋" w:cs="仿宋"/>
          <w:b w:val="0"/>
          <w:bCs/>
          <w:i w:val="0"/>
          <w:caps w:val="0"/>
          <w:color w:val="auto"/>
          <w:spacing w:val="0"/>
          <w:sz w:val="24"/>
          <w:szCs w:val="24"/>
          <w:highlight w:val="none"/>
          <w:shd w:val="clear" w:color="auto" w:fill="FFFFFF"/>
        </w:rPr>
        <w:t>):</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合同包预算金额：</w:t>
      </w:r>
      <w:r>
        <w:rPr>
          <w:rFonts w:hint="eastAsia" w:ascii="仿宋" w:hAnsi="仿宋" w:eastAsia="仿宋" w:cs="仿宋"/>
          <w:b w:val="0"/>
          <w:bCs/>
          <w:i w:val="0"/>
          <w:caps w:val="0"/>
          <w:color w:val="auto"/>
          <w:spacing w:val="0"/>
          <w:sz w:val="24"/>
          <w:szCs w:val="24"/>
          <w:highlight w:val="none"/>
          <w:shd w:val="clear" w:color="auto" w:fill="FFFFFF"/>
          <w:lang w:val="en-US" w:eastAsia="zh-CN"/>
        </w:rPr>
        <w:t>1,362,466.53</w:t>
      </w:r>
      <w:r>
        <w:rPr>
          <w:rFonts w:hint="eastAsia" w:ascii="仿宋" w:hAnsi="仿宋" w:eastAsia="仿宋" w:cs="仿宋"/>
          <w:b w:val="0"/>
          <w:bCs/>
          <w:i w:val="0"/>
          <w:caps w:val="0"/>
          <w:color w:val="auto"/>
          <w:spacing w:val="0"/>
          <w:sz w:val="24"/>
          <w:szCs w:val="24"/>
          <w:highlight w:val="none"/>
          <w:shd w:val="clear" w:color="auto" w:fill="FFFFFF"/>
        </w:rPr>
        <w:t>元</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合同包最高限价：</w:t>
      </w:r>
      <w:r>
        <w:rPr>
          <w:rFonts w:hint="eastAsia" w:ascii="仿宋" w:hAnsi="仿宋" w:eastAsia="仿宋" w:cs="仿宋"/>
          <w:b w:val="0"/>
          <w:bCs/>
          <w:i w:val="0"/>
          <w:caps w:val="0"/>
          <w:color w:val="auto"/>
          <w:spacing w:val="0"/>
          <w:sz w:val="24"/>
          <w:szCs w:val="24"/>
          <w:highlight w:val="none"/>
          <w:shd w:val="clear" w:color="auto" w:fill="FFFFFF"/>
          <w:lang w:val="en-US" w:eastAsia="zh-CN"/>
        </w:rPr>
        <w:t>1,362,466.53</w:t>
      </w:r>
      <w:r>
        <w:rPr>
          <w:rFonts w:hint="eastAsia" w:ascii="仿宋" w:hAnsi="仿宋" w:eastAsia="仿宋" w:cs="仿宋"/>
          <w:b w:val="0"/>
          <w:bCs/>
          <w:i w:val="0"/>
          <w:caps w:val="0"/>
          <w:color w:val="auto"/>
          <w:spacing w:val="0"/>
          <w:sz w:val="24"/>
          <w:szCs w:val="24"/>
          <w:highlight w:val="none"/>
          <w:shd w:val="clear" w:color="auto" w:fill="FFFFFF"/>
        </w:rPr>
        <w:t>元</w:t>
      </w:r>
    </w:p>
    <w:tbl>
      <w:tblPr>
        <w:tblStyle w:val="35"/>
        <w:tblW w:w="9257" w:type="dxa"/>
        <w:tblInd w:w="-3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35"/>
        <w:gridCol w:w="1179"/>
        <w:gridCol w:w="1476"/>
        <w:gridCol w:w="1018"/>
        <w:gridCol w:w="1376"/>
        <w:gridCol w:w="1590"/>
        <w:gridCol w:w="1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4" w:hRule="atLeast"/>
          <w:tblHeader/>
        </w:trPr>
        <w:tc>
          <w:tcPr>
            <w:tcW w:w="93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品目号</w:t>
            </w:r>
          </w:p>
        </w:tc>
        <w:tc>
          <w:tcPr>
            <w:tcW w:w="117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品目名称</w:t>
            </w:r>
          </w:p>
        </w:tc>
        <w:tc>
          <w:tcPr>
            <w:tcW w:w="14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采购标的</w:t>
            </w:r>
          </w:p>
        </w:tc>
        <w:tc>
          <w:tcPr>
            <w:tcW w:w="101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kern w:val="0"/>
                <w:sz w:val="21"/>
                <w:szCs w:val="21"/>
                <w:highlight w:val="none"/>
                <w:lang w:val="en-US" w:eastAsia="zh-CN" w:bidi="ar"/>
              </w:rPr>
            </w:pPr>
            <w:r>
              <w:rPr>
                <w:rFonts w:hint="eastAsia" w:ascii="仿宋" w:hAnsi="仿宋" w:eastAsia="仿宋" w:cs="仿宋"/>
                <w:b/>
                <w:bCs/>
                <w:i w:val="0"/>
                <w:iCs w:val="0"/>
                <w:caps w:val="0"/>
                <w:color w:val="auto"/>
                <w:spacing w:val="0"/>
                <w:kern w:val="0"/>
                <w:sz w:val="21"/>
                <w:szCs w:val="21"/>
                <w:highlight w:val="none"/>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（单位）</w:t>
            </w:r>
          </w:p>
        </w:tc>
        <w:tc>
          <w:tcPr>
            <w:tcW w:w="13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技术规格、参数及要求</w:t>
            </w:r>
          </w:p>
        </w:tc>
        <w:tc>
          <w:tcPr>
            <w:tcW w:w="15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品目预算(元)</w:t>
            </w:r>
          </w:p>
        </w:tc>
        <w:tc>
          <w:tcPr>
            <w:tcW w:w="16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081" w:hRule="atLeast"/>
        </w:trPr>
        <w:tc>
          <w:tcPr>
            <w:tcW w:w="93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kern w:val="0"/>
                <w:sz w:val="21"/>
                <w:szCs w:val="21"/>
                <w:highlight w:val="none"/>
                <w:lang w:val="en-US" w:eastAsia="zh-CN" w:bidi="ar"/>
              </w:rPr>
              <w:t>1-1</w:t>
            </w:r>
          </w:p>
        </w:tc>
        <w:tc>
          <w:tcPr>
            <w:tcW w:w="117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lang w:eastAsia="zh-CN"/>
              </w:rPr>
            </w:pPr>
            <w:r>
              <w:rPr>
                <w:rFonts w:hint="eastAsia" w:ascii="仿宋" w:hAnsi="仿宋" w:eastAsia="仿宋" w:cs="仿宋"/>
                <w:i w:val="0"/>
                <w:iCs w:val="0"/>
                <w:caps w:val="0"/>
                <w:color w:val="auto"/>
                <w:spacing w:val="0"/>
                <w:sz w:val="21"/>
                <w:szCs w:val="21"/>
                <w:highlight w:val="none"/>
                <w:lang w:eastAsia="zh-CN"/>
              </w:rPr>
              <w:t>供水管道工程和下水道铺设</w:t>
            </w:r>
          </w:p>
        </w:tc>
        <w:tc>
          <w:tcPr>
            <w:tcW w:w="14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新农村安全饮水巩固提升</w:t>
            </w:r>
          </w:p>
        </w:tc>
        <w:tc>
          <w:tcPr>
            <w:tcW w:w="101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1（项）</w:t>
            </w:r>
          </w:p>
        </w:tc>
        <w:tc>
          <w:tcPr>
            <w:tcW w:w="13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详见采购文件</w:t>
            </w:r>
          </w:p>
        </w:tc>
        <w:tc>
          <w:tcPr>
            <w:tcW w:w="15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1,362,466.53</w:t>
            </w:r>
          </w:p>
        </w:tc>
        <w:tc>
          <w:tcPr>
            <w:tcW w:w="16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1,362,466.53</w:t>
            </w:r>
          </w:p>
        </w:tc>
      </w:tr>
    </w:tbl>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本合同包不接受联合体投标</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合同履行期限：合同签订之日起3个月 </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w:t>
      </w:r>
      <w:r>
        <w:rPr>
          <w:rFonts w:hint="eastAsia" w:ascii="仿宋" w:hAnsi="仿宋" w:eastAsia="仿宋" w:cs="仿宋"/>
          <w:b w:val="0"/>
          <w:bCs/>
          <w:i w:val="0"/>
          <w:caps w:val="0"/>
          <w:color w:val="auto"/>
          <w:spacing w:val="0"/>
          <w:sz w:val="24"/>
          <w:szCs w:val="24"/>
          <w:highlight w:val="none"/>
          <w:shd w:val="clear" w:color="auto" w:fill="FFFFFF"/>
          <w:lang w:val="en-US" w:eastAsia="zh-CN"/>
        </w:rPr>
        <w:t>2</w:t>
      </w:r>
      <w:r>
        <w:rPr>
          <w:rFonts w:hint="eastAsia" w:ascii="仿宋" w:hAnsi="仿宋" w:eastAsia="仿宋" w:cs="仿宋"/>
          <w:b w:val="0"/>
          <w:bCs/>
          <w:i w:val="0"/>
          <w:caps w:val="0"/>
          <w:color w:val="auto"/>
          <w:spacing w:val="0"/>
          <w:sz w:val="24"/>
          <w:szCs w:val="24"/>
          <w:highlight w:val="none"/>
          <w:shd w:val="clear" w:color="auto" w:fill="FFFFFF"/>
        </w:rPr>
        <w:t>(</w:t>
      </w:r>
      <w:r>
        <w:rPr>
          <w:rFonts w:hint="eastAsia" w:ascii="仿宋" w:hAnsi="仿宋" w:eastAsia="仿宋" w:cs="仿宋"/>
          <w:b w:val="0"/>
          <w:bCs/>
          <w:i w:val="0"/>
          <w:caps w:val="0"/>
          <w:color w:val="auto"/>
          <w:spacing w:val="0"/>
          <w:sz w:val="24"/>
          <w:szCs w:val="24"/>
          <w:highlight w:val="none"/>
          <w:shd w:val="clear" w:color="auto" w:fill="FFFFFF"/>
          <w:lang w:val="en-US" w:eastAsia="zh-CN"/>
        </w:rPr>
        <w:t>华家新村</w:t>
      </w:r>
      <w:r>
        <w:rPr>
          <w:rFonts w:hint="eastAsia" w:ascii="仿宋" w:hAnsi="仿宋" w:eastAsia="仿宋" w:cs="仿宋"/>
          <w:b w:val="0"/>
          <w:bCs/>
          <w:i w:val="0"/>
          <w:caps w:val="0"/>
          <w:color w:val="auto"/>
          <w:spacing w:val="0"/>
          <w:sz w:val="24"/>
          <w:szCs w:val="24"/>
          <w:highlight w:val="none"/>
          <w:shd w:val="clear" w:color="auto" w:fill="FFFFFF"/>
        </w:rPr>
        <w:t>):</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合同包预算金额：</w:t>
      </w:r>
      <w:r>
        <w:rPr>
          <w:rFonts w:hint="eastAsia" w:ascii="仿宋" w:hAnsi="仿宋" w:eastAsia="仿宋" w:cs="仿宋"/>
          <w:b w:val="0"/>
          <w:bCs/>
          <w:i w:val="0"/>
          <w:caps w:val="0"/>
          <w:color w:val="auto"/>
          <w:spacing w:val="0"/>
          <w:sz w:val="24"/>
          <w:szCs w:val="24"/>
          <w:highlight w:val="none"/>
          <w:shd w:val="clear" w:color="auto" w:fill="FFFFFF"/>
          <w:lang w:val="en-US" w:eastAsia="zh-CN"/>
        </w:rPr>
        <w:t>214,031.03</w:t>
      </w:r>
      <w:r>
        <w:rPr>
          <w:rFonts w:hint="eastAsia" w:ascii="仿宋" w:hAnsi="仿宋" w:eastAsia="仿宋" w:cs="仿宋"/>
          <w:b w:val="0"/>
          <w:bCs/>
          <w:i w:val="0"/>
          <w:caps w:val="0"/>
          <w:color w:val="auto"/>
          <w:spacing w:val="0"/>
          <w:sz w:val="24"/>
          <w:szCs w:val="24"/>
          <w:highlight w:val="none"/>
          <w:shd w:val="clear" w:color="auto" w:fill="FFFFFF"/>
        </w:rPr>
        <w:t>元</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合同包最高限价：</w:t>
      </w:r>
      <w:r>
        <w:rPr>
          <w:rFonts w:hint="eastAsia" w:ascii="仿宋" w:hAnsi="仿宋" w:eastAsia="仿宋" w:cs="仿宋"/>
          <w:b w:val="0"/>
          <w:bCs/>
          <w:i w:val="0"/>
          <w:caps w:val="0"/>
          <w:color w:val="auto"/>
          <w:spacing w:val="0"/>
          <w:sz w:val="24"/>
          <w:szCs w:val="24"/>
          <w:highlight w:val="none"/>
          <w:shd w:val="clear" w:color="auto" w:fill="FFFFFF"/>
          <w:lang w:val="en-US" w:eastAsia="zh-CN"/>
        </w:rPr>
        <w:t>214,031.03</w:t>
      </w:r>
      <w:r>
        <w:rPr>
          <w:rFonts w:hint="eastAsia" w:ascii="仿宋" w:hAnsi="仿宋" w:eastAsia="仿宋" w:cs="仿宋"/>
          <w:b w:val="0"/>
          <w:bCs/>
          <w:i w:val="0"/>
          <w:caps w:val="0"/>
          <w:color w:val="auto"/>
          <w:spacing w:val="0"/>
          <w:sz w:val="24"/>
          <w:szCs w:val="24"/>
          <w:highlight w:val="none"/>
          <w:shd w:val="clear" w:color="auto" w:fill="FFFFFF"/>
        </w:rPr>
        <w:t>元</w:t>
      </w:r>
    </w:p>
    <w:tbl>
      <w:tblPr>
        <w:tblStyle w:val="35"/>
        <w:tblW w:w="9277" w:type="dxa"/>
        <w:tblInd w:w="-3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37"/>
        <w:gridCol w:w="1182"/>
        <w:gridCol w:w="1626"/>
        <w:gridCol w:w="1009"/>
        <w:gridCol w:w="1386"/>
        <w:gridCol w:w="1566"/>
        <w:gridCol w:w="1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722" w:hRule="atLeast"/>
          <w:tblHeader/>
        </w:trPr>
        <w:tc>
          <w:tcPr>
            <w:tcW w:w="9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品目号</w:t>
            </w:r>
          </w:p>
        </w:tc>
        <w:tc>
          <w:tcPr>
            <w:tcW w:w="1182"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品目名称</w:t>
            </w:r>
          </w:p>
        </w:tc>
        <w:tc>
          <w:tcPr>
            <w:tcW w:w="162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采购标的</w:t>
            </w:r>
          </w:p>
        </w:tc>
        <w:tc>
          <w:tcPr>
            <w:tcW w:w="100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kern w:val="0"/>
                <w:sz w:val="21"/>
                <w:szCs w:val="21"/>
                <w:highlight w:val="none"/>
                <w:lang w:val="en-US" w:eastAsia="zh-CN" w:bidi="ar"/>
              </w:rPr>
            </w:pPr>
            <w:r>
              <w:rPr>
                <w:rFonts w:hint="eastAsia" w:ascii="仿宋" w:hAnsi="仿宋" w:eastAsia="仿宋" w:cs="仿宋"/>
                <w:b/>
                <w:bCs/>
                <w:i w:val="0"/>
                <w:iCs w:val="0"/>
                <w:caps w:val="0"/>
                <w:color w:val="auto"/>
                <w:spacing w:val="0"/>
                <w:kern w:val="0"/>
                <w:sz w:val="21"/>
                <w:szCs w:val="21"/>
                <w:highlight w:val="none"/>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（单位）</w:t>
            </w:r>
          </w:p>
        </w:tc>
        <w:tc>
          <w:tcPr>
            <w:tcW w:w="138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技术规格、参数及要求</w:t>
            </w:r>
          </w:p>
        </w:tc>
        <w:tc>
          <w:tcPr>
            <w:tcW w:w="156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品目预算(元)</w:t>
            </w:r>
          </w:p>
        </w:tc>
        <w:tc>
          <w:tcPr>
            <w:tcW w:w="157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878" w:hRule="atLeast"/>
        </w:trPr>
        <w:tc>
          <w:tcPr>
            <w:tcW w:w="9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kern w:val="0"/>
                <w:sz w:val="21"/>
                <w:szCs w:val="21"/>
                <w:highlight w:val="none"/>
                <w:lang w:val="en-US" w:eastAsia="zh-CN" w:bidi="ar"/>
              </w:rPr>
              <w:t>2-1</w:t>
            </w:r>
          </w:p>
        </w:tc>
        <w:tc>
          <w:tcPr>
            <w:tcW w:w="1182"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lang w:eastAsia="zh-CN"/>
              </w:rPr>
            </w:pPr>
            <w:r>
              <w:rPr>
                <w:rFonts w:hint="eastAsia" w:ascii="仿宋" w:hAnsi="仿宋" w:eastAsia="仿宋" w:cs="仿宋"/>
                <w:i w:val="0"/>
                <w:iCs w:val="0"/>
                <w:caps w:val="0"/>
                <w:color w:val="auto"/>
                <w:spacing w:val="0"/>
                <w:sz w:val="21"/>
                <w:szCs w:val="21"/>
                <w:highlight w:val="none"/>
                <w:lang w:eastAsia="zh-CN"/>
              </w:rPr>
              <w:t>供水管道工程和下水道铺设</w:t>
            </w:r>
          </w:p>
        </w:tc>
        <w:tc>
          <w:tcPr>
            <w:tcW w:w="162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华家新村安全饮水巩固提升</w:t>
            </w:r>
          </w:p>
        </w:tc>
        <w:tc>
          <w:tcPr>
            <w:tcW w:w="100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1（项）</w:t>
            </w:r>
          </w:p>
        </w:tc>
        <w:tc>
          <w:tcPr>
            <w:tcW w:w="138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详见采购文件</w:t>
            </w:r>
          </w:p>
        </w:tc>
        <w:tc>
          <w:tcPr>
            <w:tcW w:w="156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214,031.03</w:t>
            </w:r>
          </w:p>
        </w:tc>
        <w:tc>
          <w:tcPr>
            <w:tcW w:w="157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214,031.03</w:t>
            </w:r>
          </w:p>
        </w:tc>
      </w:tr>
    </w:tbl>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本合同包不接受联合体投标</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合同履行期限：合同签订之日起3个月 </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w:t>
      </w:r>
      <w:r>
        <w:rPr>
          <w:rFonts w:hint="eastAsia" w:ascii="仿宋" w:hAnsi="仿宋" w:eastAsia="仿宋" w:cs="仿宋"/>
          <w:b w:val="0"/>
          <w:bCs/>
          <w:i w:val="0"/>
          <w:caps w:val="0"/>
          <w:color w:val="auto"/>
          <w:spacing w:val="0"/>
          <w:sz w:val="24"/>
          <w:szCs w:val="24"/>
          <w:highlight w:val="none"/>
          <w:shd w:val="clear" w:color="auto" w:fill="FFFFFF"/>
          <w:lang w:val="en-US" w:eastAsia="zh-CN"/>
        </w:rPr>
        <w:t>3</w:t>
      </w:r>
      <w:r>
        <w:rPr>
          <w:rFonts w:hint="eastAsia" w:ascii="仿宋" w:hAnsi="仿宋" w:eastAsia="仿宋" w:cs="仿宋"/>
          <w:b w:val="0"/>
          <w:bCs/>
          <w:i w:val="0"/>
          <w:caps w:val="0"/>
          <w:color w:val="auto"/>
          <w:spacing w:val="0"/>
          <w:sz w:val="24"/>
          <w:szCs w:val="24"/>
          <w:highlight w:val="none"/>
          <w:shd w:val="clear" w:color="auto" w:fill="FFFFFF"/>
        </w:rPr>
        <w:t>(</w:t>
      </w:r>
      <w:r>
        <w:rPr>
          <w:rFonts w:hint="eastAsia" w:ascii="仿宋" w:hAnsi="仿宋" w:eastAsia="仿宋" w:cs="仿宋"/>
          <w:b w:val="0"/>
          <w:bCs/>
          <w:i w:val="0"/>
          <w:caps w:val="0"/>
          <w:color w:val="auto"/>
          <w:spacing w:val="0"/>
          <w:sz w:val="24"/>
          <w:szCs w:val="24"/>
          <w:highlight w:val="none"/>
          <w:shd w:val="clear" w:color="auto" w:fill="FFFFFF"/>
          <w:lang w:val="en-US" w:eastAsia="zh-CN"/>
        </w:rPr>
        <w:t>星火村</w:t>
      </w:r>
      <w:r>
        <w:rPr>
          <w:rFonts w:hint="eastAsia" w:ascii="仿宋" w:hAnsi="仿宋" w:eastAsia="仿宋" w:cs="仿宋"/>
          <w:b w:val="0"/>
          <w:bCs/>
          <w:i w:val="0"/>
          <w:caps w:val="0"/>
          <w:color w:val="auto"/>
          <w:spacing w:val="0"/>
          <w:sz w:val="24"/>
          <w:szCs w:val="24"/>
          <w:highlight w:val="none"/>
          <w:shd w:val="clear" w:color="auto" w:fill="FFFFFF"/>
        </w:rPr>
        <w:t>):</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合同包预算金额：</w:t>
      </w:r>
      <w:r>
        <w:rPr>
          <w:rFonts w:hint="eastAsia" w:ascii="仿宋" w:hAnsi="仿宋" w:eastAsia="仿宋" w:cs="仿宋"/>
          <w:b w:val="0"/>
          <w:bCs/>
          <w:i w:val="0"/>
          <w:caps w:val="0"/>
          <w:color w:val="auto"/>
          <w:spacing w:val="0"/>
          <w:sz w:val="24"/>
          <w:szCs w:val="24"/>
          <w:highlight w:val="none"/>
          <w:shd w:val="clear" w:color="auto" w:fill="FFFFFF"/>
          <w:lang w:val="en-US" w:eastAsia="zh-CN"/>
        </w:rPr>
        <w:t>386,321.00</w:t>
      </w:r>
      <w:r>
        <w:rPr>
          <w:rFonts w:hint="eastAsia" w:ascii="仿宋" w:hAnsi="仿宋" w:eastAsia="仿宋" w:cs="仿宋"/>
          <w:b w:val="0"/>
          <w:bCs/>
          <w:i w:val="0"/>
          <w:caps w:val="0"/>
          <w:color w:val="auto"/>
          <w:spacing w:val="0"/>
          <w:sz w:val="24"/>
          <w:szCs w:val="24"/>
          <w:highlight w:val="none"/>
          <w:shd w:val="clear" w:color="auto" w:fill="FFFFFF"/>
        </w:rPr>
        <w:t>元</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合同包最高限价：</w:t>
      </w:r>
      <w:r>
        <w:rPr>
          <w:rFonts w:hint="eastAsia" w:ascii="仿宋" w:hAnsi="仿宋" w:eastAsia="仿宋" w:cs="仿宋"/>
          <w:b w:val="0"/>
          <w:bCs/>
          <w:i w:val="0"/>
          <w:caps w:val="0"/>
          <w:color w:val="auto"/>
          <w:spacing w:val="0"/>
          <w:sz w:val="24"/>
          <w:szCs w:val="24"/>
          <w:highlight w:val="none"/>
          <w:shd w:val="clear" w:color="auto" w:fill="FFFFFF"/>
          <w:lang w:val="en-US" w:eastAsia="zh-CN"/>
        </w:rPr>
        <w:t>386,321.00</w:t>
      </w:r>
      <w:r>
        <w:rPr>
          <w:rFonts w:hint="eastAsia" w:ascii="仿宋" w:hAnsi="仿宋" w:eastAsia="仿宋" w:cs="仿宋"/>
          <w:b w:val="0"/>
          <w:bCs/>
          <w:i w:val="0"/>
          <w:caps w:val="0"/>
          <w:color w:val="auto"/>
          <w:spacing w:val="0"/>
          <w:sz w:val="24"/>
          <w:szCs w:val="24"/>
          <w:highlight w:val="none"/>
          <w:shd w:val="clear" w:color="auto" w:fill="FFFFFF"/>
        </w:rPr>
        <w:t>元</w:t>
      </w:r>
    </w:p>
    <w:tbl>
      <w:tblPr>
        <w:tblStyle w:val="35"/>
        <w:tblW w:w="9257" w:type="dxa"/>
        <w:tblInd w:w="-3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35"/>
        <w:gridCol w:w="1179"/>
        <w:gridCol w:w="1602"/>
        <w:gridCol w:w="1017"/>
        <w:gridCol w:w="1400"/>
        <w:gridCol w:w="1514"/>
        <w:gridCol w:w="1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709" w:hRule="atLeast"/>
          <w:tblHeader/>
        </w:trPr>
        <w:tc>
          <w:tcPr>
            <w:tcW w:w="93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品目号</w:t>
            </w:r>
          </w:p>
        </w:tc>
        <w:tc>
          <w:tcPr>
            <w:tcW w:w="117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品目名称</w:t>
            </w:r>
          </w:p>
        </w:tc>
        <w:tc>
          <w:tcPr>
            <w:tcW w:w="1602"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采购标的</w:t>
            </w:r>
          </w:p>
        </w:tc>
        <w:tc>
          <w:tcPr>
            <w:tcW w:w="101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kern w:val="0"/>
                <w:sz w:val="21"/>
                <w:szCs w:val="21"/>
                <w:highlight w:val="none"/>
                <w:lang w:val="en-US" w:eastAsia="zh-CN" w:bidi="ar"/>
              </w:rPr>
            </w:pPr>
            <w:r>
              <w:rPr>
                <w:rFonts w:hint="eastAsia" w:ascii="仿宋" w:hAnsi="仿宋" w:eastAsia="仿宋" w:cs="仿宋"/>
                <w:b/>
                <w:bCs/>
                <w:i w:val="0"/>
                <w:iCs w:val="0"/>
                <w:caps w:val="0"/>
                <w:color w:val="auto"/>
                <w:spacing w:val="0"/>
                <w:kern w:val="0"/>
                <w:sz w:val="21"/>
                <w:szCs w:val="21"/>
                <w:highlight w:val="none"/>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（单位）</w:t>
            </w:r>
          </w:p>
        </w:tc>
        <w:tc>
          <w:tcPr>
            <w:tcW w:w="14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技术规格、参数及要求</w:t>
            </w:r>
          </w:p>
        </w:tc>
        <w:tc>
          <w:tcPr>
            <w:tcW w:w="1514"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品目预算(元)</w:t>
            </w:r>
          </w:p>
        </w:tc>
        <w:tc>
          <w:tcPr>
            <w:tcW w:w="161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002" w:hRule="atLeast"/>
        </w:trPr>
        <w:tc>
          <w:tcPr>
            <w:tcW w:w="93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kern w:val="0"/>
                <w:sz w:val="21"/>
                <w:szCs w:val="21"/>
                <w:highlight w:val="none"/>
                <w:lang w:val="en-US" w:eastAsia="zh-CN" w:bidi="ar"/>
              </w:rPr>
              <w:t>3-1</w:t>
            </w:r>
          </w:p>
        </w:tc>
        <w:tc>
          <w:tcPr>
            <w:tcW w:w="117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lang w:eastAsia="zh-CN"/>
              </w:rPr>
            </w:pPr>
            <w:r>
              <w:rPr>
                <w:rFonts w:hint="eastAsia" w:ascii="仿宋" w:hAnsi="仿宋" w:eastAsia="仿宋" w:cs="仿宋"/>
                <w:i w:val="0"/>
                <w:iCs w:val="0"/>
                <w:caps w:val="0"/>
                <w:color w:val="auto"/>
                <w:spacing w:val="0"/>
                <w:sz w:val="21"/>
                <w:szCs w:val="21"/>
                <w:highlight w:val="none"/>
                <w:lang w:eastAsia="zh-CN"/>
              </w:rPr>
              <w:t>供水管道工程和下水道铺设</w:t>
            </w:r>
          </w:p>
        </w:tc>
        <w:tc>
          <w:tcPr>
            <w:tcW w:w="1602"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星火村安全饮水巩固提升</w:t>
            </w:r>
          </w:p>
        </w:tc>
        <w:tc>
          <w:tcPr>
            <w:tcW w:w="101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1（项）</w:t>
            </w:r>
          </w:p>
        </w:tc>
        <w:tc>
          <w:tcPr>
            <w:tcW w:w="14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详见采购文件</w:t>
            </w:r>
          </w:p>
        </w:tc>
        <w:tc>
          <w:tcPr>
            <w:tcW w:w="1514"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386,321.00</w:t>
            </w:r>
          </w:p>
        </w:tc>
        <w:tc>
          <w:tcPr>
            <w:tcW w:w="161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386,321.00</w:t>
            </w:r>
          </w:p>
        </w:tc>
      </w:tr>
    </w:tbl>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本合同包不接受联合体投标</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合同履行期限：合同签订之日起3个月 </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w:t>
      </w:r>
      <w:r>
        <w:rPr>
          <w:rFonts w:hint="eastAsia" w:ascii="仿宋" w:hAnsi="仿宋" w:eastAsia="仿宋" w:cs="仿宋"/>
          <w:b w:val="0"/>
          <w:bCs/>
          <w:i w:val="0"/>
          <w:caps w:val="0"/>
          <w:color w:val="auto"/>
          <w:spacing w:val="0"/>
          <w:sz w:val="24"/>
          <w:szCs w:val="24"/>
          <w:highlight w:val="none"/>
          <w:shd w:val="clear" w:color="auto" w:fill="FFFFFF"/>
          <w:lang w:val="en-US" w:eastAsia="zh-CN"/>
        </w:rPr>
        <w:t>4</w:t>
      </w:r>
      <w:r>
        <w:rPr>
          <w:rFonts w:hint="eastAsia" w:ascii="仿宋" w:hAnsi="仿宋" w:eastAsia="仿宋" w:cs="仿宋"/>
          <w:b w:val="0"/>
          <w:bCs/>
          <w:i w:val="0"/>
          <w:caps w:val="0"/>
          <w:color w:val="auto"/>
          <w:spacing w:val="0"/>
          <w:sz w:val="24"/>
          <w:szCs w:val="24"/>
          <w:highlight w:val="none"/>
          <w:shd w:val="clear" w:color="auto" w:fill="FFFFFF"/>
        </w:rPr>
        <w:t>(石砭峪新村):</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合同包预算金额：</w:t>
      </w:r>
      <w:r>
        <w:rPr>
          <w:rFonts w:hint="eastAsia" w:ascii="仿宋" w:hAnsi="仿宋" w:eastAsia="仿宋" w:cs="仿宋"/>
          <w:b w:val="0"/>
          <w:bCs/>
          <w:i w:val="0"/>
          <w:caps w:val="0"/>
          <w:color w:val="auto"/>
          <w:spacing w:val="0"/>
          <w:sz w:val="24"/>
          <w:szCs w:val="24"/>
          <w:highlight w:val="none"/>
          <w:shd w:val="clear" w:color="auto" w:fill="FFFFFF"/>
          <w:lang w:val="en-US" w:eastAsia="zh-CN"/>
        </w:rPr>
        <w:t>325,489.75</w:t>
      </w:r>
      <w:r>
        <w:rPr>
          <w:rFonts w:hint="eastAsia" w:ascii="仿宋" w:hAnsi="仿宋" w:eastAsia="仿宋" w:cs="仿宋"/>
          <w:b w:val="0"/>
          <w:bCs/>
          <w:i w:val="0"/>
          <w:caps w:val="0"/>
          <w:color w:val="auto"/>
          <w:spacing w:val="0"/>
          <w:sz w:val="24"/>
          <w:szCs w:val="24"/>
          <w:highlight w:val="none"/>
          <w:shd w:val="clear" w:color="auto" w:fill="FFFFFF"/>
        </w:rPr>
        <w:t>元</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合同包最高限价：</w:t>
      </w:r>
      <w:r>
        <w:rPr>
          <w:rFonts w:hint="eastAsia" w:ascii="仿宋" w:hAnsi="仿宋" w:eastAsia="仿宋" w:cs="仿宋"/>
          <w:b w:val="0"/>
          <w:bCs/>
          <w:i w:val="0"/>
          <w:caps w:val="0"/>
          <w:color w:val="auto"/>
          <w:spacing w:val="0"/>
          <w:sz w:val="24"/>
          <w:szCs w:val="24"/>
          <w:highlight w:val="none"/>
          <w:shd w:val="clear" w:color="auto" w:fill="FFFFFF"/>
          <w:lang w:val="en-US" w:eastAsia="zh-CN"/>
        </w:rPr>
        <w:t>325,489.75</w:t>
      </w:r>
      <w:r>
        <w:rPr>
          <w:rFonts w:hint="eastAsia" w:ascii="仿宋" w:hAnsi="仿宋" w:eastAsia="仿宋" w:cs="仿宋"/>
          <w:b w:val="0"/>
          <w:bCs/>
          <w:i w:val="0"/>
          <w:caps w:val="0"/>
          <w:color w:val="auto"/>
          <w:spacing w:val="0"/>
          <w:sz w:val="24"/>
          <w:szCs w:val="24"/>
          <w:highlight w:val="none"/>
          <w:shd w:val="clear" w:color="auto" w:fill="FFFFFF"/>
        </w:rPr>
        <w:t>元</w:t>
      </w:r>
    </w:p>
    <w:tbl>
      <w:tblPr>
        <w:tblStyle w:val="35"/>
        <w:tblW w:w="9257" w:type="dxa"/>
        <w:tblInd w:w="-3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35"/>
        <w:gridCol w:w="1179"/>
        <w:gridCol w:w="1476"/>
        <w:gridCol w:w="1018"/>
        <w:gridCol w:w="1376"/>
        <w:gridCol w:w="1590"/>
        <w:gridCol w:w="1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59" w:hRule="atLeast"/>
          <w:tblHeader/>
        </w:trPr>
        <w:tc>
          <w:tcPr>
            <w:tcW w:w="93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品目号</w:t>
            </w:r>
          </w:p>
        </w:tc>
        <w:tc>
          <w:tcPr>
            <w:tcW w:w="117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品目名称</w:t>
            </w:r>
          </w:p>
        </w:tc>
        <w:tc>
          <w:tcPr>
            <w:tcW w:w="14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采购标的</w:t>
            </w:r>
          </w:p>
        </w:tc>
        <w:tc>
          <w:tcPr>
            <w:tcW w:w="101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kern w:val="0"/>
                <w:sz w:val="21"/>
                <w:szCs w:val="21"/>
                <w:highlight w:val="none"/>
                <w:lang w:val="en-US" w:eastAsia="zh-CN" w:bidi="ar"/>
              </w:rPr>
            </w:pPr>
            <w:r>
              <w:rPr>
                <w:rFonts w:hint="eastAsia" w:ascii="仿宋" w:hAnsi="仿宋" w:eastAsia="仿宋" w:cs="仿宋"/>
                <w:b/>
                <w:bCs/>
                <w:i w:val="0"/>
                <w:iCs w:val="0"/>
                <w:caps w:val="0"/>
                <w:color w:val="auto"/>
                <w:spacing w:val="0"/>
                <w:kern w:val="0"/>
                <w:sz w:val="21"/>
                <w:szCs w:val="21"/>
                <w:highlight w:val="none"/>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（单位）</w:t>
            </w:r>
          </w:p>
        </w:tc>
        <w:tc>
          <w:tcPr>
            <w:tcW w:w="13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技术规格、参数及要求</w:t>
            </w:r>
          </w:p>
        </w:tc>
        <w:tc>
          <w:tcPr>
            <w:tcW w:w="15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品目预算(元)</w:t>
            </w:r>
          </w:p>
        </w:tc>
        <w:tc>
          <w:tcPr>
            <w:tcW w:w="16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b/>
                <w:bCs/>
                <w:i w:val="0"/>
                <w:iCs w:val="0"/>
                <w:caps w:val="0"/>
                <w:color w:val="auto"/>
                <w:spacing w:val="0"/>
                <w:sz w:val="21"/>
                <w:szCs w:val="21"/>
                <w:highlight w:val="none"/>
              </w:rPr>
            </w:pPr>
            <w:r>
              <w:rPr>
                <w:rFonts w:hint="eastAsia" w:ascii="仿宋" w:hAnsi="仿宋" w:eastAsia="仿宋" w:cs="仿宋"/>
                <w:b/>
                <w:bCs/>
                <w:i w:val="0"/>
                <w:iCs w:val="0"/>
                <w:caps w:val="0"/>
                <w:color w:val="auto"/>
                <w:spacing w:val="0"/>
                <w:kern w:val="0"/>
                <w:sz w:val="21"/>
                <w:szCs w:val="21"/>
                <w:highlight w:val="no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1" w:hRule="atLeast"/>
        </w:trPr>
        <w:tc>
          <w:tcPr>
            <w:tcW w:w="93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kern w:val="0"/>
                <w:sz w:val="21"/>
                <w:szCs w:val="21"/>
                <w:highlight w:val="none"/>
                <w:lang w:val="en-US" w:eastAsia="zh-CN" w:bidi="ar"/>
              </w:rPr>
              <w:t>4-1</w:t>
            </w:r>
          </w:p>
        </w:tc>
        <w:tc>
          <w:tcPr>
            <w:tcW w:w="117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sz w:val="21"/>
                <w:szCs w:val="21"/>
                <w:highlight w:val="none"/>
                <w:lang w:eastAsia="zh-CN"/>
              </w:rPr>
            </w:pPr>
            <w:r>
              <w:rPr>
                <w:rFonts w:hint="eastAsia" w:ascii="仿宋" w:hAnsi="仿宋" w:eastAsia="仿宋" w:cs="仿宋"/>
                <w:i w:val="0"/>
                <w:iCs w:val="0"/>
                <w:caps w:val="0"/>
                <w:color w:val="auto"/>
                <w:spacing w:val="0"/>
                <w:sz w:val="21"/>
                <w:szCs w:val="21"/>
                <w:highlight w:val="none"/>
                <w:lang w:eastAsia="zh-CN"/>
              </w:rPr>
              <w:t>供水管道工程和下水道铺设</w:t>
            </w:r>
          </w:p>
        </w:tc>
        <w:tc>
          <w:tcPr>
            <w:tcW w:w="14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石砭峪新村安全饮水巩固提升</w:t>
            </w:r>
          </w:p>
        </w:tc>
        <w:tc>
          <w:tcPr>
            <w:tcW w:w="101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1（项）</w:t>
            </w:r>
          </w:p>
        </w:tc>
        <w:tc>
          <w:tcPr>
            <w:tcW w:w="137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详见采购文件</w:t>
            </w:r>
          </w:p>
        </w:tc>
        <w:tc>
          <w:tcPr>
            <w:tcW w:w="15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325,489.75</w:t>
            </w:r>
          </w:p>
        </w:tc>
        <w:tc>
          <w:tcPr>
            <w:tcW w:w="16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325,489.75</w:t>
            </w:r>
          </w:p>
        </w:tc>
      </w:tr>
    </w:tbl>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本合同包不接受联合体投标</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rPr>
        <w:t>合同履行期限：合同签订之日起3个月 </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i w:val="0"/>
          <w:caps w:val="0"/>
          <w:color w:val="auto"/>
          <w:spacing w:val="0"/>
          <w:sz w:val="24"/>
          <w:szCs w:val="24"/>
          <w:highlight w:val="none"/>
          <w:shd w:val="clear" w:color="auto" w:fill="FFFFFF"/>
        </w:rPr>
        <w:t>二、</w:t>
      </w:r>
      <w:r>
        <w:rPr>
          <w:rFonts w:hint="eastAsia" w:ascii="仿宋" w:hAnsi="仿宋" w:eastAsia="仿宋" w:cs="仿宋"/>
          <w:b/>
          <w:i w:val="0"/>
          <w:caps w:val="0"/>
          <w:color w:val="auto"/>
          <w:spacing w:val="0"/>
          <w:sz w:val="24"/>
          <w:szCs w:val="24"/>
          <w:highlight w:val="none"/>
          <w:shd w:val="clear" w:color="auto" w:fill="FFFFFF"/>
          <w:lang w:val="en-US" w:eastAsia="zh-CN"/>
        </w:rPr>
        <w:t>申请人的</w:t>
      </w:r>
      <w:r>
        <w:rPr>
          <w:rFonts w:hint="eastAsia" w:ascii="仿宋" w:hAnsi="仿宋" w:eastAsia="仿宋" w:cs="仿宋"/>
          <w:b/>
          <w:i w:val="0"/>
          <w:caps w:val="0"/>
          <w:color w:val="auto"/>
          <w:spacing w:val="0"/>
          <w:sz w:val="24"/>
          <w:szCs w:val="24"/>
          <w:highlight w:val="none"/>
          <w:shd w:val="clear" w:color="auto" w:fill="FFFFFF"/>
        </w:rPr>
        <w:t>资格要求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rPr>
        <w:t>1</w:t>
      </w:r>
      <w:r>
        <w:rPr>
          <w:rFonts w:hint="eastAsia" w:ascii="仿宋" w:hAnsi="仿宋" w:eastAsia="仿宋" w:cs="仿宋"/>
          <w:i w:val="0"/>
          <w:caps w:val="0"/>
          <w:color w:val="auto"/>
          <w:spacing w:val="0"/>
          <w:sz w:val="24"/>
          <w:szCs w:val="24"/>
          <w:highlight w:val="none"/>
          <w:shd w:val="clear" w:color="auto" w:fill="FFFFFF"/>
          <w:lang w:val="en-US" w:eastAsia="zh-CN"/>
        </w:rPr>
        <w:t>.</w:t>
      </w:r>
      <w:r>
        <w:rPr>
          <w:rFonts w:hint="eastAsia" w:ascii="仿宋" w:hAnsi="仿宋" w:eastAsia="仿宋" w:cs="仿宋"/>
          <w:i w:val="0"/>
          <w:caps w:val="0"/>
          <w:color w:val="auto"/>
          <w:spacing w:val="0"/>
          <w:sz w:val="24"/>
          <w:szCs w:val="24"/>
          <w:highlight w:val="none"/>
          <w:shd w:val="clear" w:color="auto" w:fill="FFFFFF"/>
        </w:rPr>
        <w:t>满足《中华人民共和国政府采购法》第二十二条规定</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rPr>
      </w:pPr>
      <w:r>
        <w:rPr>
          <w:rFonts w:hint="eastAsia" w:ascii="仿宋" w:hAnsi="仿宋" w:eastAsia="仿宋" w:cs="仿宋"/>
          <w:i w:val="0"/>
          <w:caps w:val="0"/>
          <w:color w:val="auto"/>
          <w:spacing w:val="0"/>
          <w:sz w:val="24"/>
          <w:szCs w:val="24"/>
          <w:highlight w:val="none"/>
          <w:shd w:val="clear" w:color="auto" w:fill="FFFFFF"/>
        </w:rPr>
        <w:t>2</w:t>
      </w:r>
      <w:r>
        <w:rPr>
          <w:rFonts w:hint="eastAsia" w:ascii="仿宋" w:hAnsi="仿宋" w:eastAsia="仿宋" w:cs="仿宋"/>
          <w:i w:val="0"/>
          <w:caps w:val="0"/>
          <w:color w:val="auto"/>
          <w:spacing w:val="0"/>
          <w:sz w:val="24"/>
          <w:szCs w:val="24"/>
          <w:highlight w:val="none"/>
          <w:shd w:val="clear" w:color="auto" w:fill="FFFFFF"/>
          <w:lang w:val="en-US" w:eastAsia="zh-CN"/>
        </w:rPr>
        <w:t>.</w:t>
      </w:r>
      <w:r>
        <w:rPr>
          <w:rFonts w:hint="eastAsia" w:ascii="仿宋" w:hAnsi="仿宋" w:eastAsia="仿宋" w:cs="仿宋"/>
          <w:i w:val="0"/>
          <w:caps w:val="0"/>
          <w:color w:val="auto"/>
          <w:spacing w:val="0"/>
          <w:sz w:val="24"/>
          <w:szCs w:val="24"/>
          <w:highlight w:val="none"/>
          <w:shd w:val="clear" w:color="auto" w:fill="FFFFFF"/>
        </w:rPr>
        <w:t>落实政府采购政策需满足的资格要求：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合同包1(新农村)落实政府采购政策需满足的资格要求如下: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fill="FFFFFF"/>
          <w:lang w:val="en-US" w:eastAsia="zh-CN"/>
        </w:rPr>
      </w:pPr>
      <w:r>
        <w:rPr>
          <w:rFonts w:hint="eastAsia" w:ascii="仿宋" w:hAnsi="仿宋" w:eastAsia="仿宋" w:cs="仿宋"/>
          <w:i w:val="0"/>
          <w:caps w:val="0"/>
          <w:color w:val="auto"/>
          <w:spacing w:val="0"/>
          <w:sz w:val="24"/>
          <w:szCs w:val="24"/>
          <w:highlight w:val="none"/>
          <w:shd w:val="clear" w:fill="FFFFFF"/>
          <w:lang w:val="en-US" w:eastAsia="zh-CN"/>
        </w:rPr>
        <w:t>本合同包专门面向中小企业采购，供应商应为中小微企业或监狱企业或残疾人福利性单位。</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合同包2(华家新村)落实政府采购政策需满足的资格要求如下: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lang w:val="en-US" w:eastAsia="zh-CN"/>
        </w:rPr>
        <w:t>本合同包专门面向中小企业采购，供应商应为中小微企业或监狱企业或残疾人福利性单位。</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合同包3(星火村)落实政府采购政策需满足的资格要求如下: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lang w:val="en-US" w:eastAsia="zh-CN"/>
        </w:rPr>
        <w:t>本合同包专门面向中小企业采购，供应商应为中小微企业或监狱企业或残疾人福利性单位。</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合同包4(石砭峪新村)落实政府采购政策需满足的资格要求如下: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fill="FFFFFF"/>
          <w:lang w:val="en-US" w:eastAsia="zh-CN"/>
        </w:rPr>
      </w:pPr>
      <w:r>
        <w:rPr>
          <w:rFonts w:hint="eastAsia" w:ascii="仿宋" w:hAnsi="仿宋" w:eastAsia="仿宋" w:cs="仿宋"/>
          <w:i w:val="0"/>
          <w:caps w:val="0"/>
          <w:color w:val="auto"/>
          <w:spacing w:val="0"/>
          <w:sz w:val="24"/>
          <w:szCs w:val="24"/>
          <w:highlight w:val="none"/>
          <w:shd w:val="clear" w:fill="FFFFFF"/>
          <w:lang w:val="en-US" w:eastAsia="zh-CN"/>
        </w:rPr>
        <w:t>本合同包专门面向中小企业采购，供应商应为中小微企业或监狱企业或残疾人福利性单位。</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rightChars="0"/>
        <w:textAlignment w:val="auto"/>
        <w:outlineLvl w:val="9"/>
        <w:rPr>
          <w:rFonts w:hint="eastAsia" w:ascii="仿宋" w:hAnsi="仿宋" w:eastAsia="仿宋" w:cs="仿宋"/>
          <w:i w:val="0"/>
          <w:caps w:val="0"/>
          <w:color w:val="auto"/>
          <w:spacing w:val="0"/>
          <w:sz w:val="24"/>
          <w:szCs w:val="24"/>
          <w:highlight w:val="none"/>
          <w:shd w:val="clear" w:color="auto" w:fill="FFFFFF"/>
        </w:rPr>
      </w:pPr>
      <w:r>
        <w:rPr>
          <w:rFonts w:hint="eastAsia" w:ascii="仿宋" w:hAnsi="仿宋" w:eastAsia="仿宋" w:cs="仿宋"/>
          <w:i w:val="0"/>
          <w:caps w:val="0"/>
          <w:color w:val="auto"/>
          <w:spacing w:val="0"/>
          <w:sz w:val="24"/>
          <w:szCs w:val="24"/>
          <w:highlight w:val="none"/>
          <w:shd w:val="clear" w:color="auto" w:fill="FFFFFF"/>
          <w:lang w:val="en-US" w:eastAsia="zh-CN"/>
        </w:rPr>
        <w:t>3.</w:t>
      </w:r>
      <w:r>
        <w:rPr>
          <w:rFonts w:hint="eastAsia" w:ascii="仿宋" w:hAnsi="仿宋" w:eastAsia="仿宋" w:cs="仿宋"/>
          <w:i w:val="0"/>
          <w:caps w:val="0"/>
          <w:color w:val="auto"/>
          <w:spacing w:val="0"/>
          <w:sz w:val="24"/>
          <w:szCs w:val="24"/>
          <w:highlight w:val="none"/>
          <w:shd w:val="clear" w:color="auto" w:fill="FFFFFF"/>
        </w:rPr>
        <w:t>本项目的特定资格要求：</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i w:val="0"/>
          <w:caps w:val="0"/>
          <w:color w:val="auto"/>
          <w:spacing w:val="0"/>
          <w:sz w:val="24"/>
          <w:szCs w:val="24"/>
          <w:highlight w:val="none"/>
          <w:shd w:val="clear" w:color="auto" w:fill="FFFFFF"/>
          <w:lang w:eastAsia="zh-CN"/>
        </w:rPr>
      </w:pPr>
      <w:r>
        <w:rPr>
          <w:rFonts w:hint="eastAsia" w:ascii="仿宋" w:hAnsi="仿宋" w:eastAsia="仿宋" w:cs="仿宋"/>
          <w:i w:val="0"/>
          <w:caps w:val="0"/>
          <w:color w:val="auto"/>
          <w:spacing w:val="0"/>
          <w:sz w:val="24"/>
          <w:szCs w:val="24"/>
          <w:highlight w:val="none"/>
          <w:shd w:val="clear" w:color="auto" w:fill="FFFFFF"/>
          <w:lang w:eastAsia="zh-CN"/>
        </w:rPr>
        <w:t>合同包1(新农村)特定资格要求如下:</w:t>
      </w:r>
    </w:p>
    <w:p>
      <w:pPr>
        <w:pStyle w:val="31"/>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rPr>
        <w:t>法定代表人授权书（附法定代表人、被授权人身份证复印件）及被授权人身份证（法定代表人直接参加磋商，须提供法定代表人身份证明及身份证原件）；</w:t>
      </w:r>
      <w:r>
        <w:rPr>
          <w:rFonts w:hint="eastAsia" w:ascii="仿宋" w:hAnsi="仿宋" w:eastAsia="仿宋" w:cs="仿宋"/>
          <w:i w:val="0"/>
          <w:caps w:val="0"/>
          <w:color w:val="auto"/>
          <w:spacing w:val="0"/>
          <w:sz w:val="24"/>
          <w:szCs w:val="24"/>
          <w:highlight w:val="none"/>
          <w:shd w:val="clear" w:fill="FFFFFF"/>
          <w:lang w:val="en-US" w:eastAsia="zh-CN"/>
        </w:rPr>
        <w:t>（2）</w:t>
      </w:r>
      <w:r>
        <w:rPr>
          <w:rFonts w:hint="eastAsia" w:ascii="仿宋" w:hAnsi="仿宋" w:eastAsia="仿宋" w:cs="仿宋"/>
          <w:i w:val="0"/>
          <w:caps w:val="0"/>
          <w:color w:val="auto"/>
          <w:spacing w:val="0"/>
          <w:sz w:val="24"/>
          <w:szCs w:val="24"/>
          <w:highlight w:val="none"/>
          <w:shd w:val="clear" w:fill="FFFFFF"/>
          <w:lang w:eastAsia="zh-CN"/>
        </w:rPr>
        <w:t>具备建设行政主管部门颁发的水利水电工程施工总承包三级及以上或市政公用工程施工总承包三级及以上资质证书，同时具备合格有效的安全生产许可证；</w:t>
      </w:r>
      <w:r>
        <w:rPr>
          <w:rFonts w:hint="eastAsia" w:ascii="仿宋" w:hAnsi="仿宋" w:eastAsia="仿宋" w:cs="仿宋"/>
          <w:i w:val="0"/>
          <w:caps w:val="0"/>
          <w:color w:val="auto"/>
          <w:spacing w:val="0"/>
          <w:sz w:val="24"/>
          <w:szCs w:val="24"/>
          <w:highlight w:val="none"/>
          <w:shd w:val="clear" w:fill="FFFFFF"/>
          <w:lang w:val="en-US" w:eastAsia="zh-CN"/>
        </w:rPr>
        <w:t>（3）</w:t>
      </w:r>
      <w:r>
        <w:rPr>
          <w:rFonts w:hint="eastAsia" w:ascii="仿宋" w:hAnsi="仿宋" w:eastAsia="仿宋" w:cs="仿宋"/>
          <w:i w:val="0"/>
          <w:caps w:val="0"/>
          <w:color w:val="auto"/>
          <w:spacing w:val="0"/>
          <w:sz w:val="24"/>
          <w:szCs w:val="24"/>
          <w:highlight w:val="none"/>
          <w:shd w:val="clear" w:fill="FFFFFF"/>
          <w:lang w:eastAsia="zh-CN"/>
        </w:rPr>
        <w:t>拟派项目经理须具有水利水电工程专业二级及以上或市政工程专业二级及以上注册建造师证书和有效的安全生产考核证书（B证）且无在建工程、无不良记录（提供无在建工程、无不良记录承诺书）</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（4）</w:t>
      </w:r>
      <w:r>
        <w:rPr>
          <w:rFonts w:hint="eastAsia" w:ascii="仿宋" w:hAnsi="仿宋" w:eastAsia="仿宋" w:cs="仿宋"/>
          <w:i w:val="0"/>
          <w:caps w:val="0"/>
          <w:color w:val="auto"/>
          <w:spacing w:val="0"/>
          <w:sz w:val="24"/>
          <w:szCs w:val="24"/>
          <w:highlight w:val="none"/>
          <w:shd w:val="clear" w:color="auto" w:fill="FFFFFF"/>
        </w:rPr>
        <w:t>供应商</w:t>
      </w:r>
      <w:r>
        <w:rPr>
          <w:rFonts w:hint="eastAsia" w:ascii="仿宋" w:hAnsi="仿宋" w:eastAsia="仿宋" w:cs="仿宋"/>
          <w:i w:val="0"/>
          <w:caps w:val="0"/>
          <w:color w:val="auto"/>
          <w:spacing w:val="0"/>
          <w:sz w:val="24"/>
          <w:szCs w:val="24"/>
          <w:highlight w:val="none"/>
          <w:shd w:val="clear" w:color="auto" w:fill="FFFFFF"/>
          <w:lang w:val="en-US" w:eastAsia="zh-CN"/>
        </w:rPr>
        <w:t>未被</w:t>
      </w:r>
      <w:r>
        <w:rPr>
          <w:rFonts w:hint="eastAsia" w:ascii="仿宋" w:hAnsi="仿宋" w:eastAsia="仿宋" w:cs="仿宋"/>
          <w:i w:val="0"/>
          <w:caps w:val="0"/>
          <w:color w:val="auto"/>
          <w:spacing w:val="0"/>
          <w:sz w:val="24"/>
          <w:szCs w:val="24"/>
          <w:highlight w:val="none"/>
          <w:shd w:val="clear" w:color="auto" w:fill="FFFFFF"/>
        </w:rPr>
        <w:t>“信用中国”网站（www.creditchina.gov.cn）列入失信被执行人</w:t>
      </w:r>
      <w:r>
        <w:rPr>
          <w:rFonts w:hint="eastAsia" w:ascii="仿宋" w:hAnsi="仿宋" w:eastAsia="仿宋" w:cs="仿宋"/>
          <w:i w:val="0"/>
          <w:caps w:val="0"/>
          <w:color w:val="auto"/>
          <w:spacing w:val="0"/>
          <w:sz w:val="24"/>
          <w:szCs w:val="24"/>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4"/>
          <w:szCs w:val="24"/>
          <w:highlight w:val="none"/>
          <w:shd w:val="clear" w:color="auto" w:fill="FFFFFF"/>
        </w:rPr>
        <w:t>中国政府采购网（www.ccgp.gov.cn）</w:t>
      </w:r>
      <w:r>
        <w:rPr>
          <w:rFonts w:hint="eastAsia" w:ascii="仿宋" w:hAnsi="仿宋" w:eastAsia="仿宋" w:cs="仿宋"/>
          <w:i w:val="0"/>
          <w:caps w:val="0"/>
          <w:color w:val="auto"/>
          <w:spacing w:val="0"/>
          <w:sz w:val="24"/>
          <w:szCs w:val="24"/>
          <w:highlight w:val="none"/>
          <w:shd w:val="clear" w:color="auto" w:fill="FFFFFF"/>
          <w:lang w:val="en-US" w:eastAsia="zh-CN"/>
        </w:rPr>
        <w:t>列入</w:t>
      </w:r>
      <w:r>
        <w:rPr>
          <w:rFonts w:hint="eastAsia" w:ascii="仿宋" w:hAnsi="仿宋" w:eastAsia="仿宋" w:cs="仿宋"/>
          <w:i w:val="0"/>
          <w:caps w:val="0"/>
          <w:color w:val="auto"/>
          <w:spacing w:val="0"/>
          <w:sz w:val="24"/>
          <w:szCs w:val="24"/>
          <w:highlight w:val="none"/>
          <w:shd w:val="clear" w:color="auto" w:fill="FFFFFF"/>
        </w:rPr>
        <w:t>政府采购严重违法失信行为记录名单</w:t>
      </w:r>
      <w:r>
        <w:rPr>
          <w:rFonts w:hint="eastAsia" w:ascii="仿宋" w:hAnsi="仿宋" w:eastAsia="仿宋" w:cs="仿宋"/>
          <w:i w:val="0"/>
          <w:caps w:val="0"/>
          <w:color w:val="auto"/>
          <w:spacing w:val="0"/>
          <w:sz w:val="24"/>
          <w:szCs w:val="24"/>
          <w:highlight w:val="none"/>
          <w:shd w:val="clear" w:fill="FFFFFF"/>
        </w:rPr>
        <w:t>。</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i w:val="0"/>
          <w:caps w:val="0"/>
          <w:color w:val="auto"/>
          <w:spacing w:val="0"/>
          <w:sz w:val="24"/>
          <w:szCs w:val="24"/>
          <w:highlight w:val="none"/>
          <w:shd w:val="clear" w:color="auto" w:fill="FFFFFF"/>
          <w:lang w:eastAsia="zh-CN"/>
        </w:rPr>
      </w:pPr>
      <w:r>
        <w:rPr>
          <w:rFonts w:hint="eastAsia" w:ascii="仿宋" w:hAnsi="仿宋" w:eastAsia="仿宋" w:cs="仿宋"/>
          <w:i w:val="0"/>
          <w:caps w:val="0"/>
          <w:color w:val="auto"/>
          <w:spacing w:val="0"/>
          <w:sz w:val="24"/>
          <w:szCs w:val="24"/>
          <w:highlight w:val="none"/>
          <w:shd w:val="clear" w:color="auto" w:fill="FFFFFF"/>
          <w:lang w:eastAsia="zh-CN"/>
        </w:rPr>
        <w:t>合同包2(华家新村)特定资格要求如下: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lang w:val="en-US" w:eastAsia="zh-CN"/>
        </w:rPr>
        <w:t>1</w:t>
      </w: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rPr>
        <w:t>法定代表人授权书（附法定代表人、被授权人身份证复印件）及被授权人身份证（法定代表人直接参加磋商，须提供法定代表人身份证明及身份证原件）；</w:t>
      </w:r>
      <w:r>
        <w:rPr>
          <w:rFonts w:hint="eastAsia" w:ascii="仿宋" w:hAnsi="仿宋" w:eastAsia="仿宋" w:cs="仿宋"/>
          <w:i w:val="0"/>
          <w:caps w:val="0"/>
          <w:color w:val="auto"/>
          <w:spacing w:val="0"/>
          <w:sz w:val="24"/>
          <w:szCs w:val="24"/>
          <w:highlight w:val="none"/>
          <w:shd w:val="clear" w:fill="FFFFFF"/>
          <w:lang w:val="en-US" w:eastAsia="zh-CN"/>
        </w:rPr>
        <w:t>（2）</w:t>
      </w:r>
      <w:r>
        <w:rPr>
          <w:rFonts w:hint="eastAsia" w:ascii="仿宋" w:hAnsi="仿宋" w:eastAsia="仿宋" w:cs="仿宋"/>
          <w:i w:val="0"/>
          <w:caps w:val="0"/>
          <w:color w:val="auto"/>
          <w:spacing w:val="0"/>
          <w:sz w:val="24"/>
          <w:szCs w:val="24"/>
          <w:highlight w:val="none"/>
          <w:shd w:val="clear" w:fill="FFFFFF"/>
          <w:lang w:eastAsia="zh-CN"/>
        </w:rPr>
        <w:t>具备建设行政主管部门颁发的水利水电工程施工总承包三级及以上或市政公用工程施工总承包三级及以上资质证书，同时具备合格有效的安全生产许可证；</w:t>
      </w:r>
      <w:r>
        <w:rPr>
          <w:rFonts w:hint="eastAsia" w:ascii="仿宋" w:hAnsi="仿宋" w:eastAsia="仿宋" w:cs="仿宋"/>
          <w:i w:val="0"/>
          <w:caps w:val="0"/>
          <w:color w:val="auto"/>
          <w:spacing w:val="0"/>
          <w:sz w:val="24"/>
          <w:szCs w:val="24"/>
          <w:highlight w:val="none"/>
          <w:shd w:val="clear" w:fill="FFFFFF"/>
          <w:lang w:val="en-US" w:eastAsia="zh-CN"/>
        </w:rPr>
        <w:t>（3）</w:t>
      </w:r>
      <w:r>
        <w:rPr>
          <w:rFonts w:hint="eastAsia" w:ascii="仿宋" w:hAnsi="仿宋" w:eastAsia="仿宋" w:cs="仿宋"/>
          <w:i w:val="0"/>
          <w:caps w:val="0"/>
          <w:color w:val="auto"/>
          <w:spacing w:val="0"/>
          <w:sz w:val="24"/>
          <w:szCs w:val="24"/>
          <w:highlight w:val="none"/>
          <w:shd w:val="clear" w:fill="FFFFFF"/>
          <w:lang w:eastAsia="zh-CN"/>
        </w:rPr>
        <w:t>拟派项目经理须具有水利水电工程专业二级及以上或市政工程专业二级及以上注册建造师证书和有效的安全生产考核证书（B证）且无在建工程、无不良记录（提供无在建工程、无不良记录承诺书）</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（4）</w:t>
      </w:r>
      <w:r>
        <w:rPr>
          <w:rFonts w:hint="eastAsia" w:ascii="仿宋" w:hAnsi="仿宋" w:eastAsia="仿宋" w:cs="仿宋"/>
          <w:i w:val="0"/>
          <w:caps w:val="0"/>
          <w:color w:val="auto"/>
          <w:spacing w:val="0"/>
          <w:sz w:val="24"/>
          <w:szCs w:val="24"/>
          <w:highlight w:val="none"/>
          <w:shd w:val="clear" w:color="auto" w:fill="FFFFFF"/>
        </w:rPr>
        <w:t>供应商</w:t>
      </w:r>
      <w:r>
        <w:rPr>
          <w:rFonts w:hint="eastAsia" w:ascii="仿宋" w:hAnsi="仿宋" w:eastAsia="仿宋" w:cs="仿宋"/>
          <w:i w:val="0"/>
          <w:caps w:val="0"/>
          <w:color w:val="auto"/>
          <w:spacing w:val="0"/>
          <w:sz w:val="24"/>
          <w:szCs w:val="24"/>
          <w:highlight w:val="none"/>
          <w:shd w:val="clear" w:color="auto" w:fill="FFFFFF"/>
          <w:lang w:val="en-US" w:eastAsia="zh-CN"/>
        </w:rPr>
        <w:t>未被</w:t>
      </w:r>
      <w:r>
        <w:rPr>
          <w:rFonts w:hint="eastAsia" w:ascii="仿宋" w:hAnsi="仿宋" w:eastAsia="仿宋" w:cs="仿宋"/>
          <w:i w:val="0"/>
          <w:caps w:val="0"/>
          <w:color w:val="auto"/>
          <w:spacing w:val="0"/>
          <w:sz w:val="24"/>
          <w:szCs w:val="24"/>
          <w:highlight w:val="none"/>
          <w:shd w:val="clear" w:color="auto" w:fill="FFFFFF"/>
        </w:rPr>
        <w:t>“信用中国”网站（www.creditchina.gov.cn）列入失信被执行人</w:t>
      </w:r>
      <w:r>
        <w:rPr>
          <w:rFonts w:hint="eastAsia" w:ascii="仿宋" w:hAnsi="仿宋" w:eastAsia="仿宋" w:cs="仿宋"/>
          <w:i w:val="0"/>
          <w:caps w:val="0"/>
          <w:color w:val="auto"/>
          <w:spacing w:val="0"/>
          <w:sz w:val="24"/>
          <w:szCs w:val="24"/>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4"/>
          <w:szCs w:val="24"/>
          <w:highlight w:val="none"/>
          <w:shd w:val="clear" w:color="auto" w:fill="FFFFFF"/>
        </w:rPr>
        <w:t>中国政府采购网（www.ccgp.gov.cn）</w:t>
      </w:r>
      <w:r>
        <w:rPr>
          <w:rFonts w:hint="eastAsia" w:ascii="仿宋" w:hAnsi="仿宋" w:eastAsia="仿宋" w:cs="仿宋"/>
          <w:i w:val="0"/>
          <w:caps w:val="0"/>
          <w:color w:val="auto"/>
          <w:spacing w:val="0"/>
          <w:sz w:val="24"/>
          <w:szCs w:val="24"/>
          <w:highlight w:val="none"/>
          <w:shd w:val="clear" w:color="auto" w:fill="FFFFFF"/>
          <w:lang w:val="en-US" w:eastAsia="zh-CN"/>
        </w:rPr>
        <w:t>列入</w:t>
      </w:r>
      <w:r>
        <w:rPr>
          <w:rFonts w:hint="eastAsia" w:ascii="仿宋" w:hAnsi="仿宋" w:eastAsia="仿宋" w:cs="仿宋"/>
          <w:i w:val="0"/>
          <w:caps w:val="0"/>
          <w:color w:val="auto"/>
          <w:spacing w:val="0"/>
          <w:sz w:val="24"/>
          <w:szCs w:val="24"/>
          <w:highlight w:val="none"/>
          <w:shd w:val="clear" w:color="auto" w:fill="FFFFFF"/>
        </w:rPr>
        <w:t>政府采购严重违法失信行为记录名单</w:t>
      </w:r>
      <w:r>
        <w:rPr>
          <w:rFonts w:hint="eastAsia" w:ascii="仿宋" w:hAnsi="仿宋" w:eastAsia="仿宋" w:cs="仿宋"/>
          <w:i w:val="0"/>
          <w:caps w:val="0"/>
          <w:color w:val="auto"/>
          <w:spacing w:val="0"/>
          <w:sz w:val="24"/>
          <w:szCs w:val="24"/>
          <w:highlight w:val="none"/>
          <w:shd w:val="clear" w:fill="FFFFFF"/>
        </w:rPr>
        <w:t>。</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i w:val="0"/>
          <w:caps w:val="0"/>
          <w:color w:val="auto"/>
          <w:spacing w:val="0"/>
          <w:sz w:val="24"/>
          <w:szCs w:val="24"/>
          <w:highlight w:val="none"/>
          <w:shd w:val="clear" w:color="auto" w:fill="FFFFFF"/>
          <w:lang w:eastAsia="zh-CN"/>
        </w:rPr>
      </w:pPr>
      <w:r>
        <w:rPr>
          <w:rFonts w:hint="eastAsia" w:ascii="仿宋" w:hAnsi="仿宋" w:eastAsia="仿宋" w:cs="仿宋"/>
          <w:i w:val="0"/>
          <w:caps w:val="0"/>
          <w:color w:val="auto"/>
          <w:spacing w:val="0"/>
          <w:sz w:val="24"/>
          <w:szCs w:val="24"/>
          <w:highlight w:val="none"/>
          <w:shd w:val="clear" w:color="auto" w:fill="FFFFFF"/>
          <w:lang w:eastAsia="zh-CN"/>
        </w:rPr>
        <w:t>合同包3(星火村)特定资格要求如下: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lang w:val="en-US" w:eastAsia="zh-CN"/>
        </w:rPr>
        <w:t>1</w:t>
      </w: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rPr>
        <w:t>法定代表人授权书（附法定代表人、被授权人身份证复印件）及被授权人身份证（法定代表人直接参加磋商，须提供法定代表人身份证明及身份证原件）；</w:t>
      </w:r>
      <w:r>
        <w:rPr>
          <w:rFonts w:hint="eastAsia" w:ascii="仿宋" w:hAnsi="仿宋" w:eastAsia="仿宋" w:cs="仿宋"/>
          <w:i w:val="0"/>
          <w:caps w:val="0"/>
          <w:color w:val="auto"/>
          <w:spacing w:val="0"/>
          <w:sz w:val="24"/>
          <w:szCs w:val="24"/>
          <w:highlight w:val="none"/>
          <w:shd w:val="clear" w:fill="FFFFFF"/>
          <w:lang w:val="en-US" w:eastAsia="zh-CN"/>
        </w:rPr>
        <w:t>（2）</w:t>
      </w:r>
      <w:r>
        <w:rPr>
          <w:rFonts w:hint="eastAsia" w:ascii="仿宋" w:hAnsi="仿宋" w:eastAsia="仿宋" w:cs="仿宋"/>
          <w:i w:val="0"/>
          <w:caps w:val="0"/>
          <w:color w:val="auto"/>
          <w:spacing w:val="0"/>
          <w:sz w:val="24"/>
          <w:szCs w:val="24"/>
          <w:highlight w:val="none"/>
          <w:shd w:val="clear" w:fill="FFFFFF"/>
          <w:lang w:eastAsia="zh-CN"/>
        </w:rPr>
        <w:t>具备建设行政主管部门颁发的水利水电工程施工总承包三级及以上或市政公用工程施工总承包三级及以上资质证书，同时具备合格有效的安全生产许可证；</w:t>
      </w:r>
      <w:r>
        <w:rPr>
          <w:rFonts w:hint="eastAsia" w:ascii="仿宋" w:hAnsi="仿宋" w:eastAsia="仿宋" w:cs="仿宋"/>
          <w:i w:val="0"/>
          <w:caps w:val="0"/>
          <w:color w:val="auto"/>
          <w:spacing w:val="0"/>
          <w:sz w:val="24"/>
          <w:szCs w:val="24"/>
          <w:highlight w:val="none"/>
          <w:shd w:val="clear" w:fill="FFFFFF"/>
          <w:lang w:val="en-US" w:eastAsia="zh-CN"/>
        </w:rPr>
        <w:t>（3）</w:t>
      </w:r>
      <w:r>
        <w:rPr>
          <w:rFonts w:hint="eastAsia" w:ascii="仿宋" w:hAnsi="仿宋" w:eastAsia="仿宋" w:cs="仿宋"/>
          <w:i w:val="0"/>
          <w:caps w:val="0"/>
          <w:color w:val="auto"/>
          <w:spacing w:val="0"/>
          <w:sz w:val="24"/>
          <w:szCs w:val="24"/>
          <w:highlight w:val="none"/>
          <w:shd w:val="clear" w:fill="FFFFFF"/>
          <w:lang w:eastAsia="zh-CN"/>
        </w:rPr>
        <w:t>拟派项目经理须具有水利水电工程专业二级及以上或市政工程专业二级及以上注册建造师证书和有效的安全生产考核证书（B证）且无在建工程、无不良记录（提供无在建工程、无不良记录承诺书）</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（4）</w:t>
      </w:r>
      <w:r>
        <w:rPr>
          <w:rFonts w:hint="eastAsia" w:ascii="仿宋" w:hAnsi="仿宋" w:eastAsia="仿宋" w:cs="仿宋"/>
          <w:i w:val="0"/>
          <w:caps w:val="0"/>
          <w:color w:val="auto"/>
          <w:spacing w:val="0"/>
          <w:sz w:val="24"/>
          <w:szCs w:val="24"/>
          <w:highlight w:val="none"/>
          <w:shd w:val="clear" w:color="auto" w:fill="FFFFFF"/>
        </w:rPr>
        <w:t>供应商</w:t>
      </w:r>
      <w:r>
        <w:rPr>
          <w:rFonts w:hint="eastAsia" w:ascii="仿宋" w:hAnsi="仿宋" w:eastAsia="仿宋" w:cs="仿宋"/>
          <w:i w:val="0"/>
          <w:caps w:val="0"/>
          <w:color w:val="auto"/>
          <w:spacing w:val="0"/>
          <w:sz w:val="24"/>
          <w:szCs w:val="24"/>
          <w:highlight w:val="none"/>
          <w:shd w:val="clear" w:color="auto" w:fill="FFFFFF"/>
          <w:lang w:val="en-US" w:eastAsia="zh-CN"/>
        </w:rPr>
        <w:t>未被</w:t>
      </w:r>
      <w:r>
        <w:rPr>
          <w:rFonts w:hint="eastAsia" w:ascii="仿宋" w:hAnsi="仿宋" w:eastAsia="仿宋" w:cs="仿宋"/>
          <w:i w:val="0"/>
          <w:caps w:val="0"/>
          <w:color w:val="auto"/>
          <w:spacing w:val="0"/>
          <w:sz w:val="24"/>
          <w:szCs w:val="24"/>
          <w:highlight w:val="none"/>
          <w:shd w:val="clear" w:color="auto" w:fill="FFFFFF"/>
        </w:rPr>
        <w:t>“信用中国”网站（www.creditchina.gov.cn）列入失信被执行人</w:t>
      </w:r>
      <w:r>
        <w:rPr>
          <w:rFonts w:hint="eastAsia" w:ascii="仿宋" w:hAnsi="仿宋" w:eastAsia="仿宋" w:cs="仿宋"/>
          <w:i w:val="0"/>
          <w:caps w:val="0"/>
          <w:color w:val="auto"/>
          <w:spacing w:val="0"/>
          <w:sz w:val="24"/>
          <w:szCs w:val="24"/>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4"/>
          <w:szCs w:val="24"/>
          <w:highlight w:val="none"/>
          <w:shd w:val="clear" w:color="auto" w:fill="FFFFFF"/>
        </w:rPr>
        <w:t>中国政府采购网（www.ccgp.gov.cn）</w:t>
      </w:r>
      <w:r>
        <w:rPr>
          <w:rFonts w:hint="eastAsia" w:ascii="仿宋" w:hAnsi="仿宋" w:eastAsia="仿宋" w:cs="仿宋"/>
          <w:i w:val="0"/>
          <w:caps w:val="0"/>
          <w:color w:val="auto"/>
          <w:spacing w:val="0"/>
          <w:sz w:val="24"/>
          <w:szCs w:val="24"/>
          <w:highlight w:val="none"/>
          <w:shd w:val="clear" w:color="auto" w:fill="FFFFFF"/>
          <w:lang w:val="en-US" w:eastAsia="zh-CN"/>
        </w:rPr>
        <w:t>列入</w:t>
      </w:r>
      <w:r>
        <w:rPr>
          <w:rFonts w:hint="eastAsia" w:ascii="仿宋" w:hAnsi="仿宋" w:eastAsia="仿宋" w:cs="仿宋"/>
          <w:i w:val="0"/>
          <w:caps w:val="0"/>
          <w:color w:val="auto"/>
          <w:spacing w:val="0"/>
          <w:sz w:val="24"/>
          <w:szCs w:val="24"/>
          <w:highlight w:val="none"/>
          <w:shd w:val="clear" w:color="auto" w:fill="FFFFFF"/>
        </w:rPr>
        <w:t>政府采购严重违法失信行为记录名单</w:t>
      </w:r>
      <w:r>
        <w:rPr>
          <w:rFonts w:hint="eastAsia" w:ascii="仿宋" w:hAnsi="仿宋" w:eastAsia="仿宋" w:cs="仿宋"/>
          <w:i w:val="0"/>
          <w:caps w:val="0"/>
          <w:color w:val="auto"/>
          <w:spacing w:val="0"/>
          <w:sz w:val="24"/>
          <w:szCs w:val="24"/>
          <w:highlight w:val="none"/>
          <w:shd w:val="clear" w:fill="FFFFFF"/>
        </w:rPr>
        <w:t>。</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i w:val="0"/>
          <w:caps w:val="0"/>
          <w:color w:val="auto"/>
          <w:spacing w:val="0"/>
          <w:sz w:val="24"/>
          <w:szCs w:val="24"/>
          <w:highlight w:val="none"/>
          <w:shd w:val="clear" w:color="auto" w:fill="FFFFFF"/>
          <w:lang w:eastAsia="zh-CN"/>
        </w:rPr>
      </w:pPr>
      <w:r>
        <w:rPr>
          <w:rFonts w:hint="eastAsia" w:ascii="仿宋" w:hAnsi="仿宋" w:eastAsia="仿宋" w:cs="仿宋"/>
          <w:i w:val="0"/>
          <w:caps w:val="0"/>
          <w:color w:val="auto"/>
          <w:spacing w:val="0"/>
          <w:sz w:val="24"/>
          <w:szCs w:val="24"/>
          <w:highlight w:val="none"/>
          <w:shd w:val="clear" w:color="auto" w:fill="FFFFFF"/>
          <w:lang w:eastAsia="zh-CN"/>
        </w:rPr>
        <w:t>合同包4(石砭峪新村)特定资格要求如下:</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lang w:val="en-US" w:eastAsia="zh-CN"/>
        </w:rPr>
        <w:t>1</w:t>
      </w: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rPr>
        <w:t>法定代表人授权书（附法定代表人、被授权人身份证复印件）及被授权人身份证（法定代表人直接参加磋商，须提供法定代表人身份证明及身份证原件）；</w:t>
      </w:r>
      <w:r>
        <w:rPr>
          <w:rFonts w:hint="eastAsia" w:ascii="仿宋" w:hAnsi="仿宋" w:eastAsia="仿宋" w:cs="仿宋"/>
          <w:i w:val="0"/>
          <w:caps w:val="0"/>
          <w:color w:val="auto"/>
          <w:spacing w:val="0"/>
          <w:sz w:val="24"/>
          <w:szCs w:val="24"/>
          <w:highlight w:val="none"/>
          <w:shd w:val="clear" w:fill="FFFFFF"/>
          <w:lang w:val="en-US" w:eastAsia="zh-CN"/>
        </w:rPr>
        <w:t>（2）</w:t>
      </w:r>
      <w:r>
        <w:rPr>
          <w:rFonts w:hint="eastAsia" w:ascii="仿宋" w:hAnsi="仿宋" w:eastAsia="仿宋" w:cs="仿宋"/>
          <w:i w:val="0"/>
          <w:caps w:val="0"/>
          <w:color w:val="auto"/>
          <w:spacing w:val="0"/>
          <w:sz w:val="24"/>
          <w:szCs w:val="24"/>
          <w:highlight w:val="none"/>
          <w:shd w:val="clear" w:fill="FFFFFF"/>
          <w:lang w:eastAsia="zh-CN"/>
        </w:rPr>
        <w:t>具备建设行政主管部门颁发的水利水电工程施工总承包三级及以上或市政公用工程施工总承包三级及以上资质证书，同时具备合格有效的安全生产许可证；</w:t>
      </w:r>
      <w:r>
        <w:rPr>
          <w:rFonts w:hint="eastAsia" w:ascii="仿宋" w:hAnsi="仿宋" w:eastAsia="仿宋" w:cs="仿宋"/>
          <w:i w:val="0"/>
          <w:caps w:val="0"/>
          <w:color w:val="auto"/>
          <w:spacing w:val="0"/>
          <w:sz w:val="24"/>
          <w:szCs w:val="24"/>
          <w:highlight w:val="none"/>
          <w:shd w:val="clear" w:fill="FFFFFF"/>
          <w:lang w:val="en-US" w:eastAsia="zh-CN"/>
        </w:rPr>
        <w:t>（3）</w:t>
      </w:r>
      <w:r>
        <w:rPr>
          <w:rFonts w:hint="eastAsia" w:ascii="仿宋" w:hAnsi="仿宋" w:eastAsia="仿宋" w:cs="仿宋"/>
          <w:i w:val="0"/>
          <w:caps w:val="0"/>
          <w:color w:val="auto"/>
          <w:spacing w:val="0"/>
          <w:sz w:val="24"/>
          <w:szCs w:val="24"/>
          <w:highlight w:val="none"/>
          <w:shd w:val="clear" w:fill="FFFFFF"/>
          <w:lang w:eastAsia="zh-CN"/>
        </w:rPr>
        <w:t>拟派项目经理须具有水利水电工程专业二级及以上或市政工程专业二级及以上注册建造师证书和有效的安全生产考核证书（B证）且无在建工程、无不良记录（提供无在建工程、无不良记录承诺书）</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（4）</w:t>
      </w:r>
      <w:r>
        <w:rPr>
          <w:rFonts w:hint="eastAsia" w:ascii="仿宋" w:hAnsi="仿宋" w:eastAsia="仿宋" w:cs="仿宋"/>
          <w:i w:val="0"/>
          <w:caps w:val="0"/>
          <w:color w:val="auto"/>
          <w:spacing w:val="0"/>
          <w:sz w:val="24"/>
          <w:szCs w:val="24"/>
          <w:highlight w:val="none"/>
          <w:shd w:val="clear" w:color="auto" w:fill="FFFFFF"/>
        </w:rPr>
        <w:t>供应商</w:t>
      </w:r>
      <w:r>
        <w:rPr>
          <w:rFonts w:hint="eastAsia" w:ascii="仿宋" w:hAnsi="仿宋" w:eastAsia="仿宋" w:cs="仿宋"/>
          <w:i w:val="0"/>
          <w:caps w:val="0"/>
          <w:color w:val="auto"/>
          <w:spacing w:val="0"/>
          <w:sz w:val="24"/>
          <w:szCs w:val="24"/>
          <w:highlight w:val="none"/>
          <w:shd w:val="clear" w:color="auto" w:fill="FFFFFF"/>
          <w:lang w:val="en-US" w:eastAsia="zh-CN"/>
        </w:rPr>
        <w:t>未被</w:t>
      </w:r>
      <w:r>
        <w:rPr>
          <w:rFonts w:hint="eastAsia" w:ascii="仿宋" w:hAnsi="仿宋" w:eastAsia="仿宋" w:cs="仿宋"/>
          <w:i w:val="0"/>
          <w:caps w:val="0"/>
          <w:color w:val="auto"/>
          <w:spacing w:val="0"/>
          <w:sz w:val="24"/>
          <w:szCs w:val="24"/>
          <w:highlight w:val="none"/>
          <w:shd w:val="clear" w:color="auto" w:fill="FFFFFF"/>
        </w:rPr>
        <w:t>“信用中国”网站（www.creditchina.gov.cn）列入失信被执行人</w:t>
      </w:r>
      <w:r>
        <w:rPr>
          <w:rFonts w:hint="eastAsia" w:ascii="仿宋" w:hAnsi="仿宋" w:eastAsia="仿宋" w:cs="仿宋"/>
          <w:i w:val="0"/>
          <w:caps w:val="0"/>
          <w:color w:val="auto"/>
          <w:spacing w:val="0"/>
          <w:sz w:val="24"/>
          <w:szCs w:val="24"/>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4"/>
          <w:szCs w:val="24"/>
          <w:highlight w:val="none"/>
          <w:shd w:val="clear" w:color="auto" w:fill="FFFFFF"/>
        </w:rPr>
        <w:t>中国政府采购网（www.ccgp.gov.cn）</w:t>
      </w:r>
      <w:r>
        <w:rPr>
          <w:rFonts w:hint="eastAsia" w:ascii="仿宋" w:hAnsi="仿宋" w:eastAsia="仿宋" w:cs="仿宋"/>
          <w:i w:val="0"/>
          <w:caps w:val="0"/>
          <w:color w:val="auto"/>
          <w:spacing w:val="0"/>
          <w:sz w:val="24"/>
          <w:szCs w:val="24"/>
          <w:highlight w:val="none"/>
          <w:shd w:val="clear" w:color="auto" w:fill="FFFFFF"/>
          <w:lang w:val="en-US" w:eastAsia="zh-CN"/>
        </w:rPr>
        <w:t>列入</w:t>
      </w:r>
      <w:r>
        <w:rPr>
          <w:rFonts w:hint="eastAsia" w:ascii="仿宋" w:hAnsi="仿宋" w:eastAsia="仿宋" w:cs="仿宋"/>
          <w:i w:val="0"/>
          <w:caps w:val="0"/>
          <w:color w:val="auto"/>
          <w:spacing w:val="0"/>
          <w:sz w:val="24"/>
          <w:szCs w:val="24"/>
          <w:highlight w:val="none"/>
          <w:shd w:val="clear" w:color="auto" w:fill="FFFFFF"/>
        </w:rPr>
        <w:t>政府采购严重违法失信行为记录名单</w:t>
      </w:r>
      <w:r>
        <w:rPr>
          <w:rFonts w:hint="eastAsia" w:ascii="仿宋" w:hAnsi="仿宋" w:eastAsia="仿宋" w:cs="仿宋"/>
          <w:i w:val="0"/>
          <w:caps w:val="0"/>
          <w:color w:val="auto"/>
          <w:spacing w:val="0"/>
          <w:sz w:val="24"/>
          <w:szCs w:val="24"/>
          <w:highlight w:val="none"/>
          <w:shd w:val="clear" w:fill="FFFFFF"/>
        </w:rPr>
        <w:t>。</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default" w:ascii="仿宋" w:hAnsi="仿宋" w:eastAsia="仿宋" w:cs="仿宋"/>
          <w:b/>
          <w:color w:val="auto"/>
          <w:sz w:val="24"/>
          <w:szCs w:val="24"/>
          <w:highlight w:val="none"/>
          <w:lang w:val="en-US" w:eastAsia="zh-CN"/>
        </w:rPr>
      </w:pPr>
      <w:r>
        <w:rPr>
          <w:rFonts w:hint="eastAsia" w:ascii="仿宋" w:hAnsi="仿宋" w:eastAsia="仿宋" w:cs="仿宋"/>
          <w:b/>
          <w:i w:val="0"/>
          <w:caps w:val="0"/>
          <w:color w:val="auto"/>
          <w:spacing w:val="0"/>
          <w:sz w:val="24"/>
          <w:szCs w:val="24"/>
          <w:highlight w:val="none"/>
          <w:shd w:val="clear" w:color="auto" w:fill="FFFFFF"/>
        </w:rPr>
        <w:t>三、</w:t>
      </w:r>
      <w:r>
        <w:rPr>
          <w:rFonts w:hint="eastAsia" w:ascii="仿宋" w:hAnsi="仿宋" w:eastAsia="仿宋" w:cs="仿宋"/>
          <w:b/>
          <w:i w:val="0"/>
          <w:caps w:val="0"/>
          <w:color w:val="auto"/>
          <w:spacing w:val="0"/>
          <w:sz w:val="24"/>
          <w:szCs w:val="24"/>
          <w:highlight w:val="none"/>
          <w:shd w:val="clear" w:color="auto" w:fill="FFFFFF"/>
          <w:lang w:val="en-US" w:eastAsia="zh-CN"/>
        </w:rPr>
        <w:t>获取采购文件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rPr>
      </w:pPr>
      <w:r>
        <w:rPr>
          <w:rFonts w:hint="eastAsia" w:ascii="仿宋" w:hAnsi="仿宋" w:eastAsia="仿宋" w:cs="仿宋"/>
          <w:i w:val="0"/>
          <w:caps w:val="0"/>
          <w:color w:val="auto"/>
          <w:spacing w:val="0"/>
          <w:sz w:val="24"/>
          <w:szCs w:val="24"/>
          <w:highlight w:val="none"/>
          <w:shd w:val="clear" w:color="auto" w:fill="FFFFFF"/>
        </w:rPr>
        <w:t>时间： 202</w:t>
      </w:r>
      <w:r>
        <w:rPr>
          <w:rFonts w:hint="eastAsia" w:ascii="仿宋" w:hAnsi="仿宋" w:eastAsia="仿宋" w:cs="仿宋"/>
          <w:i w:val="0"/>
          <w:caps w:val="0"/>
          <w:color w:val="auto"/>
          <w:spacing w:val="0"/>
          <w:sz w:val="24"/>
          <w:szCs w:val="24"/>
          <w:highlight w:val="none"/>
          <w:shd w:val="clear" w:color="auto" w:fill="FFFFFF"/>
          <w:lang w:val="en-US" w:eastAsia="zh-CN"/>
        </w:rPr>
        <w:t>3</w:t>
      </w:r>
      <w:r>
        <w:rPr>
          <w:rFonts w:hint="eastAsia" w:ascii="仿宋" w:hAnsi="仿宋" w:eastAsia="仿宋" w:cs="仿宋"/>
          <w:i w:val="0"/>
          <w:caps w:val="0"/>
          <w:color w:val="auto"/>
          <w:spacing w:val="0"/>
          <w:sz w:val="24"/>
          <w:szCs w:val="24"/>
          <w:highlight w:val="none"/>
          <w:shd w:val="clear" w:color="auto" w:fill="FFFFFF"/>
        </w:rPr>
        <w:t>年</w:t>
      </w:r>
      <w:r>
        <w:rPr>
          <w:rFonts w:hint="eastAsia" w:ascii="仿宋" w:hAnsi="仿宋" w:eastAsia="仿宋" w:cs="仿宋"/>
          <w:i w:val="0"/>
          <w:caps w:val="0"/>
          <w:color w:val="auto"/>
          <w:spacing w:val="0"/>
          <w:sz w:val="24"/>
          <w:szCs w:val="24"/>
          <w:highlight w:val="none"/>
          <w:shd w:val="clear" w:color="auto" w:fill="FFFFFF"/>
          <w:lang w:val="en-US" w:eastAsia="zh-CN"/>
        </w:rPr>
        <w:t>4</w:t>
      </w:r>
      <w:r>
        <w:rPr>
          <w:rFonts w:hint="eastAsia" w:ascii="仿宋" w:hAnsi="仿宋" w:eastAsia="仿宋" w:cs="仿宋"/>
          <w:i w:val="0"/>
          <w:caps w:val="0"/>
          <w:color w:val="auto"/>
          <w:spacing w:val="0"/>
          <w:sz w:val="24"/>
          <w:szCs w:val="24"/>
          <w:highlight w:val="none"/>
          <w:shd w:val="clear" w:color="auto" w:fill="FFFFFF"/>
        </w:rPr>
        <w:t>月</w:t>
      </w:r>
      <w:r>
        <w:rPr>
          <w:rFonts w:hint="eastAsia" w:ascii="仿宋" w:hAnsi="仿宋" w:eastAsia="仿宋" w:cs="仿宋"/>
          <w:i w:val="0"/>
          <w:caps w:val="0"/>
          <w:color w:val="auto"/>
          <w:spacing w:val="0"/>
          <w:sz w:val="24"/>
          <w:szCs w:val="24"/>
          <w:highlight w:val="none"/>
          <w:shd w:val="clear" w:color="auto" w:fill="FFFFFF"/>
          <w:lang w:val="en-US" w:eastAsia="zh-CN"/>
        </w:rPr>
        <w:t>23</w:t>
      </w:r>
      <w:r>
        <w:rPr>
          <w:rFonts w:hint="eastAsia" w:ascii="仿宋" w:hAnsi="仿宋" w:eastAsia="仿宋" w:cs="仿宋"/>
          <w:i w:val="0"/>
          <w:caps w:val="0"/>
          <w:color w:val="auto"/>
          <w:spacing w:val="0"/>
          <w:sz w:val="24"/>
          <w:szCs w:val="24"/>
          <w:highlight w:val="none"/>
          <w:shd w:val="clear" w:color="auto" w:fill="FFFFFF"/>
        </w:rPr>
        <w:t>日 至 202</w:t>
      </w:r>
      <w:r>
        <w:rPr>
          <w:rFonts w:hint="eastAsia" w:ascii="仿宋" w:hAnsi="仿宋" w:eastAsia="仿宋" w:cs="仿宋"/>
          <w:i w:val="0"/>
          <w:caps w:val="0"/>
          <w:color w:val="auto"/>
          <w:spacing w:val="0"/>
          <w:sz w:val="24"/>
          <w:szCs w:val="24"/>
          <w:highlight w:val="none"/>
          <w:shd w:val="clear" w:color="auto" w:fill="FFFFFF"/>
          <w:lang w:val="en-US" w:eastAsia="zh-CN"/>
        </w:rPr>
        <w:t>3</w:t>
      </w:r>
      <w:r>
        <w:rPr>
          <w:rFonts w:hint="eastAsia" w:ascii="仿宋" w:hAnsi="仿宋" w:eastAsia="仿宋" w:cs="仿宋"/>
          <w:i w:val="0"/>
          <w:caps w:val="0"/>
          <w:color w:val="auto"/>
          <w:spacing w:val="0"/>
          <w:sz w:val="24"/>
          <w:szCs w:val="24"/>
          <w:highlight w:val="none"/>
          <w:shd w:val="clear" w:color="auto" w:fill="FFFFFF"/>
        </w:rPr>
        <w:t>年</w:t>
      </w:r>
      <w:r>
        <w:rPr>
          <w:rFonts w:hint="eastAsia" w:ascii="仿宋" w:hAnsi="仿宋" w:eastAsia="仿宋" w:cs="仿宋"/>
          <w:i w:val="0"/>
          <w:caps w:val="0"/>
          <w:color w:val="auto"/>
          <w:spacing w:val="0"/>
          <w:sz w:val="24"/>
          <w:szCs w:val="24"/>
          <w:highlight w:val="none"/>
          <w:shd w:val="clear" w:color="auto" w:fill="FFFFFF"/>
          <w:lang w:val="en-US" w:eastAsia="zh-CN"/>
        </w:rPr>
        <w:t>4</w:t>
      </w:r>
      <w:r>
        <w:rPr>
          <w:rFonts w:hint="eastAsia" w:ascii="仿宋" w:hAnsi="仿宋" w:eastAsia="仿宋" w:cs="仿宋"/>
          <w:i w:val="0"/>
          <w:caps w:val="0"/>
          <w:color w:val="auto"/>
          <w:spacing w:val="0"/>
          <w:sz w:val="24"/>
          <w:szCs w:val="24"/>
          <w:highlight w:val="none"/>
          <w:shd w:val="clear" w:color="auto" w:fill="FFFFFF"/>
        </w:rPr>
        <w:t>月</w:t>
      </w:r>
      <w:r>
        <w:rPr>
          <w:rFonts w:hint="eastAsia" w:ascii="仿宋" w:hAnsi="仿宋" w:eastAsia="仿宋" w:cs="仿宋"/>
          <w:i w:val="0"/>
          <w:caps w:val="0"/>
          <w:color w:val="auto"/>
          <w:spacing w:val="0"/>
          <w:sz w:val="24"/>
          <w:szCs w:val="24"/>
          <w:highlight w:val="none"/>
          <w:shd w:val="clear" w:color="auto" w:fill="FFFFFF"/>
          <w:lang w:val="en-US" w:eastAsia="zh-CN"/>
        </w:rPr>
        <w:t>27</w:t>
      </w:r>
      <w:r>
        <w:rPr>
          <w:rFonts w:hint="eastAsia" w:ascii="仿宋" w:hAnsi="仿宋" w:eastAsia="仿宋" w:cs="仿宋"/>
          <w:i w:val="0"/>
          <w:caps w:val="0"/>
          <w:color w:val="auto"/>
          <w:spacing w:val="0"/>
          <w:sz w:val="24"/>
          <w:szCs w:val="24"/>
          <w:highlight w:val="none"/>
          <w:shd w:val="clear" w:color="auto" w:fill="FFFFFF"/>
        </w:rPr>
        <w:t>日 ，每天上午 09:00:00 至 1</w:t>
      </w:r>
      <w:r>
        <w:rPr>
          <w:rFonts w:hint="eastAsia" w:ascii="仿宋" w:hAnsi="仿宋" w:eastAsia="仿宋" w:cs="仿宋"/>
          <w:i w:val="0"/>
          <w:caps w:val="0"/>
          <w:color w:val="auto"/>
          <w:spacing w:val="0"/>
          <w:sz w:val="24"/>
          <w:szCs w:val="24"/>
          <w:highlight w:val="none"/>
          <w:shd w:val="clear" w:color="auto" w:fill="FFFFFF"/>
          <w:lang w:val="en-US" w:eastAsia="zh-CN"/>
        </w:rPr>
        <w:t>2</w:t>
      </w:r>
      <w:r>
        <w:rPr>
          <w:rFonts w:hint="eastAsia" w:ascii="仿宋" w:hAnsi="仿宋" w:eastAsia="仿宋" w:cs="仿宋"/>
          <w:i w:val="0"/>
          <w:caps w:val="0"/>
          <w:color w:val="auto"/>
          <w:spacing w:val="0"/>
          <w:sz w:val="24"/>
          <w:szCs w:val="24"/>
          <w:highlight w:val="none"/>
          <w:shd w:val="clear" w:color="auto" w:fill="FFFFFF"/>
        </w:rPr>
        <w:t>:</w:t>
      </w:r>
      <w:r>
        <w:rPr>
          <w:rFonts w:hint="eastAsia" w:ascii="仿宋" w:hAnsi="仿宋" w:eastAsia="仿宋" w:cs="仿宋"/>
          <w:i w:val="0"/>
          <w:caps w:val="0"/>
          <w:color w:val="auto"/>
          <w:spacing w:val="0"/>
          <w:sz w:val="24"/>
          <w:szCs w:val="24"/>
          <w:highlight w:val="none"/>
          <w:shd w:val="clear" w:color="auto" w:fill="FFFFFF"/>
          <w:lang w:val="en-US" w:eastAsia="zh-CN"/>
        </w:rPr>
        <w:t>0</w:t>
      </w:r>
      <w:r>
        <w:rPr>
          <w:rFonts w:hint="eastAsia" w:ascii="仿宋" w:hAnsi="仿宋" w:eastAsia="仿宋" w:cs="仿宋"/>
          <w:i w:val="0"/>
          <w:caps w:val="0"/>
          <w:color w:val="auto"/>
          <w:spacing w:val="0"/>
          <w:sz w:val="24"/>
          <w:szCs w:val="24"/>
          <w:highlight w:val="none"/>
          <w:shd w:val="clear" w:color="auto" w:fill="FFFFFF"/>
        </w:rPr>
        <w:t>0:00 ，下午 1</w:t>
      </w:r>
      <w:r>
        <w:rPr>
          <w:rFonts w:hint="eastAsia" w:ascii="仿宋" w:hAnsi="仿宋" w:eastAsia="仿宋" w:cs="仿宋"/>
          <w:i w:val="0"/>
          <w:caps w:val="0"/>
          <w:color w:val="auto"/>
          <w:spacing w:val="0"/>
          <w:sz w:val="24"/>
          <w:szCs w:val="24"/>
          <w:highlight w:val="none"/>
          <w:shd w:val="clear" w:color="auto" w:fill="FFFFFF"/>
          <w:lang w:val="en-US" w:eastAsia="zh-CN"/>
        </w:rPr>
        <w:t>4</w:t>
      </w:r>
      <w:r>
        <w:rPr>
          <w:rFonts w:hint="eastAsia" w:ascii="仿宋" w:hAnsi="仿宋" w:eastAsia="仿宋" w:cs="仿宋"/>
          <w:i w:val="0"/>
          <w:caps w:val="0"/>
          <w:color w:val="auto"/>
          <w:spacing w:val="0"/>
          <w:sz w:val="24"/>
          <w:szCs w:val="24"/>
          <w:highlight w:val="none"/>
          <w:shd w:val="clear" w:color="auto" w:fill="FFFFFF"/>
        </w:rPr>
        <w:t>:</w:t>
      </w:r>
      <w:r>
        <w:rPr>
          <w:rFonts w:hint="eastAsia" w:ascii="仿宋" w:hAnsi="仿宋" w:eastAsia="仿宋" w:cs="仿宋"/>
          <w:i w:val="0"/>
          <w:caps w:val="0"/>
          <w:color w:val="auto"/>
          <w:spacing w:val="0"/>
          <w:sz w:val="24"/>
          <w:szCs w:val="24"/>
          <w:highlight w:val="none"/>
          <w:shd w:val="clear" w:color="auto" w:fill="FFFFFF"/>
          <w:lang w:val="en-US" w:eastAsia="zh-CN"/>
        </w:rPr>
        <w:t>0</w:t>
      </w:r>
      <w:r>
        <w:rPr>
          <w:rFonts w:hint="eastAsia" w:ascii="仿宋" w:hAnsi="仿宋" w:eastAsia="仿宋" w:cs="仿宋"/>
          <w:i w:val="0"/>
          <w:caps w:val="0"/>
          <w:color w:val="auto"/>
          <w:spacing w:val="0"/>
          <w:sz w:val="24"/>
          <w:szCs w:val="24"/>
          <w:highlight w:val="none"/>
          <w:shd w:val="clear" w:color="auto" w:fill="FFFFFF"/>
        </w:rPr>
        <w:t>0:00 至 17:00:00 （北京时间,法定节假日除外）</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lang w:val="en-US" w:eastAsia="zh-CN"/>
        </w:rPr>
        <w:t>途径</w:t>
      </w:r>
      <w:r>
        <w:rPr>
          <w:rFonts w:hint="eastAsia" w:ascii="仿宋" w:hAnsi="仿宋" w:eastAsia="仿宋" w:cs="仿宋"/>
          <w:i w:val="0"/>
          <w:caps w:val="0"/>
          <w:color w:val="auto"/>
          <w:spacing w:val="0"/>
          <w:sz w:val="24"/>
          <w:szCs w:val="24"/>
          <w:highlight w:val="none"/>
          <w:shd w:val="clear" w:color="auto" w:fill="FFFFFF"/>
        </w:rPr>
        <w:t>：西安市高新区科技五路8号数字大厦11层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i w:val="0"/>
          <w:caps w:val="0"/>
          <w:color w:val="auto"/>
          <w:spacing w:val="0"/>
          <w:sz w:val="24"/>
          <w:szCs w:val="24"/>
          <w:highlight w:val="none"/>
          <w:shd w:val="clear" w:color="auto" w:fill="FFFFFF"/>
        </w:rPr>
        <w:t>方式：现场</w:t>
      </w:r>
      <w:r>
        <w:rPr>
          <w:rFonts w:hint="eastAsia" w:ascii="仿宋" w:hAnsi="仿宋" w:eastAsia="仿宋" w:cs="仿宋"/>
          <w:i w:val="0"/>
          <w:caps w:val="0"/>
          <w:color w:val="auto"/>
          <w:spacing w:val="0"/>
          <w:sz w:val="24"/>
          <w:szCs w:val="24"/>
          <w:highlight w:val="none"/>
          <w:shd w:val="clear" w:color="auto" w:fill="FFFFFF"/>
          <w:lang w:val="en-US" w:eastAsia="zh-CN"/>
        </w:rPr>
        <w:t>获取</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i w:val="0"/>
          <w:caps w:val="0"/>
          <w:color w:val="auto"/>
          <w:spacing w:val="0"/>
          <w:sz w:val="24"/>
          <w:szCs w:val="24"/>
          <w:highlight w:val="none"/>
          <w:shd w:val="clear" w:color="auto" w:fill="FFFFFF"/>
        </w:rPr>
        <w:t>售价：</w:t>
      </w:r>
      <w:r>
        <w:rPr>
          <w:rFonts w:hint="eastAsia" w:ascii="仿宋" w:hAnsi="仿宋" w:eastAsia="仿宋" w:cs="仿宋"/>
          <w:i w:val="0"/>
          <w:caps w:val="0"/>
          <w:color w:val="auto"/>
          <w:spacing w:val="0"/>
          <w:sz w:val="24"/>
          <w:szCs w:val="24"/>
          <w:highlight w:val="none"/>
          <w:shd w:val="clear" w:color="auto" w:fill="FFFFFF"/>
          <w:lang w:val="en-US" w:eastAsia="zh-CN"/>
        </w:rPr>
        <w:t>免费赠送</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default" w:ascii="仿宋" w:hAnsi="仿宋" w:eastAsia="仿宋" w:cs="仿宋"/>
          <w:b/>
          <w:color w:val="auto"/>
          <w:sz w:val="24"/>
          <w:szCs w:val="24"/>
          <w:highlight w:val="none"/>
          <w:lang w:val="en-US" w:eastAsia="zh-CN"/>
        </w:rPr>
      </w:pPr>
      <w:r>
        <w:rPr>
          <w:rFonts w:hint="eastAsia" w:ascii="仿宋" w:hAnsi="仿宋" w:eastAsia="仿宋" w:cs="仿宋"/>
          <w:b/>
          <w:i w:val="0"/>
          <w:caps w:val="0"/>
          <w:color w:val="auto"/>
          <w:spacing w:val="0"/>
          <w:sz w:val="24"/>
          <w:szCs w:val="24"/>
          <w:highlight w:val="none"/>
          <w:shd w:val="clear" w:color="auto" w:fill="FFFFFF"/>
        </w:rPr>
        <w:t>四</w:t>
      </w:r>
      <w:r>
        <w:rPr>
          <w:rFonts w:hint="eastAsia" w:ascii="仿宋" w:hAnsi="仿宋" w:eastAsia="仿宋" w:cs="仿宋"/>
          <w:b/>
          <w:i w:val="0"/>
          <w:caps w:val="0"/>
          <w:color w:val="auto"/>
          <w:spacing w:val="0"/>
          <w:sz w:val="24"/>
          <w:szCs w:val="24"/>
          <w:highlight w:val="none"/>
          <w:shd w:val="clear" w:color="auto" w:fill="FFFFFF"/>
          <w:lang w:val="en-US" w:eastAsia="zh-CN"/>
        </w:rPr>
        <w:t>、提交响应文件截止时间、开标时间和地点</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rPr>
      </w:pPr>
      <w:r>
        <w:rPr>
          <w:rFonts w:hint="eastAsia" w:ascii="仿宋" w:hAnsi="仿宋" w:eastAsia="仿宋" w:cs="仿宋"/>
          <w:i w:val="0"/>
          <w:caps w:val="0"/>
          <w:color w:val="auto"/>
          <w:spacing w:val="0"/>
          <w:sz w:val="24"/>
          <w:szCs w:val="24"/>
          <w:highlight w:val="none"/>
          <w:shd w:val="clear" w:color="auto" w:fill="FFFFFF"/>
        </w:rPr>
        <w:t>时间：202</w:t>
      </w:r>
      <w:r>
        <w:rPr>
          <w:rFonts w:hint="eastAsia" w:ascii="仿宋" w:hAnsi="仿宋" w:eastAsia="仿宋" w:cs="仿宋"/>
          <w:i w:val="0"/>
          <w:caps w:val="0"/>
          <w:color w:val="auto"/>
          <w:spacing w:val="0"/>
          <w:sz w:val="24"/>
          <w:szCs w:val="24"/>
          <w:highlight w:val="none"/>
          <w:shd w:val="clear" w:color="auto" w:fill="FFFFFF"/>
          <w:lang w:val="en-US" w:eastAsia="zh-CN"/>
        </w:rPr>
        <w:t>3</w:t>
      </w:r>
      <w:r>
        <w:rPr>
          <w:rFonts w:hint="eastAsia" w:ascii="仿宋" w:hAnsi="仿宋" w:eastAsia="仿宋" w:cs="仿宋"/>
          <w:i w:val="0"/>
          <w:caps w:val="0"/>
          <w:color w:val="auto"/>
          <w:spacing w:val="0"/>
          <w:sz w:val="24"/>
          <w:szCs w:val="24"/>
          <w:highlight w:val="none"/>
          <w:shd w:val="clear" w:color="auto" w:fill="FFFFFF"/>
        </w:rPr>
        <w:t>年</w:t>
      </w:r>
      <w:r>
        <w:rPr>
          <w:rFonts w:hint="eastAsia" w:ascii="仿宋" w:hAnsi="仿宋" w:eastAsia="仿宋" w:cs="仿宋"/>
          <w:i w:val="0"/>
          <w:caps w:val="0"/>
          <w:color w:val="auto"/>
          <w:spacing w:val="0"/>
          <w:sz w:val="24"/>
          <w:szCs w:val="24"/>
          <w:highlight w:val="none"/>
          <w:shd w:val="clear" w:color="auto" w:fill="FFFFFF"/>
          <w:lang w:val="en-US" w:eastAsia="zh-CN"/>
        </w:rPr>
        <w:t>5</w:t>
      </w:r>
      <w:r>
        <w:rPr>
          <w:rFonts w:hint="eastAsia" w:ascii="仿宋" w:hAnsi="仿宋" w:eastAsia="仿宋" w:cs="仿宋"/>
          <w:i w:val="0"/>
          <w:caps w:val="0"/>
          <w:color w:val="auto"/>
          <w:spacing w:val="0"/>
          <w:sz w:val="24"/>
          <w:szCs w:val="24"/>
          <w:highlight w:val="none"/>
          <w:shd w:val="clear" w:color="auto" w:fill="FFFFFF"/>
        </w:rPr>
        <w:t>月</w:t>
      </w:r>
      <w:r>
        <w:rPr>
          <w:rFonts w:hint="eastAsia" w:ascii="仿宋" w:hAnsi="仿宋" w:eastAsia="仿宋" w:cs="仿宋"/>
          <w:i w:val="0"/>
          <w:caps w:val="0"/>
          <w:color w:val="auto"/>
          <w:spacing w:val="0"/>
          <w:sz w:val="24"/>
          <w:szCs w:val="24"/>
          <w:highlight w:val="none"/>
          <w:shd w:val="clear" w:color="auto" w:fill="FFFFFF"/>
          <w:lang w:val="en-US" w:eastAsia="zh-CN"/>
        </w:rPr>
        <w:t>4</w:t>
      </w:r>
      <w:r>
        <w:rPr>
          <w:rFonts w:hint="eastAsia" w:ascii="仿宋" w:hAnsi="仿宋" w:eastAsia="仿宋" w:cs="仿宋"/>
          <w:i w:val="0"/>
          <w:caps w:val="0"/>
          <w:color w:val="auto"/>
          <w:spacing w:val="0"/>
          <w:sz w:val="24"/>
          <w:szCs w:val="24"/>
          <w:highlight w:val="none"/>
          <w:shd w:val="clear" w:color="auto" w:fill="FFFFFF"/>
        </w:rPr>
        <w:t>日</w:t>
      </w:r>
      <w:r>
        <w:rPr>
          <w:rFonts w:hint="eastAsia" w:ascii="仿宋" w:hAnsi="仿宋" w:eastAsia="仿宋" w:cs="仿宋"/>
          <w:i w:val="0"/>
          <w:caps w:val="0"/>
          <w:color w:val="auto"/>
          <w:spacing w:val="0"/>
          <w:sz w:val="24"/>
          <w:szCs w:val="24"/>
          <w:highlight w:val="none"/>
          <w:shd w:val="clear" w:color="auto" w:fill="FFFFFF"/>
          <w:lang w:val="en-US" w:eastAsia="zh-CN"/>
        </w:rPr>
        <w:t>14</w:t>
      </w:r>
      <w:r>
        <w:rPr>
          <w:rFonts w:hint="eastAsia" w:ascii="仿宋" w:hAnsi="仿宋" w:eastAsia="仿宋" w:cs="仿宋"/>
          <w:i w:val="0"/>
          <w:caps w:val="0"/>
          <w:color w:val="auto"/>
          <w:spacing w:val="0"/>
          <w:sz w:val="24"/>
          <w:szCs w:val="24"/>
          <w:highlight w:val="none"/>
          <w:shd w:val="clear" w:color="auto" w:fill="FFFFFF"/>
        </w:rPr>
        <w:t>时</w:t>
      </w:r>
      <w:r>
        <w:rPr>
          <w:rFonts w:hint="eastAsia" w:ascii="仿宋" w:hAnsi="仿宋" w:eastAsia="仿宋" w:cs="仿宋"/>
          <w:i w:val="0"/>
          <w:caps w:val="0"/>
          <w:color w:val="auto"/>
          <w:spacing w:val="0"/>
          <w:sz w:val="24"/>
          <w:szCs w:val="24"/>
          <w:highlight w:val="none"/>
          <w:shd w:val="clear" w:color="auto" w:fill="FFFFFF"/>
          <w:lang w:val="en-US" w:eastAsia="zh-CN"/>
        </w:rPr>
        <w:t>30</w:t>
      </w:r>
      <w:r>
        <w:rPr>
          <w:rFonts w:hint="eastAsia" w:ascii="仿宋" w:hAnsi="仿宋" w:eastAsia="仿宋" w:cs="仿宋"/>
          <w:i w:val="0"/>
          <w:caps w:val="0"/>
          <w:color w:val="auto"/>
          <w:spacing w:val="0"/>
          <w:sz w:val="24"/>
          <w:szCs w:val="24"/>
          <w:highlight w:val="none"/>
          <w:shd w:val="clear" w:color="auto" w:fill="FFFFFF"/>
        </w:rPr>
        <w:t>分</w:t>
      </w:r>
      <w:r>
        <w:rPr>
          <w:rFonts w:hint="eastAsia" w:ascii="仿宋" w:hAnsi="仿宋" w:eastAsia="仿宋" w:cs="仿宋"/>
          <w:i w:val="0"/>
          <w:caps w:val="0"/>
          <w:color w:val="auto"/>
          <w:spacing w:val="0"/>
          <w:sz w:val="24"/>
          <w:szCs w:val="24"/>
          <w:highlight w:val="none"/>
          <w:shd w:val="clear" w:color="auto" w:fill="FFFFFF"/>
          <w:lang w:val="en-US" w:eastAsia="zh-CN"/>
        </w:rPr>
        <w:t>00</w:t>
      </w:r>
      <w:r>
        <w:rPr>
          <w:rFonts w:hint="eastAsia" w:ascii="仿宋" w:hAnsi="仿宋" w:eastAsia="仿宋" w:cs="仿宋"/>
          <w:i w:val="0"/>
          <w:caps w:val="0"/>
          <w:color w:val="auto"/>
          <w:spacing w:val="0"/>
          <w:sz w:val="24"/>
          <w:szCs w:val="24"/>
          <w:highlight w:val="none"/>
          <w:shd w:val="clear" w:color="auto" w:fill="FFFFFF"/>
        </w:rPr>
        <w:t>秒 （北京时间）</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提交响应文件</w:t>
      </w:r>
      <w:r>
        <w:rPr>
          <w:rFonts w:hint="eastAsia" w:ascii="仿宋" w:hAnsi="仿宋" w:eastAsia="仿宋" w:cs="仿宋"/>
          <w:i w:val="0"/>
          <w:caps w:val="0"/>
          <w:color w:val="auto"/>
          <w:spacing w:val="0"/>
          <w:sz w:val="24"/>
          <w:szCs w:val="24"/>
          <w:highlight w:val="none"/>
          <w:shd w:val="clear" w:color="auto" w:fill="FFFFFF"/>
        </w:rPr>
        <w:t>地点：</w:t>
      </w:r>
      <w:r>
        <w:rPr>
          <w:rFonts w:hint="eastAsia" w:ascii="仿宋" w:hAnsi="仿宋" w:eastAsia="仿宋" w:cs="仿宋"/>
          <w:i w:val="0"/>
          <w:caps w:val="0"/>
          <w:color w:val="auto"/>
          <w:spacing w:val="0"/>
          <w:sz w:val="24"/>
          <w:szCs w:val="24"/>
          <w:highlight w:val="none"/>
          <w:shd w:val="clear" w:color="auto" w:fill="FFFFFF"/>
          <w:lang w:val="en-US" w:eastAsia="zh-CN"/>
        </w:rPr>
        <w:t>西安市高新区科技五路8号数字大厦11层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开标地点：西安市高新区科技五路8号数字大厦11层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i w:val="0"/>
          <w:caps w:val="0"/>
          <w:color w:val="auto"/>
          <w:spacing w:val="0"/>
          <w:sz w:val="24"/>
          <w:szCs w:val="24"/>
          <w:highlight w:val="none"/>
          <w:shd w:val="clear" w:color="auto" w:fill="FFFFFF"/>
        </w:rPr>
        <w:t>五、公告期限</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rPr>
        <w:t>自本公告发布之日起</w:t>
      </w:r>
      <w:r>
        <w:rPr>
          <w:rFonts w:hint="eastAsia" w:ascii="仿宋" w:hAnsi="仿宋" w:eastAsia="仿宋" w:cs="仿宋"/>
          <w:i w:val="0"/>
          <w:caps w:val="0"/>
          <w:color w:val="auto"/>
          <w:spacing w:val="0"/>
          <w:sz w:val="24"/>
          <w:szCs w:val="24"/>
          <w:highlight w:val="none"/>
          <w:shd w:val="clear" w:color="auto" w:fill="FFFFFF"/>
          <w:lang w:val="en-US" w:eastAsia="zh-CN"/>
        </w:rPr>
        <w:t>5</w:t>
      </w:r>
      <w:r>
        <w:rPr>
          <w:rFonts w:hint="eastAsia" w:ascii="仿宋" w:hAnsi="仿宋" w:eastAsia="仿宋" w:cs="仿宋"/>
          <w:i w:val="0"/>
          <w:caps w:val="0"/>
          <w:color w:val="auto"/>
          <w:spacing w:val="0"/>
          <w:sz w:val="24"/>
          <w:szCs w:val="24"/>
          <w:highlight w:val="none"/>
          <w:shd w:val="clear" w:color="auto" w:fill="FFFFFF"/>
        </w:rPr>
        <w:t>个工作日。</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Style w:val="38"/>
          <w:rFonts w:hint="eastAsia" w:ascii="仿宋" w:hAnsi="仿宋" w:eastAsia="仿宋" w:cs="仿宋"/>
          <w:b w:val="0"/>
          <w:bCs w:val="0"/>
          <w:i w:val="0"/>
          <w:caps w:val="0"/>
          <w:color w:val="auto"/>
          <w:spacing w:val="0"/>
          <w:sz w:val="24"/>
          <w:szCs w:val="24"/>
          <w:highlight w:val="none"/>
          <w:shd w:val="clear" w:color="auto" w:fill="FFFFFF"/>
          <w:lang w:val="en-US" w:eastAsia="zh-CN"/>
        </w:rPr>
      </w:pPr>
      <w:r>
        <w:rPr>
          <w:rFonts w:hint="eastAsia" w:ascii="仿宋" w:hAnsi="仿宋" w:eastAsia="仿宋" w:cs="仿宋"/>
          <w:b/>
          <w:i w:val="0"/>
          <w:caps w:val="0"/>
          <w:color w:val="auto"/>
          <w:spacing w:val="0"/>
          <w:sz w:val="24"/>
          <w:szCs w:val="24"/>
          <w:highlight w:val="none"/>
          <w:shd w:val="clear" w:color="auto" w:fill="FFFFFF"/>
          <w:lang w:val="en-US" w:eastAsia="zh-CN"/>
        </w:rPr>
        <w:t>六、</w:t>
      </w:r>
      <w:r>
        <w:rPr>
          <w:rFonts w:hint="eastAsia" w:ascii="仿宋" w:hAnsi="仿宋" w:eastAsia="仿宋" w:cs="仿宋"/>
          <w:b/>
          <w:i w:val="0"/>
          <w:caps w:val="0"/>
          <w:color w:val="auto"/>
          <w:spacing w:val="0"/>
          <w:sz w:val="24"/>
          <w:szCs w:val="24"/>
          <w:highlight w:val="none"/>
          <w:shd w:val="clear" w:color="auto" w:fill="FFFFFF"/>
        </w:rPr>
        <w:t>其他补充事宜</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1.获取竞争性磋商文件请携带单位介绍信原件,经办人身份证原件及加盖供应商公章的复印件。</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2.落实的政府采购政策：（1）《政府采购促进中小企业发展管理办法》（财库〔2020〕46号）；（2）《财政部 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 发展改革委 生态环境部 市场监管总局关于调整优化节能产品、环境标志产品政府采购执行机制的通知》（财库〔2019〕9号）；（8）陕西省财政厅关于印发《陕西省中小企业政府采购信用融资办法》（陕财办采〔2018〕23号）；（9）《财政部 农业农村部 国家乡村振兴局关于运用政府采购政策支持乡村产业振兴的通知》（财库〔2021〕19 号）；（10）《财政部 农业农村部 国家乡村振兴局 中华全国供销合作总社关于印发&lt;关于深入开展政府采购脱贫地区农副产品工作推进乡村产业振兴的实施意见&gt;的通知》（财库〔2021〕20 号）；（11）其他需要落实的政府采购政策，详见磋商文件。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七、对本次采购提出询问，请按以下方式联系</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rPr>
      </w:pPr>
      <w:r>
        <w:rPr>
          <w:rFonts w:hint="eastAsia" w:ascii="仿宋" w:hAnsi="仿宋" w:eastAsia="仿宋" w:cs="仿宋"/>
          <w:i w:val="0"/>
          <w:caps w:val="0"/>
          <w:color w:val="auto"/>
          <w:spacing w:val="0"/>
          <w:sz w:val="24"/>
          <w:szCs w:val="24"/>
          <w:highlight w:val="none"/>
          <w:shd w:val="clear" w:color="auto" w:fill="FFFFFF"/>
        </w:rPr>
        <w:t>1</w:t>
      </w:r>
      <w:r>
        <w:rPr>
          <w:rFonts w:hint="eastAsia" w:ascii="仿宋" w:hAnsi="仿宋" w:eastAsia="仿宋" w:cs="仿宋"/>
          <w:i w:val="0"/>
          <w:caps w:val="0"/>
          <w:color w:val="auto"/>
          <w:spacing w:val="0"/>
          <w:sz w:val="24"/>
          <w:szCs w:val="24"/>
          <w:highlight w:val="none"/>
          <w:shd w:val="clear" w:color="auto" w:fill="FFFFFF"/>
          <w:lang w:val="en-US" w:eastAsia="zh-CN"/>
        </w:rPr>
        <w:t>.</w:t>
      </w:r>
      <w:r>
        <w:rPr>
          <w:rFonts w:hint="eastAsia" w:ascii="仿宋" w:hAnsi="仿宋" w:eastAsia="仿宋" w:cs="仿宋"/>
          <w:i w:val="0"/>
          <w:caps w:val="0"/>
          <w:color w:val="auto"/>
          <w:spacing w:val="0"/>
          <w:sz w:val="24"/>
          <w:szCs w:val="24"/>
          <w:highlight w:val="none"/>
          <w:shd w:val="clear" w:color="auto" w:fill="FFFFFF"/>
        </w:rPr>
        <w:t>采购人信息</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名称：</w:t>
      </w:r>
      <w:r>
        <w:rPr>
          <w:rFonts w:hint="eastAsia" w:ascii="仿宋" w:hAnsi="仿宋" w:eastAsia="仿宋" w:cs="仿宋"/>
          <w:color w:val="auto"/>
          <w:sz w:val="24"/>
          <w:szCs w:val="24"/>
          <w:highlight w:val="none"/>
          <w:lang w:val="en-US" w:eastAsia="zh-CN"/>
        </w:rPr>
        <w:t>西安市长安区五台街道办事处</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i w:val="0"/>
          <w:caps w:val="0"/>
          <w:color w:val="auto"/>
          <w:spacing w:val="0"/>
          <w:sz w:val="24"/>
          <w:szCs w:val="24"/>
          <w:highlight w:val="none"/>
          <w:shd w:val="clear" w:color="auto" w:fill="FFFFFF"/>
        </w:rPr>
        <w:t>地址：</w:t>
      </w:r>
      <w:r>
        <w:rPr>
          <w:rFonts w:hint="eastAsia" w:ascii="仿宋" w:hAnsi="仿宋" w:eastAsia="仿宋" w:cs="仿宋"/>
          <w:i w:val="0"/>
          <w:caps w:val="0"/>
          <w:color w:val="auto"/>
          <w:spacing w:val="0"/>
          <w:sz w:val="24"/>
          <w:szCs w:val="24"/>
          <w:highlight w:val="none"/>
          <w:shd w:val="clear" w:color="auto" w:fill="FFFFFF"/>
          <w:lang w:eastAsia="zh-CN"/>
        </w:rPr>
        <w:t>陕西省西安市长安区五台街道留村</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联系方式</w:t>
      </w:r>
      <w:r>
        <w:rPr>
          <w:rFonts w:hint="eastAsia" w:ascii="仿宋" w:hAnsi="仿宋" w:eastAsia="仿宋" w:cs="仿宋"/>
          <w:i w:val="0"/>
          <w:caps w:val="0"/>
          <w:color w:val="auto"/>
          <w:spacing w:val="0"/>
          <w:sz w:val="24"/>
          <w:szCs w:val="24"/>
          <w:highlight w:val="none"/>
          <w:shd w:val="clear" w:color="auto" w:fill="FFFFFF"/>
        </w:rPr>
        <w:t>：</w:t>
      </w:r>
      <w:r>
        <w:rPr>
          <w:rFonts w:hint="eastAsia" w:ascii="仿宋" w:hAnsi="仿宋" w:eastAsia="仿宋" w:cs="仿宋"/>
          <w:i w:val="0"/>
          <w:caps w:val="0"/>
          <w:color w:val="auto"/>
          <w:spacing w:val="0"/>
          <w:sz w:val="24"/>
          <w:szCs w:val="24"/>
          <w:highlight w:val="none"/>
          <w:shd w:val="clear" w:color="auto" w:fill="FFFFFF"/>
          <w:lang w:val="en-US" w:eastAsia="zh-CN"/>
        </w:rPr>
        <w:t>029-85949203</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lang w:val="en-US" w:eastAsia="zh-CN"/>
        </w:rPr>
        <w:t>2.</w:t>
      </w:r>
      <w:r>
        <w:rPr>
          <w:rFonts w:hint="eastAsia" w:ascii="仿宋" w:hAnsi="仿宋" w:eastAsia="仿宋" w:cs="仿宋"/>
          <w:i w:val="0"/>
          <w:caps w:val="0"/>
          <w:color w:val="auto"/>
          <w:spacing w:val="0"/>
          <w:sz w:val="24"/>
          <w:szCs w:val="24"/>
          <w:highlight w:val="none"/>
          <w:shd w:val="clear" w:color="auto" w:fill="FFFFFF"/>
        </w:rPr>
        <w:t>采购代理机构信息</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rPr>
        <w:t>名称：华夏国际项目管理有限公司</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rPr>
        <w:t>地址：西安市高新区科技五路8号数字大厦11楼</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u w:val="none"/>
          <w:shd w:val="clear" w:color="auto" w:fill="FFFFFF"/>
        </w:rPr>
      </w:pPr>
      <w:r>
        <w:rPr>
          <w:rFonts w:hint="eastAsia" w:ascii="仿宋" w:hAnsi="仿宋" w:eastAsia="仿宋" w:cs="仿宋"/>
          <w:i w:val="0"/>
          <w:caps w:val="0"/>
          <w:color w:val="auto"/>
          <w:spacing w:val="0"/>
          <w:sz w:val="24"/>
          <w:szCs w:val="24"/>
          <w:highlight w:val="none"/>
          <w:shd w:val="clear" w:color="auto" w:fill="FFFFFF"/>
        </w:rPr>
        <w:t>联系方式：029-88899970</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i w:val="0"/>
          <w:caps w:val="0"/>
          <w:color w:val="auto"/>
          <w:spacing w:val="0"/>
          <w:sz w:val="24"/>
          <w:szCs w:val="24"/>
          <w:highlight w:val="none"/>
          <w:shd w:val="clear" w:color="auto" w:fill="FFFFFF"/>
          <w:lang w:val="en-US" w:eastAsia="zh-CN"/>
        </w:rPr>
        <w:t>3.项目联系方式</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color="auto" w:fill="FFFFFF"/>
        </w:rPr>
        <w:t>项目联系人：</w:t>
      </w:r>
      <w:r>
        <w:rPr>
          <w:rFonts w:hint="eastAsia" w:ascii="仿宋" w:hAnsi="仿宋" w:eastAsia="仿宋" w:cs="仿宋"/>
          <w:i w:val="0"/>
          <w:caps w:val="0"/>
          <w:color w:val="auto"/>
          <w:spacing w:val="0"/>
          <w:sz w:val="24"/>
          <w:szCs w:val="24"/>
          <w:highlight w:val="none"/>
          <w:shd w:val="clear" w:color="auto" w:fill="FFFFFF"/>
          <w:lang w:val="en-US" w:eastAsia="zh-CN"/>
        </w:rPr>
        <w:t>王富敏</w:t>
      </w:r>
      <w:r>
        <w:rPr>
          <w:rFonts w:hint="eastAsia" w:ascii="仿宋" w:hAnsi="仿宋" w:eastAsia="仿宋" w:cs="仿宋"/>
          <w:i w:val="0"/>
          <w:caps w:val="0"/>
          <w:color w:val="auto"/>
          <w:spacing w:val="0"/>
          <w:sz w:val="24"/>
          <w:szCs w:val="24"/>
          <w:highlight w:val="none"/>
          <w:shd w:val="clear" w:color="auto" w:fill="FFFFFF"/>
        </w:rPr>
        <w:t>、张艳萍、李莹</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fill="FFFFFF"/>
          <w:lang w:val="en-US" w:eastAsia="zh-CN"/>
        </w:rPr>
      </w:pPr>
      <w:r>
        <w:rPr>
          <w:rFonts w:hint="eastAsia" w:ascii="仿宋" w:hAnsi="仿宋" w:eastAsia="仿宋" w:cs="仿宋"/>
          <w:i w:val="0"/>
          <w:caps w:val="0"/>
          <w:color w:val="auto"/>
          <w:spacing w:val="0"/>
          <w:sz w:val="24"/>
          <w:szCs w:val="24"/>
          <w:highlight w:val="none"/>
          <w:shd w:val="clear" w:color="auto" w:fill="FFFFFF"/>
        </w:rPr>
        <w:t>联系方式：029-88899970-8</w:t>
      </w:r>
      <w:r>
        <w:rPr>
          <w:rFonts w:hint="eastAsia" w:ascii="仿宋" w:hAnsi="仿宋" w:eastAsia="仿宋" w:cs="仿宋"/>
          <w:i w:val="0"/>
          <w:caps w:val="0"/>
          <w:color w:val="auto"/>
          <w:spacing w:val="0"/>
          <w:sz w:val="24"/>
          <w:szCs w:val="24"/>
          <w:highlight w:val="none"/>
          <w:shd w:val="clear" w:color="auto" w:fill="FFFFFF"/>
          <w:lang w:val="en-US" w:eastAsia="zh-CN"/>
        </w:rPr>
        <w:t>18</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right"/>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lang w:val="en-US" w:eastAsia="zh-CN"/>
        </w:rPr>
        <w:t xml:space="preserve">                   </w:t>
      </w:r>
      <w:r>
        <w:rPr>
          <w:rFonts w:hint="eastAsia" w:ascii="仿宋" w:hAnsi="仿宋" w:eastAsia="仿宋" w:cs="仿宋"/>
          <w:i w:val="0"/>
          <w:caps w:val="0"/>
          <w:color w:val="auto"/>
          <w:spacing w:val="0"/>
          <w:sz w:val="24"/>
          <w:szCs w:val="24"/>
          <w:highlight w:val="none"/>
          <w:shd w:val="clear" w:fill="FFFFFF"/>
        </w:rPr>
        <w:t>华夏国际项目管理有限公司</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right"/>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lang w:val="en-US" w:eastAsia="zh-CN"/>
        </w:rPr>
        <w:t xml:space="preserve">                  </w:t>
      </w:r>
      <w:r>
        <w:rPr>
          <w:rFonts w:hint="eastAsia" w:ascii="仿宋" w:hAnsi="仿宋" w:eastAsia="仿宋" w:cs="仿宋"/>
          <w:i w:val="0"/>
          <w:caps w:val="0"/>
          <w:color w:val="auto"/>
          <w:spacing w:val="0"/>
          <w:sz w:val="24"/>
          <w:szCs w:val="24"/>
          <w:highlight w:val="none"/>
          <w:shd w:val="clear" w:fill="FFFFFF"/>
          <w:lang w:eastAsia="zh-CN"/>
        </w:rPr>
        <w:t>202</w:t>
      </w:r>
      <w:r>
        <w:rPr>
          <w:rFonts w:hint="eastAsia" w:ascii="仿宋" w:hAnsi="仿宋" w:eastAsia="仿宋" w:cs="仿宋"/>
          <w:i w:val="0"/>
          <w:caps w:val="0"/>
          <w:color w:val="auto"/>
          <w:spacing w:val="0"/>
          <w:sz w:val="24"/>
          <w:szCs w:val="24"/>
          <w:highlight w:val="none"/>
          <w:shd w:val="clear" w:fill="FFFFFF"/>
          <w:lang w:val="en-US" w:eastAsia="zh-CN"/>
        </w:rPr>
        <w:t>3</w:t>
      </w:r>
      <w:r>
        <w:rPr>
          <w:rFonts w:hint="eastAsia" w:ascii="仿宋" w:hAnsi="仿宋" w:eastAsia="仿宋" w:cs="仿宋"/>
          <w:i w:val="0"/>
          <w:caps w:val="0"/>
          <w:color w:val="auto"/>
          <w:spacing w:val="0"/>
          <w:sz w:val="24"/>
          <w:szCs w:val="24"/>
          <w:highlight w:val="none"/>
          <w:shd w:val="clear" w:fill="FFFFFF"/>
        </w:rPr>
        <w:t>年</w:t>
      </w:r>
      <w:r>
        <w:rPr>
          <w:rFonts w:hint="eastAsia" w:ascii="仿宋" w:hAnsi="仿宋" w:eastAsia="仿宋" w:cs="仿宋"/>
          <w:i w:val="0"/>
          <w:caps w:val="0"/>
          <w:color w:val="auto"/>
          <w:spacing w:val="0"/>
          <w:sz w:val="24"/>
          <w:szCs w:val="24"/>
          <w:highlight w:val="none"/>
          <w:shd w:val="clear" w:fill="FFFFFF"/>
          <w:lang w:val="en-US" w:eastAsia="zh-CN"/>
        </w:rPr>
        <w:t>4</w:t>
      </w:r>
      <w:r>
        <w:rPr>
          <w:rFonts w:hint="eastAsia" w:ascii="仿宋" w:hAnsi="仿宋" w:eastAsia="仿宋" w:cs="仿宋"/>
          <w:i w:val="0"/>
          <w:caps w:val="0"/>
          <w:color w:val="auto"/>
          <w:spacing w:val="0"/>
          <w:sz w:val="24"/>
          <w:szCs w:val="24"/>
          <w:highlight w:val="none"/>
          <w:shd w:val="clear" w:fill="FFFFFF"/>
        </w:rPr>
        <w:t>月</w:t>
      </w:r>
      <w:r>
        <w:rPr>
          <w:rFonts w:hint="eastAsia" w:ascii="仿宋" w:hAnsi="仿宋" w:eastAsia="仿宋" w:cs="仿宋"/>
          <w:i w:val="0"/>
          <w:caps w:val="0"/>
          <w:color w:val="auto"/>
          <w:spacing w:val="0"/>
          <w:sz w:val="24"/>
          <w:szCs w:val="24"/>
          <w:highlight w:val="none"/>
          <w:shd w:val="clear" w:fill="FFFFFF"/>
          <w:lang w:val="en-US" w:eastAsia="zh-CN"/>
        </w:rPr>
        <w:t>21</w:t>
      </w:r>
      <w:r>
        <w:rPr>
          <w:rFonts w:hint="eastAsia" w:ascii="仿宋" w:hAnsi="仿宋" w:eastAsia="仿宋" w:cs="仿宋"/>
          <w:i w:val="0"/>
          <w:caps w:val="0"/>
          <w:color w:val="auto"/>
          <w:spacing w:val="0"/>
          <w:sz w:val="24"/>
          <w:szCs w:val="24"/>
          <w:highlight w:val="none"/>
          <w:shd w:val="clear" w:fill="FFFFFF"/>
        </w:rPr>
        <w:t>日</w:t>
      </w:r>
    </w:p>
    <w:p>
      <w:pPr>
        <w:pStyle w:val="3"/>
        <w:keepNext w:val="0"/>
        <w:pageBreakBefore/>
        <w:spacing w:line="350" w:lineRule="auto"/>
        <w:jc w:val="center"/>
        <w:rPr>
          <w:rFonts w:hint="eastAsia" w:ascii="仿宋" w:hAnsi="仿宋" w:eastAsia="仿宋" w:cs="仿宋"/>
          <w:color w:val="auto"/>
          <w:highlight w:val="none"/>
        </w:rPr>
      </w:pPr>
      <w:bookmarkStart w:id="12" w:name="_Toc18593"/>
      <w:bookmarkStart w:id="13" w:name="_Toc421778363"/>
      <w:bookmarkStart w:id="14" w:name="_Toc12054"/>
      <w:r>
        <w:rPr>
          <w:rFonts w:hint="eastAsia" w:ascii="仿宋" w:hAnsi="仿宋" w:eastAsia="仿宋" w:cs="仿宋"/>
          <w:color w:val="auto"/>
          <w:highlight w:val="none"/>
        </w:rPr>
        <w:t>第二章</w:t>
      </w:r>
      <w:bookmarkEnd w:id="12"/>
      <w:bookmarkEnd w:id="13"/>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供应商须知</w:t>
      </w:r>
      <w:bookmarkEnd w:id="14"/>
    </w:p>
    <w:p>
      <w:pPr>
        <w:spacing w:line="360" w:lineRule="auto"/>
        <w:jc w:val="center"/>
        <w:outlineLvl w:val="1"/>
        <w:rPr>
          <w:rFonts w:hint="eastAsia" w:ascii="仿宋" w:hAnsi="仿宋" w:eastAsia="仿宋" w:cs="仿宋"/>
          <w:b/>
          <w:bCs/>
          <w:color w:val="auto"/>
          <w:sz w:val="28"/>
          <w:szCs w:val="28"/>
          <w:highlight w:val="none"/>
        </w:rPr>
      </w:pPr>
      <w:bookmarkStart w:id="15" w:name="_Toc421778364"/>
      <w:bookmarkStart w:id="16" w:name="_Toc420591642"/>
      <w:bookmarkStart w:id="17" w:name="_Toc19675"/>
      <w:bookmarkStart w:id="18" w:name="_Toc9103"/>
      <w:r>
        <w:rPr>
          <w:rFonts w:hint="eastAsia" w:ascii="仿宋" w:hAnsi="仿宋" w:eastAsia="仿宋" w:cs="仿宋"/>
          <w:b/>
          <w:bCs/>
          <w:color w:val="auto"/>
          <w:sz w:val="28"/>
          <w:szCs w:val="28"/>
          <w:highlight w:val="none"/>
        </w:rPr>
        <w:t>供应商须知前附表</w:t>
      </w:r>
      <w:bookmarkEnd w:id="15"/>
      <w:bookmarkEnd w:id="16"/>
      <w:bookmarkEnd w:id="17"/>
      <w:bookmarkEnd w:id="18"/>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062"/>
        <w:gridCol w:w="6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99" w:type="pct"/>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条款号</w:t>
            </w:r>
          </w:p>
        </w:tc>
        <w:tc>
          <w:tcPr>
            <w:tcW w:w="1111" w:type="pct"/>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条款名称</w:t>
            </w:r>
          </w:p>
        </w:tc>
        <w:tc>
          <w:tcPr>
            <w:tcW w:w="3388" w:type="pct"/>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3388" w:type="pct"/>
            <w:vAlign w:val="center"/>
          </w:tcPr>
          <w:p>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招标人：</w:t>
            </w:r>
            <w:r>
              <w:rPr>
                <w:rFonts w:hint="eastAsia" w:ascii="仿宋" w:hAnsi="仿宋" w:eastAsia="仿宋" w:cs="仿宋"/>
                <w:color w:val="auto"/>
                <w:sz w:val="24"/>
                <w:szCs w:val="24"/>
                <w:highlight w:val="none"/>
                <w:lang w:val="en-US" w:eastAsia="zh-CN"/>
              </w:rPr>
              <w:t>西安市长安区五台街道办事处</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陕西省西安市长安区五台街道留村</w:t>
            </w:r>
          </w:p>
          <w:p>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联系人：李老师</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联系方式：029-85949203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w:t>
            </w:r>
          </w:p>
        </w:tc>
        <w:tc>
          <w:tcPr>
            <w:tcW w:w="3388" w:type="pct"/>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华夏国际项目管理有限公司</w:t>
            </w:r>
          </w:p>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西安市高新区科技五路</w:t>
            </w:r>
            <w:r>
              <w:rPr>
                <w:rFonts w:hint="eastAsia" w:ascii="仿宋" w:hAnsi="仿宋" w:eastAsia="仿宋" w:cs="仿宋"/>
                <w:color w:val="auto"/>
                <w:sz w:val="24"/>
                <w:szCs w:val="24"/>
                <w:highlight w:val="none"/>
                <w:lang w:val="en-US" w:eastAsia="zh-CN"/>
              </w:rPr>
              <w:t>8号数字大厦11楼</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i w:val="0"/>
                <w:caps w:val="0"/>
                <w:color w:val="auto"/>
                <w:spacing w:val="0"/>
                <w:sz w:val="24"/>
                <w:szCs w:val="24"/>
                <w:highlight w:val="none"/>
                <w:shd w:val="clear" w:color="auto" w:fill="FFFFFF"/>
                <w:lang w:val="en-US" w:eastAsia="zh-CN"/>
              </w:rPr>
              <w:t>王富敏</w:t>
            </w:r>
            <w:r>
              <w:rPr>
                <w:rFonts w:hint="eastAsia" w:ascii="仿宋" w:hAnsi="仿宋" w:eastAsia="仿宋" w:cs="仿宋"/>
                <w:i w:val="0"/>
                <w:caps w:val="0"/>
                <w:color w:val="auto"/>
                <w:spacing w:val="0"/>
                <w:sz w:val="24"/>
                <w:szCs w:val="24"/>
                <w:highlight w:val="none"/>
                <w:shd w:val="clear" w:color="auto" w:fill="FFFFFF"/>
              </w:rPr>
              <w:t>、张艳萍、李莹</w:t>
            </w:r>
          </w:p>
          <w:p>
            <w:pPr>
              <w:spacing w:line="360" w:lineRule="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电话：88899970</w:t>
            </w:r>
            <w:r>
              <w:rPr>
                <w:rFonts w:hint="eastAsia" w:ascii="仿宋" w:hAnsi="仿宋" w:eastAsia="仿宋" w:cs="仿宋"/>
                <w:color w:val="auto"/>
                <w:sz w:val="24"/>
                <w:szCs w:val="24"/>
                <w:highlight w:val="none"/>
                <w:lang w:val="en-US" w:eastAsia="zh-CN"/>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建设地点</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西安市长安区五台街道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资金来源</w:t>
            </w:r>
          </w:p>
        </w:tc>
        <w:tc>
          <w:tcPr>
            <w:tcW w:w="3388" w:type="pct"/>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财政</w:t>
            </w:r>
            <w:r>
              <w:rPr>
                <w:rFonts w:hint="eastAsia" w:ascii="仿宋" w:hAnsi="仿宋" w:eastAsia="仿宋" w:cs="仿宋"/>
                <w:color w:val="auto"/>
                <w:sz w:val="24"/>
                <w:szCs w:val="24"/>
                <w:highlight w:val="none"/>
                <w:lang w:val="en-US" w:eastAsia="zh-CN"/>
              </w:rPr>
              <w:t>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资金落实情况</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资金已落实到位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范围</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长安区五台街道新农村、华家新村、星火村、石砭峪新村安全饮水巩固提升项目</w:t>
            </w:r>
            <w:r>
              <w:rPr>
                <w:rFonts w:hint="eastAsia" w:ascii="仿宋" w:hAnsi="仿宋" w:eastAsia="仿宋" w:cs="仿宋"/>
                <w:color w:val="auto"/>
                <w:sz w:val="24"/>
                <w:szCs w:val="24"/>
                <w:highlight w:val="none"/>
              </w:rPr>
              <w:t>工程量清单范围内包含的内容。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1111" w:type="pct"/>
            <w:vAlign w:val="center"/>
          </w:tcPr>
          <w:p>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计划工期</w:t>
            </w:r>
          </w:p>
        </w:tc>
        <w:tc>
          <w:tcPr>
            <w:tcW w:w="3388" w:type="pct"/>
            <w:vAlign w:val="center"/>
          </w:tcPr>
          <w:p>
            <w:pPr>
              <w:pStyle w:val="12"/>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w:t>
            </w:r>
          </w:p>
        </w:tc>
        <w:tc>
          <w:tcPr>
            <w:tcW w:w="3388" w:type="pct"/>
            <w:vAlign w:val="center"/>
          </w:tcPr>
          <w:p>
            <w:pPr>
              <w:spacing w:line="360" w:lineRule="auto"/>
              <w:rPr>
                <w:rFonts w:hint="eastAsia" w:ascii="仿宋" w:hAnsi="仿宋" w:eastAsia="仿宋" w:cs="仿宋"/>
                <w:color w:val="auto"/>
                <w:sz w:val="24"/>
                <w:szCs w:val="24"/>
                <w:highlight w:val="none"/>
              </w:rPr>
            </w:pPr>
            <w:bookmarkStart w:id="19" w:name="OLE_LINK34"/>
            <w:bookmarkStart w:id="20" w:name="OLE_LINK18"/>
            <w:r>
              <w:rPr>
                <w:rFonts w:hint="eastAsia" w:ascii="仿宋" w:hAnsi="仿宋" w:eastAsia="仿宋" w:cs="仿宋"/>
                <w:color w:val="auto"/>
                <w:kern w:val="0"/>
                <w:sz w:val="24"/>
                <w:szCs w:val="24"/>
                <w:highlight w:val="none"/>
              </w:rPr>
              <w:t>符合国家现行有关施工质量验收规范“合格”要求。</w:t>
            </w:r>
            <w:bookmarkEnd w:id="19"/>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资质证明文件</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1、基本资格条件：符合《中华人民共和国政府采购法》第二十二条的规定，并提供以下资料；</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提供合格有效的法人或者其他组织的营业执照等证明文件，自然人的身份证明；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napToGrid/>
              <w:spacing w:line="440" w:lineRule="exact"/>
              <w:ind w:left="42" w:leftChars="20" w:right="0" w:rightChars="0"/>
              <w:jc w:val="both"/>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是法人或其他组织的应提供营业执照等证明文件，</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是自然人的应提供有效的自然人身份证明</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提供2021年度或2022年度经审计的财务报告</w:t>
            </w:r>
            <w:r>
              <w:rPr>
                <w:rFonts w:hint="eastAsia" w:ascii="仿宋" w:hAnsi="仿宋" w:eastAsia="仿宋" w:cs="仿宋"/>
                <w:color w:val="auto"/>
                <w:sz w:val="24"/>
                <w:szCs w:val="24"/>
                <w:highlight w:val="none"/>
              </w:rPr>
              <w:t>（成立时间至提交</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截止时间不足一年的可提供成立后任意时段的资产负债表）</w:t>
            </w:r>
            <w:r>
              <w:rPr>
                <w:rFonts w:hint="eastAsia" w:ascii="仿宋" w:hAnsi="仿宋" w:eastAsia="仿宋" w:cs="仿宋"/>
                <w:color w:val="auto"/>
                <w:sz w:val="24"/>
                <w:szCs w:val="24"/>
                <w:highlight w:val="none"/>
                <w:lang w:val="en-US" w:eastAsia="zh-CN"/>
              </w:rPr>
              <w:t>或基本存款账户开户银行出具的资信证明及基本存款账户开户许可证（基本账户信息）或财政部门认可的政府采购专业担保机构出具的担保函；</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提供具有履行合同所必需的设备和专业技术能力的承诺；（格式自拟）</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截止日前一年内已缴纳的至少一个月的纳税证明或完税证明，依法免税的单位应提供相关证明材料；</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截止日前一年内已缴存的至少一个月的社会保障资金缴存单据或社保机构开具的社会保险参保缴费情况证明，依法不需要缴纳社会保障资金的单位应提供相关证明材料；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参加政府采购活动前3年内，在经营活动中没有重大违法记录的书面声明</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（格式自拟）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2、落实政府采购政策需满足的资格要求：</w:t>
            </w:r>
            <w:r>
              <w:rPr>
                <w:rFonts w:hint="eastAsia" w:ascii="仿宋" w:hAnsi="仿宋" w:eastAsia="仿宋" w:cs="仿宋"/>
                <w:color w:val="auto"/>
                <w:sz w:val="24"/>
                <w:szCs w:val="24"/>
                <w:highlight w:val="none"/>
                <w:lang w:val="en-US" w:eastAsia="zh-CN"/>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3、特定资格条件：</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法定代表人授权书（附法定代表人、被授权人身份证复印件）及被授权人身份证（法定代表人直接参加招标，须提供法定代表人身份证明及身份证原件）；</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具备建设行政主管部门颁发的水利水电工程施工总承包或市政公用工程施工总承包三级</w:t>
            </w:r>
            <w:r>
              <w:rPr>
                <w:rFonts w:hint="eastAsia" w:ascii="仿宋" w:hAnsi="仿宋" w:eastAsia="仿宋" w:cs="仿宋"/>
                <w:i w:val="0"/>
                <w:caps w:val="0"/>
                <w:color w:val="auto"/>
                <w:spacing w:val="0"/>
                <w:sz w:val="24"/>
                <w:szCs w:val="24"/>
                <w:highlight w:val="none"/>
                <w:shd w:val="clear" w:fill="FFFFFF"/>
                <w:lang w:eastAsia="zh-CN"/>
              </w:rPr>
              <w:t>及以上</w:t>
            </w:r>
            <w:r>
              <w:rPr>
                <w:rFonts w:hint="eastAsia" w:ascii="仿宋" w:hAnsi="仿宋" w:eastAsia="仿宋" w:cs="仿宋"/>
                <w:color w:val="auto"/>
                <w:sz w:val="24"/>
                <w:szCs w:val="24"/>
                <w:highlight w:val="none"/>
                <w:lang w:eastAsia="zh-CN"/>
              </w:rPr>
              <w:t>及以上资质证书，同时具备合格有效的安全生产许可证；</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拟派项目经理须具有水利水电工程专业二级</w:t>
            </w:r>
            <w:r>
              <w:rPr>
                <w:rFonts w:hint="eastAsia"/>
                <w:color w:val="auto"/>
                <w:highlight w:val="none"/>
                <w:lang w:eastAsia="zh-CN"/>
              </w:rPr>
              <w:t>及以上</w:t>
            </w:r>
            <w:r>
              <w:rPr>
                <w:rFonts w:hint="eastAsia" w:ascii="仿宋" w:hAnsi="仿宋" w:eastAsia="仿宋" w:cs="仿宋"/>
                <w:i w:val="0"/>
                <w:caps w:val="0"/>
                <w:color w:val="auto"/>
                <w:spacing w:val="0"/>
                <w:sz w:val="24"/>
                <w:szCs w:val="24"/>
                <w:highlight w:val="none"/>
                <w:shd w:val="clear" w:fill="FFFFFF"/>
                <w:lang w:eastAsia="zh-CN"/>
              </w:rPr>
              <w:t>或市政工程专业二级</w:t>
            </w:r>
            <w:r>
              <w:rPr>
                <w:rFonts w:hint="eastAsia" w:ascii="仿宋" w:hAnsi="仿宋" w:eastAsia="仿宋" w:cs="仿宋"/>
                <w:color w:val="auto"/>
                <w:sz w:val="24"/>
                <w:szCs w:val="24"/>
                <w:highlight w:val="none"/>
                <w:lang w:eastAsia="zh-CN"/>
              </w:rPr>
              <w:t>及以上注册建造师证书和有效的安全生产考核证书（B证）且无在建工程、无不良记录（提供无在建工程、无不良记录承诺书）</w:t>
            </w:r>
            <w:r>
              <w:rPr>
                <w:rFonts w:hint="eastAsia" w:ascii="仿宋" w:hAnsi="仿宋" w:eastAsia="仿宋" w:cs="仿宋"/>
                <w:color w:val="auto"/>
                <w:sz w:val="24"/>
                <w:szCs w:val="24"/>
                <w:highlight w:val="none"/>
              </w:rPr>
              <w:t>；</w:t>
            </w:r>
          </w:p>
          <w:p>
            <w:pPr>
              <w:keepNext w:val="0"/>
              <w:keepLines w:val="0"/>
              <w:pageBreakBefore w:val="0"/>
              <w:widowControl w:val="0"/>
              <w:numPr>
                <w:ilvl w:val="0"/>
                <w:numId w:val="4"/>
              </w:numPr>
              <w:kinsoku/>
              <w:wordWrap w:val="0"/>
              <w:overflowPunct/>
              <w:topLinePunct w:val="0"/>
              <w:autoSpaceDE/>
              <w:autoSpaceDN/>
              <w:bidi w:val="0"/>
              <w:adjustRightInd/>
              <w:snapToGrid/>
              <w:spacing w:line="5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供应商未被“信用中国”网站（www.creditchina.gov.cn）列入失信被执行人和重大税收违法失信主体，未被中国政府采购网（www.ccgp.gov.cn）列入政府采购严重违法失信行为记录名单；</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本项目不接受联合体磋商。</w:t>
            </w:r>
          </w:p>
          <w:p>
            <w:pPr>
              <w:spacing w:line="360" w:lineRule="auto"/>
              <w:ind w:firstLine="482" w:firstLineChars="200"/>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4"/>
                <w:szCs w:val="24"/>
                <w:highlight w:val="none"/>
              </w:rPr>
              <w:t>以上为必备</w:t>
            </w:r>
            <w:r>
              <w:rPr>
                <w:rFonts w:hint="eastAsia" w:ascii="仿宋" w:hAnsi="仿宋" w:eastAsia="仿宋" w:cs="仿宋"/>
                <w:b/>
                <w:color w:val="auto"/>
                <w:sz w:val="24"/>
                <w:szCs w:val="24"/>
                <w:highlight w:val="none"/>
                <w:lang w:eastAsia="zh-CN"/>
              </w:rPr>
              <w:t>资格要求</w:t>
            </w:r>
            <w:r>
              <w:rPr>
                <w:rFonts w:hint="eastAsia" w:ascii="仿宋" w:hAnsi="仿宋" w:eastAsia="仿宋" w:cs="仿宋"/>
                <w:b/>
                <w:color w:val="auto"/>
                <w:sz w:val="24"/>
                <w:szCs w:val="24"/>
                <w:highlight w:val="none"/>
              </w:rPr>
              <w:t>，缺一项或某项达不到要求，按无效</w:t>
            </w:r>
            <w:r>
              <w:rPr>
                <w:rFonts w:hint="eastAsia" w:ascii="仿宋" w:hAnsi="仿宋" w:eastAsia="仿宋" w:cs="仿宋"/>
                <w:b/>
                <w:color w:val="auto"/>
                <w:sz w:val="24"/>
                <w:szCs w:val="24"/>
                <w:highlight w:val="none"/>
                <w:lang w:eastAsia="zh-CN"/>
              </w:rPr>
              <w:t>磋商</w:t>
            </w:r>
            <w:r>
              <w:rPr>
                <w:rFonts w:hint="eastAsia" w:ascii="仿宋" w:hAnsi="仿宋" w:eastAsia="仿宋" w:cs="仿宋"/>
                <w:b/>
                <w:color w:val="auto"/>
                <w:sz w:val="24"/>
                <w:szCs w:val="24"/>
                <w:highlight w:val="none"/>
              </w:rPr>
              <w:t>处理。除法定代表人授权书需将原件装订在</w:t>
            </w:r>
            <w:r>
              <w:rPr>
                <w:rFonts w:hint="eastAsia" w:ascii="仿宋" w:hAnsi="仿宋" w:eastAsia="仿宋" w:cs="仿宋"/>
                <w:b/>
                <w:color w:val="auto"/>
                <w:sz w:val="24"/>
                <w:szCs w:val="24"/>
                <w:highlight w:val="none"/>
                <w:lang w:eastAsia="zh-CN"/>
              </w:rPr>
              <w:t>响应</w:t>
            </w:r>
            <w:r>
              <w:rPr>
                <w:rFonts w:hint="eastAsia" w:ascii="仿宋" w:hAnsi="仿宋" w:eastAsia="仿宋" w:cs="仿宋"/>
                <w:b/>
                <w:color w:val="auto"/>
                <w:sz w:val="24"/>
                <w:szCs w:val="24"/>
                <w:highlight w:val="none"/>
              </w:rPr>
              <w:t>文件正本中外，其他所有资质证件的复印件必须加盖单位公章附在</w:t>
            </w:r>
            <w:r>
              <w:rPr>
                <w:rFonts w:hint="eastAsia" w:ascii="仿宋" w:hAnsi="仿宋" w:eastAsia="仿宋" w:cs="仿宋"/>
                <w:b/>
                <w:color w:val="auto"/>
                <w:sz w:val="24"/>
                <w:szCs w:val="24"/>
                <w:highlight w:val="none"/>
                <w:lang w:eastAsia="zh-CN"/>
              </w:rPr>
              <w:t>响应</w:t>
            </w:r>
            <w:r>
              <w:rPr>
                <w:rFonts w:hint="eastAsia" w:ascii="仿宋" w:hAnsi="仿宋" w:eastAsia="仿宋" w:cs="仿宋"/>
                <w:b/>
                <w:color w:val="auto"/>
                <w:sz w:val="24"/>
                <w:szCs w:val="24"/>
                <w:highlight w:val="none"/>
              </w:rPr>
              <w:t>文件中</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资质证件原件</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特定资格条件2、3项除外</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随身携带以备审查。</w:t>
            </w:r>
            <w:r>
              <w:rPr>
                <w:rFonts w:hint="eastAsia" w:ascii="仿宋" w:hAnsi="仿宋" w:eastAsia="仿宋" w:cs="仿宋"/>
                <w:b/>
                <w:color w:val="auto"/>
                <w:sz w:val="24"/>
                <w:szCs w:val="24"/>
                <w:highlight w:val="none"/>
                <w:lang w:val="en-US" w:eastAsia="zh-CN"/>
              </w:rPr>
              <w:t xml:space="preserve">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未注明要求原件</w:t>
            </w:r>
            <w:r>
              <w:rPr>
                <w:rFonts w:hint="eastAsia" w:ascii="仿宋" w:hAnsi="仿宋" w:eastAsia="仿宋" w:cs="仿宋"/>
                <w:color w:val="auto"/>
                <w:sz w:val="24"/>
                <w:szCs w:val="24"/>
                <w:highlight w:val="none"/>
                <w:lang w:eastAsia="zh-CN"/>
              </w:rPr>
              <w:t>（</w:t>
            </w:r>
            <w:r>
              <w:rPr>
                <w:rFonts w:hint="eastAsia" w:ascii="仿宋" w:hAnsi="仿宋" w:eastAsia="仿宋" w:cs="仿宋"/>
                <w:b/>
                <w:color w:val="auto"/>
                <w:sz w:val="24"/>
                <w:szCs w:val="24"/>
                <w:highlight w:val="none"/>
                <w:lang w:val="en-US" w:eastAsia="zh-CN"/>
              </w:rPr>
              <w:t>特定资格条件2、3项除外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的资格证明文件，在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后的任何时间，</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都有权随时要求审查原件</w:t>
            </w:r>
            <w:r>
              <w:rPr>
                <w:rFonts w:hint="eastAsia" w:ascii="仿宋" w:hAnsi="仿宋" w:eastAsia="仿宋" w:cs="仿宋"/>
                <w:color w:val="auto"/>
                <w:sz w:val="24"/>
                <w:szCs w:val="24"/>
                <w:highlight w:val="none"/>
                <w:lang w:eastAsia="zh-CN"/>
              </w:rPr>
              <w:t>（</w:t>
            </w:r>
            <w:r>
              <w:rPr>
                <w:rFonts w:hint="eastAsia" w:ascii="仿宋" w:hAnsi="仿宋" w:eastAsia="仿宋" w:cs="仿宋"/>
                <w:b/>
                <w:color w:val="auto"/>
                <w:sz w:val="24"/>
                <w:szCs w:val="24"/>
                <w:highlight w:val="none"/>
                <w:lang w:val="en-US" w:eastAsia="zh-CN"/>
              </w:rPr>
              <w:t>特定资格条件2、3项除外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，如果不能按规定时间提供，</w:t>
            </w:r>
            <w:r>
              <w:rPr>
                <w:rFonts w:hint="eastAsia" w:ascii="仿宋" w:hAnsi="仿宋" w:eastAsia="仿宋" w:cs="仿宋"/>
                <w:b w:val="0"/>
                <w:bCs/>
                <w:color w:val="auto"/>
                <w:sz w:val="24"/>
                <w:szCs w:val="24"/>
                <w:highlight w:val="none"/>
                <w:lang w:eastAsia="zh-CN"/>
              </w:rPr>
              <w:t>对供应商造成的不利后果</w:t>
            </w:r>
            <w:r>
              <w:rPr>
                <w:rFonts w:hint="eastAsia" w:ascii="仿宋" w:hAnsi="仿宋" w:eastAsia="仿宋" w:cs="仿宋"/>
                <w:color w:val="auto"/>
                <w:sz w:val="24"/>
                <w:szCs w:val="24"/>
                <w:highlight w:val="none"/>
                <w:lang w:eastAsia="zh-CN"/>
              </w:rPr>
              <w:t>由供应商自行承担</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踏勘现场</w:t>
            </w:r>
          </w:p>
        </w:tc>
        <w:tc>
          <w:tcPr>
            <w:tcW w:w="3388" w:type="pct"/>
            <w:vAlign w:val="center"/>
          </w:tcPr>
          <w:p>
            <w:pPr>
              <w:pStyle w:val="2"/>
              <w:keepNext w:val="0"/>
              <w:keepLines w:val="0"/>
              <w:pageBreakBefore w:val="0"/>
              <w:widowControl w:val="0"/>
              <w:kinsoku/>
              <w:wordWrap/>
              <w:overflowPunct/>
              <w:topLinePunct w:val="0"/>
              <w:autoSpaceDE/>
              <w:autoSpaceDN/>
              <w:bidi w:val="0"/>
              <w:adjustRightInd/>
              <w:snapToGrid/>
              <w:spacing w:after="0" w:afterLines="0" w:line="440" w:lineRule="exact"/>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szCs w:val="24"/>
                <w:highlight w:val="none"/>
                <w:lang w:val="en-US" w:eastAsia="zh-CN" w:bidi="ar-SA"/>
              </w:rPr>
              <w:t>自行踏勘</w:t>
            </w:r>
          </w:p>
          <w:p>
            <w:pPr>
              <w:pStyle w:val="2"/>
              <w:keepNext w:val="0"/>
              <w:keepLines w:val="0"/>
              <w:pageBreakBefore w:val="0"/>
              <w:widowControl w:val="0"/>
              <w:kinsoku/>
              <w:wordWrap/>
              <w:overflowPunct/>
              <w:topLinePunct w:val="0"/>
              <w:autoSpaceDE/>
              <w:autoSpaceDN/>
              <w:bidi w:val="0"/>
              <w:adjustRightInd/>
              <w:snapToGrid/>
              <w:spacing w:after="0" w:afterLines="0" w:line="440" w:lineRule="exact"/>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联系人：李老师           </w:t>
            </w:r>
          </w:p>
          <w:p>
            <w:pPr>
              <w:pStyle w:val="2"/>
              <w:keepNext w:val="0"/>
              <w:keepLines w:val="0"/>
              <w:pageBreakBefore w:val="0"/>
              <w:widowControl w:val="0"/>
              <w:kinsoku/>
              <w:wordWrap/>
              <w:overflowPunct/>
              <w:topLinePunct w:val="0"/>
              <w:autoSpaceDE/>
              <w:autoSpaceDN/>
              <w:bidi w:val="0"/>
              <w:adjustRightInd/>
              <w:snapToGrid/>
              <w:spacing w:after="0" w:afterLines="0" w:line="440" w:lineRule="exact"/>
              <w:jc w:val="both"/>
              <w:textAlignment w:val="auto"/>
              <w:outlineLvl w:val="9"/>
              <w:rPr>
                <w:rFonts w:hint="default"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lang w:val="en-US" w:eastAsia="zh-CN" w:bidi="ar-SA"/>
              </w:rPr>
              <w:t>联系方式：029-85949203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答疑会</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不召开；若有疑问，均应在</w:t>
            </w:r>
            <w:r>
              <w:rPr>
                <w:rFonts w:hint="eastAsia" w:ascii="仿宋" w:hAnsi="仿宋" w:eastAsia="仿宋" w:cs="仿宋"/>
                <w:color w:val="auto"/>
                <w:sz w:val="24"/>
                <w:szCs w:val="24"/>
                <w:highlight w:val="none"/>
                <w:lang w:eastAsia="zh-CN"/>
              </w:rPr>
              <w:t>磋商响应文件递交截止时间</w:t>
            </w:r>
            <w:r>
              <w:rPr>
                <w:rFonts w:hint="eastAsia" w:ascii="仿宋" w:hAnsi="仿宋" w:eastAsia="仿宋" w:cs="仿宋"/>
                <w:color w:val="auto"/>
                <w:sz w:val="24"/>
                <w:szCs w:val="24"/>
                <w:highlight w:val="none"/>
                <w:lang w:val="en-US" w:eastAsia="zh-CN"/>
              </w:rPr>
              <w:t>3日前</w:t>
            </w:r>
            <w:r>
              <w:rPr>
                <w:rFonts w:hint="eastAsia" w:ascii="仿宋" w:hAnsi="仿宋" w:eastAsia="仿宋" w:cs="仿宋"/>
                <w:color w:val="auto"/>
                <w:sz w:val="24"/>
                <w:szCs w:val="24"/>
                <w:highlight w:val="none"/>
              </w:rPr>
              <w:t>以书面形式向采购代理机构提出。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的其他材料</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澄清、修改、答疑文件、工程量清单等相关材料。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的疑问</w:t>
            </w:r>
          </w:p>
        </w:tc>
        <w:tc>
          <w:tcPr>
            <w:tcW w:w="3388" w:type="pct"/>
            <w:vAlign w:val="center"/>
          </w:tcPr>
          <w:p>
            <w:pPr>
              <w:pStyle w:val="1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磋商响应文件递交</w:t>
            </w:r>
            <w:r>
              <w:rPr>
                <w:rFonts w:hint="eastAsia" w:ascii="仿宋" w:hAnsi="仿宋" w:eastAsia="仿宋" w:cs="仿宋"/>
                <w:color w:val="auto"/>
                <w:sz w:val="24"/>
                <w:szCs w:val="24"/>
                <w:highlight w:val="none"/>
              </w:rPr>
              <w:t>截止时间</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澄清</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的截止时间</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磋商响应文件递交</w:t>
            </w:r>
            <w:r>
              <w:rPr>
                <w:rFonts w:hint="eastAsia" w:ascii="仿宋" w:hAnsi="仿宋" w:eastAsia="仿宋" w:cs="仿宋"/>
                <w:color w:val="auto"/>
                <w:sz w:val="24"/>
                <w:szCs w:val="24"/>
                <w:highlight w:val="none"/>
              </w:rPr>
              <w:t>截止时间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的其他材料</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的要求认为有利于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工程计价方式</w:t>
            </w:r>
          </w:p>
        </w:tc>
        <w:tc>
          <w:tcPr>
            <w:tcW w:w="3388" w:type="pct"/>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工程量清单综合单价法，</w:t>
            </w:r>
            <w:r>
              <w:rPr>
                <w:rFonts w:hint="eastAsia" w:ascii="仿宋" w:hAnsi="仿宋" w:eastAsia="仿宋" w:cs="仿宋"/>
                <w:color w:val="auto"/>
                <w:sz w:val="24"/>
                <w:szCs w:val="24"/>
                <w:highlight w:val="none"/>
                <w:lang w:eastAsia="zh-CN"/>
              </w:rPr>
              <w:t>本文件按照</w:t>
            </w:r>
            <w:r>
              <w:rPr>
                <w:rFonts w:hint="eastAsia" w:ascii="仿宋" w:hAnsi="仿宋" w:eastAsia="仿宋" w:cs="仿宋"/>
                <w:color w:val="auto"/>
                <w:sz w:val="24"/>
                <w:szCs w:val="24"/>
                <w:highlight w:val="none"/>
                <w:lang w:val="en-US" w:eastAsia="zh-CN"/>
              </w:rPr>
              <w:t>《陕西省2019水利水电预算定额》、陕水规计发[2019] 66 号文</w:t>
            </w:r>
            <w:r>
              <w:rPr>
                <w:rFonts w:hint="eastAsia" w:ascii="仿宋" w:hAnsi="仿宋" w:eastAsia="仿宋" w:cs="仿宋"/>
                <w:color w:val="auto"/>
                <w:sz w:val="24"/>
                <w:szCs w:val="24"/>
                <w:highlight w:val="none"/>
                <w:lang w:eastAsia="zh-CN"/>
              </w:rPr>
              <w:t>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w:t>
            </w:r>
          </w:p>
        </w:tc>
        <w:tc>
          <w:tcPr>
            <w:tcW w:w="1111" w:type="pct"/>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磋商有效期</w:t>
            </w:r>
          </w:p>
        </w:tc>
        <w:tc>
          <w:tcPr>
            <w:tcW w:w="3388" w:type="pct"/>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90日历天（从</w:t>
            </w:r>
            <w:r>
              <w:rPr>
                <w:rFonts w:hint="eastAsia" w:ascii="仿宋" w:hAnsi="仿宋" w:eastAsia="仿宋" w:cs="仿宋"/>
                <w:color w:val="auto"/>
                <w:sz w:val="24"/>
                <w:szCs w:val="24"/>
                <w:highlight w:val="none"/>
                <w:lang w:eastAsia="zh-CN"/>
              </w:rPr>
              <w:t>磋商响应文件递交</w:t>
            </w:r>
            <w:r>
              <w:rPr>
                <w:rFonts w:hint="eastAsia" w:ascii="仿宋" w:hAnsi="仿宋" w:eastAsia="仿宋" w:cs="仿宋"/>
                <w:color w:val="auto"/>
                <w:sz w:val="24"/>
                <w:szCs w:val="24"/>
                <w:highlight w:val="none"/>
              </w:rPr>
              <w:t>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p>
        </w:tc>
        <w:tc>
          <w:tcPr>
            <w:tcW w:w="1111" w:type="pct"/>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磋商保证金</w:t>
            </w:r>
          </w:p>
        </w:tc>
        <w:tc>
          <w:tcPr>
            <w:tcW w:w="3388" w:type="pct"/>
            <w:vAlign w:val="center"/>
          </w:tcPr>
          <w:p>
            <w:pPr>
              <w:pStyle w:val="17"/>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sym w:font="Wingdings" w:char="00FE"/>
            </w:r>
            <w:r>
              <w:rPr>
                <w:rFonts w:hint="eastAsia" w:ascii="仿宋" w:hAnsi="仿宋" w:eastAsia="仿宋" w:cs="仿宋"/>
                <w:color w:val="auto"/>
                <w:kern w:val="0"/>
                <w:sz w:val="24"/>
                <w:szCs w:val="24"/>
                <w:highlight w:val="none"/>
                <w:lang w:val="en-US" w:eastAsia="zh-CN" w:bidi="ar-SA"/>
              </w:rPr>
              <w:t>不要求提供</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sym w:font="Wingdings" w:char="00A8"/>
            </w:r>
            <w:r>
              <w:rPr>
                <w:rFonts w:hint="eastAsia" w:ascii="仿宋" w:hAnsi="仿宋" w:eastAsia="仿宋" w:cs="仿宋"/>
                <w:color w:val="auto"/>
                <w:sz w:val="24"/>
                <w:szCs w:val="24"/>
                <w:highlight w:val="none"/>
              </w:rPr>
              <w:t>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是否允许递交</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方案</w:t>
            </w:r>
          </w:p>
        </w:tc>
        <w:tc>
          <w:tcPr>
            <w:tcW w:w="3388" w:type="pct"/>
            <w:vAlign w:val="center"/>
          </w:tcPr>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sym w:font="Wingdings" w:char="00A8"/>
            </w:r>
            <w:r>
              <w:rPr>
                <w:rFonts w:hint="eastAsia" w:ascii="仿宋" w:hAnsi="仿宋" w:eastAsia="仿宋" w:cs="仿宋"/>
                <w:color w:val="auto"/>
                <w:sz w:val="24"/>
                <w:szCs w:val="24"/>
                <w:highlight w:val="none"/>
                <w:lang w:val="en-US" w:eastAsia="zh-CN"/>
              </w:rPr>
              <w:t>允许</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sym w:font="Wingdings" w:char="00FE"/>
            </w:r>
            <w:r>
              <w:rPr>
                <w:rFonts w:hint="eastAsia" w:ascii="仿宋" w:hAnsi="仿宋" w:eastAsia="仿宋" w:cs="仿宋"/>
                <w:color w:val="auto"/>
                <w:sz w:val="24"/>
                <w:szCs w:val="24"/>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3.6.3</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签字或盖章要求</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封面、</w:t>
            </w:r>
            <w:r>
              <w:rPr>
                <w:rFonts w:hint="eastAsia" w:ascii="仿宋" w:hAnsi="仿宋" w:eastAsia="仿宋" w:cs="仿宋"/>
                <w:color w:val="auto"/>
                <w:sz w:val="24"/>
                <w:szCs w:val="24"/>
                <w:highlight w:val="none"/>
                <w:lang w:eastAsia="zh-CN"/>
              </w:rPr>
              <w:t>磋商响应函</w:t>
            </w:r>
            <w:r>
              <w:rPr>
                <w:rFonts w:hint="eastAsia" w:ascii="仿宋" w:hAnsi="仿宋" w:eastAsia="仿宋" w:cs="仿宋"/>
                <w:color w:val="auto"/>
                <w:sz w:val="24"/>
                <w:szCs w:val="24"/>
                <w:highlight w:val="none"/>
              </w:rPr>
              <w:t>及其它有要求处必须加盖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公章并经法定代表人或其委托代理人签字或盖章。</w:t>
            </w:r>
            <w:bookmarkStart w:id="21" w:name="_Toc343511347"/>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应无涂改或行间插字和增删。如确需修改，修改处必须由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公章并经法定代表人或其委托代理人签字或盖章。</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3.6.4</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份数</w:t>
            </w:r>
          </w:p>
        </w:tc>
        <w:tc>
          <w:tcPr>
            <w:tcW w:w="3388" w:type="pct"/>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正本的份数：壹份；</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副本的份数：</w:t>
            </w:r>
            <w:r>
              <w:rPr>
                <w:rFonts w:hint="eastAsia" w:ascii="仿宋" w:hAnsi="仿宋" w:eastAsia="仿宋" w:cs="仿宋"/>
                <w:color w:val="auto"/>
                <w:sz w:val="24"/>
                <w:szCs w:val="24"/>
                <w:highlight w:val="none"/>
                <w:lang w:eastAsia="zh-CN"/>
              </w:rPr>
              <w:t>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壹</w:t>
            </w:r>
            <w:r>
              <w:rPr>
                <w:rFonts w:hint="eastAsia" w:ascii="仿宋" w:hAnsi="仿宋" w:eastAsia="仿宋" w:cs="仿宋"/>
                <w:color w:val="auto"/>
                <w:sz w:val="24"/>
                <w:szCs w:val="24"/>
                <w:highlight w:val="none"/>
                <w:lang w:eastAsia="zh-CN"/>
              </w:rPr>
              <w:t>份；</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电子版（U盘）：壹份（需在盘面上标注</w:t>
            </w:r>
            <w:r>
              <w:rPr>
                <w:rFonts w:hint="eastAsia" w:ascii="仿宋" w:hAnsi="仿宋" w:eastAsia="仿宋" w:cs="仿宋"/>
                <w:color w:val="auto"/>
                <w:sz w:val="24"/>
                <w:szCs w:val="24"/>
                <w:highlight w:val="none"/>
                <w:lang w:val="en-US" w:eastAsia="zh-CN"/>
              </w:rPr>
              <w:t>供应商全称、项目名称、编号、包号）</w:t>
            </w:r>
            <w:r>
              <w:rPr>
                <w:rFonts w:hint="eastAsia" w:ascii="仿宋" w:hAnsi="仿宋" w:eastAsia="仿宋" w:cs="仿宋"/>
                <w:color w:val="auto"/>
                <w:sz w:val="24"/>
                <w:szCs w:val="24"/>
                <w:highlight w:val="none"/>
                <w:lang w:eastAsia="zh-CN"/>
              </w:rPr>
              <w:t>。</w:t>
            </w:r>
          </w:p>
          <w:p>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电子版包括：</w:t>
            </w:r>
          </w:p>
          <w:p>
            <w:pPr>
              <w:numPr>
                <w:ilvl w:val="0"/>
                <w:numId w:val="5"/>
              </w:num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word版磋商响应文件；</w:t>
            </w:r>
          </w:p>
          <w:p>
            <w:pPr>
              <w:numPr>
                <w:ilvl w:val="0"/>
                <w:numId w:val="5"/>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磋商响应文件正本签字盖章后的PDF格式扫描件（与正本具有同等法律效力）。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4.1.2</w:t>
            </w:r>
          </w:p>
        </w:tc>
        <w:tc>
          <w:tcPr>
            <w:tcW w:w="1111" w:type="pct"/>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密封要求</w:t>
            </w:r>
          </w:p>
        </w:tc>
        <w:tc>
          <w:tcPr>
            <w:tcW w:w="3388" w:type="pct"/>
            <w:vAlign w:val="center"/>
          </w:tcPr>
          <w:p>
            <w:pPr>
              <w:numPr>
                <w:ilvl w:val="0"/>
                <w:numId w:val="0"/>
              </w:num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应将</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文件正本、所有的副本、电子版本、</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分别单独密封在封袋中（封袋不得有破损）。封袋应加贴封条，并在封线处加盖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4.1.</w:t>
            </w:r>
            <w:r>
              <w:rPr>
                <w:rFonts w:hint="eastAsia" w:ascii="仿宋" w:hAnsi="仿宋" w:eastAsia="仿宋" w:cs="仿宋"/>
                <w:color w:val="auto"/>
                <w:sz w:val="24"/>
                <w:szCs w:val="24"/>
                <w:highlight w:val="none"/>
                <w:lang w:val="en-US" w:eastAsia="zh-CN"/>
              </w:rPr>
              <w:t>3</w:t>
            </w:r>
          </w:p>
        </w:tc>
        <w:tc>
          <w:tcPr>
            <w:tcW w:w="1111"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封套上写明</w:t>
            </w:r>
          </w:p>
        </w:tc>
        <w:tc>
          <w:tcPr>
            <w:tcW w:w="3388" w:type="pct"/>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人名称：</w:t>
            </w:r>
            <w:r>
              <w:rPr>
                <w:rFonts w:hint="eastAsia" w:ascii="仿宋" w:hAnsi="仿宋" w:eastAsia="仿宋" w:cs="仿宋"/>
                <w:color w:val="auto"/>
                <w:sz w:val="24"/>
                <w:szCs w:val="24"/>
                <w:highlight w:val="none"/>
                <w:lang w:eastAsia="zh-CN"/>
              </w:rPr>
              <w:t>西安市长安区五台街道办事处</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名称以及标注“正本”、“副本”、“</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“电子版”字样，密封处应加盖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开标时间</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rPr>
              <w:t>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99"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4.2.2</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截止时间、地点</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none"/>
                <w:lang w:eastAsia="zh-CN"/>
              </w:rPr>
              <w:t>见磋商公告</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none"/>
                <w:lang w:eastAsia="zh-CN"/>
              </w:rPr>
              <w:t>见磋商公告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99"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4.2.3</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是否退还</w:t>
            </w:r>
            <w:r>
              <w:rPr>
                <w:rFonts w:hint="eastAsia" w:ascii="仿宋" w:hAnsi="仿宋" w:eastAsia="仿宋" w:cs="仿宋"/>
                <w:color w:val="auto"/>
                <w:sz w:val="24"/>
                <w:szCs w:val="24"/>
                <w:highlight w:val="none"/>
                <w:lang w:eastAsia="zh-CN"/>
              </w:rPr>
              <w:t>竞争性磋商响应文件</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99"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时间和地点</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none"/>
                <w:lang w:eastAsia="zh-CN"/>
              </w:rPr>
              <w:t>同响应文件递交截止时间</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none"/>
                <w:lang w:eastAsia="zh-CN"/>
              </w:rPr>
              <w:t>同响应文件递交地点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99" w:type="pc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6.1.1</w:t>
            </w:r>
          </w:p>
        </w:tc>
        <w:tc>
          <w:tcPr>
            <w:tcW w:w="1111" w:type="pct"/>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磋商小组</w:t>
            </w:r>
          </w:p>
        </w:tc>
        <w:tc>
          <w:tcPr>
            <w:tcW w:w="3388" w:type="pct"/>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代表和具备相关专业的专家</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lang w:val="en-US" w:eastAsia="zh-CN"/>
              </w:rPr>
              <w:t>3人以上单数组成</w:t>
            </w:r>
            <w:r>
              <w:rPr>
                <w:rFonts w:hint="eastAsia" w:ascii="仿宋" w:hAnsi="仿宋" w:eastAsia="仿宋" w:cs="仿宋"/>
                <w:color w:val="auto"/>
                <w:sz w:val="24"/>
                <w:szCs w:val="24"/>
                <w:highlight w:val="none"/>
                <w:lang w:eastAsia="zh-CN"/>
              </w:rPr>
              <w:t>磋商小组，其中采购人代表须持有授权书。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499"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是否授权</w:t>
            </w:r>
            <w:r>
              <w:rPr>
                <w:rFonts w:hint="eastAsia" w:ascii="仿宋" w:hAnsi="仿宋" w:eastAsia="仿宋" w:cs="仿宋"/>
                <w:color w:val="auto"/>
                <w:sz w:val="24"/>
                <w:szCs w:val="24"/>
                <w:highlight w:val="none"/>
                <w:lang w:eastAsia="zh-CN"/>
              </w:rPr>
              <w:t>磋商小组</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人</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bookmarkStart w:id="22" w:name="OLE_LINK6"/>
            <w:r>
              <w:rPr>
                <w:rFonts w:hint="eastAsia" w:ascii="仿宋" w:hAnsi="仿宋" w:eastAsia="仿宋" w:cs="仿宋"/>
                <w:color w:val="auto"/>
                <w:sz w:val="24"/>
                <w:szCs w:val="24"/>
                <w:highlight w:val="none"/>
              </w:rPr>
              <w:t>推荐3名</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99"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7.3.1</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履约</w:t>
            </w:r>
            <w:r>
              <w:rPr>
                <w:rFonts w:hint="eastAsia" w:ascii="仿宋" w:hAnsi="仿宋" w:eastAsia="仿宋" w:cs="仿宋"/>
                <w:color w:val="auto"/>
                <w:sz w:val="24"/>
                <w:szCs w:val="24"/>
                <w:highlight w:val="none"/>
                <w:lang w:eastAsia="zh-CN"/>
              </w:rPr>
              <w:t>保证金</w:t>
            </w:r>
          </w:p>
        </w:tc>
        <w:tc>
          <w:tcPr>
            <w:tcW w:w="3388" w:type="pct"/>
            <w:vAlign w:val="center"/>
          </w:tcPr>
          <w:p>
            <w:pPr>
              <w:pStyle w:val="17"/>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val="0"/>
                <w:bCs w:val="0"/>
                <w:color w:val="auto"/>
                <w:kern w:val="0"/>
                <w:sz w:val="24"/>
                <w:szCs w:val="24"/>
                <w:highlight w:val="none"/>
                <w:lang w:val="en-US" w:eastAsia="zh-CN" w:bidi="ar-SA"/>
              </w:rPr>
            </w:pPr>
            <w:bookmarkStart w:id="23" w:name="OLE_LINK97"/>
            <w:r>
              <w:rPr>
                <w:rFonts w:hint="eastAsia" w:ascii="仿宋" w:hAnsi="仿宋" w:eastAsia="仿宋" w:cs="仿宋"/>
                <w:b w:val="0"/>
                <w:bCs w:val="0"/>
                <w:color w:val="auto"/>
                <w:kern w:val="0"/>
                <w:sz w:val="24"/>
                <w:szCs w:val="24"/>
                <w:highlight w:val="none"/>
                <w:lang w:val="en-US" w:eastAsia="zh-CN" w:bidi="ar-SA"/>
              </w:rPr>
              <w:t>☑不要求提供</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kern w:val="0"/>
                <w:sz w:val="24"/>
                <w:szCs w:val="24"/>
                <w:highlight w:val="none"/>
                <w:lang w:val="en-US" w:eastAsia="zh-CN" w:bidi="ar-SA"/>
              </w:rPr>
              <w:t>□要求提供</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exact"/>
          <w:jc w:val="center"/>
        </w:trPr>
        <w:tc>
          <w:tcPr>
            <w:tcW w:w="499"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招标</w:t>
            </w:r>
            <w:r>
              <w:rPr>
                <w:rFonts w:hint="eastAsia" w:ascii="仿宋" w:hAnsi="仿宋" w:eastAsia="仿宋" w:cs="仿宋"/>
                <w:b/>
                <w:bCs/>
                <w:color w:val="auto"/>
                <w:sz w:val="24"/>
                <w:szCs w:val="24"/>
                <w:highlight w:val="none"/>
              </w:rPr>
              <w:t>代理服务费</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1、参照</w:t>
            </w:r>
            <w:r>
              <w:rPr>
                <w:rFonts w:hint="eastAsia" w:ascii="仿宋" w:hAnsi="仿宋" w:eastAsia="仿宋" w:cs="仿宋"/>
                <w:color w:val="auto"/>
                <w:sz w:val="24"/>
                <w:szCs w:val="24"/>
                <w:highlight w:val="none"/>
              </w:rPr>
              <w:t>国家计委颁发的《招标代理服务收费管理暂行办法》（计价格[2002]1980号）和国家发展改革委员会办公厅颁发的《关于招标代理服务收费有关问题的通知》（发改办价格[2003]857号）的有关规定执行。</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成交单位在领取成交通知书前，须向采购代理机构一次性支付</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exact"/>
          <w:jc w:val="center"/>
        </w:trPr>
        <w:tc>
          <w:tcPr>
            <w:tcW w:w="5000" w:type="pct"/>
            <w:gridSpan w:val="3"/>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（1）本项目专门面向中小企业采购。</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（2）本项目属性为工程。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（3）本项目采购标的所属行业为：</w:t>
            </w:r>
            <w:r>
              <w:rPr>
                <w:rFonts w:hint="eastAsia" w:ascii="仿宋" w:hAnsi="仿宋" w:eastAsia="仿宋" w:cs="仿宋"/>
                <w:color w:val="auto"/>
                <w:sz w:val="24"/>
                <w:szCs w:val="24"/>
                <w:highlight w:val="none"/>
                <w:u w:val="single"/>
                <w:lang w:val="en-US" w:eastAsia="zh-CN"/>
              </w:rPr>
              <w:t xml:space="preserve"> 建筑业 </w:t>
            </w:r>
            <w:r>
              <w:rPr>
                <w:rFonts w:hint="eastAsia" w:ascii="仿宋" w:hAnsi="仿宋" w:eastAsia="仿宋" w:cs="仿宋"/>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ind w:left="110" w:leftChars="52" w:hanging="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各个组成部分的文件，未经</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人书面同意，</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不得擅自复印和用于非本招标项目所需的其他目的。</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人全部或者部分使用未</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ind w:left="110" w:leftChars="52" w:hanging="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组成部分的“通用合同条款”、“专用合同条款”、“技术标准和要求”和“工程量清单”等章节中出现的措辞“发包人”和“承包人”，在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阶段应当分别按“</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ind w:left="68" w:leftChars="-2" w:hanging="72" w:hangingChars="3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人和</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代理机构负责解释。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exact"/>
          <w:jc w:val="center"/>
        </w:trPr>
        <w:tc>
          <w:tcPr>
            <w:tcW w:w="5000"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招标代理服务费账户：</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户名：华夏国际项目管理有限公司</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开户行：中国光大银行西安南二环支行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账号：78620188000097418</w:t>
            </w:r>
          </w:p>
          <w:p>
            <w:pPr>
              <w:keepNext w:val="0"/>
              <w:keepLines w:val="0"/>
              <w:pageBreakBefore w:val="0"/>
              <w:widowControl w:val="0"/>
              <w:kinsoku/>
              <w:wordWrap/>
              <w:overflowPunct/>
              <w:topLinePunct w:val="0"/>
              <w:autoSpaceDE/>
              <w:autoSpaceDN/>
              <w:bidi w:val="0"/>
              <w:adjustRightInd/>
              <w:snapToGrid/>
              <w:spacing w:line="400" w:lineRule="exact"/>
              <w:ind w:left="68" w:leftChars="-2" w:hanging="72" w:hangingChars="3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请成交供应商按照要求将招标代理服务费汇入以上指定账户，如因自身原因发生错误，产生的不利后果均由成交供应商自行承担。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exac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 w:hAnsi="仿宋" w:eastAsia="仿宋" w:cs="仿宋"/>
                <w:b/>
                <w:bCs/>
                <w:color w:val="auto"/>
                <w:sz w:val="24"/>
                <w:szCs w:val="24"/>
                <w:highlight w:val="none"/>
                <w:lang w:val="en-US" w:eastAsia="zh-CN"/>
              </w:rPr>
            </w:pPr>
            <w:bookmarkStart w:id="24" w:name="_Toc1185"/>
            <w:r>
              <w:rPr>
                <w:rFonts w:hint="eastAsia" w:ascii="仿宋" w:hAnsi="仿宋" w:eastAsia="仿宋" w:cs="仿宋"/>
                <w:b/>
                <w:bCs/>
                <w:color w:val="auto"/>
                <w:sz w:val="24"/>
                <w:szCs w:val="24"/>
                <w:highlight w:val="none"/>
                <w:lang w:val="en-US" w:eastAsia="zh-CN"/>
              </w:rPr>
              <w:t>信用担保</w:t>
            </w:r>
            <w:bookmarkEnd w:id="24"/>
            <w:r>
              <w:rPr>
                <w:rFonts w:hint="eastAsia" w:ascii="仿宋" w:hAnsi="仿宋" w:eastAsia="仿宋" w:cs="仿宋"/>
                <w:b/>
                <w:bCs/>
                <w:color w:val="auto"/>
                <w:sz w:val="24"/>
                <w:szCs w:val="24"/>
                <w:highlight w:val="none"/>
                <w:lang w:val="en-US" w:eastAsia="zh-CN"/>
              </w:rPr>
              <w:t>及信用融资：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陕西省财政厅关于印发&lt;陕西省中小企业政府采购信用融资办法&gt;的通知》（陕财办采〔2018〕23号）相关政策，有融资需求的供应商可根据自身情况，在陕西省政府采购信用融资平台（网址：http://www.ccgp-shaanxi.gov.cn/zcdservice/zcd/shanxi/）按照相关业务流程自主选择金融机构及其融资产品，凭政府采购中标（成交）通知书或政府采购合同向金融机构提出融资申请。</w:t>
            </w:r>
          </w:p>
          <w:p>
            <w:pPr>
              <w:keepNext w:val="0"/>
              <w:keepLines w:val="0"/>
              <w:pageBreakBefore w:val="0"/>
              <w:widowControl w:val="0"/>
              <w:kinsoku/>
              <w:wordWrap/>
              <w:overflowPunct/>
              <w:topLinePunct w:val="0"/>
              <w:autoSpaceDE/>
              <w:autoSpaceDN/>
              <w:bidi w:val="0"/>
              <w:adjustRightInd/>
              <w:snapToGrid/>
              <w:spacing w:line="400" w:lineRule="exact"/>
              <w:ind w:left="68" w:leftChars="-2" w:hanging="72" w:hangingChars="30"/>
              <w:textAlignment w:val="auto"/>
              <w:rPr>
                <w:rFonts w:hint="eastAsia" w:ascii="仿宋" w:hAnsi="仿宋" w:eastAsia="仿宋" w:cs="仿宋"/>
                <w:b/>
                <w:bCs/>
                <w:color w:val="auto"/>
                <w:sz w:val="24"/>
                <w:szCs w:val="24"/>
                <w:highlight w:val="none"/>
                <w:lang w:val="en-US" w:eastAsia="zh-CN"/>
              </w:rPr>
            </w:pPr>
          </w:p>
        </w:tc>
      </w:tr>
    </w:tbl>
    <w:p>
      <w:pPr>
        <w:spacing w:line="360" w:lineRule="auto"/>
        <w:jc w:val="left"/>
        <w:rPr>
          <w:rFonts w:hint="eastAsia" w:ascii="仿宋" w:hAnsi="仿宋" w:eastAsia="仿宋" w:cs="仿宋"/>
          <w:color w:val="auto"/>
          <w:highlight w:val="none"/>
        </w:rPr>
        <w:sectPr>
          <w:footerReference r:id="rId7" w:type="default"/>
          <w:pgSz w:w="11906" w:h="16838"/>
          <w:pgMar w:top="1417" w:right="1417" w:bottom="1417" w:left="1417" w:header="851" w:footer="992" w:gutter="0"/>
          <w:pgNumType w:fmt="decimal" w:start="1"/>
          <w:cols w:space="0" w:num="1"/>
          <w:rtlGutter w:val="0"/>
          <w:docGrid w:type="lines" w:linePitch="312" w:charSpace="0"/>
        </w:sectPr>
      </w:pPr>
    </w:p>
    <w:p>
      <w:pPr>
        <w:pStyle w:val="4"/>
        <w:jc w:val="center"/>
        <w:rPr>
          <w:rFonts w:hint="eastAsia" w:ascii="仿宋" w:hAnsi="仿宋" w:eastAsia="仿宋" w:cs="仿宋"/>
          <w:color w:val="auto"/>
          <w:highlight w:val="none"/>
        </w:rPr>
      </w:pPr>
      <w:bookmarkStart w:id="25" w:name="_Toc18046"/>
      <w:bookmarkStart w:id="26" w:name="_Toc462213641"/>
      <w:bookmarkStart w:id="27" w:name="_Toc10069"/>
      <w:bookmarkStart w:id="28" w:name="_Toc465432091"/>
      <w:bookmarkStart w:id="29" w:name="_Toc14938"/>
      <w:bookmarkStart w:id="30" w:name="_Toc462213769"/>
      <w:bookmarkStart w:id="31" w:name="_Toc425240464"/>
      <w:bookmarkStart w:id="32" w:name="_Toc421778365"/>
      <w:bookmarkStart w:id="33" w:name="_Toc420591643"/>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须知正文部分</w:t>
      </w:r>
      <w:bookmarkEnd w:id="25"/>
      <w:bookmarkEnd w:id="26"/>
      <w:bookmarkEnd w:id="27"/>
      <w:bookmarkEnd w:id="28"/>
      <w:bookmarkEnd w:id="29"/>
      <w:bookmarkEnd w:id="30"/>
    </w:p>
    <w:p>
      <w:pPr>
        <w:pageBreakBefore w:val="0"/>
        <w:kinsoku/>
        <w:wordWrap/>
        <w:overflowPunct/>
        <w:topLinePunct w:val="0"/>
        <w:autoSpaceDE/>
        <w:autoSpaceDN/>
        <w:bidi w:val="0"/>
        <w:adjustRightInd/>
        <w:snapToGrid/>
        <w:spacing w:before="156" w:after="156" w:line="360" w:lineRule="auto"/>
        <w:jc w:val="lef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kern w:val="0"/>
          <w:sz w:val="24"/>
          <w:szCs w:val="24"/>
          <w:highlight w:val="none"/>
        </w:rPr>
        <w:t>总则</w:t>
      </w:r>
      <w:bookmarkEnd w:id="31"/>
      <w:bookmarkEnd w:id="32"/>
      <w:bookmarkEnd w:id="33"/>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项目概况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根据《中华人民共和国政府采购法》</w:t>
      </w:r>
      <w:r>
        <w:rPr>
          <w:rFonts w:hint="eastAsia" w:ascii="仿宋" w:hAnsi="仿宋" w:eastAsia="仿宋" w:cs="仿宋"/>
          <w:color w:val="auto"/>
          <w:sz w:val="24"/>
          <w:szCs w:val="24"/>
          <w:highlight w:val="none"/>
          <w:lang w:eastAsia="zh-CN"/>
        </w:rPr>
        <w:t>及实施条例</w:t>
      </w:r>
      <w:r>
        <w:rPr>
          <w:rFonts w:hint="eastAsia" w:ascii="仿宋" w:hAnsi="仿宋" w:eastAsia="仿宋" w:cs="仿宋"/>
          <w:color w:val="auto"/>
          <w:sz w:val="24"/>
          <w:szCs w:val="24"/>
          <w:highlight w:val="none"/>
        </w:rPr>
        <w:t>和关于印发《政府采购竞争性磋商采购方式管理暂行办法》的通知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财库</w:t>
      </w:r>
      <w:r>
        <w:rPr>
          <w:rFonts w:hint="eastAsia" w:ascii="仿宋" w:hAnsi="仿宋" w:eastAsia="仿宋" w:cs="仿宋"/>
          <w:i w:val="0"/>
          <w:caps w:val="0"/>
          <w:color w:val="auto"/>
          <w:spacing w:val="0"/>
          <w:sz w:val="24"/>
          <w:szCs w:val="24"/>
          <w:highlight w:val="none"/>
          <w:shd w:val="clear" w:fill="FFFFFF"/>
        </w:rPr>
        <w:t>〔2014〕</w:t>
      </w:r>
      <w:r>
        <w:rPr>
          <w:rFonts w:hint="eastAsia" w:ascii="仿宋" w:hAnsi="仿宋" w:eastAsia="仿宋" w:cs="仿宋"/>
          <w:color w:val="auto"/>
          <w:sz w:val="24"/>
          <w:szCs w:val="24"/>
          <w:highlight w:val="none"/>
        </w:rPr>
        <w:t>214号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的规定，本项目已具备</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条件，现对本项目施工进行</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本项目</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本项目</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1.1.4本项目监督机构：</w:t>
      </w:r>
      <w:r>
        <w:rPr>
          <w:rFonts w:hint="eastAsia" w:ascii="仿宋" w:hAnsi="仿宋" w:eastAsia="仿宋" w:cs="仿宋"/>
          <w:color w:val="auto"/>
          <w:sz w:val="24"/>
          <w:szCs w:val="24"/>
          <w:highlight w:val="none"/>
          <w:lang w:eastAsia="zh-CN"/>
        </w:rPr>
        <w:t>同级人民政府财政部门及有关部门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1.1.5本项目建设地点：见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资金来源和落实情况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本项目的资金来源：见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本项目的资金落实情况：见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招标范围、计划工期和质量要求</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 本次</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范围：见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 本项目的计划工期：</w:t>
      </w:r>
      <w:bookmarkStart w:id="34" w:name="OLE_LINK8"/>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bookmarkEnd w:id="34"/>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 本项目的质量要求：见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资格要求及</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发售时间</w:t>
      </w:r>
    </w:p>
    <w:p>
      <w:pPr>
        <w:pStyle w:val="12"/>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1.4.1资格审查条件：见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发售时间：见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费用承担</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准备和</w:t>
      </w:r>
      <w:r>
        <w:rPr>
          <w:rFonts w:hint="eastAsia" w:ascii="仿宋" w:hAnsi="仿宋" w:eastAsia="仿宋" w:cs="仿宋"/>
          <w:color w:val="auto"/>
          <w:sz w:val="24"/>
          <w:szCs w:val="24"/>
          <w:highlight w:val="none"/>
          <w:lang w:eastAsia="zh-CN"/>
        </w:rPr>
        <w:t>参加磋商</w:t>
      </w:r>
      <w:r>
        <w:rPr>
          <w:rFonts w:hint="eastAsia" w:ascii="仿宋" w:hAnsi="仿宋" w:eastAsia="仿宋" w:cs="仿宋"/>
          <w:color w:val="auto"/>
          <w:sz w:val="24"/>
          <w:szCs w:val="24"/>
          <w:highlight w:val="none"/>
        </w:rPr>
        <w:t>活动所发生的一切费用自理。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保密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活动的各方应对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中的商业和技术等秘密保密，违者应对由此造成的后果承担法律责任。</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 语言文字</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除专用术语外，与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有关的语言均使用中文。必要时专用术语应附有中文注释。</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 计量单位</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所有计量均采用中华人民共和国法定计量单位。</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 踏勘现场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不组织统一踏勘现场，由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自行安排。</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踏勘现场发生的一切费用自理，并自行负责在踏勘现场中所发生的人员伤亡和财产损失。</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应对工程现场及周围环境进行踏勘，充分了解现场环境、总体布置情况、工程地形地貌、工程现场道路、工程总体进度情况、储存空间、场内运输、装卸等限制条件及其它任何足以影响</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的情况，以便各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获取须自主考虑的有关</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编制和合同签署所需的相关资料和数据，任何因忽视或误解工地情况而导致的索赔或工期延长申请将不获批准。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1.9.4</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在踏勘现场中介绍的工程场地和相关的周边环境情况，</w:t>
      </w:r>
      <w:r>
        <w:rPr>
          <w:rFonts w:hint="eastAsia" w:ascii="仿宋" w:hAnsi="仿宋" w:eastAsia="仿宋" w:cs="仿宋"/>
          <w:color w:val="auto"/>
          <w:sz w:val="24"/>
          <w:szCs w:val="24"/>
          <w:highlight w:val="none"/>
          <w:lang w:eastAsia="zh-CN"/>
        </w:rPr>
        <w:t>供供应商</w:t>
      </w:r>
      <w:r>
        <w:rPr>
          <w:rFonts w:hint="eastAsia" w:ascii="仿宋" w:hAnsi="仿宋" w:eastAsia="仿宋" w:cs="仿宋"/>
          <w:color w:val="auto"/>
          <w:sz w:val="24"/>
          <w:szCs w:val="24"/>
          <w:highlight w:val="none"/>
        </w:rPr>
        <w:t>在编制</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时参考，</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不对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据此作出的判断和决策负责。</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1.10 </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答疑会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本项目不召开答疑会，</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、工程量清单以及施工现场条件等的疑问和要求澄清的内容，均应在</w:t>
      </w:r>
      <w:r>
        <w:rPr>
          <w:rFonts w:hint="eastAsia" w:ascii="仿宋" w:hAnsi="仿宋" w:eastAsia="仿宋" w:cs="仿宋"/>
          <w:color w:val="auto"/>
          <w:sz w:val="24"/>
          <w:szCs w:val="24"/>
          <w:highlight w:val="none"/>
          <w:lang w:eastAsia="zh-CN"/>
        </w:rPr>
        <w:t>磋商响应文件递交截止时间</w:t>
      </w:r>
      <w:r>
        <w:rPr>
          <w:rFonts w:hint="eastAsia" w:ascii="仿宋" w:hAnsi="仿宋" w:eastAsia="仿宋" w:cs="仿宋"/>
          <w:color w:val="auto"/>
          <w:sz w:val="24"/>
          <w:szCs w:val="24"/>
          <w:highlight w:val="none"/>
          <w:lang w:val="en-US" w:eastAsia="zh-CN"/>
        </w:rPr>
        <w:t>3日前</w:t>
      </w:r>
      <w:r>
        <w:rPr>
          <w:rFonts w:hint="eastAsia" w:ascii="仿宋" w:hAnsi="仿宋" w:eastAsia="仿宋" w:cs="仿宋"/>
          <w:color w:val="auto"/>
          <w:sz w:val="24"/>
          <w:szCs w:val="24"/>
          <w:highlight w:val="none"/>
        </w:rPr>
        <w:t>以书面形式向采购代理机构提出，</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做出统一解答和必要澄清后在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前</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天以书面的《答疑纪要》发送所有</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。答疑纪要为</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的组成部分，与</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具有同等法律效力。</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分包</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偏离</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35" w:name="_Toc421778366"/>
      <w:bookmarkStart w:id="36" w:name="_Toc425240465"/>
      <w:bookmarkStart w:id="37" w:name="_Toc420591644"/>
      <w:r>
        <w:rPr>
          <w:rFonts w:hint="eastAsia" w:ascii="仿宋" w:hAnsi="仿宋" w:eastAsia="仿宋" w:cs="仿宋"/>
          <w:color w:val="auto"/>
          <w:sz w:val="24"/>
          <w:szCs w:val="24"/>
          <w:highlight w:val="none"/>
        </w:rPr>
        <w:t>不满足</w:t>
      </w:r>
      <w:r>
        <w:rPr>
          <w:rFonts w:hint="eastAsia" w:ascii="仿宋" w:hAnsi="仿宋" w:eastAsia="仿宋" w:cs="仿宋"/>
          <w:color w:val="auto"/>
          <w:sz w:val="24"/>
          <w:szCs w:val="24"/>
          <w:highlight w:val="none"/>
          <w:lang w:eastAsia="zh-CN"/>
        </w:rPr>
        <w:t>评审方法</w:t>
      </w:r>
      <w:r>
        <w:rPr>
          <w:rFonts w:hint="eastAsia" w:ascii="仿宋" w:hAnsi="仿宋" w:eastAsia="仿宋" w:cs="仿宋"/>
          <w:color w:val="auto"/>
          <w:sz w:val="24"/>
          <w:szCs w:val="24"/>
          <w:highlight w:val="none"/>
        </w:rPr>
        <w:t>中初步评审标准的，视为发生重大偏离，其</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被否决。其余偏离视为细微偏离，</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将通过澄清方式对细微偏离进行澄清或修改。</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bookmarkEnd w:id="35"/>
      <w:bookmarkEnd w:id="36"/>
      <w:bookmarkEnd w:id="37"/>
      <w:r>
        <w:rPr>
          <w:rFonts w:hint="eastAsia" w:ascii="仿宋" w:hAnsi="仿宋" w:eastAsia="仿宋" w:cs="仿宋"/>
          <w:color w:val="auto"/>
          <w:sz w:val="24"/>
          <w:szCs w:val="24"/>
          <w:highlight w:val="none"/>
          <w:lang w:eastAsia="zh-CN"/>
        </w:rPr>
        <w:t>、竞争性磋商文件</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的组成</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包括：</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公告；</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评审方法</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合同条款及格式</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(5）工程量清单；</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技术标准及</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格式。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根据本章第1.10 款</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第2.2 款对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所作的澄清、修改，构成</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的组成部分。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的澄清及修改</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bookmarkStart w:id="38" w:name="_Toc421778367"/>
      <w:bookmarkStart w:id="39" w:name="_Toc420591645"/>
      <w:bookmarkStart w:id="40" w:name="_Toc425240466"/>
      <w:r>
        <w:rPr>
          <w:rFonts w:hint="eastAsia" w:ascii="仿宋" w:hAnsi="仿宋" w:eastAsia="仿宋" w:cs="仿宋"/>
          <w:color w:val="auto"/>
          <w:sz w:val="24"/>
          <w:szCs w:val="24"/>
          <w:highlight w:val="none"/>
          <w:lang w:val="en-US" w:eastAsia="zh-CN"/>
        </w:rPr>
        <w:t>2.2.1在磋商响应文件截止时间前，采购代理机构可以视采购具体情况，延长竞争性磋商响应文件递交截止时间和磋商时间并在财政部门指定的媒体上发布变更公告，同时将变更时间书面通知所有获取竞争性磋商文件的供应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2.2.2采购代理机构如果对已发出的竞争性磋商文件进行必要的澄清或者修改，澄清或者修改的内容可能影响响应文件编制的，采购人、采购代理机构应当竞争性磋商文件要求提交竞争性磋商响应文件截止时间5日前，以书面形式通知所有获取竞争性磋商文件的供应商。不足5日的，应当顺延提交响应文件截止时间。该澄清或者修改的内容为竞争性磋商文件的组成部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2.2.3已经获取竞争性磋商文件的供应商对竞争性磋商文件有疑问的，均应在磋商截止日期3日前以书面形式向采购代理机构提出。采购代理机构视情况必要时将书面答复传送给所有获取竞争性磋商文件的供应商。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2.2.4供应商在收到上述通知后，应立即向采购代理机构回函确认。</w:t>
      </w:r>
    </w:p>
    <w:p>
      <w:pPr>
        <w:pStyle w:val="4"/>
        <w:keepNext/>
        <w:keepLines/>
        <w:pageBreakBefore w:val="0"/>
        <w:widowControl w:val="0"/>
        <w:kinsoku/>
        <w:wordWrap/>
        <w:overflowPunct/>
        <w:topLinePunct w:val="0"/>
        <w:autoSpaceDE/>
        <w:autoSpaceDN/>
        <w:bidi w:val="0"/>
        <w:adjustRightInd/>
        <w:snapToGrid/>
        <w:spacing w:before="20" w:after="20" w:line="360" w:lineRule="auto"/>
        <w:jc w:val="both"/>
        <w:textAlignment w:val="auto"/>
        <w:outlineLvl w:val="1"/>
        <w:rPr>
          <w:rFonts w:hint="eastAsia" w:ascii="仿宋" w:hAnsi="仿宋" w:eastAsia="仿宋" w:cs="仿宋"/>
          <w:color w:val="auto"/>
          <w:sz w:val="24"/>
          <w:szCs w:val="24"/>
          <w:highlight w:val="none"/>
          <w:lang w:eastAsia="zh-CN"/>
        </w:rPr>
      </w:pPr>
      <w:bookmarkStart w:id="41" w:name="_Toc25028"/>
      <w:r>
        <w:rPr>
          <w:rFonts w:hint="eastAsia" w:ascii="仿宋" w:hAnsi="仿宋" w:eastAsia="仿宋" w:cs="仿宋"/>
          <w:color w:val="auto"/>
          <w:sz w:val="24"/>
          <w:szCs w:val="24"/>
          <w:highlight w:val="none"/>
        </w:rPr>
        <w:t>3</w:t>
      </w:r>
      <w:bookmarkEnd w:id="38"/>
      <w:bookmarkEnd w:id="39"/>
      <w:bookmarkEnd w:id="40"/>
      <w:r>
        <w:rPr>
          <w:rFonts w:hint="eastAsia" w:ascii="仿宋" w:hAnsi="仿宋" w:eastAsia="仿宋" w:cs="仿宋"/>
          <w:color w:val="auto"/>
          <w:sz w:val="24"/>
          <w:szCs w:val="24"/>
          <w:highlight w:val="none"/>
          <w:lang w:eastAsia="zh-CN"/>
        </w:rPr>
        <w:t>、竞争性磋商响应文件</w:t>
      </w:r>
      <w:bookmarkEnd w:id="41"/>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及</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电子版的要求</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3.1.1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应包括下列内容：</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第一部分    商务标</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磋商响应函</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报价一览表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三、法定代表人身份证明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四、法人授权委托书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五、已标价工程量清单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六、商务响应与说明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七、承诺书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要求的其他文件或承诺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九、其他可以证明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实力的文件   </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第二部分    技术标</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第三部分    资格标</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的基本情况介绍和资格声明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资格证明文件</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lang w:eastAsia="zh-CN"/>
        </w:rPr>
        <w:t>磋商报价</w:t>
      </w:r>
    </w:p>
    <w:p>
      <w:pPr>
        <w:pageBreakBefore w:val="0"/>
        <w:kinsoku/>
        <w:wordWrap/>
        <w:overflowPunct/>
        <w:topLinePunct w:val="0"/>
        <w:autoSpaceDE/>
        <w:autoSpaceDN/>
        <w:bidi w:val="0"/>
        <w:adjustRightInd/>
        <w:snapToGrid/>
        <w:spacing w:line="360" w:lineRule="auto"/>
        <w:ind w:firstLine="496" w:firstLineChars="20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3.2.1工程计价方式：工程量清单综合单价法，按《陕西省建设工程工程量清单计价规则》（2009）计价；</w:t>
      </w:r>
    </w:p>
    <w:p>
      <w:pPr>
        <w:pageBreakBefore w:val="0"/>
        <w:kinsoku/>
        <w:wordWrap/>
        <w:overflowPunct/>
        <w:topLinePunct w:val="0"/>
        <w:autoSpaceDE/>
        <w:autoSpaceDN/>
        <w:bidi w:val="0"/>
        <w:adjustRightInd/>
        <w:snapToGrid/>
        <w:spacing w:line="360" w:lineRule="auto"/>
        <w:ind w:firstLine="496" w:firstLineChars="20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3.2.2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应按第五章“工程量清单”的要求填写。</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应按照工程量清单、补充通知、答疑纪要、合同条款、施工现场实际情况、拟定的施工方案或施工组织设计的相关内容及要求，并在满足</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前提下，结合企业自身技术力量、设备装备水平、企业管理水平、市场价格行情自主报价。组价时应充分考虑相关费用在施工期间的政策调整、市场变动幅度、自然灾害、停电、停水、停工、窝工、施工现场条件及施工过程中发生的不可预见的风险因素，</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后综合单价不可作调整。</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w:t>
      </w:r>
      <w:bookmarkStart w:id="42" w:name="OLE_LINK44"/>
      <w:r>
        <w:rPr>
          <w:rFonts w:hint="eastAsia" w:ascii="仿宋" w:hAnsi="仿宋" w:eastAsia="仿宋" w:cs="仿宋"/>
          <w:color w:val="auto"/>
          <w:sz w:val="24"/>
          <w:szCs w:val="24"/>
          <w:highlight w:val="none"/>
        </w:rPr>
        <w:t>本工程开工日期约为</w:t>
      </w:r>
      <w:r>
        <w:rPr>
          <w:rFonts w:hint="eastAsia" w:ascii="仿宋" w:hAnsi="仿宋" w:eastAsia="仿宋" w:cs="仿宋"/>
          <w:color w:val="auto"/>
          <w:sz w:val="24"/>
          <w:szCs w:val="24"/>
          <w:highlight w:val="none"/>
          <w:lang w:eastAsia="zh-CN"/>
        </w:rPr>
        <w:t>2022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组价时应妥善考虑，正式施工时固定综合单价不因国家法律、行政法规和国家政策变化及原材料市场价发生变化等进行调整。</w:t>
      </w:r>
    </w:p>
    <w:bookmarkEnd w:id="42"/>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bookmarkStart w:id="43" w:name="OLE_LINK24"/>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中提供的工程量清单数量进行计价，不得修改清单工程量。</w:t>
      </w:r>
    </w:p>
    <w:bookmarkEnd w:id="43"/>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3.2.6除非</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予以修改，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要求，依据《陕西省建设工程工程量清单计价规则》（2009）规定的计价办法填报单价和合价。每一分项工程只允许有一个报价，任何有选择的报价将不予接受。</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未填单价或合价的分项工程（零报价），视为该项费用已包括在其他价款的单价或合价内，并在工程实施后，</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将不予支付，承包人必须按发包人代表指令完成工程量清单中未填入单价或合价的工程分项；若</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未填单价或合价的工程分项在实施中发生变更，无论变更增加或减少均按合同约定执行而且必须无条件执行发包人发出的变更通知。</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3.2.7</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应先到工地踏勘以充分了解项目位置、现状、道路、储存空间、装卸限制及任何其他足以影响</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价的情况，任何因</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忽视或误解工地情况而导致的其提出的任何索赔或工期延长申请将不被批准。凡因</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阅读疏忽或误解，或因对施工现场、施工环境、市场行情等了解不清而造成的后果和风险，均由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负责。</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3.2.8编制</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的其他约定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44" w:name="OLE_LINK21"/>
      <w:r>
        <w:rPr>
          <w:rFonts w:hint="eastAsia" w:ascii="仿宋" w:hAnsi="仿宋" w:eastAsia="仿宋" w:cs="仿宋"/>
          <w:color w:val="auto"/>
          <w:sz w:val="24"/>
          <w:szCs w:val="24"/>
          <w:highlight w:val="none"/>
        </w:rPr>
        <w:t>3.2.8.</w:t>
      </w:r>
      <w:bookmarkEnd w:id="44"/>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根据自行确定的施工组织设计或施工方案进行自主报价。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应针对拟建工程编制保证安全施工、文明施工和环境保护的技术措施方案，并按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的措施项目清单提供的数量报价。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3.2.8.3规费、税金为不可竞争费，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不可随意改动，按规定标准计取。</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因承包本合同工程需缴纳的一切税费均由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自行承担，并包含在所报的单价或总价内。</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应为建设工程和施工场地内自有人员及第三方人员生命财产及运至施工场地内用于工程的材料和待安装设备办理保险，</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价中应含的保险费，承包人装备险和承包人职工的（人身）事故险由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在其他项目清单保险费栏内自主列报，</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后包干使用。施工期间在施工区域内因非</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原因发生的设备、材料、人员等的损害、伤害，</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不再承担任何责任和费用。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中的总价要与综合单价相对应。所有工程量清单每个项目报价中的单价乘以工程量必须等于该项合价，合价累计必须等于合计。</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磋商响应函</w:t>
      </w:r>
      <w:r>
        <w:rPr>
          <w:rFonts w:hint="eastAsia" w:ascii="仿宋" w:hAnsi="仿宋" w:eastAsia="仿宋" w:cs="仿宋"/>
          <w:color w:val="auto"/>
          <w:sz w:val="24"/>
          <w:szCs w:val="24"/>
          <w:highlight w:val="none"/>
        </w:rPr>
        <w:t>中的</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应与“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总价”表中的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总价数字相符，不允许在</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中出现两个报价。任何有选择的报价将不予接受,否则按无效</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处理。</w:t>
      </w:r>
      <w:bookmarkStart w:id="45" w:name="OLE_LINK63"/>
      <w:bookmarkStart w:id="46" w:name="OLE_LINK113"/>
      <w:bookmarkStart w:id="47" w:name="OLE_LINK20"/>
      <w:bookmarkStart w:id="48" w:name="OLE_LINK114"/>
      <w:bookmarkStart w:id="49" w:name="OLE_LINK64"/>
      <w:bookmarkStart w:id="50" w:name="OLE_LINK74"/>
    </w:p>
    <w:bookmarkEnd w:id="45"/>
    <w:bookmarkEnd w:id="46"/>
    <w:bookmarkEnd w:id="47"/>
    <w:bookmarkEnd w:id="48"/>
    <w:bookmarkEnd w:id="49"/>
    <w:bookmarkEnd w:id="50"/>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3.2.9</w:t>
      </w:r>
      <w:r>
        <w:rPr>
          <w:rFonts w:hint="eastAsia" w:ascii="仿宋" w:hAnsi="仿宋" w:eastAsia="仿宋" w:cs="仿宋"/>
          <w:color w:val="auto"/>
          <w:sz w:val="24"/>
          <w:szCs w:val="24"/>
          <w:highlight w:val="none"/>
          <w:lang w:eastAsia="zh-CN"/>
        </w:rPr>
        <w:t>供应商报价</w:t>
      </w:r>
      <w:r>
        <w:rPr>
          <w:rFonts w:hint="eastAsia" w:ascii="仿宋" w:hAnsi="仿宋" w:eastAsia="仿宋" w:cs="仿宋"/>
          <w:color w:val="auto"/>
          <w:sz w:val="24"/>
          <w:szCs w:val="24"/>
          <w:highlight w:val="none"/>
        </w:rPr>
        <w:t>应包含招标代理服务费，招标代理服务费按国家计委颁发的《招标代理服务收费管理暂行办法》（计价格[2002]1980号）和国家发展改革委员会办公厅颁发的《关于招标代理服务收费有关问题的通知》（发改办价格[2003]857号）的有关标准执行。</w:t>
      </w:r>
    </w:p>
    <w:p>
      <w:pPr>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3.2.10本项目采购预算</w:t>
      </w:r>
      <w:r>
        <w:rPr>
          <w:rFonts w:hint="eastAsia" w:ascii="仿宋" w:hAnsi="仿宋" w:eastAsia="仿宋" w:cs="仿宋"/>
          <w:b/>
          <w:bCs/>
          <w:color w:val="auto"/>
          <w:sz w:val="24"/>
          <w:szCs w:val="24"/>
          <w:highlight w:val="none"/>
          <w:lang w:val="en-US" w:eastAsia="zh-CN"/>
        </w:rPr>
        <w:t>及最高限价</w:t>
      </w:r>
      <w:r>
        <w:rPr>
          <w:rFonts w:hint="eastAsia" w:ascii="仿宋" w:hAnsi="仿宋" w:eastAsia="仿宋" w:cs="仿宋"/>
          <w:b/>
          <w:bCs/>
          <w:color w:val="auto"/>
          <w:sz w:val="24"/>
          <w:szCs w:val="24"/>
          <w:highlight w:val="none"/>
          <w:lang w:eastAsia="zh-CN"/>
        </w:rPr>
        <w:t>：详见磋商公告</w:t>
      </w:r>
      <w:r>
        <w:rPr>
          <w:rFonts w:hint="eastAsia" w:ascii="仿宋" w:hAnsi="仿宋" w:eastAsia="仿宋" w:cs="仿宋"/>
          <w:b/>
          <w:bCs/>
          <w:color w:val="auto"/>
          <w:sz w:val="24"/>
          <w:szCs w:val="24"/>
          <w:highlight w:val="none"/>
        </w:rPr>
        <w:t>。凡</w:t>
      </w: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总报价高于</w:t>
      </w:r>
      <w:r>
        <w:rPr>
          <w:rFonts w:hint="eastAsia" w:ascii="仿宋" w:hAnsi="仿宋" w:eastAsia="仿宋" w:cs="仿宋"/>
          <w:b/>
          <w:bCs/>
          <w:color w:val="auto"/>
          <w:sz w:val="24"/>
          <w:szCs w:val="24"/>
          <w:highlight w:val="none"/>
          <w:lang w:eastAsia="zh-CN"/>
        </w:rPr>
        <w:t>采购预算</w:t>
      </w:r>
      <w:r>
        <w:rPr>
          <w:rFonts w:hint="eastAsia" w:ascii="仿宋" w:hAnsi="仿宋" w:eastAsia="仿宋" w:cs="仿宋"/>
          <w:b/>
          <w:bCs/>
          <w:color w:val="auto"/>
          <w:sz w:val="24"/>
          <w:szCs w:val="24"/>
          <w:highlight w:val="none"/>
        </w:rPr>
        <w:t>的将被视为无效</w:t>
      </w: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处理，不再参与后续</w:t>
      </w:r>
      <w:r>
        <w:rPr>
          <w:rFonts w:hint="eastAsia" w:ascii="仿宋" w:hAnsi="仿宋" w:eastAsia="仿宋" w:cs="仿宋"/>
          <w:b/>
          <w:bCs/>
          <w:color w:val="auto"/>
          <w:sz w:val="24"/>
          <w:szCs w:val="24"/>
          <w:highlight w:val="none"/>
          <w:lang w:eastAsia="zh-CN"/>
        </w:rPr>
        <w:t>评审</w:t>
      </w:r>
      <w:r>
        <w:rPr>
          <w:rFonts w:hint="eastAsia" w:ascii="仿宋" w:hAnsi="仿宋" w:eastAsia="仿宋" w:cs="仿宋"/>
          <w:b/>
          <w:bCs/>
          <w:color w:val="auto"/>
          <w:sz w:val="24"/>
          <w:szCs w:val="24"/>
          <w:highlight w:val="none"/>
        </w:rPr>
        <w:t>。</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3.3 </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有效期</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51" w:name="OLE_LINK4"/>
      <w:r>
        <w:rPr>
          <w:rFonts w:hint="eastAsia" w:ascii="仿宋" w:hAnsi="仿宋" w:eastAsia="仿宋" w:cs="仿宋"/>
          <w:color w:val="auto"/>
          <w:sz w:val="24"/>
          <w:szCs w:val="24"/>
          <w:highlight w:val="none"/>
        </w:rPr>
        <w:t>3.3.1磋商响应文件应在“供应商须知前附表”中规定的期限内保持有效。磋商有效期不满足规定有效期的磋商响应文件将被视为非响应性磋商而予以拒绝。</w:t>
      </w:r>
      <w:bookmarkEnd w:id="51"/>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w:t>
      </w:r>
      <w:r>
        <w:rPr>
          <w:rFonts w:hint="eastAsia" w:ascii="仿宋" w:hAnsi="仿宋" w:eastAsia="仿宋" w:cs="仿宋"/>
          <w:color w:val="auto"/>
          <w:sz w:val="24"/>
          <w:szCs w:val="24"/>
          <w:highlight w:val="none"/>
          <w:lang w:eastAsia="zh-CN"/>
        </w:rPr>
        <w:t>章</w:t>
      </w:r>
      <w:r>
        <w:rPr>
          <w:rFonts w:hint="eastAsia" w:ascii="仿宋" w:hAnsi="仿宋" w:eastAsia="仿宋" w:cs="仿宋"/>
          <w:color w:val="auto"/>
          <w:sz w:val="24"/>
          <w:szCs w:val="24"/>
          <w:highlight w:val="none"/>
        </w:rPr>
        <w:t>第3.4条有关磋商保证金的退还和没收的规定将在延长了的有效期内继续有效。</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3.4 </w:t>
      </w:r>
      <w:r>
        <w:rPr>
          <w:rFonts w:hint="eastAsia" w:ascii="仿宋" w:hAnsi="仿宋" w:eastAsia="仿宋" w:cs="仿宋"/>
          <w:color w:val="auto"/>
          <w:sz w:val="24"/>
          <w:szCs w:val="24"/>
          <w:highlight w:val="none"/>
          <w:lang w:eastAsia="zh-CN"/>
        </w:rPr>
        <w:t>磋商保证金</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w:t>
      </w:r>
      <w:r>
        <w:rPr>
          <w:rFonts w:hint="eastAsia" w:ascii="仿宋" w:hAnsi="仿宋" w:eastAsia="仿宋" w:cs="仿宋"/>
          <w:color w:val="auto"/>
          <w:sz w:val="24"/>
          <w:szCs w:val="24"/>
          <w:highlight w:val="none"/>
          <w:lang w:eastAsia="zh-CN"/>
        </w:rPr>
        <w:t>本项目不要求提交磋商保证金</w:t>
      </w:r>
      <w:r>
        <w:rPr>
          <w:rFonts w:hint="eastAsia" w:ascii="仿宋" w:hAnsi="仿宋" w:eastAsia="仿宋" w:cs="仿宋"/>
          <w:color w:val="auto"/>
          <w:sz w:val="24"/>
          <w:szCs w:val="24"/>
          <w:highlight w:val="none"/>
        </w:rPr>
        <w:t>。</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3.5备选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方案</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须知前附表另有规定外，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不得递交备选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方案。</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的编制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应按“</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格式”进行编写，如有必要，可以增加附页，作为</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的组成部分。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3.6.2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应当对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有关工期、</w:t>
      </w:r>
      <w:r>
        <w:rPr>
          <w:rFonts w:hint="eastAsia" w:ascii="仿宋" w:hAnsi="仿宋" w:eastAsia="仿宋" w:cs="仿宋"/>
          <w:color w:val="auto"/>
          <w:sz w:val="24"/>
          <w:szCs w:val="24"/>
          <w:highlight w:val="none"/>
          <w:lang w:eastAsia="zh-CN"/>
        </w:rPr>
        <w:t>磋商有效期</w:t>
      </w:r>
      <w:r>
        <w:rPr>
          <w:rFonts w:hint="eastAsia" w:ascii="仿宋" w:hAnsi="仿宋" w:eastAsia="仿宋" w:cs="仿宋"/>
          <w:color w:val="auto"/>
          <w:sz w:val="24"/>
          <w:szCs w:val="24"/>
          <w:highlight w:val="none"/>
        </w:rPr>
        <w:t>、质量要求、技术标准和要求、招标范围等实质性内容作出响应。</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3.6.3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应用不褪色的材料书写或打印，并由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的法定代表人或其委托代理人签字或盖章。委托代理人签字的，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应附法定代表人签署的授权委托书。</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应尽量避免涂改、行间插字或删除。如果出现上述情况，改动之处应加盖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公章或由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的法定代表人或其授权的代理人签字确认。所有要求签字（名）处，均须由签字（名）者本人用不褪色的蓝(黑)色墨水(汁)书写，不得用任何形式的图章代替。</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3.6.4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正本、副本</w:t>
      </w:r>
      <w:r>
        <w:rPr>
          <w:rFonts w:hint="eastAsia" w:ascii="仿宋" w:hAnsi="仿宋" w:eastAsia="仿宋" w:cs="仿宋"/>
          <w:color w:val="auto"/>
          <w:sz w:val="24"/>
          <w:szCs w:val="24"/>
          <w:highlight w:val="none"/>
          <w:lang w:eastAsia="zh-CN"/>
        </w:rPr>
        <w:t>、电子版、报价一览表</w:t>
      </w:r>
      <w:r>
        <w:rPr>
          <w:rFonts w:hint="eastAsia" w:ascii="仿宋" w:hAnsi="仿宋" w:eastAsia="仿宋" w:cs="仿宋"/>
          <w:color w:val="auto"/>
          <w:sz w:val="24"/>
          <w:szCs w:val="24"/>
          <w:highlight w:val="none"/>
        </w:rPr>
        <w:t>份数</w:t>
      </w:r>
      <w:r>
        <w:rPr>
          <w:rFonts w:hint="eastAsia" w:ascii="仿宋" w:hAnsi="仿宋" w:eastAsia="仿宋" w:cs="仿宋"/>
          <w:color w:val="auto"/>
          <w:sz w:val="24"/>
          <w:szCs w:val="24"/>
          <w:highlight w:val="none"/>
          <w:lang w:eastAsia="zh-CN"/>
        </w:rPr>
        <w:t>及要求</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3.6.5 所有</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正本和副本须按第八章规定的顺序编排、编制目录</w:t>
      </w:r>
      <w:r>
        <w:rPr>
          <w:rFonts w:hint="eastAsia" w:ascii="仿宋" w:hAnsi="仿宋" w:eastAsia="仿宋" w:cs="仿宋"/>
          <w:color w:val="auto"/>
          <w:sz w:val="24"/>
          <w:szCs w:val="24"/>
          <w:highlight w:val="none"/>
          <w:lang w:eastAsia="zh-CN"/>
        </w:rPr>
        <w:t>逐页标注连续页码，并分别胶装成册</w:t>
      </w:r>
      <w:r>
        <w:rPr>
          <w:rFonts w:hint="eastAsia" w:ascii="仿宋" w:hAnsi="仿宋" w:eastAsia="仿宋" w:cs="仿宋"/>
          <w:color w:val="auto"/>
          <w:sz w:val="24"/>
          <w:szCs w:val="24"/>
          <w:highlight w:val="none"/>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bookmarkStart w:id="52" w:name="_Toc421778368"/>
      <w:bookmarkStart w:id="53" w:name="_Toc425240467"/>
      <w:bookmarkStart w:id="54" w:name="_Toc420591646"/>
      <w:r>
        <w:rPr>
          <w:rFonts w:hint="eastAsia" w:ascii="仿宋" w:hAnsi="仿宋" w:eastAsia="仿宋" w:cs="仿宋"/>
          <w:color w:val="auto"/>
          <w:sz w:val="24"/>
          <w:szCs w:val="24"/>
          <w:highlight w:val="none"/>
        </w:rPr>
        <w:t>4</w:t>
      </w:r>
      <w:bookmarkEnd w:id="52"/>
      <w:bookmarkEnd w:id="53"/>
      <w:bookmarkEnd w:id="54"/>
      <w:r>
        <w:rPr>
          <w:rFonts w:hint="eastAsia" w:ascii="仿宋" w:hAnsi="仿宋" w:eastAsia="仿宋" w:cs="仿宋"/>
          <w:color w:val="auto"/>
          <w:sz w:val="24"/>
          <w:szCs w:val="24"/>
          <w:highlight w:val="none"/>
          <w:lang w:eastAsia="zh-CN"/>
        </w:rPr>
        <w:t>、磋商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的密封和标记</w:t>
      </w:r>
    </w:p>
    <w:p>
      <w:pPr>
        <w:pageBreakBefore w:val="0"/>
        <w:kinsoku/>
        <w:wordWrap/>
        <w:overflowPunct/>
        <w:topLinePunct w:val="0"/>
        <w:autoSpaceDE/>
        <w:autoSpaceDN/>
        <w:bidi w:val="0"/>
        <w:adjustRightInd/>
        <w:snapToGrid/>
        <w:spacing w:line="360" w:lineRule="auto"/>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4.1.1</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的密封：</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须胶装成套且须用密封袋密封，包括</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正本、副本、电子版，</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需另外单独准备一份与正本内容一致的</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）须单独分别密封，若不一致，则按单独密封的</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为准。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4.1.2</w:t>
      </w:r>
      <w:r>
        <w:rPr>
          <w:rFonts w:hint="eastAsia" w:ascii="仿宋" w:hAnsi="仿宋" w:eastAsia="仿宋" w:cs="仿宋"/>
          <w:color w:val="auto"/>
          <w:sz w:val="24"/>
          <w:szCs w:val="24"/>
          <w:highlight w:val="none"/>
          <w:lang w:eastAsia="zh-CN"/>
        </w:rPr>
        <w:t>竞争性磋商响应文件密封要求见投标人须知前附表。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4.1.3封套</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4.1.4如果</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未对</w:t>
      </w:r>
      <w:r>
        <w:rPr>
          <w:rFonts w:hint="eastAsia" w:ascii="仿宋" w:hAnsi="仿宋" w:eastAsia="仿宋" w:cs="仿宋"/>
          <w:color w:val="auto"/>
          <w:sz w:val="24"/>
          <w:szCs w:val="24"/>
          <w:highlight w:val="none"/>
          <w:lang w:eastAsia="zh-CN"/>
        </w:rPr>
        <w:t>竞争性磋商响应</w:t>
      </w:r>
      <w:r>
        <w:rPr>
          <w:rFonts w:hint="eastAsia" w:ascii="仿宋" w:hAnsi="仿宋" w:eastAsia="仿宋" w:cs="仿宋"/>
          <w:color w:val="auto"/>
          <w:sz w:val="24"/>
          <w:szCs w:val="24"/>
          <w:highlight w:val="none"/>
        </w:rPr>
        <w:t>文件按上述要求进行完好密封，由此产生的不利后果由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的递交</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4.2.1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应在</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须知前附表第4.2.2 项规定的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截止时间前递交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4.2.2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的地点：见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4.2.3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所递交的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不予退还。</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4.2.4逾期送达的或者未送达指定地点的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不予受理。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的修改与撤回</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55" w:name="_Toc421778369"/>
      <w:bookmarkStart w:id="56" w:name="_Toc425240468"/>
      <w:bookmarkStart w:id="57" w:name="_Toc420591647"/>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.1 供应商在递交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后，可以修改或撤回其</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，也可以提出价格变动声明，但供应商必须在规定的磋商截止时间之前将修改或撤回或变动价格的书面通知文件递交到采购代理机构。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.2 供应商的修改或撤回或变动价格的通知应按本须知的规定编制、密封、标记和递交。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.3 在磋商截止时间之后，供应商不得对其</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做任何修改或撤回。</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bookmarkEnd w:id="55"/>
      <w:bookmarkEnd w:id="56"/>
      <w:bookmarkEnd w:id="57"/>
      <w:r>
        <w:rPr>
          <w:rFonts w:hint="eastAsia" w:ascii="仿宋" w:hAnsi="仿宋" w:eastAsia="仿宋" w:cs="仿宋"/>
          <w:color w:val="auto"/>
          <w:sz w:val="24"/>
          <w:szCs w:val="24"/>
          <w:highlight w:val="none"/>
          <w:lang w:eastAsia="zh-CN"/>
        </w:rPr>
        <w:t>、磋商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5.1 </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时间和地点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程序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5.2.1</w:t>
      </w:r>
      <w:r>
        <w:rPr>
          <w:rFonts w:hint="eastAsia" w:ascii="仿宋" w:hAnsi="仿宋" w:eastAsia="仿宋" w:cs="仿宋"/>
          <w:color w:val="auto"/>
          <w:sz w:val="24"/>
          <w:szCs w:val="24"/>
          <w:highlight w:val="none"/>
        </w:rPr>
        <w:t>主持人按下列程序进行</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（1）宣布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项目名称及</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接收截止时间，终止一切</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的接收工作，并宣布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会</w:t>
      </w:r>
      <w:r>
        <w:rPr>
          <w:rFonts w:hint="eastAsia" w:ascii="仿宋" w:hAnsi="仿宋" w:eastAsia="仿宋" w:cs="仿宋"/>
          <w:color w:val="auto"/>
          <w:sz w:val="24"/>
          <w:szCs w:val="24"/>
          <w:highlight w:val="none"/>
          <w:lang w:eastAsia="zh-CN"/>
        </w:rPr>
        <w:t>议</w:t>
      </w:r>
      <w:r>
        <w:rPr>
          <w:rFonts w:hint="eastAsia" w:ascii="仿宋" w:hAnsi="仿宋" w:eastAsia="仿宋" w:cs="仿宋"/>
          <w:color w:val="auto"/>
          <w:sz w:val="24"/>
          <w:szCs w:val="24"/>
          <w:highlight w:val="none"/>
        </w:rPr>
        <w:t>开始；</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（2）介绍</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监督管理部门和</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工作人员；</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（3）宣布本项目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签到名单；</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（4）宣布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会议纪律；</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须知前附表规定检查</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的密封情况；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（监标人）的监督下，将</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送交</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评审；</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磋商会议</w:t>
      </w:r>
      <w:r>
        <w:rPr>
          <w:rFonts w:hint="eastAsia" w:ascii="仿宋" w:hAnsi="仿宋" w:eastAsia="仿宋" w:cs="仿宋"/>
          <w:color w:val="auto"/>
          <w:sz w:val="24"/>
          <w:szCs w:val="24"/>
          <w:highlight w:val="none"/>
        </w:rPr>
        <w:t>结束。</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bookmarkStart w:id="58" w:name="_Toc420591648"/>
      <w:bookmarkStart w:id="59" w:name="_Toc421778370"/>
      <w:bookmarkStart w:id="60" w:name="_Toc425240469"/>
      <w:r>
        <w:rPr>
          <w:rFonts w:hint="eastAsia" w:ascii="仿宋" w:hAnsi="仿宋" w:eastAsia="仿宋" w:cs="仿宋"/>
          <w:color w:val="auto"/>
          <w:sz w:val="24"/>
          <w:szCs w:val="24"/>
          <w:highlight w:val="none"/>
        </w:rPr>
        <w:t>6</w:t>
      </w:r>
      <w:bookmarkEnd w:id="58"/>
      <w:bookmarkEnd w:id="59"/>
      <w:bookmarkEnd w:id="60"/>
      <w:r>
        <w:rPr>
          <w:rFonts w:hint="eastAsia" w:ascii="仿宋" w:hAnsi="仿宋" w:eastAsia="仿宋" w:cs="仿宋"/>
          <w:color w:val="auto"/>
          <w:sz w:val="24"/>
          <w:szCs w:val="24"/>
          <w:highlight w:val="none"/>
          <w:lang w:eastAsia="zh-CN"/>
        </w:rPr>
        <w:t>、评审</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6.1 </w:t>
      </w:r>
      <w:r>
        <w:rPr>
          <w:rFonts w:hint="eastAsia" w:ascii="仿宋" w:hAnsi="仿宋" w:eastAsia="仿宋" w:cs="仿宋"/>
          <w:color w:val="auto"/>
          <w:sz w:val="24"/>
          <w:szCs w:val="24"/>
          <w:highlight w:val="none"/>
          <w:lang w:eastAsia="zh-CN"/>
        </w:rPr>
        <w:t>磋商小组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6.1.1</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依法组建的</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eastAsia="zh-CN"/>
        </w:rPr>
        <w:t>磋商小组组成：见供应商须知前附表</w:t>
      </w:r>
      <w:r>
        <w:rPr>
          <w:rFonts w:hint="eastAsia" w:ascii="仿宋" w:hAnsi="仿宋" w:eastAsia="仿宋" w:cs="仿宋"/>
          <w:color w:val="auto"/>
          <w:sz w:val="24"/>
          <w:szCs w:val="24"/>
          <w:highlight w:val="none"/>
        </w:rPr>
        <w:t>。磋商小组按照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规定的</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方法独立进行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6.1.2磋商小组成员有下列情形之一的，应当回避：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）参加采购活动前3年内与供应商存在劳动关系；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）参加采购活动前3年内担任供应商的董事、监事；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）参加采购活动前3年内是供应商的控股股东或者实际控制人；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）与供应商的法定代表人或者负责人有夫妻、直系血亲、三代以内旁系血亲或者近姻亲关系；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）与供应商有其他可能影响政府采购活动公平、公正进行的关系。</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6.2 </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原则</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活动遵循公平、公正、科学和择优的原则。</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6.3 </w:t>
      </w:r>
      <w:r>
        <w:rPr>
          <w:rFonts w:hint="eastAsia" w:ascii="仿宋" w:hAnsi="仿宋" w:eastAsia="仿宋" w:cs="仿宋"/>
          <w:color w:val="auto"/>
          <w:sz w:val="24"/>
          <w:szCs w:val="24"/>
          <w:highlight w:val="none"/>
          <w:lang w:eastAsia="zh-CN"/>
        </w:rPr>
        <w:t>评审</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6.3.1</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按照第三章“评</w:t>
      </w:r>
      <w:r>
        <w:rPr>
          <w:rFonts w:hint="eastAsia" w:ascii="仿宋" w:hAnsi="仿宋" w:eastAsia="仿宋" w:cs="仿宋"/>
          <w:color w:val="auto"/>
          <w:sz w:val="24"/>
          <w:szCs w:val="24"/>
          <w:highlight w:val="none"/>
          <w:lang w:eastAsia="zh-CN"/>
        </w:rPr>
        <w:t>审方</w:t>
      </w:r>
      <w:r>
        <w:rPr>
          <w:rFonts w:hint="eastAsia" w:ascii="仿宋" w:hAnsi="仿宋" w:eastAsia="仿宋" w:cs="仿宋"/>
          <w:color w:val="auto"/>
          <w:sz w:val="24"/>
          <w:szCs w:val="24"/>
          <w:highlight w:val="none"/>
        </w:rPr>
        <w:t>法”规定的方法、评审因素、标准和程序对</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文件进行评审。第三章“评</w:t>
      </w:r>
      <w:r>
        <w:rPr>
          <w:rFonts w:hint="eastAsia" w:ascii="仿宋" w:hAnsi="仿宋" w:eastAsia="仿宋" w:cs="仿宋"/>
          <w:color w:val="auto"/>
          <w:sz w:val="24"/>
          <w:szCs w:val="24"/>
          <w:highlight w:val="none"/>
          <w:lang w:eastAsia="zh-CN"/>
        </w:rPr>
        <w:t>审方</w:t>
      </w:r>
      <w:r>
        <w:rPr>
          <w:rFonts w:hint="eastAsia" w:ascii="仿宋" w:hAnsi="仿宋" w:eastAsia="仿宋" w:cs="仿宋"/>
          <w:color w:val="auto"/>
          <w:sz w:val="24"/>
          <w:szCs w:val="24"/>
          <w:highlight w:val="none"/>
        </w:rPr>
        <w:t>法”没有规定的方法、评审因素和标准，不作为</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依据。</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6.3.2</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过程的保密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（1）磋商小组成员和与评审活动有关的工作人员不得泄露有关</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的评审和比较、成交候选人的推荐以及与评审有关的其他情况。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文件的评审、</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候选人推荐以及授予合同的过程中，</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施加影响的任何行为，都将会导致其</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被拒绝直至取消其</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资格。</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人确定后，</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人不对未</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就评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过程以及未能</w:t>
      </w:r>
      <w:r>
        <w:rPr>
          <w:rFonts w:hint="eastAsia" w:ascii="仿宋" w:hAnsi="仿宋" w:eastAsia="仿宋" w:cs="仿宋"/>
          <w:color w:val="auto"/>
          <w:sz w:val="24"/>
          <w:szCs w:val="24"/>
          <w:highlight w:val="none"/>
          <w:lang w:eastAsia="zh-CN"/>
        </w:rPr>
        <w:t>成交的</w:t>
      </w:r>
      <w:r>
        <w:rPr>
          <w:rFonts w:hint="eastAsia" w:ascii="仿宋" w:hAnsi="仿宋" w:eastAsia="仿宋" w:cs="仿宋"/>
          <w:color w:val="auto"/>
          <w:sz w:val="24"/>
          <w:szCs w:val="24"/>
          <w:highlight w:val="none"/>
        </w:rPr>
        <w:t>原因作出任何解释。未</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不得向</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组成人员或其他有关人员索问评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过程的情况和材料。</w:t>
      </w:r>
    </w:p>
    <w:p>
      <w:pPr>
        <w:pStyle w:val="4"/>
        <w:keepNext/>
        <w:keepLines/>
        <w:pageBreakBefore w:val="0"/>
        <w:widowControl w:val="0"/>
        <w:kinsoku/>
        <w:wordWrap/>
        <w:overflowPunct/>
        <w:topLinePunct w:val="0"/>
        <w:autoSpaceDE/>
        <w:autoSpaceDN/>
        <w:bidi w:val="0"/>
        <w:adjustRightInd/>
        <w:snapToGrid/>
        <w:spacing w:before="20" w:after="20" w:line="360" w:lineRule="auto"/>
        <w:jc w:val="both"/>
        <w:textAlignment w:val="auto"/>
        <w:outlineLvl w:val="1"/>
        <w:rPr>
          <w:rFonts w:hint="eastAsia" w:ascii="仿宋" w:hAnsi="仿宋" w:eastAsia="仿宋" w:cs="仿宋"/>
          <w:color w:val="auto"/>
          <w:sz w:val="24"/>
          <w:szCs w:val="24"/>
          <w:highlight w:val="none"/>
        </w:rPr>
      </w:pPr>
      <w:bookmarkStart w:id="61" w:name="_Toc421778371"/>
      <w:bookmarkStart w:id="62" w:name="_Toc425240470"/>
      <w:bookmarkStart w:id="63" w:name="_Toc420591649"/>
      <w:bookmarkStart w:id="64" w:name="_Toc3800"/>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合同授予</w:t>
      </w:r>
      <w:bookmarkEnd w:id="61"/>
      <w:bookmarkEnd w:id="62"/>
      <w:bookmarkEnd w:id="63"/>
      <w:bookmarkEnd w:id="64"/>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 定标方式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磋商小组根据评审方法的规定对供应商进行评审排序，推荐</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名成交候选人，作为评审结果。评审结果由全体磋商小组成员签字确认。</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7.1.2采购人根据</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报告中推荐的成交候选人排列顺序，确定排名第一的为成交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7.1.3排名第一的成交候选人放弃成交、在规定期限内未能签订合同、因不可抗力不能履行合同、不按照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要求提交履约保证金，或者被查实存在影响成交结果的违法行为等情形，不符合成交条件的，采购人可以按照磋商小组提出的成交候选人名单排序依次确定其他成交候选</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为成交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，也可以重新组织竞争性磋商。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7.1.4采购人也可以授权磋商小组评审后直接确定成交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7.1.5成交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确定之后，成交结果将在财政部门指定的政府采购信息发布媒体上公告。</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7.1.6供应商或者其他利害关系人对评审结果有异议的，应当在</w:t>
      </w:r>
      <w:r>
        <w:rPr>
          <w:rFonts w:hint="eastAsia" w:ascii="仿宋" w:hAnsi="仿宋" w:eastAsia="仿宋" w:cs="仿宋"/>
          <w:color w:val="auto"/>
          <w:sz w:val="24"/>
          <w:szCs w:val="24"/>
          <w:highlight w:val="none"/>
          <w:lang w:eastAsia="zh-CN"/>
        </w:rPr>
        <w:t>法律规定的时间内</w:t>
      </w:r>
      <w:r>
        <w:rPr>
          <w:rFonts w:hint="eastAsia" w:ascii="仿宋" w:hAnsi="仿宋" w:eastAsia="仿宋" w:cs="仿宋"/>
          <w:color w:val="auto"/>
          <w:sz w:val="24"/>
          <w:szCs w:val="24"/>
          <w:highlight w:val="none"/>
        </w:rPr>
        <w:t>提出。</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 成交通知</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7.2.1采购代理机构向成交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发出《成交通知书》。 </w:t>
      </w:r>
      <w:r>
        <w:rPr>
          <w:rFonts w:hint="eastAsia" w:ascii="仿宋" w:hAnsi="仿宋" w:eastAsia="仿宋" w:cs="仿宋"/>
          <w:b/>
          <w:bCs/>
          <w:color w:val="auto"/>
          <w:sz w:val="24"/>
          <w:szCs w:val="24"/>
          <w:highlight w:val="none"/>
          <w:lang w:eastAsia="zh-CN"/>
        </w:rPr>
        <w:t>成交供应商在领取成交通知书时须携带法定代表人授权书及加盖单位公章的被授权人身份证复印件。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7.2.2成交通知书对采购人和成交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具有同等法律效力。成交通知书发出之后，采购人改变成交结果，或者成交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放弃成交，应当承担相应的法律责任。</w:t>
      </w:r>
    </w:p>
    <w:p>
      <w:pPr>
        <w:spacing w:line="360" w:lineRule="auto"/>
        <w:ind w:firstLine="482" w:firstLineChars="200"/>
        <w:outlineLvl w:val="2"/>
        <w:rPr>
          <w:rFonts w:hint="eastAsia" w:ascii="仿宋" w:hAnsi="仿宋" w:eastAsia="仿宋" w:cs="仿宋"/>
          <w:b/>
          <w:bCs/>
          <w:color w:val="auto"/>
          <w:sz w:val="24"/>
          <w:szCs w:val="24"/>
          <w:highlight w:val="none"/>
          <w:lang w:eastAsia="zh-CN"/>
        </w:rPr>
      </w:pPr>
      <w:bookmarkStart w:id="65" w:name="_Toc19753"/>
      <w:bookmarkStart w:id="66" w:name="_Toc393"/>
      <w:r>
        <w:rPr>
          <w:rFonts w:hint="eastAsia" w:ascii="仿宋" w:hAnsi="仿宋" w:eastAsia="仿宋" w:cs="仿宋"/>
          <w:b/>
          <w:bCs/>
          <w:color w:val="auto"/>
          <w:sz w:val="24"/>
          <w:szCs w:val="24"/>
          <w:highlight w:val="none"/>
        </w:rPr>
        <w:t>7.3 履约</w:t>
      </w:r>
      <w:bookmarkEnd w:id="65"/>
      <w:bookmarkEnd w:id="66"/>
      <w:r>
        <w:rPr>
          <w:rFonts w:hint="eastAsia" w:ascii="仿宋" w:hAnsi="仿宋" w:eastAsia="仿宋" w:cs="仿宋"/>
          <w:b/>
          <w:bCs/>
          <w:color w:val="auto"/>
          <w:sz w:val="24"/>
          <w:szCs w:val="24"/>
          <w:highlight w:val="none"/>
          <w:lang w:eastAsia="zh-CN"/>
        </w:rPr>
        <w:t>保证金</w:t>
      </w:r>
    </w:p>
    <w:p>
      <w:pPr>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7.3.1</w:t>
      </w:r>
      <w:r>
        <w:rPr>
          <w:rFonts w:hint="eastAsia" w:ascii="仿宋" w:hAnsi="仿宋" w:eastAsia="仿宋" w:cs="仿宋"/>
          <w:color w:val="auto"/>
          <w:sz w:val="24"/>
          <w:highlight w:val="none"/>
          <w:lang w:eastAsia="zh-CN"/>
        </w:rPr>
        <w:t>履约保证金的形式和金额：</w:t>
      </w:r>
      <w:r>
        <w:rPr>
          <w:rFonts w:hint="eastAsia" w:ascii="仿宋" w:hAnsi="仿宋" w:eastAsia="仿宋" w:cs="仿宋"/>
          <w:color w:val="auto"/>
          <w:sz w:val="24"/>
          <w:highlight w:val="none"/>
        </w:rPr>
        <w:t>见投标人须知前附表</w:t>
      </w:r>
      <w:r>
        <w:rPr>
          <w:rFonts w:hint="eastAsia" w:ascii="仿宋" w:hAnsi="仿宋" w:eastAsia="仿宋" w:cs="仿宋"/>
          <w:color w:val="auto"/>
          <w:sz w:val="24"/>
          <w:highlight w:val="none"/>
          <w:lang w:eastAsia="zh-CN"/>
        </w:rPr>
        <w:t>。</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 签订合同</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.1采购人应当自成交通知书发出之日起三十日内，按照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成交供应商竞争性磋商响应文件</w:t>
      </w:r>
      <w:r>
        <w:rPr>
          <w:rFonts w:hint="eastAsia" w:ascii="仿宋" w:hAnsi="仿宋" w:eastAsia="仿宋" w:cs="仿宋"/>
          <w:color w:val="auto"/>
          <w:sz w:val="24"/>
          <w:szCs w:val="24"/>
          <w:highlight w:val="none"/>
        </w:rPr>
        <w:t>（包括评审中形成的澄清文件）的约定，与</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签订书面合同。所签订的合同不得对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（包括评审中形成的澄清文件）作实质性修改。</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采购人自政府采购合同签订之日起2个工作日内，将政府采购合同在省级以上人民政府财政部门指定的媒体上公告，但政府采购合同中涉及国家秘密、商业秘密的内容除外。</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rPr>
      </w:pPr>
      <w:bookmarkStart w:id="67" w:name="_Toc421778375"/>
      <w:bookmarkStart w:id="68" w:name="_Toc420591653"/>
      <w:bookmarkStart w:id="69" w:name="_Toc425240474"/>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代理服务费</w:t>
      </w:r>
      <w:bookmarkEnd w:id="67"/>
      <w:bookmarkEnd w:id="68"/>
      <w:bookmarkEnd w:id="69"/>
      <w:r>
        <w:rPr>
          <w:rFonts w:hint="eastAsia" w:ascii="仿宋" w:hAnsi="仿宋" w:eastAsia="仿宋" w:cs="仿宋"/>
          <w:color w:val="auto"/>
          <w:sz w:val="24"/>
          <w:szCs w:val="24"/>
          <w:highlight w:val="none"/>
          <w:lang w:eastAsia="zh-CN"/>
        </w:rPr>
        <w:t>：详见“供应商须知前附表”。</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9、合同鉴证费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9.1本项目不收取合同鉴证费。</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10、质疑</w:t>
      </w:r>
    </w:p>
    <w:p>
      <w:pPr>
        <w:keepNext w:val="0"/>
        <w:keepLines w:val="0"/>
        <w:pageBreakBefore w:val="0"/>
        <w:widowControl w:val="0"/>
        <w:kinsoku/>
        <w:wordWrap/>
        <w:overflowPunct/>
        <w:topLinePunct w:val="0"/>
        <w:autoSpaceDE/>
        <w:autoSpaceDN/>
        <w:bidi w:val="0"/>
        <w:adjustRightInd/>
        <w:snapToGrid/>
        <w:spacing w:line="360" w:lineRule="auto"/>
        <w:ind w:left="0" w:leftChars="0" w:right="12" w:rightChars="0" w:firstLine="480" w:firstLineChars="0"/>
        <w:jc w:val="both"/>
        <w:textAlignment w:val="auto"/>
        <w:outlineLvl w:val="9"/>
        <w:rPr>
          <w:rFonts w:hint="eastAsia" w:ascii="仿宋" w:hAnsi="仿宋" w:eastAsia="仿宋" w:cs="仿宋"/>
          <w:b w:val="0"/>
          <w:bCs w:val="0"/>
          <w:color w:val="auto"/>
          <w:sz w:val="24"/>
          <w:szCs w:val="24"/>
          <w:highlight w:val="none"/>
          <w:lang w:val="en-US" w:eastAsia="zh-CN"/>
        </w:rPr>
      </w:pPr>
      <w:bookmarkStart w:id="70" w:name="_Toc421778376"/>
      <w:bookmarkStart w:id="71" w:name="_Toc20671"/>
      <w:r>
        <w:rPr>
          <w:rFonts w:hint="eastAsia" w:ascii="仿宋" w:hAnsi="仿宋" w:eastAsia="仿宋" w:cs="仿宋"/>
          <w:b w:val="0"/>
          <w:bCs w:val="0"/>
          <w:color w:val="auto"/>
          <w:sz w:val="24"/>
          <w:szCs w:val="24"/>
          <w:highlight w:val="none"/>
          <w:lang w:val="en-US" w:eastAsia="zh-CN"/>
        </w:rPr>
        <w:t>10.1供应商认为磋商文件、采购过程、成交结果使自己的权益受到损害的，可以在知道或者应知其权益受到损害之日起7个工作日内，以书面形式向采购人、采购代理机构提出质疑。</w:t>
      </w:r>
    </w:p>
    <w:p>
      <w:pPr>
        <w:keepNext w:val="0"/>
        <w:keepLines w:val="0"/>
        <w:pageBreakBefore w:val="0"/>
        <w:widowControl w:val="0"/>
        <w:kinsoku/>
        <w:wordWrap/>
        <w:overflowPunct/>
        <w:topLinePunct w:val="0"/>
        <w:autoSpaceDE/>
        <w:autoSpaceDN/>
        <w:bidi w:val="0"/>
        <w:adjustRightInd/>
        <w:snapToGrid/>
        <w:spacing w:line="360" w:lineRule="auto"/>
        <w:ind w:left="0" w:leftChars="0" w:right="12" w:rightChars="0" w:firstLine="480" w:firstLineChars="0"/>
        <w:jc w:val="both"/>
        <w:textAlignment w:val="auto"/>
        <w:outlineLvl w:val="9"/>
        <w:rPr>
          <w:rStyle w:val="38"/>
          <w:rFonts w:hint="eastAsia" w:ascii="仿宋" w:hAnsi="仿宋" w:eastAsia="仿宋" w:cs="仿宋"/>
          <w:b/>
          <w:bCs w:val="0"/>
          <w:i w:val="0"/>
          <w:caps w:val="0"/>
          <w:color w:val="auto"/>
          <w:spacing w:val="0"/>
          <w:sz w:val="24"/>
          <w:szCs w:val="24"/>
          <w:highlight w:val="none"/>
          <w:shd w:val="clear" w:color="auto" w:fill="FFFFFF"/>
          <w:lang w:val="en-US" w:eastAsia="zh-CN"/>
        </w:rPr>
      </w:pPr>
      <w:r>
        <w:rPr>
          <w:rFonts w:hint="eastAsia" w:ascii="仿宋" w:hAnsi="仿宋" w:eastAsia="仿宋" w:cs="仿宋"/>
          <w:b w:val="0"/>
          <w:bCs w:val="0"/>
          <w:color w:val="auto"/>
          <w:sz w:val="24"/>
          <w:szCs w:val="24"/>
          <w:highlight w:val="none"/>
          <w:lang w:val="en-US" w:eastAsia="zh-CN"/>
        </w:rPr>
        <w:t>10.2供应商必须在法定质疑期内一次性提出针对同一采购程序环节的质疑。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 w:leftChars="0" w:right="0" w:rightChars="0" w:firstLine="518" w:firstLineChars="216"/>
        <w:jc w:val="both"/>
        <w:textAlignment w:val="auto"/>
        <w:outlineLvl w:val="9"/>
        <w:rPr>
          <w:rStyle w:val="38"/>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val="0"/>
          <w:color w:val="auto"/>
          <w:sz w:val="24"/>
          <w:szCs w:val="24"/>
          <w:highlight w:val="none"/>
          <w:lang w:val="en-US" w:eastAsia="zh-CN"/>
        </w:rPr>
        <w:t>10</w:t>
      </w:r>
      <w:r>
        <w:rPr>
          <w:rStyle w:val="38"/>
          <w:rFonts w:hint="eastAsia" w:ascii="仿宋" w:hAnsi="仿宋" w:eastAsia="仿宋" w:cs="仿宋"/>
          <w:b w:val="0"/>
          <w:bCs/>
          <w:i w:val="0"/>
          <w:caps w:val="0"/>
          <w:color w:val="auto"/>
          <w:spacing w:val="0"/>
          <w:sz w:val="24"/>
          <w:szCs w:val="24"/>
          <w:highlight w:val="none"/>
          <w:shd w:val="clear" w:color="auto" w:fill="FFFFFF"/>
          <w:lang w:val="en-US" w:eastAsia="zh-CN"/>
        </w:rPr>
        <w:t>.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 w:leftChars="0" w:right="0" w:rightChars="0" w:firstLine="518" w:firstLineChars="216"/>
        <w:jc w:val="both"/>
        <w:textAlignment w:val="auto"/>
        <w:outlineLvl w:val="9"/>
        <w:rPr>
          <w:rStyle w:val="38"/>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val="0"/>
          <w:color w:val="auto"/>
          <w:sz w:val="24"/>
          <w:szCs w:val="24"/>
          <w:highlight w:val="none"/>
          <w:lang w:val="en-US" w:eastAsia="zh-CN"/>
        </w:rPr>
        <w:t>10</w:t>
      </w:r>
      <w:r>
        <w:rPr>
          <w:rStyle w:val="38"/>
          <w:rFonts w:hint="eastAsia" w:ascii="仿宋" w:hAnsi="仿宋" w:eastAsia="仿宋" w:cs="仿宋"/>
          <w:b w:val="0"/>
          <w:bCs/>
          <w:i w:val="0"/>
          <w:caps w:val="0"/>
          <w:color w:val="auto"/>
          <w:spacing w:val="0"/>
          <w:sz w:val="24"/>
          <w:szCs w:val="24"/>
          <w:highlight w:val="none"/>
          <w:shd w:val="clear" w:color="auto" w:fill="FFFFFF"/>
          <w:lang w:val="en-US" w:eastAsia="zh-CN"/>
        </w:rPr>
        <w:t>.4以联合体形式参加政府采购活动的，其质疑应当由组成联合体的所有供应商共同提出。</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.5供应商提出质疑应当提交质疑函和必要的证明材料。质疑函应当包括下列内容：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.5.1供应商的姓名或者名称、地址、邮编、联系人及联系电话；</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.5.2质疑项目的名称、编号、包号；</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.5.3具体、明确的质疑事项和与质疑事项相关的请求；</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.5.4事实依据；</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.5.5必要的法律依据；</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Style w:val="38"/>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.5.6提出质疑的日期。</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有下列情形之一的，属于无效质疑，采购代理机构和采购人不予受理：</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.6.1</w:t>
      </w:r>
      <w:r>
        <w:rPr>
          <w:rFonts w:hint="eastAsia" w:ascii="仿宋" w:hAnsi="仿宋" w:eastAsia="仿宋" w:cs="仿宋"/>
          <w:color w:val="auto"/>
          <w:sz w:val="24"/>
          <w:szCs w:val="24"/>
          <w:highlight w:val="none"/>
        </w:rPr>
        <w:t>质疑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不是参与本次政府采购项目的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.6.2</w:t>
      </w:r>
      <w:r>
        <w:rPr>
          <w:rFonts w:hint="eastAsia" w:ascii="仿宋" w:hAnsi="仿宋" w:eastAsia="仿宋" w:cs="仿宋"/>
          <w:color w:val="auto"/>
          <w:sz w:val="24"/>
          <w:szCs w:val="24"/>
          <w:highlight w:val="none"/>
        </w:rPr>
        <w:t>质疑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与质疑事项不存在利害关系的；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.6.3</w:t>
      </w:r>
      <w:r>
        <w:rPr>
          <w:rFonts w:hint="eastAsia" w:ascii="仿宋" w:hAnsi="仿宋" w:eastAsia="仿宋" w:cs="仿宋"/>
          <w:color w:val="auto"/>
          <w:sz w:val="24"/>
          <w:szCs w:val="24"/>
          <w:highlight w:val="none"/>
        </w:rPr>
        <w:t>未在法定期限内提出质疑的；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.6.4</w:t>
      </w:r>
      <w:r>
        <w:rPr>
          <w:rFonts w:hint="eastAsia" w:ascii="仿宋" w:hAnsi="仿宋" w:eastAsia="仿宋" w:cs="仿宋"/>
          <w:color w:val="auto"/>
          <w:sz w:val="24"/>
          <w:szCs w:val="24"/>
          <w:highlight w:val="none"/>
        </w:rPr>
        <w:t>质疑未以书面形式提出，或质疑</w:t>
      </w:r>
      <w:r>
        <w:rPr>
          <w:rFonts w:hint="eastAsia" w:ascii="仿宋" w:hAnsi="仿宋" w:eastAsia="仿宋" w:cs="仿宋"/>
          <w:color w:val="auto"/>
          <w:sz w:val="24"/>
          <w:szCs w:val="24"/>
          <w:highlight w:val="none"/>
          <w:lang w:eastAsia="zh-CN"/>
        </w:rPr>
        <w:t>函</w:t>
      </w:r>
      <w:r>
        <w:rPr>
          <w:rFonts w:hint="eastAsia" w:ascii="仿宋" w:hAnsi="仿宋" w:eastAsia="仿宋" w:cs="仿宋"/>
          <w:color w:val="auto"/>
          <w:sz w:val="24"/>
          <w:szCs w:val="24"/>
          <w:highlight w:val="none"/>
        </w:rPr>
        <w:t>主要内容构成不完整的；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lang w:eastAsia="zh-CN"/>
        </w:rPr>
        <w:t>应当提交授权书而未提交的</w:t>
      </w:r>
      <w:r>
        <w:rPr>
          <w:rFonts w:hint="eastAsia" w:ascii="仿宋" w:hAnsi="仿宋" w:eastAsia="仿宋" w:cs="仿宋"/>
          <w:color w:val="auto"/>
          <w:sz w:val="24"/>
          <w:szCs w:val="24"/>
          <w:highlight w:val="none"/>
        </w:rPr>
        <w:t>；</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.6.6</w:t>
      </w:r>
      <w:r>
        <w:rPr>
          <w:rFonts w:hint="eastAsia" w:ascii="仿宋" w:hAnsi="仿宋" w:eastAsia="仿宋" w:cs="仿宋"/>
          <w:color w:val="auto"/>
          <w:sz w:val="24"/>
          <w:szCs w:val="24"/>
          <w:highlight w:val="none"/>
        </w:rPr>
        <w:t>以非法手段取得证据、材料的；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.6.7</w:t>
      </w:r>
      <w:r>
        <w:rPr>
          <w:rFonts w:hint="eastAsia" w:ascii="仿宋" w:hAnsi="仿宋" w:eastAsia="仿宋" w:cs="仿宋"/>
          <w:color w:val="auto"/>
          <w:sz w:val="24"/>
          <w:szCs w:val="24"/>
          <w:highlight w:val="none"/>
        </w:rPr>
        <w:t>质疑答复后，同一质疑人就同一事项</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lang w:val="en-US" w:eastAsia="zh-CN"/>
        </w:rPr>
        <w:t>同一采购程序环节</w:t>
      </w:r>
      <w:r>
        <w:rPr>
          <w:rFonts w:hint="eastAsia" w:ascii="仿宋" w:hAnsi="仿宋" w:eastAsia="仿宋" w:cs="仿宋"/>
          <w:color w:val="auto"/>
          <w:sz w:val="24"/>
          <w:szCs w:val="24"/>
          <w:highlight w:val="none"/>
        </w:rPr>
        <w:t>再次提出质疑的；</w:t>
      </w:r>
    </w:p>
    <w:p>
      <w:pPr>
        <w:pageBreakBefore w:val="0"/>
        <w:widowControl/>
        <w:kinsoku/>
        <w:wordWrap/>
        <w:overflowPunct/>
        <w:topLinePunct w:val="0"/>
        <w:autoSpaceDE/>
        <w:autoSpaceDN/>
        <w:bidi w:val="0"/>
        <w:adjustRightInd/>
        <w:snapToGrid/>
        <w:spacing w:line="360" w:lineRule="auto"/>
        <w:ind w:firstLine="480" w:firstLineChars="200"/>
        <w:textAlignment w:val="auto"/>
        <w:rPr>
          <w:rStyle w:val="38"/>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不符合法律、法规、规章和政府采购监管机构规定的其他条件的。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2" w:right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 xml:space="preserve">    10.7</w:t>
      </w:r>
      <w:r>
        <w:rPr>
          <w:rFonts w:hint="eastAsia" w:ascii="仿宋" w:hAnsi="仿宋" w:eastAsia="仿宋" w:cs="仿宋"/>
          <w:color w:val="auto"/>
          <w:sz w:val="24"/>
          <w:szCs w:val="24"/>
          <w:highlight w:val="none"/>
          <w:lang w:eastAsia="zh-CN"/>
        </w:rPr>
        <w:t>质疑答复</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.7.1采购人或采购代理机构</w:t>
      </w:r>
      <w:r>
        <w:rPr>
          <w:rFonts w:hint="eastAsia" w:ascii="仿宋" w:hAnsi="仿宋" w:eastAsia="仿宋" w:cs="仿宋"/>
          <w:color w:val="auto"/>
          <w:sz w:val="24"/>
          <w:szCs w:val="24"/>
          <w:highlight w:val="none"/>
        </w:rPr>
        <w:t>在收到质疑函后7个工作日内作出答复，并以书面形式通知质疑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和其他有关</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.7.2质疑供应商对采购人、采购代理机构的答复不满意，或者采购人、采购代理机构未在规定时间内作出答复的，可以在答复期满后15个工作日内向同级人民政府财政部门提起投诉。</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.8其他需要说明的事项</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8.1质疑函须按财政部《质疑函范本》给定的格式进行填写，范本下载详见【财政部国库司（gks.mof.gov.cn）】网站〖首页·政府采购管理〗栏目中的《政府采购供应商质疑函范本》。《政府采购供应商质疑函范本》链接地址：</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http://gks.mof.gov.cn/ztztz/zhengfucaigouguanli/201802/t20180201_2804589.htm</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10.8.2接收质疑函的方式：书面形式</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.8.3联系部门：华夏国际项目管理有限公司招标部</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.8.4联系电话：见供应商须知前附表</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.8.5通讯地址：</w:t>
      </w:r>
      <w:r>
        <w:rPr>
          <w:rFonts w:hint="eastAsia" w:ascii="仿宋" w:hAnsi="仿宋" w:eastAsia="仿宋" w:cs="仿宋"/>
          <w:color w:val="auto"/>
          <w:sz w:val="24"/>
          <w:szCs w:val="24"/>
          <w:highlight w:val="none"/>
        </w:rPr>
        <w:t>西安市高新区科技五路8号数字大厦11楼</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1磋商步骤为：第一次报价---初步评审---分别磋商---第二次报价---综合评审推荐成交候选人。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以供应商递交的磋商响应文件中的总报价为第一次报价。分别磋商后，供应商现场填报的磋商响应总报价为第二次报价）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采用竞争性磋商采购方式采购的政府购买服务项目（含政府和社会资本合作项目），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成交供应商确定后，成交供应商无正当理由拖延或拒签合同的，或未能按照规定的时间提供</w:t>
      </w:r>
      <w:r>
        <w:rPr>
          <w:rFonts w:hint="eastAsia" w:ascii="仿宋" w:hAnsi="仿宋" w:eastAsia="仿宋" w:cs="仿宋"/>
          <w:color w:val="auto"/>
          <w:sz w:val="24"/>
          <w:szCs w:val="24"/>
          <w:highlight w:val="none"/>
          <w:lang w:eastAsia="zh-CN"/>
        </w:rPr>
        <w:t>履约保证金</w:t>
      </w:r>
      <w:r>
        <w:rPr>
          <w:rFonts w:hint="eastAsia" w:ascii="仿宋" w:hAnsi="仿宋" w:eastAsia="仿宋" w:cs="仿宋"/>
          <w:color w:val="auto"/>
          <w:sz w:val="24"/>
          <w:szCs w:val="24"/>
          <w:highlight w:val="none"/>
        </w:rPr>
        <w:t>，采购人有权取消其成交资格，并按评审顺序重新确定成交供应商</w:t>
      </w:r>
      <w:r>
        <w:rPr>
          <w:rFonts w:hint="eastAsia" w:ascii="仿宋" w:hAnsi="仿宋" w:eastAsia="仿宋" w:cs="仿宋"/>
          <w:color w:val="auto"/>
          <w:sz w:val="24"/>
          <w:szCs w:val="24"/>
          <w:highlight w:val="none"/>
          <w:lang w:eastAsia="zh-CN"/>
        </w:rPr>
        <w:t>；供应商应按照政府采购相关法律法规承担相应的责任。</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rPr>
      </w:pPr>
      <w:bookmarkStart w:id="72" w:name="_Toc421778374"/>
      <w:bookmarkStart w:id="73" w:name="_Toc425240473"/>
      <w:bookmarkStart w:id="74" w:name="_Toc420591652"/>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、需要补充的其他内容：</w:t>
      </w:r>
      <w:bookmarkStart w:id="75" w:name="_Toc356305901"/>
      <w:r>
        <w:rPr>
          <w:rFonts w:hint="eastAsia" w:ascii="仿宋" w:hAnsi="仿宋" w:eastAsia="仿宋" w:cs="仿宋"/>
          <w:color w:val="auto"/>
          <w:sz w:val="24"/>
          <w:szCs w:val="24"/>
          <w:highlight w:val="none"/>
        </w:rPr>
        <w:t>详见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bookmarkEnd w:id="75"/>
      <w:r>
        <w:rPr>
          <w:rFonts w:hint="eastAsia" w:ascii="仿宋" w:hAnsi="仿宋" w:eastAsia="仿宋" w:cs="仿宋"/>
          <w:color w:val="auto"/>
          <w:sz w:val="24"/>
          <w:szCs w:val="24"/>
          <w:highlight w:val="none"/>
        </w:rPr>
        <w:t>。</w:t>
      </w:r>
      <w:bookmarkEnd w:id="72"/>
      <w:bookmarkEnd w:id="73"/>
      <w:bookmarkEnd w:id="74"/>
    </w:p>
    <w:p>
      <w:pPr>
        <w:pStyle w:val="2"/>
        <w:jc w:val="both"/>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ind w:firstLine="280" w:firstLineChars="100"/>
        <w:rPr>
          <w:rFonts w:hint="eastAsia" w:ascii="仿宋" w:hAnsi="仿宋" w:eastAsia="仿宋" w:cs="仿宋"/>
          <w:color w:val="auto"/>
          <w:spacing w:val="30"/>
          <w:kern w:val="0"/>
          <w:sz w:val="22"/>
          <w:szCs w:val="22"/>
          <w:highlight w:val="none"/>
          <w:lang w:val="en-US" w:eastAsia="zh-CN" w:bidi="ar"/>
        </w:rPr>
      </w:pPr>
      <w:r>
        <w:rPr>
          <w:rFonts w:hint="eastAsia" w:ascii="仿宋" w:hAnsi="仿宋" w:eastAsia="仿宋" w:cs="仿宋"/>
          <w:color w:val="auto"/>
          <w:sz w:val="28"/>
          <w:szCs w:val="28"/>
          <w:highlight w:val="none"/>
          <w:shd w:val="clear" w:color="auto" w:fill="FFFFFF"/>
        </w:rPr>
        <w:t>附件</w:t>
      </w:r>
      <w:r>
        <w:rPr>
          <w:rFonts w:hint="eastAsia" w:ascii="仿宋" w:hAnsi="仿宋" w:eastAsia="仿宋" w:cs="仿宋"/>
          <w:color w:val="auto"/>
          <w:sz w:val="28"/>
          <w:szCs w:val="28"/>
          <w:highlight w:val="none"/>
          <w:shd w:val="clear" w:color="auto" w:fill="FFFFFF"/>
          <w:lang w:val="en-US" w:eastAsia="zh-CN"/>
        </w:rPr>
        <w:t>1</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仿宋" w:hAnsi="仿宋" w:eastAsia="仿宋" w:cs="仿宋"/>
          <w:b/>
          <w:bCs/>
          <w:color w:val="auto"/>
          <w:kern w:val="2"/>
          <w:sz w:val="24"/>
          <w:highlight w:val="none"/>
          <w:lang w:val="en-US" w:eastAsia="zh-CN" w:bidi="ar-SA"/>
        </w:rPr>
      </w:pPr>
      <w:r>
        <w:rPr>
          <w:rFonts w:hint="eastAsia" w:ascii="仿宋" w:hAnsi="仿宋" w:eastAsia="仿宋" w:cs="仿宋"/>
          <w:b/>
          <w:bCs/>
          <w:color w:val="auto"/>
          <w:kern w:val="2"/>
          <w:sz w:val="24"/>
          <w:highlight w:val="none"/>
          <w:lang w:val="en-US" w:eastAsia="zh-CN" w:bidi="ar-SA"/>
        </w:rPr>
        <w:t>“政采贷”业务介绍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highlight w:val="none"/>
          <w:lang w:val="en-US" w:eastAsia="zh-CN" w:bidi="ar-SA"/>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r>
        <w:rPr>
          <w:rFonts w:hint="eastAsia" w:ascii="仿宋" w:hAnsi="仿宋" w:eastAsia="仿宋"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highlight w:val="none"/>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p>
    <w:p>
      <w:pPr>
        <w:ind w:firstLine="320" w:firstLineChars="100"/>
        <w:rPr>
          <w:rFonts w:hint="eastAsia" w:ascii="仿宋" w:hAnsi="仿宋" w:eastAsia="仿宋" w:cs="仿宋"/>
          <w:color w:val="auto"/>
          <w:sz w:val="32"/>
          <w:szCs w:val="32"/>
          <w:highlight w:val="none"/>
          <w:shd w:val="clear" w:color="auto" w:fill="FFFFFF"/>
        </w:rPr>
      </w:pPr>
      <w:r>
        <w:rPr>
          <w:rFonts w:hint="eastAsia" w:ascii="仿宋" w:hAnsi="仿宋" w:eastAsia="仿宋" w:cs="仿宋"/>
          <w:color w:val="auto"/>
          <w:sz w:val="32"/>
          <w:szCs w:val="32"/>
          <w:highlight w:val="none"/>
          <w:shd w:val="clear" w:color="auto" w:fill="FFFFFF"/>
        </w:rPr>
        <w:br w:type="page"/>
      </w:r>
    </w:p>
    <w:p>
      <w:pPr>
        <w:ind w:firstLine="280" w:firstLineChars="100"/>
        <w:rPr>
          <w:rFonts w:hint="eastAsia" w:ascii="仿宋" w:hAnsi="仿宋" w:eastAsia="仿宋" w:cs="仿宋"/>
          <w:color w:val="auto"/>
          <w:sz w:val="28"/>
          <w:szCs w:val="28"/>
          <w:highlight w:val="none"/>
          <w:shd w:val="clear" w:color="auto" w:fill="FFFFFF"/>
          <w:lang w:eastAsia="zh-CN"/>
        </w:rPr>
      </w:pPr>
      <w:r>
        <w:rPr>
          <w:rFonts w:hint="eastAsia" w:ascii="仿宋" w:hAnsi="仿宋" w:eastAsia="仿宋" w:cs="仿宋"/>
          <w:color w:val="auto"/>
          <w:sz w:val="28"/>
          <w:szCs w:val="28"/>
          <w:highlight w:val="none"/>
          <w:shd w:val="clear" w:color="auto" w:fill="FFFFFF"/>
        </w:rPr>
        <w:t>附件</w:t>
      </w:r>
      <w:r>
        <w:rPr>
          <w:rFonts w:hint="eastAsia" w:ascii="仿宋" w:hAnsi="仿宋" w:eastAsia="仿宋" w:cs="仿宋"/>
          <w:color w:val="auto"/>
          <w:sz w:val="28"/>
          <w:szCs w:val="28"/>
          <w:highlight w:val="none"/>
          <w:shd w:val="clear" w:color="auto" w:fill="FFFFFF"/>
          <w:lang w:val="en-US" w:eastAsia="zh-CN"/>
        </w:rPr>
        <w:t>2</w:t>
      </w:r>
    </w:p>
    <w:p>
      <w:pPr>
        <w:jc w:val="center"/>
        <w:rPr>
          <w:rFonts w:hint="eastAsia" w:ascii="仿宋" w:hAnsi="仿宋" w:eastAsia="仿宋" w:cs="仿宋"/>
          <w:b/>
          <w:bCs/>
          <w:color w:val="auto"/>
          <w:spacing w:val="-4"/>
          <w:w w:val="95"/>
          <w:kern w:val="2"/>
          <w:sz w:val="28"/>
          <w:szCs w:val="28"/>
          <w:highlight w:val="none"/>
          <w:lang w:val="en-US" w:eastAsia="zh-CN" w:bidi="ar-SA"/>
        </w:rPr>
      </w:pPr>
      <w:r>
        <w:rPr>
          <w:rFonts w:hint="eastAsia" w:ascii="仿宋" w:hAnsi="仿宋" w:eastAsia="仿宋" w:cs="仿宋"/>
          <w:b/>
          <w:bCs/>
          <w:color w:val="auto"/>
          <w:spacing w:val="-4"/>
          <w:w w:val="95"/>
          <w:kern w:val="2"/>
          <w:sz w:val="28"/>
          <w:szCs w:val="28"/>
          <w:highlight w:val="none"/>
          <w:lang w:val="en-US" w:eastAsia="zh-CN" w:bidi="ar-SA"/>
        </w:rPr>
        <w:t>陕西政府采购供应商信用融资信息服务平台操作手册</w:t>
      </w:r>
    </w:p>
    <w:p>
      <w:pPr>
        <w:pStyle w:val="2"/>
        <w:autoSpaceDE w:val="0"/>
        <w:autoSpaceDN w:val="0"/>
        <w:spacing w:line="590" w:lineRule="exact"/>
        <w:ind w:firstLine="480" w:firstLineChars="200"/>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陕西政府采购供应商信用融资信息服务平台主要功能为：供应商凭中标项目或成交合提交融资意向，查看融资申请进度等功能，本操作手册将详细说明这些功能。</w:t>
      </w:r>
    </w:p>
    <w:p>
      <w:pPr>
        <w:pStyle w:val="2"/>
        <w:autoSpaceDE w:val="0"/>
        <w:autoSpaceDN w:val="0"/>
        <w:spacing w:line="590" w:lineRule="exact"/>
        <w:ind w:firstLine="480" w:firstLineChars="200"/>
        <w:jc w:val="both"/>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1、首页</w:t>
      </w:r>
    </w:p>
    <w:p>
      <w:pPr>
        <w:pStyle w:val="2"/>
        <w:autoSpaceDE w:val="0"/>
        <w:autoSpaceDN w:val="0"/>
        <w:spacing w:line="590" w:lineRule="exact"/>
        <w:ind w:firstLine="480" w:firstLineChars="200"/>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平台首页主要呈现陕西政府采购信用融资相关政策法规、基本操作流程及供应商</w:t>
      </w:r>
    </w:p>
    <w:p>
      <w:pPr>
        <w:pStyle w:val="2"/>
        <w:autoSpaceDE w:val="0"/>
        <w:autoSpaceDN w:val="0"/>
        <w:spacing w:line="590" w:lineRule="exact"/>
        <w:jc w:val="both"/>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帮助内容，供应商企业可由登录注册模块登录平台。</w:t>
      </w:r>
    </w:p>
    <w:p>
      <w:pPr>
        <w:pStyle w:val="2"/>
        <w:autoSpaceDE w:val="0"/>
        <w:autoSpaceDN w:val="0"/>
        <w:spacing w:line="590" w:lineRule="exact"/>
        <w:ind w:firstLine="480" w:firstLineChars="200"/>
        <w:jc w:val="left"/>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2、登录</w:t>
      </w:r>
    </w:p>
    <w:p>
      <w:pPr>
        <w:pStyle w:val="2"/>
        <w:autoSpaceDE w:val="0"/>
        <w:autoSpaceDN w:val="0"/>
        <w:spacing w:line="590" w:lineRule="exact"/>
        <w:jc w:val="left"/>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 xml:space="preserve">    陕西政府采购网的中标企业可用手机号注册用户，注册时需要填写企业名称及社会统一信用代码等信息，如下图：</w:t>
      </w:r>
    </w:p>
    <w:p>
      <w:pPr>
        <w:pStyle w:val="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6"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mmexport1630048836254"/>
                    <pic:cNvPicPr>
                      <a:picLocks noChangeAspect="1"/>
                    </pic:cNvPicPr>
                  </pic:nvPicPr>
                  <pic:blipFill>
                    <a:blip r:embed="rId10"/>
                    <a:stretch>
                      <a:fillRect/>
                    </a:stretch>
                  </pic:blipFill>
                  <pic:spPr>
                    <a:xfrm>
                      <a:off x="0" y="0"/>
                      <a:ext cx="5478780" cy="3080385"/>
                    </a:xfrm>
                    <a:prstGeom prst="rect">
                      <a:avLst/>
                    </a:prstGeom>
                    <a:noFill/>
                    <a:ln>
                      <a:noFill/>
                    </a:ln>
                  </pic:spPr>
                </pic:pic>
              </a:graphicData>
            </a:graphic>
          </wp:inline>
        </w:drawing>
      </w:r>
    </w:p>
    <w:p>
      <w:pPr>
        <w:pStyle w:val="2"/>
        <w:spacing w:before="6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pStyle w:val="2"/>
        <w:spacing w:before="69"/>
        <w:rPr>
          <w:rFonts w:hint="eastAsia" w:ascii="仿宋" w:hAnsi="仿宋" w:eastAsia="仿宋" w:cs="仿宋"/>
          <w:color w:val="auto"/>
          <w:sz w:val="24"/>
          <w:szCs w:val="24"/>
          <w:highlight w:val="none"/>
        </w:rPr>
      </w:pPr>
    </w:p>
    <w:p>
      <w:pPr>
        <w:pStyle w:val="2"/>
        <w:spacing w:before="69"/>
        <w:rPr>
          <w:rFonts w:hint="eastAsia" w:ascii="仿宋" w:hAnsi="仿宋" w:eastAsia="仿宋" w:cs="仿宋"/>
          <w:color w:val="auto"/>
          <w:sz w:val="24"/>
          <w:szCs w:val="24"/>
          <w:highlight w:val="none"/>
        </w:rPr>
      </w:pPr>
    </w:p>
    <w:p>
      <w:pPr>
        <w:pStyle w:val="2"/>
        <w:spacing w:before="69"/>
        <w:rPr>
          <w:rFonts w:hint="eastAsia" w:ascii="仿宋" w:hAnsi="仿宋" w:eastAsia="仿宋" w:cs="仿宋"/>
          <w:color w:val="auto"/>
          <w:sz w:val="24"/>
          <w:szCs w:val="24"/>
          <w:highlight w:val="none"/>
        </w:rPr>
      </w:pPr>
    </w:p>
    <w:p>
      <w:pPr>
        <w:pStyle w:val="2"/>
        <w:spacing w:before="69"/>
        <w:rPr>
          <w:rFonts w:hint="eastAsia" w:ascii="仿宋" w:hAnsi="仿宋" w:eastAsia="仿宋" w:cs="仿宋"/>
          <w:color w:val="auto"/>
          <w:sz w:val="24"/>
          <w:szCs w:val="24"/>
          <w:highlight w:val="none"/>
        </w:rPr>
      </w:pPr>
    </w:p>
    <w:p>
      <w:pPr>
        <w:pStyle w:val="2"/>
        <w:spacing w:before="69"/>
        <w:rPr>
          <w:rFonts w:hint="eastAsia" w:ascii="仿宋" w:hAnsi="仿宋" w:eastAsia="仿宋" w:cs="仿宋"/>
          <w:color w:val="auto"/>
          <w:sz w:val="24"/>
          <w:szCs w:val="24"/>
          <w:highlight w:val="none"/>
        </w:rPr>
      </w:pPr>
    </w:p>
    <w:p>
      <w:pPr>
        <w:pStyle w:val="2"/>
        <w:spacing w:before="69"/>
        <w:rPr>
          <w:rFonts w:hint="eastAsia" w:ascii="仿宋" w:hAnsi="仿宋" w:eastAsia="仿宋" w:cs="仿宋"/>
          <w:color w:val="auto"/>
          <w:sz w:val="24"/>
          <w:szCs w:val="24"/>
          <w:highlight w:val="none"/>
        </w:rPr>
      </w:pPr>
    </w:p>
    <w:p>
      <w:pPr>
        <w:pStyle w:val="2"/>
        <w:spacing w:before="6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注册成功后，凭手机登录平台，如下图，点击首页：</w:t>
      </w:r>
    </w:p>
    <w:p>
      <w:pPr>
        <w:pStyle w:val="2"/>
        <w:spacing w:before="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
                    <pic:cNvPicPr>
                      <a:picLocks noChangeAspect="1"/>
                    </pic:cNvPicPr>
                  </pic:nvPicPr>
                  <pic:blipFill>
                    <a:blip r:embed="rId11"/>
                    <a:stretch>
                      <a:fillRect/>
                    </a:stretch>
                  </pic:blipFill>
                  <pic:spPr>
                    <a:xfrm>
                      <a:off x="0" y="0"/>
                      <a:ext cx="5478780" cy="3080385"/>
                    </a:xfrm>
                    <a:prstGeom prst="rect">
                      <a:avLst/>
                    </a:prstGeom>
                    <a:noFill/>
                    <a:ln>
                      <a:noFill/>
                    </a:ln>
                  </pic:spPr>
                </pic:pic>
              </a:graphicData>
            </a:graphic>
          </wp:inline>
        </w:drawing>
      </w:r>
    </w:p>
    <w:p>
      <w:pPr>
        <w:pStyle w:val="2"/>
        <w:autoSpaceDE w:val="0"/>
        <w:autoSpaceDN w:val="0"/>
        <w:ind w:firstLine="480" w:firstLineChars="200"/>
        <w:jc w:val="left"/>
        <w:rPr>
          <w:rFonts w:hint="eastAsia" w:ascii="仿宋" w:hAnsi="仿宋" w:eastAsia="仿宋" w:cs="仿宋"/>
          <w:color w:val="auto"/>
          <w:sz w:val="24"/>
          <w:szCs w:val="24"/>
          <w:highlight w:val="none"/>
        </w:rPr>
      </w:pPr>
    </w:p>
    <w:p>
      <w:pPr>
        <w:pStyle w:val="2"/>
        <w:numPr>
          <w:ilvl w:val="0"/>
          <w:numId w:val="6"/>
        </w:numPr>
        <w:autoSpaceDE w:val="0"/>
        <w:autoSpaceDN w:val="0"/>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点击“可融资项目/合同”，再点击申请贷款：</w:t>
      </w:r>
    </w:p>
    <w:p>
      <w:pPr>
        <w:pStyle w:val="2"/>
        <w:keepNext w:val="0"/>
        <w:keepLines w:val="0"/>
        <w:pageBreakBefore w:val="0"/>
        <w:widowControl w:val="0"/>
        <w:numPr>
          <w:ilvl w:val="0"/>
          <w:numId w:val="0"/>
        </w:numPr>
        <w:kinsoku/>
        <w:wordWrap/>
        <w:overflowPunct/>
        <w:topLinePunct w:val="0"/>
        <w:autoSpaceDE w:val="0"/>
        <w:autoSpaceDN w:val="0"/>
        <w:bidi w:val="0"/>
        <w:adjustRightInd/>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64175" cy="3072130"/>
            <wp:effectExtent l="0" t="0" r="3175" b="13970"/>
            <wp:docPr id="7"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5"/>
                    <pic:cNvPicPr>
                      <a:picLocks noChangeAspect="1"/>
                    </pic:cNvPicPr>
                  </pic:nvPicPr>
                  <pic:blipFill>
                    <a:blip r:embed="rId12"/>
                    <a:stretch>
                      <a:fillRect/>
                    </a:stretch>
                  </pic:blipFill>
                  <pic:spPr>
                    <a:xfrm>
                      <a:off x="0" y="0"/>
                      <a:ext cx="5464175" cy="3072130"/>
                    </a:xfrm>
                    <a:prstGeom prst="rect">
                      <a:avLst/>
                    </a:prstGeom>
                    <a:noFill/>
                    <a:ln>
                      <a:noFill/>
                    </a:ln>
                  </pic:spPr>
                </pic:pic>
              </a:graphicData>
            </a:graphic>
          </wp:inline>
        </w:drawing>
      </w:r>
    </w:p>
    <w:p>
      <w:pPr>
        <w:pStyle w:val="2"/>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jc w:val="left"/>
        <w:rPr>
          <w:rFonts w:hint="eastAsia" w:ascii="仿宋" w:hAnsi="仿宋" w:eastAsia="仿宋" w:cs="仿宋"/>
          <w:color w:val="auto"/>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4.勾选融资意向书：</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9"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4"/>
                    <pic:cNvPicPr>
                      <a:picLocks noChangeAspect="1"/>
                    </pic:cNvPicPr>
                  </pic:nvPicPr>
                  <pic:blipFill>
                    <a:blip r:embed="rId13"/>
                    <a:stretch>
                      <a:fillRect/>
                    </a:stretch>
                  </pic:blipFill>
                  <pic:spPr>
                    <a:xfrm>
                      <a:off x="0" y="0"/>
                      <a:ext cx="5464175" cy="3072130"/>
                    </a:xfrm>
                    <a:prstGeom prst="rect">
                      <a:avLst/>
                    </a:prstGeom>
                    <a:noFill/>
                    <a:ln>
                      <a:noFill/>
                    </a:ln>
                  </pic:spPr>
                </pic:pic>
              </a:graphicData>
            </a:graphic>
          </wp:inline>
        </w:drawing>
      </w:r>
    </w:p>
    <w:p>
      <w:pPr>
        <w:pStyle w:val="2"/>
        <w:numPr>
          <w:ilvl w:val="0"/>
          <w:numId w:val="0"/>
        </w:numPr>
        <w:jc w:val="left"/>
        <w:rPr>
          <w:rFonts w:hint="eastAsia" w:ascii="仿宋" w:hAnsi="仿宋" w:eastAsia="仿宋" w:cs="仿宋"/>
          <w:color w:val="auto"/>
          <w:sz w:val="24"/>
          <w:szCs w:val="24"/>
          <w:highlight w:val="none"/>
        </w:rPr>
      </w:pPr>
    </w:p>
    <w:p>
      <w:pPr>
        <w:pStyle w:val="2"/>
        <w:numPr>
          <w:ilvl w:val="0"/>
          <w:numId w:val="7"/>
        </w:numPr>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页面下拉，输入贷款金额、预计用款周期、可接受利率、贷款资金用途，点击保存，选择办理贷款机构所在地，例如：长安区韦曲街道，然后点击下一步。</w:t>
      </w:r>
      <w:r>
        <w:rPr>
          <w:rFonts w:hint="eastAsia" w:ascii="仿宋" w:hAnsi="仿宋" w:eastAsia="仿宋" w:cs="仿宋"/>
          <w:color w:val="auto"/>
          <w:sz w:val="24"/>
          <w:szCs w:val="24"/>
          <w:highlight w:val="none"/>
        </w:rPr>
        <w:drawing>
          <wp:inline distT="0" distB="0" distL="114300" distR="114300">
            <wp:extent cx="5478780" cy="3080385"/>
            <wp:effectExtent l="0" t="0" r="7620" b="5715"/>
            <wp:docPr id="4"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6"/>
                    <pic:cNvPicPr>
                      <a:picLocks noChangeAspect="1"/>
                    </pic:cNvPicPr>
                  </pic:nvPicPr>
                  <pic:blipFill>
                    <a:blip r:embed="rId14"/>
                    <a:stretch>
                      <a:fillRect/>
                    </a:stretch>
                  </pic:blipFill>
                  <pic:spPr>
                    <a:xfrm>
                      <a:off x="0" y="0"/>
                      <a:ext cx="5478780" cy="3080385"/>
                    </a:xfrm>
                    <a:prstGeom prst="rect">
                      <a:avLst/>
                    </a:prstGeom>
                    <a:noFill/>
                    <a:ln>
                      <a:noFill/>
                    </a:ln>
                  </pic:spPr>
                </pic:pic>
              </a:graphicData>
            </a:graphic>
          </wp:inline>
        </w:drawing>
      </w:r>
    </w:p>
    <w:p>
      <w:pPr>
        <w:pStyle w:val="2"/>
        <w:numPr>
          <w:ilvl w:val="0"/>
          <w:numId w:val="0"/>
        </w:numPr>
        <w:jc w:val="left"/>
        <w:rPr>
          <w:rFonts w:hint="eastAsia" w:ascii="仿宋" w:hAnsi="仿宋" w:eastAsia="仿宋" w:cs="仿宋"/>
          <w:color w:val="auto"/>
          <w:sz w:val="24"/>
          <w:szCs w:val="24"/>
          <w:highlight w:val="none"/>
        </w:rPr>
      </w:pPr>
    </w:p>
    <w:p>
      <w:pPr>
        <w:pStyle w:val="2"/>
        <w:numPr>
          <w:ilvl w:val="0"/>
          <w:numId w:val="0"/>
        </w:numPr>
        <w:jc w:val="left"/>
        <w:rPr>
          <w:rFonts w:hint="eastAsia" w:ascii="仿宋" w:hAnsi="仿宋" w:eastAsia="仿宋" w:cs="仿宋"/>
          <w:color w:val="auto"/>
          <w:sz w:val="24"/>
          <w:szCs w:val="24"/>
          <w:highlight w:val="none"/>
        </w:rPr>
      </w:pPr>
    </w:p>
    <w:p>
      <w:pPr>
        <w:pStyle w:val="2"/>
        <w:numPr>
          <w:ilvl w:val="0"/>
          <w:numId w:val="0"/>
        </w:numPr>
        <w:jc w:val="left"/>
        <w:rPr>
          <w:rFonts w:hint="eastAsia" w:ascii="仿宋" w:hAnsi="仿宋" w:eastAsia="仿宋" w:cs="仿宋"/>
          <w:color w:val="auto"/>
          <w:sz w:val="24"/>
          <w:szCs w:val="24"/>
          <w:highlight w:val="none"/>
        </w:rPr>
      </w:pPr>
    </w:p>
    <w:p>
      <w:pPr>
        <w:pStyle w:val="2"/>
        <w:numPr>
          <w:ilvl w:val="0"/>
          <w:numId w:val="0"/>
        </w:numPr>
        <w:jc w:val="left"/>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33"/>
        <w:rPr>
          <w:rFonts w:hint="eastAsia" w:ascii="仿宋" w:hAnsi="仿宋" w:eastAsia="仿宋" w:cs="仿宋"/>
          <w:color w:val="auto"/>
          <w:sz w:val="24"/>
          <w:szCs w:val="24"/>
          <w:highlight w:val="none"/>
        </w:rPr>
      </w:pPr>
    </w:p>
    <w:p>
      <w:pPr>
        <w:pStyle w:val="33"/>
        <w:rPr>
          <w:rFonts w:hint="eastAsia" w:ascii="仿宋" w:hAnsi="仿宋" w:eastAsia="仿宋" w:cs="仿宋"/>
          <w:color w:val="auto"/>
          <w:sz w:val="24"/>
          <w:szCs w:val="24"/>
          <w:highlight w:val="none"/>
        </w:rPr>
      </w:pPr>
    </w:p>
    <w:p>
      <w:pPr>
        <w:pStyle w:val="33"/>
        <w:rPr>
          <w:rFonts w:hint="eastAsia" w:ascii="仿宋" w:hAnsi="仿宋" w:eastAsia="仿宋" w:cs="仿宋"/>
          <w:color w:val="auto"/>
          <w:sz w:val="24"/>
          <w:szCs w:val="24"/>
          <w:highlight w:val="none"/>
        </w:rPr>
      </w:pPr>
    </w:p>
    <w:p>
      <w:pPr>
        <w:pStyle w:val="2"/>
        <w:numPr>
          <w:ilvl w:val="0"/>
          <w:numId w:val="7"/>
        </w:numPr>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在意向银行列点击提交贷款意向并确定：</w:t>
      </w:r>
    </w:p>
    <w:p>
      <w:pPr>
        <w:pStyle w:val="2"/>
        <w:spacing w:before="1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5"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8"/>
                    <pic:cNvPicPr>
                      <a:picLocks noChangeAspect="1"/>
                    </pic:cNvPicPr>
                  </pic:nvPicPr>
                  <pic:blipFill>
                    <a:blip r:embed="rId15"/>
                    <a:stretch>
                      <a:fillRect/>
                    </a:stretch>
                  </pic:blipFill>
                  <pic:spPr>
                    <a:xfrm>
                      <a:off x="0" y="0"/>
                      <a:ext cx="5478780" cy="3080385"/>
                    </a:xfrm>
                    <a:prstGeom prst="rect">
                      <a:avLst/>
                    </a:prstGeom>
                    <a:noFill/>
                    <a:ln>
                      <a:noFill/>
                    </a:ln>
                  </pic:spPr>
                </pic:pic>
              </a:graphicData>
            </a:graphic>
          </wp:inline>
        </w:drawing>
      </w:r>
    </w:p>
    <w:p>
      <w:pPr>
        <w:pStyle w:val="2"/>
        <w:spacing w:before="10"/>
        <w:jc w:val="left"/>
        <w:rPr>
          <w:rFonts w:hint="eastAsia" w:ascii="仿宋" w:hAnsi="仿宋" w:eastAsia="仿宋" w:cs="仿宋"/>
          <w:color w:val="auto"/>
          <w:sz w:val="24"/>
          <w:szCs w:val="24"/>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在申请进度栏即可查看本笔融资进度：</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rPr>
        <w:drawing>
          <wp:inline distT="0" distB="0" distL="114300" distR="114300">
            <wp:extent cx="5464175" cy="3072130"/>
            <wp:effectExtent l="0" t="0" r="3175" b="13970"/>
            <wp:docPr id="10"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10"/>
                    <pic:cNvPicPr>
                      <a:picLocks noChangeAspect="1"/>
                    </pic:cNvPicPr>
                  </pic:nvPicPr>
                  <pic:blipFill>
                    <a:blip r:embed="rId16"/>
                    <a:stretch>
                      <a:fillRect/>
                    </a:stretch>
                  </pic:blipFill>
                  <pic:spPr>
                    <a:xfrm>
                      <a:off x="0" y="0"/>
                      <a:ext cx="5464175" cy="3072130"/>
                    </a:xfrm>
                    <a:prstGeom prst="rect">
                      <a:avLst/>
                    </a:prstGeom>
                    <a:noFill/>
                    <a:ln>
                      <a:noFill/>
                    </a:ln>
                  </pic:spPr>
                </pic:pic>
              </a:graphicData>
            </a:graphic>
          </wp:inline>
        </w:drawing>
      </w:r>
    </w:p>
    <w:p>
      <w:pPr>
        <w:pStyle w:val="2"/>
        <w:ind w:left="12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rPr>
          <w:rFonts w:hint="eastAsia" w:ascii="仿宋" w:hAnsi="仿宋" w:eastAsia="仿宋" w:cs="仿宋"/>
          <w:color w:val="auto"/>
          <w:sz w:val="24"/>
          <w:highlight w:val="none"/>
          <w:shd w:val="clear" w:color="auto" w:fill="FFFFFF"/>
        </w:rPr>
      </w:pPr>
    </w:p>
    <w:p>
      <w:pPr>
        <w:rPr>
          <w:rFonts w:hint="eastAsia" w:ascii="仿宋" w:hAnsi="仿宋" w:eastAsia="仿宋" w:cs="仿宋"/>
          <w:color w:val="auto"/>
          <w:sz w:val="24"/>
          <w:highlight w:val="none"/>
          <w:shd w:val="clear" w:color="auto" w:fill="FFFFFF"/>
        </w:rPr>
      </w:pPr>
    </w:p>
    <w:p>
      <w:pPr>
        <w:rPr>
          <w:rFonts w:hint="eastAsia" w:ascii="仿宋" w:hAnsi="仿宋" w:eastAsia="仿宋" w:cs="仿宋"/>
          <w:color w:val="auto"/>
          <w:sz w:val="24"/>
          <w:highlight w:val="none"/>
          <w:shd w:val="clear" w:color="auto" w:fill="FFFFFF"/>
        </w:rPr>
      </w:pPr>
    </w:p>
    <w:p>
      <w:pPr>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br w:type="page"/>
      </w:r>
    </w:p>
    <w:p>
      <w:pPr>
        <w:ind w:firstLine="320" w:firstLineChars="100"/>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32"/>
          <w:szCs w:val="32"/>
          <w:highlight w:val="none"/>
          <w:shd w:val="clear" w:color="auto" w:fill="FFFFFF"/>
        </w:rPr>
        <w:t>附件</w:t>
      </w:r>
      <w:r>
        <w:rPr>
          <w:rFonts w:hint="eastAsia" w:ascii="仿宋" w:hAnsi="仿宋" w:eastAsia="仿宋" w:cs="仿宋"/>
          <w:color w:val="auto"/>
          <w:sz w:val="32"/>
          <w:szCs w:val="32"/>
          <w:highlight w:val="none"/>
          <w:shd w:val="clear" w:color="auto" w:fill="FFFFFF"/>
          <w:lang w:val="en-US" w:eastAsia="zh-CN"/>
        </w:rPr>
        <w:t>3</w:t>
      </w:r>
    </w:p>
    <w:p>
      <w:pPr>
        <w:pStyle w:val="2"/>
        <w:rPr>
          <w:rFonts w:hint="eastAsia" w:ascii="仿宋" w:hAnsi="仿宋" w:eastAsia="仿宋" w:cs="仿宋"/>
          <w:color w:val="auto"/>
          <w:highlight w:val="none"/>
        </w:rPr>
      </w:pPr>
    </w:p>
    <w:tbl>
      <w:tblPr>
        <w:tblStyle w:val="35"/>
        <w:tblW w:w="8970" w:type="dxa"/>
        <w:jc w:val="center"/>
        <w:tblLayout w:type="fixed"/>
        <w:tblCellMar>
          <w:top w:w="0" w:type="dxa"/>
          <w:left w:w="108" w:type="dxa"/>
          <w:bottom w:w="0" w:type="dxa"/>
          <w:right w:w="108" w:type="dxa"/>
        </w:tblCellMar>
      </w:tblPr>
      <w:tblGrid>
        <w:gridCol w:w="750"/>
        <w:gridCol w:w="3716"/>
        <w:gridCol w:w="2224"/>
        <w:gridCol w:w="2280"/>
      </w:tblGrid>
      <w:tr>
        <w:tblPrEx>
          <w:tblCellMar>
            <w:top w:w="0" w:type="dxa"/>
            <w:left w:w="108" w:type="dxa"/>
            <w:bottom w:w="0" w:type="dxa"/>
            <w:right w:w="108" w:type="dxa"/>
          </w:tblCellMar>
        </w:tblPrEx>
        <w:trPr>
          <w:trHeight w:val="1060" w:hRule="atLeast"/>
          <w:jc w:val="center"/>
        </w:trPr>
        <w:tc>
          <w:tcPr>
            <w:tcW w:w="8970"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36"/>
                <w:szCs w:val="36"/>
                <w:highlight w:val="none"/>
                <w:u w:val="none"/>
              </w:rPr>
            </w:pPr>
            <w:r>
              <w:rPr>
                <w:rFonts w:hint="eastAsia" w:ascii="仿宋" w:hAnsi="仿宋" w:eastAsia="仿宋" w:cs="仿宋"/>
                <w:i w:val="0"/>
                <w:iCs w:val="0"/>
                <w:color w:val="auto"/>
                <w:kern w:val="0"/>
                <w:sz w:val="36"/>
                <w:szCs w:val="36"/>
                <w:highlight w:val="none"/>
                <w:u w:val="none"/>
                <w:lang w:val="en-US" w:eastAsia="zh-CN" w:bidi="ar"/>
              </w:rPr>
              <w:t>长安区开展政采贷业务银行联系方式</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银行名称</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电话</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中信银行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15102968497</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029-81563158</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西安市长安区农村信用合作联社</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029-89230551</w:t>
            </w:r>
          </w:p>
        </w:tc>
      </w:tr>
      <w:tr>
        <w:tblPrEx>
          <w:tblCellMar>
            <w:top w:w="0" w:type="dxa"/>
            <w:left w:w="108" w:type="dxa"/>
            <w:bottom w:w="0" w:type="dxa"/>
            <w:right w:w="108" w:type="dxa"/>
          </w:tblCellMar>
        </w:tblPrEx>
        <w:trPr>
          <w:trHeight w:val="600" w:hRule="atLeast"/>
          <w:jc w:val="center"/>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37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浦发银行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13992895375</w:t>
            </w:r>
          </w:p>
        </w:tc>
      </w:tr>
      <w:tr>
        <w:tblPrEx>
          <w:tblCellMar>
            <w:top w:w="0" w:type="dxa"/>
            <w:left w:w="108" w:type="dxa"/>
            <w:bottom w:w="0" w:type="dxa"/>
            <w:right w:w="108" w:type="dxa"/>
          </w:tblCellMar>
        </w:tblPrEx>
        <w:trPr>
          <w:trHeight w:val="60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2"/>
                <w:szCs w:val="22"/>
                <w:highlight w:val="none"/>
                <w:u w:val="none"/>
              </w:rPr>
            </w:pPr>
          </w:p>
        </w:tc>
        <w:tc>
          <w:tcPr>
            <w:tcW w:w="37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auto"/>
                <w:sz w:val="24"/>
                <w:szCs w:val="24"/>
                <w:highlight w:val="none"/>
                <w:u w:val="none"/>
              </w:rPr>
            </w:pP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15209277417</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北京银行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18149209660</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兴业银行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18591051627</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中国建设银行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18792546729</w:t>
            </w:r>
          </w:p>
        </w:tc>
      </w:tr>
      <w:tr>
        <w:tblPrEx>
          <w:tblCellMar>
            <w:top w:w="0" w:type="dxa"/>
            <w:left w:w="108" w:type="dxa"/>
            <w:bottom w:w="0" w:type="dxa"/>
            <w:right w:w="108" w:type="dxa"/>
          </w:tblCellMar>
        </w:tblPrEx>
        <w:trPr>
          <w:trHeight w:val="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中国工商银行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13809159860</w:t>
            </w:r>
          </w:p>
        </w:tc>
      </w:tr>
    </w:tbl>
    <w:p>
      <w:pPr>
        <w:pStyle w:val="33"/>
        <w:rPr>
          <w:rFonts w:hint="eastAsia"/>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spacing w:afterLines="50"/>
        <w:jc w:val="center"/>
        <w:rPr>
          <w:rFonts w:hint="eastAsia" w:ascii="仿宋" w:hAnsi="仿宋" w:eastAsia="仿宋" w:cs="仿宋"/>
          <w:color w:val="auto"/>
          <w:sz w:val="32"/>
          <w:szCs w:val="32"/>
          <w:highlight w:val="none"/>
        </w:rPr>
      </w:pPr>
      <w:bookmarkStart w:id="76" w:name="_Toc10644"/>
      <w:r>
        <w:rPr>
          <w:rFonts w:hint="eastAsia" w:ascii="仿宋" w:hAnsi="仿宋" w:eastAsia="仿宋" w:cs="仿宋"/>
          <w:color w:val="auto"/>
          <w:sz w:val="32"/>
          <w:szCs w:val="32"/>
          <w:highlight w:val="none"/>
        </w:rPr>
        <w:t>第三章</w:t>
      </w:r>
      <w:bookmarkEnd w:id="70"/>
      <w:bookmarkEnd w:id="71"/>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评审方法</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一、评审方法</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按照《中华人民共和国政府采购法》</w:t>
      </w:r>
      <w:r>
        <w:rPr>
          <w:rFonts w:hint="eastAsia" w:ascii="仿宋" w:hAnsi="仿宋" w:eastAsia="仿宋" w:cs="仿宋"/>
          <w:color w:val="auto"/>
          <w:sz w:val="24"/>
          <w:szCs w:val="24"/>
          <w:highlight w:val="none"/>
          <w:lang w:eastAsia="zh-CN"/>
        </w:rPr>
        <w:t>及实施条例</w:t>
      </w:r>
      <w:r>
        <w:rPr>
          <w:rFonts w:hint="eastAsia" w:ascii="仿宋" w:hAnsi="仿宋" w:eastAsia="仿宋" w:cs="仿宋"/>
          <w:color w:val="auto"/>
          <w:sz w:val="24"/>
          <w:szCs w:val="24"/>
          <w:highlight w:val="none"/>
        </w:rPr>
        <w:t>和关于印发《政府采购竞争性磋商采购方式管理暂行办法》的通知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财库</w:t>
      </w:r>
      <w:r>
        <w:rPr>
          <w:rFonts w:hint="eastAsia" w:ascii="仿宋" w:hAnsi="仿宋" w:eastAsia="仿宋" w:cs="仿宋"/>
          <w:color w:val="auto"/>
          <w:sz w:val="24"/>
          <w:szCs w:val="24"/>
          <w:highlight w:val="none"/>
          <w:lang w:eastAsia="zh-CN"/>
        </w:rPr>
        <w:t>〔2014〕</w:t>
      </w:r>
      <w:r>
        <w:rPr>
          <w:rFonts w:hint="eastAsia" w:ascii="仿宋" w:hAnsi="仿宋" w:eastAsia="仿宋" w:cs="仿宋"/>
          <w:color w:val="auto"/>
          <w:sz w:val="24"/>
          <w:szCs w:val="24"/>
          <w:highlight w:val="none"/>
        </w:rPr>
        <w:t>214号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pacing w:val="4"/>
          <w:sz w:val="24"/>
          <w:szCs w:val="24"/>
          <w:highlight w:val="none"/>
        </w:rPr>
        <w:t>的规定，本次</w:t>
      </w:r>
      <w:r>
        <w:rPr>
          <w:rFonts w:hint="eastAsia" w:ascii="仿宋" w:hAnsi="仿宋" w:eastAsia="仿宋" w:cs="仿宋"/>
          <w:color w:val="auto"/>
          <w:spacing w:val="4"/>
          <w:sz w:val="24"/>
          <w:szCs w:val="24"/>
          <w:highlight w:val="none"/>
          <w:lang w:eastAsia="zh-CN"/>
        </w:rPr>
        <w:t>评审</w:t>
      </w:r>
      <w:r>
        <w:rPr>
          <w:rFonts w:hint="eastAsia" w:ascii="仿宋" w:hAnsi="仿宋" w:eastAsia="仿宋" w:cs="仿宋"/>
          <w:color w:val="auto"/>
          <w:spacing w:val="4"/>
          <w:sz w:val="24"/>
          <w:szCs w:val="24"/>
          <w:highlight w:val="none"/>
        </w:rPr>
        <w:t>采用综合评分法</w:t>
      </w:r>
      <w:r>
        <w:rPr>
          <w:rFonts w:hint="eastAsia" w:ascii="仿宋" w:hAnsi="仿宋" w:eastAsia="仿宋" w:cs="仿宋"/>
          <w:color w:val="auto"/>
          <w:spacing w:val="4"/>
          <w:sz w:val="24"/>
          <w:szCs w:val="24"/>
          <w:highlight w:val="none"/>
          <w:lang w:eastAsia="zh-CN"/>
        </w:rPr>
        <w:t>，</w:t>
      </w:r>
      <w:r>
        <w:rPr>
          <w:rFonts w:hint="eastAsia" w:ascii="仿宋" w:hAnsi="仿宋" w:eastAsia="仿宋" w:cs="仿宋"/>
          <w:color w:val="auto"/>
          <w:sz w:val="24"/>
          <w:szCs w:val="24"/>
          <w:highlight w:val="none"/>
        </w:rPr>
        <w:t>即在最大限度地满足竞争性磋商文件实质性要求前提下，按照竞争性磋商文件中规定的各项因素和相应的权重分值进行综合评审后，以总得分最高的供应商作为成交候选</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并依次排序（最低报价不是</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的唯一标准）。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bookmarkStart w:id="77" w:name="_Toc465432103"/>
      <w:r>
        <w:rPr>
          <w:rFonts w:hint="eastAsia" w:ascii="仿宋" w:hAnsi="仿宋" w:eastAsia="仿宋" w:cs="仿宋"/>
          <w:b/>
          <w:color w:val="auto"/>
          <w:sz w:val="24"/>
          <w:szCs w:val="24"/>
          <w:highlight w:val="none"/>
          <w:lang w:eastAsia="zh-CN"/>
        </w:rPr>
        <w:t>二、评审原则</w:t>
      </w:r>
      <w:bookmarkEnd w:id="77"/>
    </w:p>
    <w:p>
      <w:pPr>
        <w:widowControl/>
        <w:snapToGrid w:val="0"/>
        <w:spacing w:line="360" w:lineRule="auto"/>
        <w:ind w:firstLine="31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1、公平、公正、科学、择优。</w:t>
      </w:r>
    </w:p>
    <w:p>
      <w:pPr>
        <w:widowControl/>
        <w:snapToGrid w:val="0"/>
        <w:spacing w:line="360" w:lineRule="auto"/>
        <w:ind w:firstLine="31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sz w:val="24"/>
          <w:highlight w:val="none"/>
        </w:rPr>
        <w:t>工程质量符合国家各项施工及验收规范标准、工期满足</w:t>
      </w:r>
      <w:r>
        <w:rPr>
          <w:rFonts w:hint="eastAsia" w:ascii="仿宋" w:hAnsi="仿宋" w:eastAsia="仿宋" w:cs="仿宋"/>
          <w:color w:val="auto"/>
          <w:sz w:val="24"/>
          <w:highlight w:val="none"/>
          <w:lang w:eastAsia="zh-CN"/>
        </w:rPr>
        <w:t>竞争性磋商文件</w:t>
      </w:r>
      <w:r>
        <w:rPr>
          <w:rFonts w:hint="eastAsia" w:ascii="仿宋" w:hAnsi="仿宋" w:eastAsia="仿宋" w:cs="仿宋"/>
          <w:color w:val="auto"/>
          <w:sz w:val="24"/>
          <w:highlight w:val="none"/>
        </w:rPr>
        <w:t>要求、施工方案合理可行、</w:t>
      </w:r>
      <w:r>
        <w:rPr>
          <w:rFonts w:hint="eastAsia" w:ascii="仿宋" w:hAnsi="仿宋" w:eastAsia="仿宋" w:cs="仿宋"/>
          <w:color w:val="auto"/>
          <w:sz w:val="24"/>
          <w:highlight w:val="none"/>
          <w:lang w:eastAsia="zh-CN"/>
        </w:rPr>
        <w:t>磋商报价</w:t>
      </w:r>
      <w:r>
        <w:rPr>
          <w:rFonts w:hint="eastAsia" w:ascii="仿宋" w:hAnsi="仿宋" w:eastAsia="仿宋" w:cs="仿宋"/>
          <w:color w:val="auto"/>
          <w:sz w:val="24"/>
          <w:highlight w:val="none"/>
        </w:rPr>
        <w:t>合理低价</w:t>
      </w:r>
      <w:r>
        <w:rPr>
          <w:rFonts w:hint="eastAsia" w:ascii="仿宋" w:hAnsi="仿宋" w:eastAsia="仿宋" w:cs="仿宋"/>
          <w:color w:val="auto"/>
          <w:kern w:val="0"/>
          <w:sz w:val="24"/>
          <w:highlight w:val="none"/>
        </w:rPr>
        <w:t>。</w:t>
      </w:r>
    </w:p>
    <w:p>
      <w:pPr>
        <w:widowControl/>
        <w:snapToGrid w:val="0"/>
        <w:spacing w:line="360" w:lineRule="auto"/>
        <w:ind w:firstLine="31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3、禁止不正当竞争。</w:t>
      </w:r>
      <w:bookmarkStart w:id="78" w:name="_Toc3634633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三、评审程序</w:t>
      </w:r>
      <w:bookmarkEnd w:id="78"/>
    </w:p>
    <w:p>
      <w:pPr>
        <w:pStyle w:val="2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96" w:firstLineChars="200"/>
        <w:textAlignment w:val="auto"/>
        <w:outlineLvl w:val="9"/>
        <w:rPr>
          <w:rFonts w:hint="eastAsia" w:ascii="仿宋" w:hAnsi="仿宋" w:eastAsia="仿宋" w:cs="仿宋"/>
          <w:b w:val="0"/>
          <w:bCs/>
          <w:color w:val="auto"/>
          <w:spacing w:val="4"/>
          <w:kern w:val="2"/>
          <w:sz w:val="24"/>
          <w:szCs w:val="24"/>
          <w:highlight w:val="none"/>
          <w:lang w:val="en-US" w:eastAsia="zh-CN" w:bidi="ar-SA"/>
        </w:rPr>
      </w:pPr>
      <w:r>
        <w:rPr>
          <w:rFonts w:hint="eastAsia" w:ascii="仿宋" w:hAnsi="仿宋" w:eastAsia="仿宋" w:cs="仿宋"/>
          <w:b w:val="0"/>
          <w:bCs/>
          <w:color w:val="auto"/>
          <w:spacing w:val="4"/>
          <w:kern w:val="2"/>
          <w:sz w:val="24"/>
          <w:szCs w:val="24"/>
          <w:highlight w:val="none"/>
          <w:lang w:val="en-US" w:eastAsia="zh-CN" w:bidi="ar-SA"/>
        </w:rPr>
        <w:t>按照竞争性磋商响应文件初审、澄清有关问题、分别磋商、二次报价、比较与评审、推荐成交候选人名单。在上一步评审中被认定为无效磋商者，不进入下一步的评审。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rightChars="0" w:firstLine="472" w:firstLineChars="196"/>
        <w:jc w:val="both"/>
        <w:textAlignment w:val="auto"/>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right="0" w:rightChars="0" w:firstLine="470" w:firstLineChars="196"/>
        <w:jc w:val="both"/>
        <w:textAlignment w:val="auto"/>
        <w:outlineLvl w:val="9"/>
        <w:rPr>
          <w:rFonts w:hint="eastAsia" w:ascii="仿宋" w:hAnsi="仿宋" w:eastAsia="仿宋" w:cs="仿宋"/>
          <w:b w:val="0"/>
          <w:bCs w:val="0"/>
          <w:color w:val="auto"/>
          <w:spacing w:val="4"/>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1.1</w:t>
      </w:r>
      <w:r>
        <w:rPr>
          <w:rFonts w:hint="eastAsia" w:ascii="仿宋" w:hAnsi="仿宋" w:eastAsia="仿宋" w:cs="仿宋"/>
          <w:b w:val="0"/>
          <w:bCs w:val="0"/>
          <w:color w:val="auto"/>
          <w:sz w:val="24"/>
          <w:highlight w:val="none"/>
        </w:rPr>
        <w:t>资格性审查</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pacing w:val="4"/>
          <w:kern w:val="2"/>
          <w:sz w:val="24"/>
          <w:szCs w:val="24"/>
          <w:highlight w:val="none"/>
          <w:lang w:val="en-US" w:eastAsia="zh-CN" w:bidi="ar-SA"/>
        </w:rPr>
        <w:t>采购人将依据本章“四、评审标准 1、初步评审标准”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rightChars="0" w:firstLine="0" w:firstLineChars="0"/>
        <w:jc w:val="both"/>
        <w:textAlignment w:val="auto"/>
        <w:outlineLvl w:val="9"/>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pacing w:val="4"/>
          <w:kern w:val="2"/>
          <w:sz w:val="24"/>
          <w:szCs w:val="24"/>
          <w:highlight w:val="none"/>
          <w:lang w:val="en-US" w:eastAsia="zh-CN" w:bidi="ar-SA"/>
        </w:rPr>
        <w:t>第1.1</w:t>
      </w:r>
      <w:r>
        <w:rPr>
          <w:rFonts w:hint="eastAsia" w:ascii="仿宋" w:hAnsi="仿宋" w:eastAsia="仿宋" w:cs="仿宋"/>
          <w:b w:val="0"/>
          <w:bCs w:val="0"/>
          <w:color w:val="auto"/>
          <w:sz w:val="24"/>
          <w:highlight w:val="none"/>
        </w:rPr>
        <w:t>项规定的评审标准对</w:t>
      </w:r>
      <w:r>
        <w:rPr>
          <w:rFonts w:hint="eastAsia" w:ascii="仿宋" w:hAnsi="仿宋" w:eastAsia="仿宋" w:cs="仿宋"/>
          <w:b w:val="0"/>
          <w:bCs w:val="0"/>
          <w:color w:val="auto"/>
          <w:sz w:val="24"/>
          <w:highlight w:val="none"/>
          <w:lang w:eastAsia="zh-CN"/>
        </w:rPr>
        <w:t>供应商</w:t>
      </w:r>
      <w:r>
        <w:rPr>
          <w:rFonts w:hint="eastAsia" w:ascii="仿宋" w:hAnsi="仿宋" w:eastAsia="仿宋" w:cs="仿宋"/>
          <w:b w:val="0"/>
          <w:bCs w:val="0"/>
          <w:color w:val="auto"/>
          <w:sz w:val="24"/>
          <w:highlight w:val="none"/>
        </w:rPr>
        <w:t>进行资格性审查</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有一项不符合评审标准的，</w:t>
      </w:r>
      <w:r>
        <w:rPr>
          <w:rFonts w:hint="eastAsia" w:ascii="仿宋" w:hAnsi="仿宋" w:eastAsia="仿宋" w:cs="仿宋"/>
          <w:b w:val="0"/>
          <w:bCs w:val="0"/>
          <w:color w:val="auto"/>
          <w:kern w:val="0"/>
          <w:sz w:val="24"/>
          <w:highlight w:val="none"/>
        </w:rPr>
        <w:t>将被视为未实质性响应</w:t>
      </w:r>
      <w:r>
        <w:rPr>
          <w:rFonts w:hint="eastAsia" w:ascii="仿宋" w:hAnsi="仿宋" w:eastAsia="仿宋" w:cs="仿宋"/>
          <w:b w:val="0"/>
          <w:bCs w:val="0"/>
          <w:color w:val="auto"/>
          <w:kern w:val="0"/>
          <w:sz w:val="24"/>
          <w:highlight w:val="none"/>
          <w:lang w:eastAsia="zh-CN"/>
        </w:rPr>
        <w:t>磋商</w:t>
      </w:r>
      <w:r>
        <w:rPr>
          <w:rFonts w:hint="eastAsia" w:ascii="仿宋" w:hAnsi="仿宋" w:eastAsia="仿宋" w:cs="仿宋"/>
          <w:b w:val="0"/>
          <w:bCs w:val="0"/>
          <w:color w:val="auto"/>
          <w:kern w:val="0"/>
          <w:sz w:val="24"/>
          <w:highlight w:val="none"/>
        </w:rPr>
        <w:t>文件</w:t>
      </w:r>
      <w:r>
        <w:rPr>
          <w:rFonts w:hint="eastAsia" w:ascii="仿宋" w:hAnsi="仿宋" w:eastAsia="仿宋" w:cs="仿宋"/>
          <w:b w:val="0"/>
          <w:bCs w:val="0"/>
          <w:color w:val="auto"/>
          <w:kern w:val="0"/>
          <w:sz w:val="24"/>
          <w:highlight w:val="none"/>
          <w:lang w:eastAsia="zh-CN"/>
        </w:rPr>
        <w:t>，其磋商响应文件将按无效文件处理</w:t>
      </w:r>
      <w:r>
        <w:rPr>
          <w:rFonts w:hint="eastAsia" w:ascii="仿宋" w:hAnsi="仿宋" w:eastAsia="仿宋" w:cs="仿宋"/>
          <w:b w:val="0"/>
          <w:bCs w:val="0"/>
          <w:color w:val="auto"/>
          <w:kern w:val="0"/>
          <w:sz w:val="24"/>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right="0" w:rightChars="0" w:firstLine="486" w:firstLineChars="196"/>
        <w:jc w:val="both"/>
        <w:textAlignment w:val="auto"/>
        <w:outlineLvl w:val="9"/>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1</w:t>
      </w:r>
      <w:r>
        <w:rPr>
          <w:rFonts w:hint="eastAsia" w:ascii="仿宋" w:hAnsi="仿宋" w:eastAsia="仿宋" w:cs="仿宋"/>
          <w:b w:val="0"/>
          <w:bCs w:val="0"/>
          <w:color w:val="auto"/>
          <w:spacing w:val="4"/>
          <w:sz w:val="24"/>
          <w:szCs w:val="24"/>
          <w:highlight w:val="none"/>
        </w:rPr>
        <w:t>.2符合性审查</w:t>
      </w:r>
      <w:r>
        <w:rPr>
          <w:rFonts w:hint="eastAsia" w:ascii="仿宋" w:hAnsi="仿宋" w:eastAsia="仿宋" w:cs="仿宋"/>
          <w:b w:val="0"/>
          <w:bCs w:val="0"/>
          <w:color w:val="auto"/>
          <w:spacing w:val="4"/>
          <w:sz w:val="24"/>
          <w:szCs w:val="24"/>
          <w:highlight w:val="none"/>
          <w:lang w:eastAsia="zh-CN"/>
        </w:rPr>
        <w:t>：磋商小组</w:t>
      </w:r>
      <w:r>
        <w:rPr>
          <w:rFonts w:hint="eastAsia" w:ascii="仿宋" w:hAnsi="仿宋" w:eastAsia="仿宋" w:cs="仿宋"/>
          <w:b w:val="0"/>
          <w:bCs w:val="0"/>
          <w:color w:val="auto"/>
          <w:spacing w:val="4"/>
          <w:sz w:val="24"/>
          <w:szCs w:val="24"/>
          <w:highlight w:val="none"/>
        </w:rPr>
        <w:t>根据本章</w:t>
      </w:r>
      <w:r>
        <w:rPr>
          <w:rFonts w:hint="eastAsia" w:ascii="仿宋" w:hAnsi="仿宋" w:eastAsia="仿宋" w:cs="仿宋"/>
          <w:b w:val="0"/>
          <w:bCs w:val="0"/>
          <w:color w:val="auto"/>
          <w:spacing w:val="4"/>
          <w:sz w:val="24"/>
          <w:szCs w:val="24"/>
          <w:highlight w:val="none"/>
          <w:lang w:val="en-US" w:eastAsia="zh-CN"/>
        </w:rPr>
        <w:t>“四、评审标准 1、初步评审标准”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rightChars="0" w:firstLine="0" w:firstLineChars="0"/>
        <w:jc w:val="both"/>
        <w:textAlignment w:val="auto"/>
        <w:outlineLvl w:val="9"/>
        <w:rPr>
          <w:rFonts w:hint="eastAsia" w:ascii="仿宋" w:hAnsi="仿宋" w:eastAsia="仿宋" w:cs="仿宋"/>
          <w:b w:val="0"/>
          <w:bCs w:val="0"/>
          <w:color w:val="auto"/>
          <w:spacing w:val="4"/>
          <w:sz w:val="24"/>
          <w:szCs w:val="24"/>
          <w:highlight w:val="none"/>
        </w:rPr>
      </w:pPr>
      <w:r>
        <w:rPr>
          <w:rFonts w:hint="eastAsia" w:ascii="仿宋" w:hAnsi="仿宋" w:eastAsia="仿宋" w:cs="仿宋"/>
          <w:b w:val="0"/>
          <w:bCs w:val="0"/>
          <w:color w:val="auto"/>
          <w:spacing w:val="4"/>
          <w:sz w:val="24"/>
          <w:szCs w:val="24"/>
          <w:highlight w:val="none"/>
          <w:lang w:val="en-US" w:eastAsia="zh-CN"/>
        </w:rPr>
        <w:t>第1.2</w:t>
      </w:r>
      <w:r>
        <w:rPr>
          <w:rFonts w:hint="eastAsia" w:ascii="仿宋" w:hAnsi="仿宋" w:eastAsia="仿宋" w:cs="仿宋"/>
          <w:b w:val="0"/>
          <w:bCs w:val="0"/>
          <w:color w:val="auto"/>
          <w:spacing w:val="4"/>
          <w:sz w:val="24"/>
          <w:szCs w:val="24"/>
          <w:highlight w:val="none"/>
        </w:rPr>
        <w:t>项规定的评审标准对</w:t>
      </w:r>
      <w:r>
        <w:rPr>
          <w:rFonts w:hint="eastAsia" w:ascii="仿宋" w:hAnsi="仿宋" w:eastAsia="仿宋" w:cs="仿宋"/>
          <w:b w:val="0"/>
          <w:bCs w:val="0"/>
          <w:color w:val="auto"/>
          <w:spacing w:val="4"/>
          <w:sz w:val="24"/>
          <w:szCs w:val="24"/>
          <w:highlight w:val="none"/>
          <w:lang w:eastAsia="zh-CN"/>
        </w:rPr>
        <w:t>磋商响应文件</w:t>
      </w:r>
      <w:r>
        <w:rPr>
          <w:rFonts w:hint="eastAsia" w:ascii="仿宋" w:hAnsi="仿宋" w:eastAsia="仿宋" w:cs="仿宋"/>
          <w:b w:val="0"/>
          <w:bCs w:val="0"/>
          <w:color w:val="auto"/>
          <w:spacing w:val="4"/>
          <w:sz w:val="24"/>
          <w:szCs w:val="24"/>
          <w:highlight w:val="none"/>
        </w:rPr>
        <w:t>进行符合性</w:t>
      </w:r>
      <w:r>
        <w:rPr>
          <w:rFonts w:hint="eastAsia" w:ascii="仿宋" w:hAnsi="仿宋" w:eastAsia="仿宋" w:cs="仿宋"/>
          <w:b w:val="0"/>
          <w:bCs w:val="0"/>
          <w:color w:val="auto"/>
          <w:spacing w:val="4"/>
          <w:sz w:val="24"/>
          <w:szCs w:val="24"/>
          <w:highlight w:val="none"/>
          <w:lang w:eastAsia="zh-CN"/>
        </w:rPr>
        <w:t>审查</w:t>
      </w:r>
      <w:r>
        <w:rPr>
          <w:rFonts w:hint="eastAsia" w:ascii="仿宋" w:hAnsi="仿宋" w:eastAsia="仿宋" w:cs="仿宋"/>
          <w:b w:val="0"/>
          <w:bCs w:val="0"/>
          <w:color w:val="auto"/>
          <w:spacing w:val="4"/>
          <w:sz w:val="24"/>
          <w:szCs w:val="24"/>
          <w:highlight w:val="none"/>
        </w:rPr>
        <w:t>。有一项不符合评审标准的，将被视为未实质性响应磋商文件，其磋商响应文件将按无效文件处理。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right="0" w:rightChars="0" w:firstLine="486" w:firstLineChars="196"/>
        <w:jc w:val="both"/>
        <w:textAlignment w:val="auto"/>
        <w:outlineLvl w:val="9"/>
        <w:rPr>
          <w:rFonts w:hint="eastAsia" w:ascii="仿宋" w:hAnsi="仿宋" w:eastAsia="仿宋" w:cs="仿宋"/>
          <w:b w:val="0"/>
          <w:bCs w:val="0"/>
          <w:color w:val="auto"/>
          <w:highlight w:val="none"/>
          <w:lang w:val="en-US" w:eastAsia="zh-CN"/>
        </w:rPr>
      </w:pPr>
      <w:r>
        <w:rPr>
          <w:rFonts w:hint="eastAsia" w:ascii="仿宋" w:hAnsi="仿宋" w:eastAsia="仿宋" w:cs="仿宋"/>
          <w:b w:val="0"/>
          <w:bCs w:val="0"/>
          <w:color w:val="auto"/>
          <w:spacing w:val="4"/>
          <w:sz w:val="24"/>
          <w:szCs w:val="24"/>
          <w:highlight w:val="none"/>
          <w:lang w:val="en-US" w:eastAsia="zh-CN"/>
        </w:rPr>
        <w:t>1.3</w:t>
      </w:r>
      <w:r>
        <w:rPr>
          <w:rFonts w:hint="eastAsia" w:ascii="仿宋" w:hAnsi="仿宋" w:eastAsia="仿宋" w:cs="仿宋"/>
          <w:b w:val="0"/>
          <w:bCs w:val="0"/>
          <w:color w:val="auto"/>
          <w:spacing w:val="4"/>
          <w:sz w:val="24"/>
          <w:szCs w:val="24"/>
          <w:highlight w:val="none"/>
        </w:rPr>
        <w:t>在资格性审查</w:t>
      </w:r>
      <w:r>
        <w:rPr>
          <w:rFonts w:hint="eastAsia" w:ascii="仿宋" w:hAnsi="仿宋" w:eastAsia="仿宋" w:cs="仿宋"/>
          <w:b w:val="0"/>
          <w:bCs w:val="0"/>
          <w:color w:val="auto"/>
          <w:spacing w:val="4"/>
          <w:sz w:val="24"/>
          <w:szCs w:val="24"/>
          <w:highlight w:val="none"/>
          <w:lang w:eastAsia="zh-CN"/>
        </w:rPr>
        <w:t>阶</w:t>
      </w:r>
      <w:r>
        <w:rPr>
          <w:rFonts w:hint="eastAsia" w:ascii="仿宋" w:hAnsi="仿宋" w:eastAsia="仿宋" w:cs="仿宋"/>
          <w:b w:val="0"/>
          <w:bCs w:val="0"/>
          <w:color w:val="auto"/>
          <w:spacing w:val="4"/>
          <w:sz w:val="24"/>
          <w:szCs w:val="24"/>
          <w:highlight w:val="none"/>
        </w:rPr>
        <w:t>段，不符合</w:t>
      </w:r>
      <w:r>
        <w:rPr>
          <w:rFonts w:hint="eastAsia" w:ascii="仿宋" w:hAnsi="仿宋" w:eastAsia="仿宋" w:cs="仿宋"/>
          <w:b w:val="0"/>
          <w:bCs w:val="0"/>
          <w:color w:val="auto"/>
          <w:spacing w:val="4"/>
          <w:sz w:val="24"/>
          <w:szCs w:val="24"/>
          <w:highlight w:val="none"/>
          <w:lang w:eastAsia="zh-CN"/>
        </w:rPr>
        <w:t>磋商文件</w:t>
      </w:r>
      <w:r>
        <w:rPr>
          <w:rFonts w:hint="eastAsia" w:ascii="仿宋" w:hAnsi="仿宋" w:eastAsia="仿宋" w:cs="仿宋"/>
          <w:b w:val="0"/>
          <w:bCs w:val="0"/>
          <w:color w:val="auto"/>
          <w:spacing w:val="4"/>
          <w:sz w:val="24"/>
          <w:szCs w:val="24"/>
          <w:highlight w:val="none"/>
        </w:rPr>
        <w:t>要求的，不得进入符合性审查，在符合性审查时未通过的，不得进入后续评审环节。</w:t>
      </w:r>
    </w:p>
    <w:p>
      <w:pPr>
        <w:keepNext w:val="0"/>
        <w:keepLines w:val="0"/>
        <w:pageBreakBefore w:val="0"/>
        <w:widowControl w:val="0"/>
        <w:kinsoku/>
        <w:wordWrap/>
        <w:overflowPunct/>
        <w:topLinePunct w:val="0"/>
        <w:autoSpaceDE/>
        <w:autoSpaceDN/>
        <w:bidi w:val="0"/>
        <w:spacing w:before="120" w:beforeLines="50" w:after="120" w:afterLines="50" w:line="500" w:lineRule="exact"/>
        <w:ind w:right="0" w:rightChars="0" w:firstLine="482" w:firstLineChars="200"/>
        <w:jc w:val="both"/>
        <w:textAlignment w:val="auto"/>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磋商响应</w:t>
      </w:r>
      <w:r>
        <w:rPr>
          <w:rFonts w:hint="eastAsia" w:ascii="仿宋" w:hAnsi="仿宋" w:eastAsia="仿宋" w:cs="仿宋"/>
          <w:b/>
          <w:color w:val="auto"/>
          <w:sz w:val="24"/>
          <w:highlight w:val="none"/>
        </w:rPr>
        <w:t>文件的澄清</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rightChars="0" w:firstLine="486" w:firstLineChars="196"/>
        <w:jc w:val="both"/>
        <w:textAlignment w:val="auto"/>
        <w:outlineLvl w:val="9"/>
        <w:rPr>
          <w:rFonts w:hint="eastAsia" w:ascii="仿宋" w:hAnsi="仿宋" w:eastAsia="仿宋" w:cs="仿宋"/>
          <w:b w:val="0"/>
          <w:bCs/>
          <w:color w:val="auto"/>
          <w:spacing w:val="4"/>
          <w:kern w:val="2"/>
          <w:sz w:val="24"/>
          <w:szCs w:val="24"/>
          <w:highlight w:val="none"/>
          <w:lang w:val="en-US" w:eastAsia="zh-CN" w:bidi="ar-SA"/>
        </w:rPr>
      </w:pPr>
      <w:r>
        <w:rPr>
          <w:rFonts w:hint="eastAsia" w:ascii="仿宋" w:hAnsi="仿宋" w:eastAsia="仿宋" w:cs="仿宋"/>
          <w:b w:val="0"/>
          <w:bCs/>
          <w:color w:val="auto"/>
          <w:spacing w:val="4"/>
          <w:kern w:val="2"/>
          <w:sz w:val="24"/>
          <w:szCs w:val="24"/>
          <w:highlight w:val="none"/>
          <w:lang w:val="en-US" w:eastAsia="zh-CN" w:bidi="ar-SA"/>
        </w:rPr>
        <w:t>2.1磋商小组发现供应商的报价明显低于其他磋商报价、或明显低于市场价格，使得其磋商报价可能低于其成本的，有可能影响产品质量或者不能诚信履约的，应当要求其在合理的时间内做出书面说明，必要时提交相关证明材料。供应商不能证明其报价合理性的，由磋商小组将其作为无效响应处理。</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rightChars="0" w:firstLine="486" w:firstLineChars="196"/>
        <w:jc w:val="both"/>
        <w:textAlignment w:val="auto"/>
        <w:outlineLvl w:val="9"/>
        <w:rPr>
          <w:rFonts w:hint="eastAsia" w:ascii="仿宋" w:hAnsi="仿宋" w:eastAsia="仿宋" w:cs="仿宋"/>
          <w:b w:val="0"/>
          <w:bCs/>
          <w:color w:val="auto"/>
          <w:spacing w:val="4"/>
          <w:kern w:val="2"/>
          <w:sz w:val="24"/>
          <w:szCs w:val="24"/>
          <w:highlight w:val="none"/>
          <w:lang w:val="en-US" w:eastAsia="zh-CN" w:bidi="ar-SA"/>
        </w:rPr>
      </w:pPr>
      <w:r>
        <w:rPr>
          <w:rFonts w:hint="eastAsia" w:ascii="仿宋" w:hAnsi="仿宋" w:eastAsia="仿宋" w:cs="仿宋"/>
          <w:b w:val="0"/>
          <w:bCs/>
          <w:color w:val="auto"/>
          <w:spacing w:val="4"/>
          <w:kern w:val="2"/>
          <w:sz w:val="24"/>
          <w:szCs w:val="24"/>
          <w:highlight w:val="none"/>
          <w:lang w:val="en-US" w:eastAsia="zh-CN" w:bidi="ar-SA"/>
        </w:rPr>
        <w:t>2.2有效的书面澄清材料，是磋商响应文件的补充材料，成为磋商响应文件的组成部分。</w:t>
      </w:r>
    </w:p>
    <w:p>
      <w:pPr>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pPr>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rPr>
        <w:t>2.4、如果供应商在澄清规定期限内，未能答复或拒绝答复磋商小组提出的澄清要求，将由磋商小组根据其竞争性磋商响应文件按最大风险进行评审。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3、磋商：</w:t>
      </w:r>
      <w:r>
        <w:rPr>
          <w:rFonts w:hint="eastAsia" w:ascii="仿宋" w:hAnsi="仿宋" w:eastAsia="仿宋" w:cs="仿宋"/>
          <w:color w:val="auto"/>
          <w:sz w:val="24"/>
          <w:szCs w:val="24"/>
          <w:highlight w:val="none"/>
        </w:rPr>
        <w:t>磋商小组所有成员集中与单一供应商分别进行磋商，并要求供应商在规定的时间内提交最后报价。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2" w:firstLineChars="25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4、磋商过程中的实质性变动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5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5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4.2对竞争性磋商文件做出的实质性变动是磋商文件的有效组成部分，磋商小组应当及时以书面形式通知所有参加磋商的供应商。</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right="0" w:rightChars="0" w:firstLine="602" w:firstLineChars="25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综合评审：</w:t>
      </w:r>
      <w:r>
        <w:rPr>
          <w:rFonts w:hint="eastAsia" w:ascii="仿宋" w:hAnsi="仿宋" w:eastAsia="仿宋" w:cs="仿宋"/>
          <w:color w:val="auto"/>
          <w:sz w:val="24"/>
          <w:szCs w:val="24"/>
          <w:highlight w:val="none"/>
        </w:rPr>
        <w:t>对于经初审合格的所有供应商，由磋商小组各成员依据磋商响应文件和最终报价，按照下列</w:t>
      </w:r>
      <w:r>
        <w:rPr>
          <w:rFonts w:hint="eastAsia" w:ascii="仿宋" w:hAnsi="仿宋" w:eastAsia="仿宋" w:cs="仿宋"/>
          <w:color w:val="auto"/>
          <w:sz w:val="24"/>
          <w:szCs w:val="24"/>
          <w:highlight w:val="none"/>
          <w:lang w:eastAsia="zh-CN"/>
        </w:rPr>
        <w:t>评审方法</w:t>
      </w:r>
      <w:r>
        <w:rPr>
          <w:rFonts w:hint="eastAsia" w:ascii="仿宋" w:hAnsi="仿宋" w:eastAsia="仿宋" w:cs="仿宋"/>
          <w:color w:val="auto"/>
          <w:sz w:val="24"/>
          <w:szCs w:val="24"/>
          <w:highlight w:val="none"/>
        </w:rPr>
        <w:t>规定的内容独立进行综合评价、比较打分，然后汇总每个供应商的得分，从高到低依次排序，推荐</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right="0" w:rightChars="0" w:firstLine="602" w:firstLineChars="25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推荐</w:t>
      </w:r>
      <w:r>
        <w:rPr>
          <w:rFonts w:hint="eastAsia" w:ascii="仿宋" w:hAnsi="仿宋" w:eastAsia="仿宋" w:cs="仿宋"/>
          <w:b/>
          <w:bCs/>
          <w:color w:val="auto"/>
          <w:sz w:val="24"/>
          <w:szCs w:val="24"/>
          <w:highlight w:val="none"/>
        </w:rPr>
        <w:t>成交候选人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磋商小组完成评审后，向采购人提出书面评审，并推荐</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名成交候选人，标明排列顺序。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四、评审标准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outlineLvl w:val="9"/>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outlineLvl w:val="9"/>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lang w:val="en-US" w:eastAsia="zh-CN"/>
        </w:rPr>
        <w:t>1.1</w:t>
      </w:r>
      <w:r>
        <w:rPr>
          <w:rFonts w:hint="eastAsia" w:ascii="仿宋" w:hAnsi="仿宋" w:eastAsia="仿宋" w:cs="仿宋"/>
          <w:b w:val="0"/>
          <w:bCs w:val="0"/>
          <w:color w:val="auto"/>
          <w:sz w:val="24"/>
          <w:highlight w:val="none"/>
        </w:rPr>
        <w:t>资格性审查</w:t>
      </w:r>
      <w:r>
        <w:rPr>
          <w:rFonts w:hint="eastAsia" w:ascii="仿宋" w:hAnsi="仿宋" w:eastAsia="仿宋" w:cs="仿宋"/>
          <w:b w:val="0"/>
          <w:bCs w:val="0"/>
          <w:color w:val="auto"/>
          <w:sz w:val="24"/>
          <w:highlight w:val="none"/>
          <w:lang w:eastAsia="zh-CN"/>
        </w:rPr>
        <w:t>标准：见附件</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outlineLvl w:val="9"/>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2符合性审查</w:t>
      </w:r>
      <w:r>
        <w:rPr>
          <w:rFonts w:hint="eastAsia" w:ascii="仿宋" w:hAnsi="仿宋" w:eastAsia="仿宋" w:cs="仿宋"/>
          <w:b w:val="0"/>
          <w:bCs w:val="0"/>
          <w:color w:val="auto"/>
          <w:sz w:val="24"/>
          <w:highlight w:val="none"/>
          <w:lang w:eastAsia="zh-CN"/>
        </w:rPr>
        <w:t>标准：见附件</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outlineLvl w:val="9"/>
        <w:rPr>
          <w:rFonts w:hint="eastAsia" w:ascii="仿宋" w:hAnsi="仿宋" w:eastAsia="仿宋" w:cs="仿宋"/>
          <w:b/>
          <w:color w:val="auto"/>
          <w:sz w:val="24"/>
          <w:szCs w:val="22"/>
          <w:highlight w:val="none"/>
          <w:lang w:val="en-US" w:eastAsia="zh-CN"/>
        </w:rPr>
      </w:pPr>
      <w:r>
        <w:rPr>
          <w:rFonts w:hint="eastAsia" w:ascii="仿宋" w:hAnsi="仿宋" w:eastAsia="仿宋" w:cs="仿宋"/>
          <w:b/>
          <w:color w:val="auto"/>
          <w:sz w:val="24"/>
          <w:szCs w:val="22"/>
          <w:highlight w:val="none"/>
          <w:lang w:val="en-US" w:eastAsia="zh-CN"/>
        </w:rPr>
        <w:t>2、分值构成与评分标准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outlineLvl w:val="9"/>
        <w:rPr>
          <w:rFonts w:hint="eastAsia" w:ascii="仿宋" w:hAnsi="仿宋" w:eastAsia="仿宋" w:cs="仿宋"/>
          <w:b/>
          <w:bCs/>
          <w:color w:val="auto"/>
          <w:spacing w:val="4"/>
          <w:sz w:val="24"/>
          <w:szCs w:val="24"/>
          <w:highlight w:val="none"/>
        </w:rPr>
      </w:pPr>
      <w:r>
        <w:rPr>
          <w:rFonts w:hint="eastAsia" w:ascii="仿宋" w:hAnsi="仿宋" w:eastAsia="仿宋" w:cs="仿宋"/>
          <w:b w:val="0"/>
          <w:bCs/>
          <w:color w:val="auto"/>
          <w:sz w:val="24"/>
          <w:szCs w:val="22"/>
          <w:highlight w:val="none"/>
          <w:lang w:val="en-US" w:eastAsia="zh-CN"/>
        </w:rPr>
        <w:t>2.1分值构成：见附件2评标因素及权重分值表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五、磋商小组当履行下列义务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遵纪守法，客观、公正、廉洁地履行职责；</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根据采购文件的规定独立进行评审，对个人的评审意见承担法律责任；</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参与评审报告的起草；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配合采购人、采购代理机构答复供应商提出的质疑；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配合财政部门的投诉处理和监督检查工作。</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1"/>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color w:val="auto"/>
          <w:sz w:val="24"/>
          <w:szCs w:val="24"/>
          <w:highlight w:val="none"/>
          <w:lang w:eastAsia="zh-CN"/>
        </w:rPr>
        <w:t>六、</w:t>
      </w:r>
      <w:r>
        <w:rPr>
          <w:rFonts w:hint="eastAsia" w:ascii="仿宋" w:hAnsi="仿宋" w:eastAsia="仿宋" w:cs="仿宋"/>
          <w:b/>
          <w:bCs/>
          <w:color w:val="auto"/>
          <w:spacing w:val="4"/>
          <w:sz w:val="24"/>
          <w:szCs w:val="24"/>
          <w:highlight w:val="none"/>
          <w:lang w:val="en-US" w:eastAsia="zh-CN"/>
        </w:rPr>
        <w:t>无效响应文件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出现下列情形之一的，磋商响应文件无效：</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没有按照竞争性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文件要求提供的竞争性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响应文件构成有重大缺项、</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响应文件格式不符合竞争性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文件要求；</w:t>
      </w:r>
    </w:p>
    <w:p>
      <w:pPr>
        <w:keepNext w:val="0"/>
        <w:keepLines w:val="0"/>
        <w:pageBreakBefore w:val="0"/>
        <w:widowControl w:val="0"/>
        <w:kinsoku w:val="0"/>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竞争性</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响应文件未按竞争性</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文件要求密封、签署、盖章的；</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供应商未按竞争性磋商文件要求提交磋商</w:t>
      </w:r>
      <w:r>
        <w:rPr>
          <w:rFonts w:hint="eastAsia" w:ascii="仿宋" w:hAnsi="仿宋" w:eastAsia="仿宋" w:cs="仿宋"/>
          <w:color w:val="auto"/>
          <w:sz w:val="24"/>
          <w:szCs w:val="24"/>
          <w:highlight w:val="none"/>
        </w:rPr>
        <w:t>保证金</w:t>
      </w:r>
      <w:r>
        <w:rPr>
          <w:rFonts w:hint="eastAsia" w:ascii="仿宋" w:hAnsi="仿宋" w:eastAsia="仿宋" w:cs="仿宋"/>
          <w:color w:val="auto"/>
          <w:sz w:val="24"/>
          <w:szCs w:val="24"/>
          <w:highlight w:val="none"/>
          <w:lang w:eastAsia="zh-CN"/>
        </w:rPr>
        <w:t>或保函的</w:t>
      </w:r>
      <w:r>
        <w:rPr>
          <w:rFonts w:hint="eastAsia" w:ascii="仿宋" w:hAnsi="仿宋" w:eastAsia="仿宋" w:cs="仿宋"/>
          <w:color w:val="auto"/>
          <w:sz w:val="24"/>
          <w:szCs w:val="24"/>
          <w:highlight w:val="none"/>
        </w:rPr>
        <w:t>；</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资格证明文件不全的或无效的，或不符合国家规定的；</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pacing w:val="-6"/>
          <w:sz w:val="24"/>
          <w:highlight w:val="none"/>
        </w:rPr>
        <w:t>无</w:t>
      </w:r>
      <w:r>
        <w:rPr>
          <w:rFonts w:hint="eastAsia" w:ascii="仿宋" w:hAnsi="仿宋" w:eastAsia="仿宋" w:cs="仿宋"/>
          <w:color w:val="auto"/>
          <w:spacing w:val="-6"/>
          <w:sz w:val="24"/>
          <w:highlight w:val="none"/>
          <w:lang w:eastAsia="zh-CN"/>
        </w:rPr>
        <w:t>磋商</w:t>
      </w:r>
      <w:r>
        <w:rPr>
          <w:rFonts w:hint="eastAsia" w:ascii="仿宋" w:hAnsi="仿宋" w:eastAsia="仿宋" w:cs="仿宋"/>
          <w:color w:val="auto"/>
          <w:spacing w:val="-6"/>
          <w:sz w:val="24"/>
          <w:highlight w:val="none"/>
        </w:rPr>
        <w:t>有效期或有效期达不到竞争性</w:t>
      </w:r>
      <w:r>
        <w:rPr>
          <w:rFonts w:hint="eastAsia" w:ascii="仿宋" w:hAnsi="仿宋" w:eastAsia="仿宋" w:cs="仿宋"/>
          <w:color w:val="auto"/>
          <w:spacing w:val="-6"/>
          <w:sz w:val="24"/>
          <w:highlight w:val="none"/>
          <w:lang w:eastAsia="zh-CN"/>
        </w:rPr>
        <w:t>磋商</w:t>
      </w:r>
      <w:r>
        <w:rPr>
          <w:rFonts w:hint="eastAsia" w:ascii="仿宋" w:hAnsi="仿宋" w:eastAsia="仿宋" w:cs="仿宋"/>
          <w:color w:val="auto"/>
          <w:spacing w:val="-6"/>
          <w:sz w:val="24"/>
          <w:highlight w:val="none"/>
        </w:rPr>
        <w:t>文件要求的</w:t>
      </w:r>
      <w:r>
        <w:rPr>
          <w:rFonts w:hint="eastAsia" w:ascii="仿宋" w:hAnsi="仿宋" w:eastAsia="仿宋" w:cs="仿宋"/>
          <w:color w:val="auto"/>
          <w:sz w:val="24"/>
          <w:szCs w:val="24"/>
          <w:highlight w:val="none"/>
        </w:rPr>
        <w:t>；</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有串通</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、以他人名义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、行贿、</w:t>
      </w:r>
      <w:r>
        <w:rPr>
          <w:rFonts w:hint="eastAsia" w:ascii="仿宋" w:hAnsi="仿宋" w:eastAsia="仿宋" w:cs="仿宋"/>
          <w:color w:val="auto"/>
          <w:sz w:val="24"/>
          <w:highlight w:val="none"/>
        </w:rPr>
        <w:t>提供虚假证明（包括第三方提供的虚假证明），开具虚假资质，出现虚假应答的，除按无效文件处理外，还将按照政府采购的有关规定进行处罚；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总报价</w:t>
      </w:r>
      <w:r>
        <w:rPr>
          <w:rFonts w:hint="eastAsia" w:ascii="仿宋" w:hAnsi="仿宋" w:eastAsia="仿宋" w:cs="仿宋"/>
          <w:color w:val="auto"/>
          <w:sz w:val="24"/>
          <w:szCs w:val="24"/>
          <w:highlight w:val="none"/>
          <w:lang w:eastAsia="zh-CN"/>
        </w:rPr>
        <w:t>超过</w:t>
      </w:r>
      <w:r>
        <w:rPr>
          <w:rFonts w:hint="eastAsia" w:ascii="仿宋" w:hAnsi="仿宋" w:eastAsia="仿宋" w:cs="仿宋"/>
          <w:color w:val="auto"/>
          <w:sz w:val="24"/>
          <w:szCs w:val="24"/>
          <w:highlight w:val="none"/>
        </w:rPr>
        <w:t>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文件公布的采购预算的。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文件含有采购人不能接受的附加条件的</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b/>
          <w:color w:val="auto"/>
          <w:szCs w:val="24"/>
          <w:highlight w:val="none"/>
          <w:lang w:eastAsia="zh-CN"/>
        </w:rPr>
      </w:pPr>
      <w:r>
        <w:rPr>
          <w:rFonts w:hint="eastAsia" w:ascii="仿宋" w:hAnsi="仿宋" w:eastAsia="仿宋" w:cs="仿宋"/>
          <w:color w:val="auto"/>
          <w:sz w:val="24"/>
          <w:szCs w:val="24"/>
          <w:highlight w:val="none"/>
          <w:lang w:val="en-US" w:eastAsia="zh-CN"/>
        </w:rPr>
        <w:t>9、法律、法规规定的其他无效情形</w:t>
      </w:r>
      <w:r>
        <w:rPr>
          <w:rFonts w:hint="eastAsia" w:ascii="仿宋" w:hAnsi="仿宋" w:eastAsia="仿宋" w:cs="仿宋"/>
          <w:color w:val="auto"/>
          <w:sz w:val="24"/>
          <w:szCs w:val="24"/>
          <w:highlight w:val="none"/>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七、政策性扣减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政策性扣减范围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符合小型、微型企业或监狱企业</w:t>
      </w:r>
      <w:r>
        <w:rPr>
          <w:rFonts w:hint="eastAsia" w:ascii="仿宋" w:hAnsi="仿宋" w:eastAsia="仿宋" w:cs="仿宋"/>
          <w:color w:val="auto"/>
          <w:sz w:val="24"/>
          <w:szCs w:val="24"/>
          <w:highlight w:val="none"/>
          <w:lang w:eastAsia="zh-CN"/>
        </w:rPr>
        <w:t>、残疾人福利性单位</w:t>
      </w:r>
      <w:r>
        <w:rPr>
          <w:rFonts w:hint="eastAsia" w:ascii="仿宋" w:hAnsi="仿宋" w:eastAsia="仿宋" w:cs="仿宋"/>
          <w:color w:val="auto"/>
          <w:sz w:val="24"/>
          <w:szCs w:val="24"/>
          <w:highlight w:val="none"/>
        </w:rPr>
        <w:t>条件的，其投标报价价格评审时将按相应比例进行扣减。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1.2依据关于印发《政府采购促进中小企业发展管理办法》的通知（财库〔2020〕46号）的规定，在政府采购活动中，供应商提供的货物、工程或者服务符合下列情形的，享受中小企业扶持政策：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（2）在货物采购项目中，供应商提供的货物既有中小企业制造货物，也有大型企业制造货物的，不享受本办法规定的中小企业扶持政策。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(4)中小企业参加政府采购活动，应当出具符合财库〔2020〕46号规定的《中小企业声明函》,否则不得享受相关中小企业扶持政策。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1.3采购人拟采购产品属于优先采购节能、环境标志产品范围的，应当优先采购节能、环境标志产品；拟采购产品符合政府采购强制采购政策的，实行强制采购。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1.3.1采购人依据节能产品、环境标志产品品目清单和节能、环境标志产品认证证书实施政府优先采购和强制采购。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监狱企业参加政府采购活动时，应当提供由省级以上监狱管理局、戒毒管理局(含新疆生产建设兵团)出具的属于监狱企业的证明文件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监狱企业参加政府采购活动时，视同</w:t>
      </w:r>
      <w:r>
        <w:rPr>
          <w:rFonts w:hint="eastAsia" w:ascii="仿宋" w:hAnsi="仿宋" w:eastAsia="仿宋" w:cs="仿宋"/>
          <w:color w:val="auto"/>
          <w:sz w:val="24"/>
          <w:szCs w:val="24"/>
          <w:highlight w:val="none"/>
          <w:lang w:eastAsia="zh-CN"/>
        </w:rPr>
        <w:t>小型、微型企业。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符合条件的残疾人福利性单位在参加政府采购活动时，应当提供《残疾人福利性单位声明函》，并对声明的真实性负责。残疾人福利性单位</w:t>
      </w:r>
      <w:r>
        <w:rPr>
          <w:rFonts w:hint="eastAsia" w:ascii="仿宋" w:hAnsi="仿宋" w:eastAsia="仿宋" w:cs="仿宋"/>
          <w:color w:val="auto"/>
          <w:sz w:val="24"/>
          <w:szCs w:val="24"/>
          <w:highlight w:val="none"/>
        </w:rPr>
        <w:t>参加政府采购活动时，视同</w:t>
      </w:r>
      <w:r>
        <w:rPr>
          <w:rFonts w:hint="eastAsia" w:ascii="仿宋" w:hAnsi="仿宋" w:eastAsia="仿宋" w:cs="仿宋"/>
          <w:color w:val="auto"/>
          <w:sz w:val="24"/>
          <w:szCs w:val="24"/>
          <w:highlight w:val="none"/>
          <w:lang w:eastAsia="zh-CN"/>
        </w:rPr>
        <w:t>小型、微型企业；残疾人福利性单位属于小型、微型企业的，不重复享受政策。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2、政策性扣减方式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eastAsia="zh-CN"/>
        </w:rPr>
        <w:t>对于</w:t>
      </w:r>
      <w:r>
        <w:rPr>
          <w:rFonts w:hint="eastAsia" w:ascii="仿宋" w:hAnsi="仿宋" w:eastAsia="仿宋" w:cs="仿宋"/>
          <w:color w:val="auto"/>
          <w:spacing w:val="8"/>
          <w:sz w:val="24"/>
          <w:szCs w:val="24"/>
          <w:highlight w:val="none"/>
        </w:rPr>
        <w:t>未预留份额专门</w:t>
      </w:r>
      <w:r>
        <w:rPr>
          <w:rFonts w:hint="eastAsia" w:ascii="仿宋" w:hAnsi="仿宋" w:eastAsia="仿宋" w:cs="仿宋"/>
          <w:color w:val="auto"/>
          <w:sz w:val="24"/>
          <w:szCs w:val="24"/>
          <w:highlight w:val="none"/>
        </w:rPr>
        <w:t>面向中小企业采购的采购项目，以及预留份额项目的非预</w:t>
      </w:r>
      <w:r>
        <w:rPr>
          <w:rFonts w:hint="eastAsia" w:ascii="仿宋" w:hAnsi="仿宋" w:eastAsia="仿宋" w:cs="仿宋"/>
          <w:color w:val="auto"/>
          <w:spacing w:val="-2"/>
          <w:sz w:val="24"/>
          <w:szCs w:val="24"/>
          <w:highlight w:val="none"/>
        </w:rPr>
        <w:t>留部分采购包</w:t>
      </w:r>
      <w:r>
        <w:rPr>
          <w:rFonts w:hint="eastAsia" w:ascii="仿宋" w:hAnsi="仿宋" w:eastAsia="仿宋" w:cs="仿宋"/>
          <w:color w:val="auto"/>
          <w:spacing w:val="-2"/>
          <w:sz w:val="24"/>
          <w:szCs w:val="24"/>
          <w:highlight w:val="none"/>
          <w:lang w:eastAsia="zh-CN"/>
        </w:rPr>
        <w:t>中</w:t>
      </w:r>
      <w:r>
        <w:rPr>
          <w:rFonts w:hint="eastAsia" w:ascii="仿宋" w:hAnsi="仿宋" w:eastAsia="仿宋" w:cs="仿宋"/>
          <w:color w:val="auto"/>
          <w:sz w:val="24"/>
          <w:szCs w:val="24"/>
          <w:highlight w:val="none"/>
          <w:lang w:val="en-US" w:eastAsia="zh-CN"/>
        </w:rPr>
        <w:t>符合条件的小微企业</w:t>
      </w:r>
      <w:r>
        <w:rPr>
          <w:rFonts w:hint="eastAsia" w:ascii="仿宋" w:hAnsi="仿宋" w:eastAsia="仿宋" w:cs="仿宋"/>
          <w:color w:val="auto"/>
          <w:sz w:val="24"/>
          <w:szCs w:val="24"/>
          <w:highlight w:val="none"/>
          <w:lang w:eastAsia="zh-CN"/>
        </w:rPr>
        <w:t>报价给予</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%的扣除。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30%以上的，对联合体或者大中型企业的报价给予1%的扣除；组成联合体或者接受分包的小微企业与联合体内其他企业、分包企业之间存在直接控股、管理关系的，不享受价格扣除优惠政策。</w:t>
      </w:r>
      <w:r>
        <w:rPr>
          <w:rFonts w:hint="eastAsia" w:ascii="仿宋" w:hAnsi="仿宋" w:eastAsia="仿宋" w:cs="仿宋"/>
          <w:b/>
          <w:bCs/>
          <w:color w:val="auto"/>
          <w:sz w:val="24"/>
          <w:szCs w:val="24"/>
          <w:highlight w:val="none"/>
          <w:lang w:val="en-US" w:eastAsia="zh-CN"/>
        </w:rPr>
        <w:t>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lang w:eastAsia="zh-CN"/>
        </w:rPr>
        <w:t>监狱企业、</w:t>
      </w:r>
      <w:r>
        <w:rPr>
          <w:rFonts w:hint="eastAsia" w:ascii="仿宋" w:hAnsi="仿宋" w:eastAsia="仿宋" w:cs="仿宋"/>
          <w:color w:val="auto"/>
          <w:sz w:val="24"/>
          <w:szCs w:val="24"/>
          <w:highlight w:val="none"/>
        </w:rPr>
        <w:t>残疾人福利性单位视同小微企业，享受预留份额、评审中价格扣除等促进中小企业发展的政府采购政策。</w:t>
      </w:r>
      <w:r>
        <w:rPr>
          <w:rFonts w:hint="eastAsia" w:ascii="仿宋" w:hAnsi="仿宋" w:eastAsia="仿宋" w:cs="仿宋"/>
          <w:color w:val="auto"/>
          <w:sz w:val="24"/>
          <w:szCs w:val="24"/>
          <w:highlight w:val="none"/>
          <w:lang w:eastAsia="zh-CN"/>
        </w:rPr>
        <w:t>监狱企业、</w:t>
      </w:r>
      <w:r>
        <w:rPr>
          <w:rFonts w:hint="eastAsia" w:ascii="仿宋" w:hAnsi="仿宋" w:eastAsia="仿宋" w:cs="仿宋"/>
          <w:color w:val="auto"/>
          <w:sz w:val="24"/>
          <w:szCs w:val="24"/>
          <w:highlight w:val="none"/>
        </w:rPr>
        <w:t>残疾人福利性单位属于</w:t>
      </w:r>
      <w:r>
        <w:rPr>
          <w:rFonts w:hint="eastAsia" w:ascii="仿宋" w:hAnsi="仿宋" w:eastAsia="仿宋" w:cs="仿宋"/>
          <w:color w:val="auto"/>
          <w:sz w:val="24"/>
          <w:szCs w:val="24"/>
          <w:highlight w:val="none"/>
          <w:lang w:eastAsia="zh-CN"/>
        </w:rPr>
        <w:t>小微</w:t>
      </w:r>
      <w:r>
        <w:rPr>
          <w:rFonts w:hint="eastAsia" w:ascii="仿宋" w:hAnsi="仿宋" w:eastAsia="仿宋" w:cs="仿宋"/>
          <w:color w:val="auto"/>
          <w:sz w:val="24"/>
          <w:szCs w:val="24"/>
          <w:highlight w:val="none"/>
        </w:rPr>
        <w:t>企业的，不重复享受政策。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享受支持中小型企业发展政策优惠的，可以同时享受节能、环境标志产品优先采购政策。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right="0" w:rightChars="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成交价格=成交供应商的</w:t>
      </w:r>
      <w:r>
        <w:rPr>
          <w:rFonts w:hint="eastAsia" w:ascii="仿宋" w:hAnsi="仿宋" w:eastAsia="仿宋" w:cs="仿宋"/>
          <w:b/>
          <w:bCs/>
          <w:color w:val="auto"/>
          <w:sz w:val="24"/>
          <w:szCs w:val="24"/>
          <w:highlight w:val="none"/>
          <w:lang w:eastAsia="zh-CN"/>
        </w:rPr>
        <w:t>最终</w:t>
      </w:r>
      <w:r>
        <w:rPr>
          <w:rFonts w:hint="eastAsia" w:ascii="仿宋" w:hAnsi="仿宋" w:eastAsia="仿宋" w:cs="仿宋"/>
          <w:b/>
          <w:bCs/>
          <w:color w:val="auto"/>
          <w:sz w:val="24"/>
          <w:szCs w:val="24"/>
          <w:highlight w:val="none"/>
        </w:rPr>
        <w:t>磋商报价。</w:t>
      </w:r>
    </w:p>
    <w:p>
      <w:pPr>
        <w:keepNext w:val="0"/>
        <w:keepLines w:val="0"/>
        <w:pageBreakBefore w:val="0"/>
        <w:widowControl w:val="0"/>
        <w:kinsoku/>
        <w:wordWrap/>
        <w:overflowPunct/>
        <w:topLinePunct w:val="0"/>
        <w:autoSpaceDE/>
        <w:autoSpaceDN/>
        <w:bidi w:val="0"/>
        <w:adjustRightInd/>
        <w:snapToGrid/>
        <w:spacing w:after="120" w:afterLines="50" w:line="500" w:lineRule="exact"/>
        <w:ind w:left="0" w:leftChars="0" w:right="0" w:rightChars="0"/>
        <w:jc w:val="both"/>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八、</w:t>
      </w:r>
      <w:r>
        <w:rPr>
          <w:rFonts w:hint="eastAsia" w:ascii="仿宋" w:hAnsi="仿宋" w:eastAsia="仿宋" w:cs="仿宋"/>
          <w:b/>
          <w:color w:val="auto"/>
          <w:kern w:val="0"/>
          <w:sz w:val="24"/>
          <w:szCs w:val="24"/>
          <w:highlight w:val="none"/>
        </w:rPr>
        <w:t>推荐并确定成交候选人</w:t>
      </w:r>
    </w:p>
    <w:p>
      <w:pPr>
        <w:keepNext w:val="0"/>
        <w:keepLines w:val="0"/>
        <w:pageBreakBefore w:val="0"/>
        <w:widowControl w:val="0"/>
        <w:kinsoku/>
        <w:wordWrap/>
        <w:overflowPunct/>
        <w:topLinePunct w:val="0"/>
        <w:autoSpaceDE/>
        <w:autoSpaceDN/>
        <w:bidi w:val="0"/>
        <w:spacing w:line="460" w:lineRule="exact"/>
        <w:ind w:firstLine="496" w:firstLineChars="200"/>
        <w:jc w:val="left"/>
        <w:textAlignment w:val="auto"/>
        <w:outlineLvl w:val="9"/>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1、磋商结果报告由磋商小组全体成员签字确认。</w:t>
      </w:r>
    </w:p>
    <w:p>
      <w:pPr>
        <w:keepNext w:val="0"/>
        <w:keepLines w:val="0"/>
        <w:pageBreakBefore w:val="0"/>
        <w:widowControl w:val="0"/>
        <w:kinsoku/>
        <w:wordWrap/>
        <w:overflowPunct/>
        <w:topLinePunct w:val="0"/>
        <w:autoSpaceDE/>
        <w:autoSpaceDN/>
        <w:bidi w:val="0"/>
        <w:spacing w:line="460" w:lineRule="exact"/>
        <w:ind w:firstLine="496" w:firstLineChars="200"/>
        <w:jc w:val="left"/>
        <w:textAlignment w:val="auto"/>
        <w:outlineLvl w:val="9"/>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2、采购人根据磋商结果报告中推荐的成交候选人确定成交供应商，以复函通知采购代理机构。</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1"/>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九、特殊情况的处理</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计算错误将按以下方法更正：</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文件中</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一览表(报价表)内容与</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文件中</w:t>
      </w:r>
      <w:r>
        <w:rPr>
          <w:rFonts w:hint="eastAsia" w:ascii="仿宋" w:hAnsi="仿宋" w:eastAsia="仿宋" w:cs="仿宋"/>
          <w:color w:val="auto"/>
          <w:sz w:val="24"/>
          <w:szCs w:val="24"/>
          <w:highlight w:val="none"/>
          <w:lang w:eastAsia="zh-CN"/>
        </w:rPr>
        <w:t>相应内容</w:t>
      </w:r>
      <w:r>
        <w:rPr>
          <w:rFonts w:hint="eastAsia" w:ascii="仿宋" w:hAnsi="仿宋" w:eastAsia="仿宋" w:cs="仿宋"/>
          <w:color w:val="auto"/>
          <w:sz w:val="24"/>
          <w:szCs w:val="24"/>
          <w:highlight w:val="none"/>
        </w:rPr>
        <w:t>不一致的，以</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如果单独密封的</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一览表(报价表)与</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正本的</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(报价表)不一致，以单独密封的</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一览表(报价表)为准。</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1.2磋商响应</w:t>
      </w:r>
      <w:r>
        <w:rPr>
          <w:rFonts w:hint="eastAsia" w:ascii="仿宋" w:hAnsi="仿宋" w:eastAsia="仿宋" w:cs="仿宋"/>
          <w:color w:val="auto"/>
          <w:sz w:val="24"/>
          <w:szCs w:val="24"/>
          <w:highlight w:val="none"/>
        </w:rPr>
        <w:t>文件的大写金额和小写金额不一致的，以大写金额为准；</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lang w:eastAsia="zh-CN"/>
        </w:rPr>
        <w:t>单价金额小数点或者百分比有明显错位的，以单独密封的报价一览表的总价为准，并修改单价；</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总价金额与按单价汇总金额不一致的，以单价金额计算结果为准</w:t>
      </w:r>
      <w:r>
        <w:rPr>
          <w:rFonts w:hint="eastAsia" w:ascii="仿宋" w:hAnsi="仿宋" w:eastAsia="仿宋" w:cs="仿宋"/>
          <w:color w:val="auto"/>
          <w:sz w:val="24"/>
          <w:szCs w:val="24"/>
          <w:highlight w:val="none"/>
          <w:lang w:eastAsia="zh-CN"/>
        </w:rPr>
        <w:t>。</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按上述修正的</w:t>
      </w:r>
      <w:r>
        <w:rPr>
          <w:rFonts w:hint="eastAsia" w:ascii="仿宋" w:hAnsi="仿宋" w:eastAsia="仿宋" w:cs="仿宋"/>
          <w:color w:val="auto"/>
          <w:sz w:val="24"/>
          <w:szCs w:val="24"/>
          <w:highlight w:val="none"/>
          <w:lang w:eastAsia="zh-CN"/>
        </w:rPr>
        <w:t>顺序和</w:t>
      </w:r>
      <w:r>
        <w:rPr>
          <w:rFonts w:hint="eastAsia" w:ascii="仿宋" w:hAnsi="仿宋" w:eastAsia="仿宋" w:cs="仿宋"/>
          <w:color w:val="auto"/>
          <w:sz w:val="24"/>
          <w:szCs w:val="24"/>
          <w:highlight w:val="none"/>
        </w:rPr>
        <w:t>方法调整的报价应对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具有约束力。如果</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不接受修正后的价格，其</w:t>
      </w:r>
      <w:r>
        <w:rPr>
          <w:rFonts w:hint="eastAsia" w:ascii="仿宋" w:hAnsi="仿宋" w:eastAsia="仿宋" w:cs="仿宋"/>
          <w:color w:val="auto"/>
          <w:sz w:val="24"/>
          <w:szCs w:val="24"/>
          <w:highlight w:val="none"/>
          <w:lang w:eastAsia="zh-CN"/>
        </w:rPr>
        <w:t>响应文件将按</w:t>
      </w:r>
      <w:r>
        <w:rPr>
          <w:rFonts w:hint="eastAsia" w:ascii="仿宋" w:hAnsi="仿宋" w:eastAsia="仿宋" w:cs="仿宋"/>
          <w:color w:val="auto"/>
          <w:sz w:val="24"/>
          <w:szCs w:val="24"/>
          <w:highlight w:val="none"/>
        </w:rPr>
        <w:t>无效</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处理。</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对于竞争性磋商响应文件中明显的标点符号错误或不构成实质性偏差的不正规、不一致或不规则，采购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可以接受。</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right="0" w:rightChars="0" w:firstLine="496" w:firstLineChars="200"/>
        <w:jc w:val="left"/>
        <w:textAlignment w:val="auto"/>
        <w:rPr>
          <w:rFonts w:hint="eastAsia" w:ascii="仿宋" w:hAnsi="仿宋" w:eastAsia="仿宋" w:cs="仿宋"/>
          <w:b w:val="0"/>
          <w:bCs w:val="0"/>
          <w:color w:val="auto"/>
          <w:spacing w:val="4"/>
          <w:kern w:val="2"/>
          <w:sz w:val="24"/>
          <w:szCs w:val="24"/>
          <w:highlight w:val="none"/>
          <w:lang w:val="en-US" w:eastAsia="zh-CN" w:bidi="ar-SA"/>
        </w:rPr>
      </w:pPr>
      <w:r>
        <w:rPr>
          <w:rFonts w:hint="eastAsia" w:ascii="仿宋" w:hAnsi="仿宋" w:eastAsia="仿宋" w:cs="仿宋"/>
          <w:b w:val="0"/>
          <w:bCs w:val="0"/>
          <w:color w:val="auto"/>
          <w:spacing w:val="4"/>
          <w:kern w:val="2"/>
          <w:sz w:val="24"/>
          <w:szCs w:val="24"/>
          <w:highlight w:val="none"/>
          <w:lang w:val="en-US" w:eastAsia="zh-CN" w:bidi="ar-SA"/>
        </w:rPr>
        <w:t>3、磋商过程中，若出现本评审方法以外的特殊情况时，将暂停评审，待磋商小组商榷后，再进行评定。</w:t>
      </w:r>
      <w:r>
        <w:rPr>
          <w:rFonts w:hint="eastAsia" w:ascii="仿宋" w:hAnsi="仿宋" w:eastAsia="仿宋" w:cs="仿宋"/>
          <w:b w:val="0"/>
          <w:bCs w:val="0"/>
          <w:color w:val="auto"/>
          <w:spacing w:val="4"/>
          <w:kern w:val="2"/>
          <w:sz w:val="24"/>
          <w:szCs w:val="24"/>
          <w:highlight w:val="none"/>
          <w:lang w:val="en-US" w:eastAsia="zh-CN" w:bidi="ar-SA"/>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附件</w:t>
      </w:r>
      <w:r>
        <w:rPr>
          <w:rFonts w:hint="eastAsia" w:ascii="仿宋" w:hAnsi="仿宋" w:eastAsia="仿宋" w:cs="仿宋"/>
          <w:color w:val="auto"/>
          <w:sz w:val="28"/>
          <w:szCs w:val="28"/>
          <w:highlight w:val="none"/>
          <w:lang w:val="en-US" w:eastAsia="zh-CN"/>
        </w:rPr>
        <w:t>1</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初步审查要素表</w:t>
      </w:r>
    </w:p>
    <w:p>
      <w:pPr>
        <w:rPr>
          <w:rFonts w:hint="eastAsia" w:ascii="仿宋" w:hAnsi="仿宋" w:eastAsia="仿宋" w:cs="仿宋"/>
          <w:b/>
          <w:bCs/>
          <w:color w:val="auto"/>
          <w:sz w:val="24"/>
          <w:szCs w:val="24"/>
          <w:highlight w:val="none"/>
          <w:lang w:eastAsia="zh-CN"/>
        </w:rPr>
      </w:pPr>
    </w:p>
    <w:tbl>
      <w:tblPr>
        <w:tblStyle w:val="35"/>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00"/>
        <w:gridCol w:w="567"/>
        <w:gridCol w:w="2269"/>
        <w:gridCol w:w="5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364" w:type="dxa"/>
            <w:gridSpan w:val="2"/>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条款号</w:t>
            </w:r>
          </w:p>
        </w:tc>
        <w:tc>
          <w:tcPr>
            <w:tcW w:w="2836" w:type="dxa"/>
            <w:gridSpan w:val="2"/>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评审因素</w:t>
            </w:r>
          </w:p>
        </w:tc>
        <w:tc>
          <w:tcPr>
            <w:tcW w:w="5319" w:type="dxa"/>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1.1</w:t>
            </w:r>
          </w:p>
        </w:tc>
        <w:tc>
          <w:tcPr>
            <w:tcW w:w="600"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资格评审</w:t>
            </w:r>
          </w:p>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标准</w:t>
            </w:r>
          </w:p>
        </w:tc>
        <w:tc>
          <w:tcPr>
            <w:tcW w:w="2836" w:type="dxa"/>
            <w:gridSpan w:val="2"/>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基本资格条件</w:t>
            </w:r>
          </w:p>
        </w:tc>
        <w:tc>
          <w:tcPr>
            <w:tcW w:w="5319"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供应商合法注册的法人或其他组织的营业执照等证明文件，自然人的身份证明；</w:t>
            </w:r>
          </w:p>
          <w:p>
            <w:pPr>
              <w:pStyle w:val="2"/>
              <w:numPr>
                <w:ilvl w:val="0"/>
                <w:numId w:val="0"/>
              </w:numPr>
              <w:jc w:val="both"/>
              <w:rPr>
                <w:rFonts w:hint="eastAsia" w:ascii="仿宋" w:hAnsi="仿宋" w:eastAsia="仿宋" w:cs="仿宋"/>
                <w:color w:val="auto"/>
                <w:highlight w:val="none"/>
                <w:lang w:val="en-US" w:eastAsia="zh-CN"/>
              </w:rPr>
            </w:pPr>
            <w:r>
              <w:rPr>
                <w:rFonts w:hint="eastAsia" w:ascii="仿宋" w:hAnsi="仿宋" w:eastAsia="仿宋" w:cs="仿宋"/>
                <w:b w:val="0"/>
                <w:bCs/>
                <w:color w:val="auto"/>
                <w:sz w:val="21"/>
                <w:szCs w:val="21"/>
                <w:highlight w:val="none"/>
              </w:rPr>
              <w:t>供应商是法人或其他组织的应提供营业执照等证明文件，供应商是自然人的应提供有效的自然人身份证明。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2、提供2021年度或2022年度经审计的财务报告（成立时间至提交磋商响应文件截止时间不足一年的可提供成立后任意时段的资产负债表）或基本存款账户开户银行出具的资信证明及基本存款账户开户许可证（基本账户信息）或财政部门认可的政府采购专业担保机构出具的担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3、提供磋商截止日前一年内已缴纳的至少一个月的纳税证明或完税证明，依法免税的单位应提供相关证明材料；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4、提供磋商截止日前一年内已缴存的至少一个月的社会保障资金缴存单据或社保机构开具的社会保险参保缴费情况证明，依法不需要缴纳社会保障资金的单位应提供相关证明材料；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5、提供具有履行合同所必需的设备和专业技术能力的承诺；（格式自拟）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6、参加政府采购活动前3年内，在经营活动中没有重大违法记录的书面声明；（格式自拟）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color w:val="auto"/>
                <w:sz w:val="21"/>
                <w:szCs w:val="21"/>
                <w:highlight w:val="none"/>
                <w:lang w:val="en-US" w:eastAsia="zh-CN"/>
              </w:rPr>
              <w:t>落实政府采购政策需满足的资格要求</w:t>
            </w: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特定资格条件</w:t>
            </w: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1、法定代表人/负责人授权书（附法定代表人/负责人、被授权人身份证复印件）及被授权人身份证（法定代表人/负责人直接参加磋商，须提供法定代表人/负责人身份证明及身份证原件）；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2、具备建设行政主管部门颁发的水利水电工程施工总承包三级及以上或市政公用工程施工总承包三级及以上资质证书，同时具备合格有效的安全生产许可证；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3、拟派项目经理须具有水利水电工程专业二级或市政工程专业二级及以上及以上注册建造师证书和有效的安全生产考核证书（B证）且无在建工程、无不良记录（提供无在建工程、无不良记录承诺书）。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4、供应商未被“信用中国”网站（www.creditchina.gov.cn）列入失信被执行人和重大税收违法失信主体，未被中国政府采购网（www.ccgp.gov.cn）列入政府采购严重违法失信行为记录名单；（采购代理机构于本项目磋商公告发布后至磋商响应文件递交截止日查询相关信用记录，对列入失信被执行人、重大税收违法失信主体、政府采购严重违法失信行为记录名单及其他不符合《中华人民共和国政府采购法》第二十二条规定的供应商，采购代理机构将拒绝其参与政府采购活动，查询结果以电子或纸质方式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tabs>
                <w:tab w:val="left" w:pos="0"/>
              </w:tabs>
              <w:adjustRightInd w:val="0"/>
              <w:snapToGrid w:val="0"/>
              <w:spacing w:line="240" w:lineRule="auto"/>
              <w:jc w:val="left"/>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color w:val="auto"/>
                <w:sz w:val="21"/>
                <w:szCs w:val="21"/>
                <w:highlight w:val="none"/>
                <w:lang w:val="en-US" w:eastAsia="zh-CN"/>
              </w:rPr>
              <w:t>5、本项目不接受联合体磋商。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5"/>
            <w:vAlign w:val="center"/>
          </w:tcPr>
          <w:p>
            <w:pPr>
              <w:pStyle w:val="2"/>
              <w:ind w:left="0" w:leftChars="0" w:firstLine="0" w:firstLineChars="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注：</w:t>
            </w:r>
            <w:r>
              <w:rPr>
                <w:rFonts w:hint="eastAsia" w:ascii="仿宋" w:hAnsi="仿宋" w:eastAsia="仿宋" w:cs="仿宋"/>
                <w:b w:val="0"/>
                <w:bCs/>
                <w:color w:val="auto"/>
                <w:sz w:val="21"/>
                <w:szCs w:val="21"/>
                <w:highlight w:val="none"/>
              </w:rPr>
              <w:t>以上为必备</w:t>
            </w:r>
            <w:r>
              <w:rPr>
                <w:rFonts w:hint="eastAsia" w:ascii="仿宋" w:hAnsi="仿宋" w:eastAsia="仿宋" w:cs="仿宋"/>
                <w:b w:val="0"/>
                <w:bCs/>
                <w:color w:val="auto"/>
                <w:sz w:val="21"/>
                <w:szCs w:val="21"/>
                <w:highlight w:val="none"/>
                <w:lang w:eastAsia="zh-CN"/>
              </w:rPr>
              <w:t>资格条件</w:t>
            </w:r>
            <w:r>
              <w:rPr>
                <w:rFonts w:hint="eastAsia" w:ascii="仿宋" w:hAnsi="仿宋" w:eastAsia="仿宋" w:cs="仿宋"/>
                <w:b w:val="0"/>
                <w:bCs/>
                <w:color w:val="auto"/>
                <w:sz w:val="21"/>
                <w:szCs w:val="21"/>
                <w:highlight w:val="none"/>
              </w:rPr>
              <w:t>，缺一项或某项达不到要求，按无效</w:t>
            </w:r>
            <w:r>
              <w:rPr>
                <w:rFonts w:hint="eastAsia" w:ascii="仿宋" w:hAnsi="仿宋" w:eastAsia="仿宋" w:cs="仿宋"/>
                <w:b w:val="0"/>
                <w:bCs/>
                <w:color w:val="auto"/>
                <w:sz w:val="21"/>
                <w:szCs w:val="21"/>
                <w:highlight w:val="none"/>
                <w:lang w:eastAsia="zh-CN"/>
              </w:rPr>
              <w:t>文件</w:t>
            </w:r>
            <w:r>
              <w:rPr>
                <w:rFonts w:hint="eastAsia" w:ascii="仿宋" w:hAnsi="仿宋" w:eastAsia="仿宋" w:cs="仿宋"/>
                <w:b w:val="0"/>
                <w:bCs/>
                <w:color w:val="auto"/>
                <w:sz w:val="21"/>
                <w:szCs w:val="21"/>
                <w:highlight w:val="none"/>
              </w:rPr>
              <w:t>处理。资格审查时以</w:t>
            </w: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中所附证明材料</w:t>
            </w:r>
            <w:r>
              <w:rPr>
                <w:rFonts w:hint="eastAsia" w:ascii="仿宋" w:hAnsi="仿宋" w:eastAsia="仿宋" w:cs="仿宋"/>
                <w:color w:val="auto"/>
                <w:sz w:val="21"/>
                <w:szCs w:val="21"/>
                <w:highlight w:val="none"/>
                <w:lang w:eastAsia="zh-CN"/>
              </w:rPr>
              <w:t>（信用中国和中国政府采购网信用记录可不提供，由代理机构查询并留存）</w:t>
            </w:r>
            <w:r>
              <w:rPr>
                <w:rFonts w:hint="eastAsia" w:ascii="仿宋" w:hAnsi="仿宋" w:eastAsia="仿宋" w:cs="仿宋"/>
                <w:b w:val="0"/>
                <w:bCs/>
                <w:color w:val="auto"/>
                <w:sz w:val="21"/>
                <w:szCs w:val="21"/>
                <w:highlight w:val="none"/>
              </w:rPr>
              <w:t>为准，原件备查</w:t>
            </w:r>
            <w:r>
              <w:rPr>
                <w:rFonts w:hint="eastAsia" w:ascii="仿宋" w:hAnsi="仿宋" w:eastAsia="仿宋" w:cs="仿宋"/>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restart"/>
            <w:vAlign w:val="center"/>
          </w:tcPr>
          <w:p>
            <w:pPr>
              <w:tabs>
                <w:tab w:val="left" w:pos="0"/>
              </w:tabs>
              <w:adjustRightInd w:val="0"/>
              <w:snapToGrid w:val="0"/>
              <w:spacing w:line="360" w:lineRule="auto"/>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1.2</w:t>
            </w:r>
          </w:p>
        </w:tc>
        <w:tc>
          <w:tcPr>
            <w:tcW w:w="600"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符合性评审标准</w:t>
            </w:r>
          </w:p>
        </w:tc>
        <w:tc>
          <w:tcPr>
            <w:tcW w:w="567"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有效性审查</w:t>
            </w: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的签署盖章</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上</w:t>
            </w:r>
            <w:r>
              <w:rPr>
                <w:rFonts w:hint="eastAsia" w:ascii="仿宋" w:hAnsi="仿宋" w:eastAsia="仿宋" w:cs="仿宋"/>
                <w:b w:val="0"/>
                <w:bCs/>
                <w:color w:val="auto"/>
                <w:sz w:val="21"/>
                <w:szCs w:val="21"/>
                <w:highlight w:val="none"/>
                <w:lang w:eastAsia="zh-CN"/>
              </w:rPr>
              <w:t>法定代表人/负责人</w:t>
            </w:r>
            <w:r>
              <w:rPr>
                <w:rFonts w:hint="eastAsia" w:ascii="仿宋" w:hAnsi="仿宋" w:eastAsia="仿宋" w:cs="仿宋"/>
                <w:b w:val="0"/>
                <w:bCs/>
                <w:color w:val="auto"/>
                <w:sz w:val="21"/>
                <w:szCs w:val="21"/>
                <w:highlight w:val="none"/>
              </w:rPr>
              <w:t>或其授权代表人的签字齐全并加盖公章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格式</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应符合“</w:t>
            </w: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报价</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按磋商文件要求报价</w:t>
            </w:r>
            <w:r>
              <w:rPr>
                <w:rFonts w:hint="eastAsia" w:ascii="仿宋" w:hAnsi="仿宋" w:eastAsia="仿宋" w:cs="仿宋"/>
                <w:b w:val="0"/>
                <w:bCs/>
                <w:color w:val="auto"/>
                <w:sz w:val="21"/>
                <w:szCs w:val="21"/>
                <w:highlight w:val="none"/>
              </w:rPr>
              <w:t>，不得提交选择性报价</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且每轮报价不超过采购预算金额或最高限价。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spacing w:line="360" w:lineRule="auto"/>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67"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完整性审查</w:t>
            </w: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份数</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应符合“</w:t>
            </w:r>
            <w:r>
              <w:rPr>
                <w:rFonts w:hint="eastAsia" w:ascii="仿宋" w:hAnsi="仿宋" w:eastAsia="仿宋" w:cs="仿宋"/>
                <w:b w:val="0"/>
                <w:bCs/>
                <w:color w:val="auto"/>
                <w:sz w:val="21"/>
                <w:szCs w:val="21"/>
                <w:highlight w:val="none"/>
                <w:lang w:eastAsia="zh-CN"/>
              </w:rPr>
              <w:t>供应商</w:t>
            </w:r>
            <w:r>
              <w:rPr>
                <w:rFonts w:hint="eastAsia" w:ascii="仿宋" w:hAnsi="仿宋" w:eastAsia="仿宋" w:cs="仿宋"/>
                <w:b w:val="0"/>
                <w:bCs/>
                <w:color w:val="auto"/>
                <w:sz w:val="21"/>
                <w:szCs w:val="21"/>
                <w:highlight w:val="none"/>
              </w:rPr>
              <w:t>须知前附表”规定的正本、副本、电子文件</w:t>
            </w:r>
            <w:r>
              <w:rPr>
                <w:rFonts w:hint="eastAsia" w:ascii="仿宋" w:hAnsi="仿宋" w:eastAsia="仿宋" w:cs="仿宋"/>
                <w:b w:val="0"/>
                <w:bCs/>
                <w:color w:val="auto"/>
                <w:sz w:val="21"/>
                <w:szCs w:val="21"/>
                <w:highlight w:val="none"/>
                <w:lang w:eastAsia="zh-CN"/>
              </w:rPr>
              <w:t>、报价一览表</w:t>
            </w:r>
            <w:r>
              <w:rPr>
                <w:rFonts w:hint="eastAsia" w:ascii="仿宋" w:hAnsi="仿宋" w:eastAsia="仿宋" w:cs="仿宋"/>
                <w:b w:val="0"/>
                <w:bCs/>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内容</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内容</w:t>
            </w:r>
            <w:r>
              <w:rPr>
                <w:rFonts w:hint="eastAsia" w:ascii="仿宋" w:hAnsi="仿宋" w:eastAsia="仿宋" w:cs="仿宋"/>
                <w:b w:val="0"/>
                <w:bCs/>
                <w:color w:val="auto"/>
                <w:sz w:val="21"/>
                <w:szCs w:val="21"/>
                <w:highlight w:val="none"/>
                <w:lang w:val="en-US" w:eastAsia="zh-CN"/>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spacing w:line="360" w:lineRule="auto"/>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67"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响应性审查</w:t>
            </w: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对</w:t>
            </w:r>
            <w:r>
              <w:rPr>
                <w:rFonts w:hint="eastAsia" w:ascii="仿宋" w:hAnsi="仿宋" w:eastAsia="仿宋" w:cs="仿宋"/>
                <w:b w:val="0"/>
                <w:bCs/>
                <w:color w:val="auto"/>
                <w:sz w:val="21"/>
                <w:szCs w:val="21"/>
                <w:highlight w:val="none"/>
                <w:lang w:eastAsia="zh-CN"/>
              </w:rPr>
              <w:t>磋商文件</w:t>
            </w:r>
            <w:r>
              <w:rPr>
                <w:rFonts w:hint="eastAsia" w:ascii="仿宋" w:hAnsi="仿宋" w:eastAsia="仿宋" w:cs="仿宋"/>
                <w:b w:val="0"/>
                <w:bCs/>
                <w:color w:val="auto"/>
                <w:sz w:val="21"/>
                <w:szCs w:val="21"/>
                <w:highlight w:val="none"/>
              </w:rPr>
              <w:t>响应程度</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要求实质性条款全部响应，不能有采购人不能接受的附加条件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工</w:t>
            </w:r>
            <w:r>
              <w:rPr>
                <w:rFonts w:hint="eastAsia" w:ascii="仿宋" w:hAnsi="仿宋" w:eastAsia="仿宋" w:cs="仿宋"/>
                <w:b w:val="0"/>
                <w:bCs/>
                <w:color w:val="auto"/>
                <w:sz w:val="21"/>
                <w:szCs w:val="21"/>
                <w:highlight w:val="none"/>
              </w:rPr>
              <w:t>期</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应满足</w:t>
            </w:r>
            <w:r>
              <w:rPr>
                <w:rFonts w:hint="eastAsia" w:ascii="仿宋" w:hAnsi="仿宋" w:eastAsia="仿宋" w:cs="仿宋"/>
                <w:b w:val="0"/>
                <w:bCs/>
                <w:color w:val="auto"/>
                <w:sz w:val="21"/>
                <w:szCs w:val="21"/>
                <w:highlight w:val="none"/>
                <w:lang w:eastAsia="zh-CN"/>
              </w:rPr>
              <w:t>磋商文件</w:t>
            </w:r>
            <w:r>
              <w:rPr>
                <w:rFonts w:hint="eastAsia" w:ascii="仿宋" w:hAnsi="仿宋" w:eastAsia="仿宋" w:cs="仿宋"/>
                <w:b w:val="0"/>
                <w:bCs/>
                <w:color w:val="auto"/>
                <w:sz w:val="21"/>
                <w:szCs w:val="21"/>
                <w:highlight w:val="none"/>
              </w:rPr>
              <w:t>中要求的</w:t>
            </w:r>
            <w:r>
              <w:rPr>
                <w:rFonts w:hint="eastAsia" w:ascii="仿宋" w:hAnsi="仿宋" w:eastAsia="仿宋" w:cs="仿宋"/>
                <w:b w:val="0"/>
                <w:bCs/>
                <w:color w:val="auto"/>
                <w:sz w:val="21"/>
                <w:szCs w:val="21"/>
                <w:highlight w:val="none"/>
                <w:lang w:eastAsia="zh-CN"/>
              </w:rPr>
              <w:t>工</w:t>
            </w:r>
            <w:r>
              <w:rPr>
                <w:rFonts w:hint="eastAsia" w:ascii="仿宋" w:hAnsi="仿宋" w:eastAsia="仿宋" w:cs="仿宋"/>
                <w:b w:val="0"/>
                <w:bCs/>
                <w:color w:val="auto"/>
                <w:sz w:val="21"/>
                <w:szCs w:val="21"/>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w:t>
            </w:r>
            <w:r>
              <w:rPr>
                <w:rFonts w:hint="eastAsia" w:ascii="仿宋" w:hAnsi="仿宋" w:eastAsia="仿宋" w:cs="仿宋"/>
                <w:b w:val="0"/>
                <w:bCs/>
                <w:color w:val="auto"/>
                <w:sz w:val="21"/>
                <w:szCs w:val="21"/>
                <w:highlight w:val="none"/>
              </w:rPr>
              <w:t>有效期</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应满足</w:t>
            </w:r>
            <w:r>
              <w:rPr>
                <w:rFonts w:hint="eastAsia" w:ascii="仿宋" w:hAnsi="仿宋" w:eastAsia="仿宋" w:cs="仿宋"/>
                <w:b w:val="0"/>
                <w:bCs/>
                <w:color w:val="auto"/>
                <w:sz w:val="21"/>
                <w:szCs w:val="21"/>
                <w:highlight w:val="none"/>
                <w:lang w:eastAsia="zh-CN"/>
              </w:rPr>
              <w:t>磋商文件</w:t>
            </w:r>
            <w:r>
              <w:rPr>
                <w:rFonts w:hint="eastAsia" w:ascii="仿宋" w:hAnsi="仿宋" w:eastAsia="仿宋" w:cs="仿宋"/>
                <w:b w:val="0"/>
                <w:bCs/>
                <w:color w:val="auto"/>
                <w:sz w:val="21"/>
                <w:szCs w:val="21"/>
                <w:highlight w:val="none"/>
              </w:rPr>
              <w:t>中的规定</w:t>
            </w:r>
          </w:p>
        </w:tc>
      </w:tr>
    </w:tbl>
    <w:p>
      <w:pPr>
        <w:pStyle w:val="2"/>
        <w:rPr>
          <w:rFonts w:hint="eastAsia" w:ascii="仿宋" w:hAnsi="仿宋" w:eastAsia="仿宋" w:cs="仿宋"/>
          <w:b/>
          <w:bCs/>
          <w:color w:val="auto"/>
          <w:sz w:val="24"/>
          <w:szCs w:val="24"/>
          <w:highlight w:val="none"/>
          <w:lang w:eastAsia="zh-CN"/>
        </w:rPr>
      </w:pPr>
    </w:p>
    <w:p>
      <w:pPr>
        <w:rPr>
          <w:rFonts w:hint="eastAsia" w:ascii="仿宋" w:hAnsi="仿宋" w:eastAsia="仿宋" w:cs="仿宋"/>
          <w:b/>
          <w:bCs/>
          <w:color w:val="auto"/>
          <w:sz w:val="24"/>
          <w:szCs w:val="24"/>
          <w:highlight w:val="none"/>
          <w:lang w:eastAsia="zh-CN"/>
        </w:rPr>
      </w:pPr>
    </w:p>
    <w:p>
      <w:pPr>
        <w:pStyle w:val="2"/>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附件</w:t>
      </w:r>
      <w:r>
        <w:rPr>
          <w:rFonts w:hint="eastAsia" w:ascii="仿宋" w:hAnsi="仿宋" w:eastAsia="仿宋" w:cs="仿宋"/>
          <w:color w:val="auto"/>
          <w:sz w:val="28"/>
          <w:szCs w:val="28"/>
          <w:highlight w:val="none"/>
          <w:lang w:val="en-US" w:eastAsia="zh-CN"/>
        </w:rPr>
        <w:t>2</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评标因素及权重分值表</w:t>
      </w:r>
    </w:p>
    <w:tbl>
      <w:tblPr>
        <w:tblStyle w:val="35"/>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7"/>
        <w:gridCol w:w="486"/>
        <w:gridCol w:w="6518"/>
        <w:gridCol w:w="667"/>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699" w:type="dxa"/>
            <w:vAlign w:val="center"/>
          </w:tcPr>
          <w:p>
            <w:pPr>
              <w:pStyle w:val="19"/>
              <w:jc w:val="center"/>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类别</w:t>
            </w:r>
          </w:p>
        </w:tc>
        <w:tc>
          <w:tcPr>
            <w:tcW w:w="827"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总分</w:t>
            </w:r>
          </w:p>
        </w:tc>
        <w:tc>
          <w:tcPr>
            <w:tcW w:w="7004" w:type="dxa"/>
            <w:gridSpan w:val="2"/>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评标因素</w:t>
            </w:r>
          </w:p>
        </w:tc>
        <w:tc>
          <w:tcPr>
            <w:tcW w:w="667"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最高</w:t>
            </w:r>
          </w:p>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得分</w:t>
            </w:r>
          </w:p>
        </w:tc>
        <w:tc>
          <w:tcPr>
            <w:tcW w:w="614" w:type="dxa"/>
            <w:vAlign w:val="center"/>
          </w:tcPr>
          <w:p>
            <w:pPr>
              <w:widowControl/>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投标价格</w:t>
            </w:r>
          </w:p>
        </w:tc>
        <w:tc>
          <w:tcPr>
            <w:tcW w:w="827" w:type="dxa"/>
            <w:vAlign w:val="center"/>
          </w:tcPr>
          <w:p>
            <w:pPr>
              <w:spacing w:line="5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30</w:t>
            </w:r>
            <w:r>
              <w:rPr>
                <w:rFonts w:hint="eastAsia" w:ascii="仿宋" w:hAnsi="仿宋" w:eastAsia="仿宋" w:cs="仿宋"/>
                <w:b/>
                <w:color w:val="auto"/>
                <w:sz w:val="21"/>
                <w:szCs w:val="21"/>
                <w:highlight w:val="none"/>
              </w:rPr>
              <w:t>分</w:t>
            </w:r>
          </w:p>
        </w:tc>
        <w:tc>
          <w:tcPr>
            <w:tcW w:w="7004"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经初审合格的</w:t>
            </w:r>
            <w:r>
              <w:rPr>
                <w:rFonts w:hint="eastAsia" w:ascii="仿宋" w:hAnsi="仿宋" w:eastAsia="仿宋" w:cs="仿宋"/>
                <w:color w:val="auto"/>
                <w:sz w:val="21"/>
                <w:szCs w:val="21"/>
                <w:highlight w:val="none"/>
                <w:lang w:eastAsia="zh-CN"/>
              </w:rPr>
              <w:t>磋商</w:t>
            </w:r>
            <w:r>
              <w:rPr>
                <w:rFonts w:hint="eastAsia" w:ascii="仿宋" w:hAnsi="仿宋" w:eastAsia="仿宋" w:cs="仿宋"/>
                <w:color w:val="auto"/>
                <w:sz w:val="21"/>
                <w:szCs w:val="21"/>
                <w:highlight w:val="none"/>
              </w:rPr>
              <w:t>文件，其</w:t>
            </w:r>
            <w:r>
              <w:rPr>
                <w:rFonts w:hint="eastAsia" w:ascii="仿宋" w:hAnsi="仿宋" w:eastAsia="仿宋" w:cs="仿宋"/>
                <w:color w:val="auto"/>
                <w:sz w:val="21"/>
                <w:szCs w:val="21"/>
                <w:highlight w:val="none"/>
                <w:lang w:eastAsia="zh-CN"/>
              </w:rPr>
              <w:t>最终</w:t>
            </w:r>
            <w:r>
              <w:rPr>
                <w:rFonts w:hint="eastAsia" w:ascii="仿宋" w:hAnsi="仿宋" w:eastAsia="仿宋" w:cs="仿宋"/>
                <w:color w:val="auto"/>
                <w:sz w:val="21"/>
                <w:szCs w:val="21"/>
                <w:highlight w:val="none"/>
              </w:rPr>
              <w:t>报价为有效</w:t>
            </w:r>
            <w:r>
              <w:rPr>
                <w:rFonts w:hint="eastAsia" w:ascii="仿宋" w:hAnsi="仿宋" w:eastAsia="仿宋" w:cs="仿宋"/>
                <w:color w:val="auto"/>
                <w:sz w:val="21"/>
                <w:szCs w:val="21"/>
                <w:highlight w:val="none"/>
                <w:lang w:eastAsia="zh-CN"/>
              </w:rPr>
              <w:t>报</w:t>
            </w:r>
            <w:r>
              <w:rPr>
                <w:rFonts w:hint="eastAsia" w:ascii="仿宋" w:hAnsi="仿宋" w:eastAsia="仿宋" w:cs="仿宋"/>
                <w:color w:val="auto"/>
                <w:sz w:val="21"/>
                <w:szCs w:val="21"/>
                <w:highlight w:val="none"/>
              </w:rPr>
              <w:t>价。</w:t>
            </w:r>
          </w:p>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有效最低报价为基准价得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0分。</w:t>
            </w:r>
          </w:p>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按（</w:t>
            </w:r>
            <w:r>
              <w:rPr>
                <w:rFonts w:hint="eastAsia" w:ascii="仿宋" w:hAnsi="仿宋" w:eastAsia="仿宋" w:cs="仿宋"/>
                <w:color w:val="auto"/>
                <w:sz w:val="21"/>
                <w:szCs w:val="21"/>
                <w:highlight w:val="none"/>
                <w:lang w:eastAsia="zh-CN"/>
              </w:rPr>
              <w:t>磋商基准价</w:t>
            </w:r>
            <w:r>
              <w:rPr>
                <w:rFonts w:hint="eastAsia" w:ascii="仿宋" w:hAnsi="仿宋" w:eastAsia="仿宋" w:cs="仿宋"/>
                <w:color w:val="auto"/>
                <w:sz w:val="21"/>
                <w:szCs w:val="21"/>
                <w:highlight w:val="none"/>
              </w:rPr>
              <w:t>/有效</w:t>
            </w:r>
            <w:r>
              <w:rPr>
                <w:rFonts w:hint="eastAsia" w:ascii="仿宋" w:hAnsi="仿宋" w:eastAsia="仿宋" w:cs="仿宋"/>
                <w:color w:val="auto"/>
                <w:sz w:val="21"/>
                <w:szCs w:val="21"/>
                <w:highlight w:val="none"/>
                <w:lang w:eastAsia="zh-CN"/>
              </w:rPr>
              <w:t>最终磋商</w:t>
            </w:r>
            <w:r>
              <w:rPr>
                <w:rFonts w:hint="eastAsia" w:ascii="仿宋" w:hAnsi="仿宋" w:eastAsia="仿宋" w:cs="仿宋"/>
                <w:color w:val="auto"/>
                <w:sz w:val="21"/>
                <w:szCs w:val="21"/>
                <w:highlight w:val="none"/>
              </w:rPr>
              <w:t>报价）×</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0的公式计算</w:t>
            </w:r>
            <w:r>
              <w:rPr>
                <w:rFonts w:hint="eastAsia" w:ascii="仿宋" w:hAnsi="仿宋" w:eastAsia="仿宋" w:cs="仿宋"/>
                <w:color w:val="auto"/>
                <w:sz w:val="21"/>
                <w:szCs w:val="21"/>
                <w:highlight w:val="none"/>
                <w:lang w:eastAsia="zh-CN"/>
              </w:rPr>
              <w:t>报价</w:t>
            </w:r>
            <w:r>
              <w:rPr>
                <w:rFonts w:hint="eastAsia" w:ascii="仿宋" w:hAnsi="仿宋" w:eastAsia="仿宋" w:cs="仿宋"/>
                <w:color w:val="auto"/>
                <w:sz w:val="21"/>
                <w:szCs w:val="21"/>
                <w:highlight w:val="none"/>
              </w:rPr>
              <w:t>得分。</w:t>
            </w:r>
          </w:p>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报价不完整的，不进入</w:t>
            </w:r>
            <w:r>
              <w:rPr>
                <w:rFonts w:hint="eastAsia" w:ascii="仿宋" w:hAnsi="仿宋" w:eastAsia="仿宋" w:cs="仿宋"/>
                <w:color w:val="auto"/>
                <w:sz w:val="21"/>
                <w:szCs w:val="21"/>
                <w:highlight w:val="none"/>
                <w:lang w:eastAsia="zh-CN"/>
              </w:rPr>
              <w:t>磋商基</w:t>
            </w:r>
            <w:r>
              <w:rPr>
                <w:rFonts w:hint="eastAsia" w:ascii="仿宋" w:hAnsi="仿宋" w:eastAsia="仿宋" w:cs="仿宋"/>
                <w:color w:val="auto"/>
                <w:sz w:val="21"/>
                <w:szCs w:val="21"/>
                <w:highlight w:val="none"/>
              </w:rPr>
              <w:t>准价的计算，本项得0分。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0分</w:t>
            </w:r>
          </w:p>
        </w:tc>
        <w:tc>
          <w:tcPr>
            <w:tcW w:w="614" w:type="dxa"/>
            <w:vMerge w:val="restart"/>
            <w:vAlign w:val="center"/>
          </w:tcPr>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根</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据</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标</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文</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件</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的</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响</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应</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程  度</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按</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差</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别</w:t>
            </w:r>
          </w:p>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计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99" w:type="dxa"/>
            <w:vMerge w:val="restart"/>
            <w:vAlign w:val="center"/>
          </w:tcPr>
          <w:p>
            <w:pP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技术评审</w:t>
            </w:r>
          </w:p>
        </w:tc>
        <w:tc>
          <w:tcPr>
            <w:tcW w:w="827" w:type="dxa"/>
            <w:vMerge w:val="restart"/>
            <w:vAlign w:val="center"/>
          </w:tcPr>
          <w:p>
            <w:pPr>
              <w:spacing w:line="560" w:lineRule="exact"/>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60</w:t>
            </w:r>
            <w:r>
              <w:rPr>
                <w:rFonts w:hint="eastAsia" w:ascii="仿宋" w:hAnsi="仿宋" w:eastAsia="仿宋" w:cs="仿宋"/>
                <w:b/>
                <w:bCs/>
                <w:color w:val="auto"/>
                <w:sz w:val="21"/>
                <w:szCs w:val="21"/>
                <w:highlight w:val="none"/>
              </w:rPr>
              <w:t>分</w:t>
            </w: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施工方案：根据供应商对本项目特性了解透彻，施工方案、方法与技术措施内容全面，方案先进、经济与项目实际结合紧密，对施工具有高度指导性，赋5-10分；对项目特性了解较好，施工组织设计方案基本可行酌情得分，得1-5分（含5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9" w:type="dxa"/>
            <w:vMerge w:val="continue"/>
            <w:vAlign w:val="center"/>
          </w:tcPr>
          <w:p>
            <w:pPr>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质量管理体系及保证措施：质量目标明确，管理体系健全，预控和动态控制措施完整，实施工艺、手段先进、可靠、科学，管理体系和组织措施功能完善、管理幅度适宜，赋5-10分；质量目标基本明确，控制措施基本全面酌情得分，赋0-5分（含5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lang w:val="en-US" w:eastAsia="zh-CN"/>
              </w:rPr>
              <w:t>文明施工保证体系及保证措施：文明施工保证体系健全，预防和动态控制措施及制度完整、到位，管理体系和组织措施功能完善，赋5-10分；文明施工保证体系基本明确，保证措施基本全面，赋0-5分（含5分）。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施工进度保障措施（包括施工计划网络图），根据响应文件差别赋0-5分；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主要劳动力配备；各类人员配备合理、齐全满足施工要求，赋0-5分；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环境保护、水土保持保证体系及保证措施：环境保护、水土保持目标明确，预防和动态控制措施及制度完整、到位，管理体系和组织措施功能完善，根据响应情况赋0-5分。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针对本项目的临时性、阶段性工作及突发事件的应急处理方案：项目风险预测与防范、事故应急预案考虑全面，切实可行，操作性强，根据响应文件差别赋0-5分；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拟投入本项目的设备、实验及检测仪器类型全、数量足、设备新、性能良好等，根据响应文件差别赋0-5分；</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注：1、自有机械提供机械的购买发票，2、租赁机械须提供租赁合同。</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numPr>
                <w:ilvl w:val="0"/>
                <w:numId w:val="10"/>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新技术、新产品、新工艺、新材料应用，计0-5分；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Align w:val="center"/>
          </w:tcPr>
          <w:p>
            <w:pPr>
              <w:spacing w:line="5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履约能力评审</w:t>
            </w:r>
          </w:p>
        </w:tc>
        <w:tc>
          <w:tcPr>
            <w:tcW w:w="827" w:type="dxa"/>
            <w:vAlign w:val="center"/>
          </w:tcPr>
          <w:p>
            <w:pPr>
              <w:spacing w:line="56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val="en-US" w:eastAsia="zh-CN"/>
              </w:rPr>
              <w:t>0</w:t>
            </w:r>
            <w:r>
              <w:rPr>
                <w:rFonts w:hint="eastAsia" w:ascii="仿宋" w:hAnsi="仿宋" w:eastAsia="仿宋" w:cs="仿宋"/>
                <w:b/>
                <w:bCs/>
                <w:color w:val="auto"/>
                <w:sz w:val="21"/>
                <w:szCs w:val="21"/>
                <w:highlight w:val="none"/>
              </w:rPr>
              <w:t>分</w:t>
            </w:r>
          </w:p>
        </w:tc>
        <w:tc>
          <w:tcPr>
            <w:tcW w:w="486" w:type="dxa"/>
            <w:vAlign w:val="center"/>
          </w:tcPr>
          <w:p>
            <w:pPr>
              <w:numPr>
                <w:ilvl w:val="0"/>
                <w:numId w:val="11"/>
              </w:numPr>
              <w:spacing w:line="288" w:lineRule="auto"/>
              <w:ind w:left="360" w:leftChars="0" w:hanging="360" w:firstLineChars="0"/>
              <w:jc w:val="center"/>
              <w:rPr>
                <w:rFonts w:hint="eastAsia" w:ascii="仿宋" w:hAnsi="仿宋" w:eastAsia="仿宋" w:cs="仿宋"/>
                <w:color w:val="auto"/>
                <w:sz w:val="21"/>
                <w:szCs w:val="21"/>
                <w:highlight w:val="none"/>
              </w:rPr>
            </w:pPr>
          </w:p>
        </w:tc>
        <w:tc>
          <w:tcPr>
            <w:tcW w:w="6518" w:type="dxa"/>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业绩：供应商近三年（2020年4月至今）类似项目业绩；每提供1份计2分，最高得10分。业绩证明（以合同复印件为准，须在磋商响应文件中附证明材料的扫描件加盖单位公章）弄虚作假者，取消其成交资格。</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10分</w:t>
            </w:r>
          </w:p>
        </w:tc>
        <w:tc>
          <w:tcPr>
            <w:tcW w:w="614" w:type="dxa"/>
            <w:vMerge w:val="continue"/>
            <w:vAlign w:val="center"/>
          </w:tcPr>
          <w:p>
            <w:pPr>
              <w:spacing w:line="560" w:lineRule="exac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jc w:val="center"/>
        </w:trPr>
        <w:tc>
          <w:tcPr>
            <w:tcW w:w="699" w:type="dxa"/>
            <w:vAlign w:val="center"/>
          </w:tcPr>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b/>
                <w:bCs/>
                <w:color w:val="auto"/>
                <w:kern w:val="0"/>
                <w:sz w:val="21"/>
                <w:szCs w:val="21"/>
                <w:highlight w:val="none"/>
                <w:lang w:val="en-US" w:eastAsia="zh-CN" w:bidi="ar-SA"/>
              </w:rPr>
              <w:t>备注</w:t>
            </w:r>
          </w:p>
        </w:tc>
        <w:tc>
          <w:tcPr>
            <w:tcW w:w="9112" w:type="dxa"/>
            <w:gridSpan w:val="5"/>
            <w:tcBorders>
              <w:top w:val="single" w:color="auto" w:sz="4" w:space="0"/>
              <w:bottom w:val="single" w:color="auto" w:sz="4" w:space="0"/>
            </w:tcBorders>
            <w:vAlign w:val="top"/>
          </w:tcPr>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1、各评委应按照本评标办法独立打分。</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2、分项评分超出评分标准范围或磋商小组成员对客观评审因素评分不一致时，采购代理机构可以要求磋商小组复核或者书面说明理由，评标委员会拒绝的，应予记录并向本级财政部门报告。</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若出现综合得分并列时，比较价格得分，此分项得分高者排序在前；若价格得分仍相同，比较技术得分，此分项得分高者排序在前；若技术得分仍相同，则由全体磋商小组成员无记名投票，得票高者排序在前。</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4、计算结果保留两位小数，第三位“四舍五入”。</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5、评标过程中，若出现特殊情况时，由磋商小组决定暂停评标，并提出具体处理意见。 </w:t>
            </w:r>
          </w:p>
        </w:tc>
      </w:tr>
    </w:tbl>
    <w:p>
      <w:pPr>
        <w:rPr>
          <w:rFonts w:hint="eastAsia" w:ascii="仿宋" w:hAnsi="仿宋" w:eastAsia="仿宋" w:cs="仿宋"/>
          <w:color w:val="auto"/>
          <w:highlight w:val="none"/>
        </w:rPr>
      </w:pPr>
      <w:bookmarkStart w:id="79" w:name="_Hlt128276660"/>
      <w:bookmarkEnd w:id="79"/>
      <w:bookmarkStart w:id="80" w:name="_Hlt128276530"/>
      <w:bookmarkEnd w:id="80"/>
      <w:bookmarkStart w:id="81" w:name="_Hlt128276537"/>
      <w:bookmarkEnd w:id="81"/>
      <w:bookmarkStart w:id="82" w:name="_Toc221523521"/>
      <w:bookmarkStart w:id="83" w:name="_Toc421778377"/>
      <w:bookmarkStart w:id="84" w:name="_Toc19346"/>
      <w:bookmarkStart w:id="85" w:name="_Toc351989128"/>
    </w:p>
    <w:p>
      <w:pPr>
        <w:rPr>
          <w:rFonts w:hint="eastAsia" w:ascii="仿宋" w:hAnsi="仿宋" w:eastAsia="仿宋" w:cs="仿宋"/>
          <w:color w:val="auto"/>
          <w:highlight w:val="none"/>
        </w:rPr>
      </w:pPr>
      <w:bookmarkStart w:id="86" w:name="_Toc4006"/>
      <w:r>
        <w:rPr>
          <w:rFonts w:hint="eastAsia" w:ascii="仿宋" w:hAnsi="仿宋" w:eastAsia="仿宋" w:cs="仿宋"/>
          <w:color w:val="auto"/>
          <w:highlight w:val="none"/>
        </w:rPr>
        <w:br w:type="page"/>
      </w:r>
    </w:p>
    <w:p>
      <w:pPr>
        <w:pStyle w:val="3"/>
        <w:spacing w:line="35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第四章</w:t>
      </w:r>
      <w:r>
        <w:rPr>
          <w:rFonts w:hint="eastAsia" w:ascii="仿宋" w:hAnsi="仿宋" w:eastAsia="仿宋" w:cs="仿宋"/>
          <w:color w:val="auto"/>
          <w:highlight w:val="none"/>
          <w:lang w:val="en-US" w:eastAsia="zh-CN"/>
        </w:rPr>
        <w:t xml:space="preserve"> </w:t>
      </w:r>
      <w:bookmarkEnd w:id="82"/>
      <w:bookmarkEnd w:id="83"/>
      <w:bookmarkEnd w:id="84"/>
      <w:bookmarkEnd w:id="85"/>
      <w:bookmarkEnd w:id="86"/>
      <w:r>
        <w:rPr>
          <w:rFonts w:hint="eastAsia" w:ascii="仿宋" w:hAnsi="仿宋" w:eastAsia="仿宋" w:cs="仿宋"/>
          <w:color w:val="auto"/>
          <w:highlight w:val="none"/>
          <w:lang w:eastAsia="zh-CN"/>
        </w:rPr>
        <w:t>合同条款及格式</w:t>
      </w:r>
    </w:p>
    <w:p>
      <w:pPr>
        <w:spacing w:line="360" w:lineRule="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bookmarkStart w:id="87" w:name="_Toc421778378"/>
      <w:r>
        <w:rPr>
          <w:rFonts w:hint="eastAsia" w:ascii="仿宋" w:hAnsi="仿宋" w:eastAsia="仿宋" w:cs="仿宋"/>
          <w:bCs/>
          <w:color w:val="auto"/>
          <w:sz w:val="24"/>
          <w:szCs w:val="24"/>
          <w:highlight w:val="none"/>
        </w:rPr>
        <w:t>甲方（采购人）：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乙方（中标人）： </w:t>
      </w:r>
    </w:p>
    <w:p>
      <w:pPr>
        <w:keepNext w:val="0"/>
        <w:keepLines w:val="0"/>
        <w:pageBreakBefore w:val="0"/>
        <w:widowControl w:val="0"/>
        <w:kinsoku/>
        <w:wordWrap/>
        <w:overflowPunct/>
        <w:topLinePunct w:val="0"/>
        <w:bidi w:val="0"/>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长安区五台街道新农村、华家新村、星火村、石砭峪新村安全饮水巩固提升项目</w:t>
      </w:r>
      <w:r>
        <w:rPr>
          <w:rFonts w:hint="eastAsia" w:ascii="仿宋" w:hAnsi="仿宋" w:eastAsia="仿宋" w:cs="仿宋"/>
          <w:bCs/>
          <w:color w:val="auto"/>
          <w:sz w:val="24"/>
          <w:szCs w:val="24"/>
          <w:highlight w:val="none"/>
          <w:u w:val="single"/>
          <w:lang w:val="en-US" w:eastAsia="zh-CN"/>
        </w:rPr>
        <w:t xml:space="preserve">第 </w:t>
      </w:r>
      <w:r>
        <w:rPr>
          <w:rFonts w:hint="eastAsia" w:ascii="仿宋" w:hAnsi="仿宋" w:eastAsia="仿宋" w:cs="仿宋"/>
          <w:bCs/>
          <w:color w:val="auto"/>
          <w:sz w:val="24"/>
          <w:szCs w:val="24"/>
          <w:highlight w:val="none"/>
          <w:u w:val="single"/>
          <w:lang w:eastAsia="zh-CN"/>
        </w:rPr>
        <w:t>包（</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rPr>
        <w:t>在华夏国际项目管理有限公司组织</w:t>
      </w:r>
      <w:r>
        <w:rPr>
          <w:rFonts w:hint="eastAsia" w:ascii="仿宋" w:hAnsi="仿宋" w:eastAsia="仿宋" w:cs="仿宋"/>
          <w:bCs/>
          <w:color w:val="auto"/>
          <w:sz w:val="24"/>
          <w:szCs w:val="24"/>
          <w:highlight w:val="none"/>
          <w:lang w:eastAsia="zh-CN"/>
        </w:rPr>
        <w:t>竞争性磋商</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(以下简称“甲方”)确定</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（以下简称“乙方”）为</w:t>
      </w:r>
      <w:r>
        <w:rPr>
          <w:rFonts w:hint="eastAsia" w:ascii="仿宋" w:hAnsi="仿宋" w:eastAsia="仿宋" w:cs="仿宋"/>
          <w:bCs/>
          <w:color w:val="auto"/>
          <w:sz w:val="24"/>
          <w:szCs w:val="24"/>
          <w:highlight w:val="none"/>
          <w:lang w:val="en-US" w:eastAsia="zh-CN"/>
        </w:rPr>
        <w:t>本项目</w:t>
      </w:r>
      <w:r>
        <w:rPr>
          <w:rFonts w:hint="eastAsia" w:ascii="仿宋" w:hAnsi="仿宋" w:eastAsia="仿宋" w:cs="仿宋"/>
          <w:bCs/>
          <w:color w:val="auto"/>
          <w:sz w:val="24"/>
          <w:szCs w:val="24"/>
          <w:highlight w:val="none"/>
          <w:u w:val="single"/>
          <w:lang w:val="en-US" w:eastAsia="zh-CN"/>
        </w:rPr>
        <w:t xml:space="preserve">第   </w:t>
      </w:r>
      <w:r>
        <w:rPr>
          <w:rFonts w:hint="eastAsia" w:ascii="仿宋" w:hAnsi="仿宋" w:eastAsia="仿宋" w:cs="仿宋"/>
          <w:bCs/>
          <w:color w:val="auto"/>
          <w:sz w:val="24"/>
          <w:szCs w:val="24"/>
          <w:highlight w:val="none"/>
          <w:u w:val="single"/>
          <w:lang w:eastAsia="zh-CN"/>
        </w:rPr>
        <w:t>包</w:t>
      </w:r>
      <w:r>
        <w:rPr>
          <w:rFonts w:hint="eastAsia" w:ascii="仿宋" w:hAnsi="仿宋" w:eastAsia="仿宋" w:cs="仿宋"/>
          <w:bCs/>
          <w:color w:val="auto"/>
          <w:sz w:val="24"/>
          <w:szCs w:val="24"/>
          <w:highlight w:val="none"/>
        </w:rPr>
        <w:t>的中标人。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依据《</w:t>
      </w:r>
      <w:r>
        <w:rPr>
          <w:rFonts w:hint="eastAsia" w:ascii="仿宋" w:hAnsi="仿宋" w:eastAsia="仿宋" w:cs="仿宋"/>
          <w:bCs/>
          <w:color w:val="auto"/>
          <w:sz w:val="24"/>
          <w:szCs w:val="24"/>
          <w:highlight w:val="none"/>
          <w:lang w:eastAsia="zh-CN"/>
        </w:rPr>
        <w:t>中华人民共和国民法典</w:t>
      </w:r>
      <w:r>
        <w:rPr>
          <w:rFonts w:hint="eastAsia" w:ascii="仿宋" w:hAnsi="仿宋" w:eastAsia="仿宋" w:cs="仿宋"/>
          <w:bCs/>
          <w:color w:val="auto"/>
          <w:sz w:val="24"/>
          <w:szCs w:val="24"/>
          <w:highlight w:val="none"/>
        </w:rPr>
        <w:t>》和《中华人民共和国政府采购法》，经双方协商按下述条款和条件签署本合同。</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一、合同价款</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（一）合同总价款：</w:t>
      </w:r>
      <w:r>
        <w:rPr>
          <w:rFonts w:hint="eastAsia" w:ascii="仿宋" w:hAnsi="仿宋" w:eastAsia="仿宋" w:cs="仿宋"/>
          <w:bCs/>
          <w:color w:val="auto"/>
          <w:sz w:val="24"/>
          <w:szCs w:val="24"/>
          <w:highlight w:val="none"/>
          <w:lang w:eastAsia="zh-CN"/>
        </w:rPr>
        <w:t>大写：</w:t>
      </w:r>
      <w:r>
        <w:rPr>
          <w:rFonts w:hint="eastAsia" w:ascii="仿宋" w:hAnsi="仿宋" w:eastAsia="仿宋" w:cs="仿宋"/>
          <w:bCs/>
          <w:color w:val="auto"/>
          <w:sz w:val="24"/>
          <w:szCs w:val="24"/>
          <w:highlight w:val="none"/>
          <w:lang w:val="en-US" w:eastAsia="zh-CN"/>
        </w:rPr>
        <w:t xml:space="preserve">            （￥：     元）</w:t>
      </w:r>
      <w:r>
        <w:rPr>
          <w:rFonts w:hint="eastAsia" w:ascii="仿宋" w:hAnsi="仿宋" w:eastAsia="仿宋" w:cs="仿宋"/>
          <w:bCs/>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（二）合同总价包括：</w:t>
      </w:r>
      <w:r>
        <w:rPr>
          <w:rFonts w:hint="eastAsia" w:ascii="仿宋" w:hAnsi="仿宋" w:eastAsia="仿宋" w:cs="仿宋"/>
          <w:bCs/>
          <w:color w:val="auto"/>
          <w:sz w:val="24"/>
          <w:szCs w:val="24"/>
          <w:highlight w:val="none"/>
          <w:lang w:eastAsia="zh-CN"/>
        </w:rPr>
        <w:t>工程量清单的全部内容</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最终支付金额以</w:t>
      </w:r>
      <w:r>
        <w:rPr>
          <w:rFonts w:hint="eastAsia" w:ascii="仿宋" w:hAnsi="仿宋" w:eastAsia="仿宋" w:cs="仿宋"/>
          <w:bCs/>
          <w:color w:val="auto"/>
          <w:sz w:val="24"/>
          <w:szCs w:val="24"/>
          <w:highlight w:val="none"/>
          <w:lang w:eastAsia="zh-CN"/>
        </w:rPr>
        <w:t>审计部门审定后</w:t>
      </w:r>
      <w:r>
        <w:rPr>
          <w:rFonts w:hint="eastAsia" w:ascii="仿宋" w:hAnsi="仿宋" w:eastAsia="仿宋" w:cs="仿宋"/>
          <w:bCs/>
          <w:color w:val="auto"/>
          <w:sz w:val="24"/>
          <w:szCs w:val="24"/>
          <w:highlight w:val="none"/>
          <w:lang w:val="en-US" w:eastAsia="zh-CN"/>
        </w:rPr>
        <w:t>的</w:t>
      </w:r>
      <w:r>
        <w:rPr>
          <w:rFonts w:hint="eastAsia" w:ascii="仿宋" w:hAnsi="仿宋" w:eastAsia="仿宋" w:cs="仿宋"/>
          <w:bCs/>
          <w:color w:val="auto"/>
          <w:sz w:val="24"/>
          <w:szCs w:val="24"/>
          <w:highlight w:val="none"/>
          <w:lang w:eastAsia="zh-CN"/>
        </w:rPr>
        <w:t>总价款</w:t>
      </w:r>
      <w:r>
        <w:rPr>
          <w:rFonts w:hint="eastAsia" w:ascii="仿宋" w:hAnsi="仿宋" w:eastAsia="仿宋" w:cs="仿宋"/>
          <w:bCs/>
          <w:color w:val="auto"/>
          <w:sz w:val="24"/>
          <w:szCs w:val="24"/>
          <w:highlight w:val="none"/>
          <w:lang w:val="en-US" w:eastAsia="zh-CN"/>
        </w:rPr>
        <w:t>为准</w:t>
      </w:r>
      <w:r>
        <w:rPr>
          <w:rFonts w:hint="eastAsia" w:ascii="仿宋" w:hAnsi="仿宋" w:eastAsia="仿宋" w:cs="仿宋"/>
          <w:bCs/>
          <w:color w:val="auto"/>
          <w:sz w:val="24"/>
          <w:szCs w:val="24"/>
          <w:highlight w:val="none"/>
        </w:rPr>
        <w:t>。合同价格为含税价。</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二、结算方式</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（1）合同签订后支付合同价款的</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lang w:eastAsia="zh-CN"/>
        </w:rPr>
        <w:t>0%；项目实施进度达到50%后付</w:t>
      </w:r>
      <w:r>
        <w:rPr>
          <w:rFonts w:hint="eastAsia" w:ascii="仿宋" w:hAnsi="仿宋" w:eastAsia="仿宋" w:cs="仿宋"/>
          <w:bCs/>
          <w:color w:val="auto"/>
          <w:sz w:val="24"/>
          <w:szCs w:val="24"/>
          <w:highlight w:val="none"/>
          <w:lang w:val="en-US" w:eastAsia="zh-CN"/>
        </w:rPr>
        <w:t>至</w:t>
      </w:r>
      <w:r>
        <w:rPr>
          <w:rFonts w:hint="eastAsia" w:ascii="仿宋" w:hAnsi="仿宋" w:eastAsia="仿宋" w:cs="仿宋"/>
          <w:bCs/>
          <w:color w:val="auto"/>
          <w:sz w:val="24"/>
          <w:szCs w:val="24"/>
          <w:highlight w:val="none"/>
          <w:lang w:eastAsia="zh-CN"/>
        </w:rPr>
        <w:t>合同</w:t>
      </w:r>
      <w:r>
        <w:rPr>
          <w:rFonts w:hint="eastAsia" w:ascii="仿宋" w:hAnsi="仿宋" w:eastAsia="仿宋" w:cs="仿宋"/>
          <w:bCs/>
          <w:color w:val="auto"/>
          <w:sz w:val="24"/>
          <w:szCs w:val="24"/>
          <w:highlight w:val="none"/>
          <w:lang w:val="en-US" w:eastAsia="zh-CN"/>
        </w:rPr>
        <w:t>价款的</w:t>
      </w:r>
      <w:r>
        <w:rPr>
          <w:rFonts w:hint="eastAsia" w:ascii="仿宋" w:hAnsi="仿宋" w:eastAsia="仿宋" w:cs="仿宋"/>
          <w:bCs/>
          <w:color w:val="auto"/>
          <w:sz w:val="24"/>
          <w:szCs w:val="24"/>
          <w:highlight w:val="none"/>
          <w:lang w:eastAsia="zh-CN"/>
        </w:rPr>
        <w:t>70%；</w:t>
      </w:r>
      <w:r>
        <w:rPr>
          <w:rFonts w:hint="eastAsia" w:ascii="仿宋" w:hAnsi="仿宋" w:eastAsia="仿宋" w:cs="仿宋"/>
          <w:bCs/>
          <w:color w:val="auto"/>
          <w:sz w:val="24"/>
          <w:szCs w:val="24"/>
          <w:highlight w:val="none"/>
          <w:lang w:val="en-US" w:eastAsia="zh-CN"/>
        </w:rPr>
        <w:t>项目</w:t>
      </w:r>
      <w:r>
        <w:rPr>
          <w:rFonts w:hint="eastAsia" w:ascii="仿宋" w:hAnsi="仿宋" w:eastAsia="仿宋" w:cs="仿宋"/>
          <w:bCs/>
          <w:color w:val="auto"/>
          <w:sz w:val="24"/>
          <w:szCs w:val="24"/>
          <w:highlight w:val="none"/>
          <w:lang w:eastAsia="zh-CN"/>
        </w:rPr>
        <w:t>完工后，付至合同价款的</w:t>
      </w: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lang w:eastAsia="zh-CN"/>
        </w:rPr>
        <w:t>0%；验收合格、经审计部门审定后支付至审定总价款的100%。</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（2）每次付款前中标单位须提供等额正规发票，最后一次付款时应提供剩余款项全额正规发票。</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三、实施地点及工期：</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（一）实施地点：甲方指定地点。</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（二）工期：合同签订之日起</w:t>
      </w:r>
      <w:r>
        <w:rPr>
          <w:rFonts w:hint="eastAsia" w:ascii="仿宋" w:hAnsi="仿宋" w:eastAsia="仿宋" w:cs="仿宋"/>
          <w:bCs/>
          <w:color w:val="auto"/>
          <w:sz w:val="24"/>
          <w:szCs w:val="24"/>
          <w:highlight w:val="none"/>
          <w:lang w:val="en-US" w:eastAsia="zh-CN"/>
        </w:rPr>
        <w:t>3个月</w:t>
      </w:r>
      <w:r>
        <w:rPr>
          <w:rFonts w:hint="eastAsia" w:ascii="仿宋" w:hAnsi="仿宋" w:eastAsia="仿宋" w:cs="仿宋"/>
          <w:bCs/>
          <w:color w:val="auto"/>
          <w:sz w:val="24"/>
          <w:szCs w:val="24"/>
          <w:highlight w:val="none"/>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Cs/>
          <w:color w:val="auto"/>
          <w:kern w:val="2"/>
          <w:sz w:val="24"/>
          <w:szCs w:val="24"/>
          <w:highlight w:val="none"/>
          <w:lang w:val="en-US" w:eastAsia="zh-CN" w:bidi="ar-SA"/>
        </w:rPr>
        <w:t>（三）质保期：自本项目竣工验收合格之日起一年</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四、质量保证</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zh-CN"/>
        </w:rPr>
        <w:t>所选材料必须保证质量可靠、进货渠道正常，符合国家环保等相关标准，满足施工要求。</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val="zh-CN"/>
        </w:rPr>
        <w:t>工程质量符合国家有关规范，确保达到合格。</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zh-CN"/>
        </w:rPr>
        <w:t>该工程项目质量保修期按有关文件规定执行。</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五、双方责任</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（一）甲方责任：</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1、甲方负责施工场地的提供，排除施工障碍的协调。</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2、组织设计、设计变更及现场签证，工程结算的审定等工作。</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3、对工程进度、质量进行监督检查。</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4、组织有关单位对工程进行竣工验收。</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5、按时支付工程款。</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（二） 乙方责任：</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1、负责办理完成项目使用审批手续，负责工程安全文明施工、承担一切风险，满足甲方工程的需要。保证甲方正式投入使用，再无其他费用发生。</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进入甲方要求场地施工，应服从当地对治安、卫生、环保、社会保险等工程建设的统一管理，并按有关规定交纳费用以及因违反相关规定而造成的罚款。乙方按照国家和当地政府有关规定应采取的任何必要安全防护措施已包含在乙方的合同价款当中，甲方不另行支付。竣工后交甲方竣工图二份及甲方委托乙方办理项目手续的相关资料等，以备留档。</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设计说明进行施工，确保工程按合同规定的时间如期完工和交付；并应接受甲方代表或委派人员的检查、检验，乙方应为甲方人员检查提供便利条件，对不合格的部分按甲方代表及委派人员的要求返工修改，承担由自身原因导致的返工修改费用，工期不予顺延。</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提供的主要材料、设备必须有质量合格证等相关证件方可用于工程，对材料改变或代用必须经原设计单位同意，并发书面通知和甲方代表签证后，方可用于工程，任何一方认为对方提供的材料需要复检的，应允许复检。经复检符合质量要求的，方可用于工程，其复检费由要求一方承担，不符合质量要求的，应按有关规定处理，其复检费由提供材料、设备一方承担。</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5、隐蔽工程在覆盖前必须经甲方代表或现场监理代表验收签章后，方可进行下一道工序。</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6、遵守甲方施工场地的规章制度和管理，做到安全文明施工，做 好成品保护，对甲方提出的问题应在 24 小时内予以解决或处理；遵守有关施工规范和安全操作规程，如发生安全事故，乙方应及时通知甲方，积极采取有效的补救措施，如因此造成甲方、乙方或第三方人身或财产损失，全部责任由乙方自行承担。</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7、采取有效的安全保障措施，确保施工安全，包括悬挂警示标牌、装设围栏、配备安全人员等，并承担事故的全部费用和责任。</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8、工程竣工后提供竣工验收技术资料及竣工图</w:t>
      </w:r>
      <w:r>
        <w:rPr>
          <w:rFonts w:hint="eastAsia" w:ascii="仿宋" w:hAnsi="仿宋" w:eastAsia="仿宋" w:cs="仿宋"/>
          <w:color w:val="auto"/>
          <w:sz w:val="24"/>
          <w:szCs w:val="24"/>
          <w:highlight w:val="none"/>
          <w:u w:val="single"/>
          <w:lang w:val="en-US" w:eastAsia="zh-CN"/>
        </w:rPr>
        <w:t>二</w:t>
      </w:r>
      <w:r>
        <w:rPr>
          <w:rFonts w:hint="eastAsia" w:ascii="仿宋" w:hAnsi="仿宋" w:eastAsia="仿宋" w:cs="仿宋"/>
          <w:color w:val="auto"/>
          <w:sz w:val="24"/>
          <w:szCs w:val="24"/>
          <w:highlight w:val="none"/>
        </w:rPr>
        <w:t>套，办理工程竣工结算手续，参加工程竣工验收。</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9、已完工的项目，在交工前乙方应负责保管，清理现场达到建筑物无污染，现场无建筑垃圾。</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10、本工程不得转包。</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11、乙方应在设备运行过程中，对安全隐患进行全面的不定期检查与维护，并对不按安全规程操作的施工单位及时制止，并报甲方进行处理。</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b/>
          <w:color w:val="auto"/>
          <w:sz w:val="24"/>
          <w:szCs w:val="24"/>
          <w:highlight w:val="none"/>
          <w:lang w:val="zh-CN"/>
        </w:rPr>
      </w:pPr>
      <w:r>
        <w:rPr>
          <w:rFonts w:hint="eastAsia" w:ascii="仿宋" w:hAnsi="仿宋" w:eastAsia="仿宋" w:cs="仿宋"/>
          <w:color w:val="auto"/>
          <w:sz w:val="24"/>
          <w:szCs w:val="24"/>
          <w:highlight w:val="none"/>
        </w:rPr>
        <w:t>12、乙方不能按合同规定的工期竣工的，应向甲方支付违约金，每逾期一日，支付合同总价款万分之二的违约金，造成甲方损失的，还应赔偿甲方损失。</w:t>
      </w:r>
    </w:p>
    <w:p>
      <w:pPr>
        <w:keepNext w:val="0"/>
        <w:keepLines w:val="0"/>
        <w:pageBreakBefore w:val="0"/>
        <w:widowControl w:val="0"/>
        <w:kinsoku/>
        <w:wordWrap/>
        <w:overflowPunct/>
        <w:topLinePunct w:val="0"/>
        <w:bidi w:val="0"/>
        <w:spacing w:line="360" w:lineRule="auto"/>
        <w:ind w:firstLine="482" w:firstLineChars="200"/>
        <w:jc w:val="left"/>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六、组成合同的文件</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1．组成本合同的文件包括：</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(1)本合同书</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文件及其附件</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清单表</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2．双方有关工程的洽商、变更等书面协议或文件、补充协议书均视为本合同的组成部分。</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七、验收</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zh-CN"/>
        </w:rPr>
        <w:t>主材到现场后，由甲方对其进行验收，确认材料的产地、规格、数量。</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val="zh-CN"/>
        </w:rPr>
        <w:t>乙方工程完工后，进行自检，合格后准备验收文件，并书面通知甲方。</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zh-CN"/>
        </w:rPr>
        <w:t>甲方确认乙方的自检内容，验收合格作为工程的最终认可。</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4"/>
          <w:highlight w:val="none"/>
          <w:lang w:val="zh-CN"/>
        </w:rPr>
        <w:t>验收依据：</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4-1、合同、磋商文件、磋商响应文件及承诺。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4-2、国家相关</w:t>
      </w:r>
      <w:r>
        <w:rPr>
          <w:rFonts w:hint="eastAsia" w:ascii="仿宋" w:hAnsi="仿宋" w:eastAsia="仿宋" w:cs="仿宋"/>
          <w:bCs/>
          <w:color w:val="auto"/>
          <w:sz w:val="24"/>
          <w:szCs w:val="24"/>
          <w:highlight w:val="none"/>
        </w:rPr>
        <w:t>标准、规范及有关技术文件</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八、争议的解决方式</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合同执行过程中如发生争议，双方应及时协商解决，协商不成，双方均可向项目所在地人民法院起诉。</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九、其他</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本合同未定事宜，双方可根据具体情况结合有关规定另行签订补充协议，补充协议与本合同具有同等法律效力。</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十、附则</w:t>
      </w:r>
    </w:p>
    <w:p>
      <w:pPr>
        <w:keepNext w:val="0"/>
        <w:keepLines w:val="0"/>
        <w:pageBreakBefore w:val="0"/>
        <w:widowControl w:val="0"/>
        <w:tabs>
          <w:tab w:val="left" w:pos="0"/>
        </w:tabs>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（一）本合同一式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份，甲、乙方各执</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份，甲方执</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份，乙方执</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pacing w:val="-20"/>
          <w:kern w:val="0"/>
          <w:sz w:val="24"/>
          <w:szCs w:val="24"/>
          <w:highlight w:val="none"/>
        </w:rPr>
      </w:pPr>
      <w:r>
        <w:rPr>
          <w:rFonts w:hint="eastAsia" w:ascii="仿宋" w:hAnsi="仿宋" w:eastAsia="仿宋" w:cs="仿宋"/>
          <w:color w:val="auto"/>
          <w:sz w:val="24"/>
          <w:szCs w:val="24"/>
          <w:highlight w:val="none"/>
        </w:rPr>
        <w:t>（二）合同经双方盖章后生效，各条款执行完毕后终止。</w:t>
      </w:r>
    </w:p>
    <w:tbl>
      <w:tblPr>
        <w:tblStyle w:val="35"/>
        <w:tblW w:w="8403" w:type="dxa"/>
        <w:jc w:val="center"/>
        <w:tblLayout w:type="fixed"/>
        <w:tblCellMar>
          <w:top w:w="0" w:type="dxa"/>
          <w:left w:w="108" w:type="dxa"/>
          <w:bottom w:w="0" w:type="dxa"/>
          <w:right w:w="108" w:type="dxa"/>
        </w:tblCellMar>
      </w:tblPr>
      <w:tblGrid>
        <w:gridCol w:w="4201"/>
        <w:gridCol w:w="4202"/>
      </w:tblGrid>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  方</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  方</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法定代表人： </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被授权代表：</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被授权代表：</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tblPrEx>
          <w:tblCellMar>
            <w:top w:w="0" w:type="dxa"/>
            <w:left w:w="108" w:type="dxa"/>
            <w:bottom w:w="0" w:type="dxa"/>
            <w:right w:w="108" w:type="dxa"/>
          </w:tblCellMar>
        </w:tblPrEx>
        <w:trPr>
          <w:trHeight w:val="567" w:hRule="exact"/>
          <w:jc w:val="center"/>
        </w:trPr>
        <w:tc>
          <w:tcPr>
            <w:tcW w:w="4201"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tc>
        <w:tc>
          <w:tcPr>
            <w:tcW w:w="4202" w:type="dxa"/>
            <w:noWrap/>
            <w:vAlign w:val="center"/>
          </w:tcPr>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3"/>
        <w:keepNext w:val="0"/>
        <w:pageBreakBefore/>
        <w:spacing w:line="350" w:lineRule="auto"/>
        <w:jc w:val="center"/>
        <w:rPr>
          <w:rFonts w:hint="eastAsia" w:ascii="仿宋" w:hAnsi="仿宋" w:eastAsia="仿宋" w:cs="仿宋"/>
          <w:b w:val="0"/>
          <w:bCs w:val="0"/>
          <w:color w:val="auto"/>
          <w:sz w:val="32"/>
          <w:szCs w:val="32"/>
          <w:highlight w:val="none"/>
        </w:rPr>
      </w:pPr>
      <w:bookmarkStart w:id="88" w:name="_Toc24331"/>
      <w:bookmarkStart w:id="89" w:name="_Toc9746"/>
      <w:r>
        <w:rPr>
          <w:rFonts w:hint="eastAsia" w:ascii="仿宋" w:hAnsi="仿宋" w:eastAsia="仿宋" w:cs="仿宋"/>
          <w:color w:val="auto"/>
          <w:sz w:val="32"/>
          <w:szCs w:val="32"/>
          <w:highlight w:val="none"/>
        </w:rPr>
        <w:t>第五章</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工程量清单</w:t>
      </w:r>
      <w:bookmarkEnd w:id="87"/>
      <w:bookmarkEnd w:id="88"/>
      <w:bookmarkEnd w:id="89"/>
    </w:p>
    <w:p>
      <w:pPr>
        <w:jc w:val="center"/>
        <w:rPr>
          <w:rFonts w:hint="default" w:ascii="仿宋" w:hAnsi="仿宋" w:eastAsia="仿宋" w:cs="仿宋"/>
          <w:b/>
          <w:bCs/>
          <w:color w:val="auto"/>
          <w:sz w:val="24"/>
          <w:szCs w:val="24"/>
          <w:highlight w:val="none"/>
          <w:lang w:val="en-US" w:eastAsia="zh-CN"/>
        </w:rPr>
      </w:pPr>
      <w:bookmarkStart w:id="90" w:name="_Toc420591492"/>
      <w:bookmarkStart w:id="91" w:name="_Toc358102909"/>
      <w:bookmarkStart w:id="92" w:name="_Toc420591657"/>
      <w:bookmarkStart w:id="93" w:name="_Toc373847090"/>
      <w:bookmarkStart w:id="94" w:name="_Toc221523530"/>
      <w:bookmarkStart w:id="95" w:name="_Toc421778379"/>
      <w:r>
        <w:rPr>
          <w:rFonts w:hint="eastAsia" w:ascii="仿宋" w:hAnsi="仿宋" w:eastAsia="仿宋" w:cs="仿宋"/>
          <w:b/>
          <w:bCs/>
          <w:color w:val="auto"/>
          <w:sz w:val="24"/>
          <w:szCs w:val="24"/>
          <w:highlight w:val="none"/>
        </w:rPr>
        <w:t>1．工程量清单说明</w:t>
      </w:r>
      <w:bookmarkEnd w:id="90"/>
      <w:bookmarkEnd w:id="91"/>
      <w:bookmarkEnd w:id="92"/>
      <w:bookmarkEnd w:id="93"/>
      <w:bookmarkEnd w:id="94"/>
      <w:bookmarkEnd w:id="95"/>
    </w:p>
    <w:p>
      <w:pPr>
        <w:numPr>
          <w:ilvl w:val="0"/>
          <w:numId w:val="0"/>
        </w:numPr>
        <w:spacing w:line="360" w:lineRule="auto"/>
        <w:jc w:val="left"/>
        <w:rPr>
          <w:rFonts w:hint="eastAsia" w:ascii="仿宋" w:hAnsi="仿宋" w:eastAsia="仿宋" w:cs="仿宋"/>
          <w:b/>
          <w:bCs/>
          <w:color w:val="auto"/>
          <w:sz w:val="24"/>
          <w:szCs w:val="24"/>
          <w:highlight w:val="none"/>
          <w:shd w:val="clear" w:color="auto" w:fill="auto"/>
          <w:lang w:val="en-US" w:eastAsia="zh-CN"/>
        </w:rPr>
      </w:pPr>
      <w:bookmarkStart w:id="96" w:name="_Toc221523531"/>
      <w:r>
        <w:rPr>
          <w:rFonts w:hint="eastAsia" w:ascii="仿宋" w:hAnsi="仿宋" w:eastAsia="仿宋" w:cs="仿宋"/>
          <w:b/>
          <w:bCs/>
          <w:color w:val="auto"/>
          <w:sz w:val="24"/>
          <w:szCs w:val="24"/>
          <w:highlight w:val="none"/>
          <w:shd w:val="clear" w:color="auto" w:fill="auto"/>
          <w:lang w:val="en-US" w:eastAsia="zh-CN"/>
        </w:rPr>
        <w:t>一、工程概括</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第1包（新农村）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建设地点：西安市长安区五台街道新农村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项目主要建设内容: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（1）暗埋铺设De50PE100-1.6MPa管道540m、De40PE100-1.6MPa管道1421m、De32PE100-1.6MPa管道3927m、De25PE100-1.6Mpa入户管1825m。</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（2）新建内径1.0m、深1.2m的成品钢筋混凝土阀门井55座，安装成品复合树脂水表箱365个,。</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（3）智能水表365个、不同规格的闸阀55个、排气阀6个、排泥阀6个,消防栓6个。</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第2包（华家新村）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建设地点：西安市长安区五台街道华家新村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项目主要建设内容: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（1）更换De50PE100-1.6Mpa分干管266m。</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（2）新建内径1.0m、深1.2m的成品钢筋混凝土阀门井3座。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对全村255户群众重建水表井，配套入户闸阀、智能水表及入户管。本次入户管采用De25PE100-1.6Mpa管，每户设计长3.5m，水表井采用成品地埋式复合树脂水表箱，尺寸为250*470*250mm，箱内安装DN20闸阀及智能水表各1个。共埋设De25PE100-1.6Mpa入户管总长892.5m，安装水表箱255个、智能水表255个。</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第3包（星火村）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建设地点：西安市长安区五台街道星火村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项目主要建设内容：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（1）暗埋铺设De50PE100-1.6MPa管道785m，De25PE100-1.6MPa入户管1204m。</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（2）新建内径1.0m、深1.2m的成品钢筋混凝土阀门井3座，安装成品复合树脂水表箱344个。</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（3）安装智能水表344个、DN40闸阀3个、排气阀2个。</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第4包（石砭峪新村）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建设地点：西安市长安区五台街道石砭峪新村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项目主要建设内容: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对630户群众重建水表井，配套入户闸阀、智能水表及入户管。本次入户管采用De25PE100-1.6Mpa管，每户设计长2m，水表井采用成品地埋式复合树脂水表箱，尺寸为250*470*250mm，箱内安装DN20闸阀及智能水表各1个。共埋设De25PE100-1.6Mpa入户管总长1260m，安装水表箱630个、智能水表630个。</w:t>
      </w:r>
    </w:p>
    <w:p>
      <w:pPr>
        <w:numPr>
          <w:ilvl w:val="0"/>
          <w:numId w:val="0"/>
        </w:numPr>
        <w:spacing w:line="360" w:lineRule="auto"/>
        <w:jc w:val="left"/>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二、编制依据</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highlight w:val="none"/>
          <w:shd w:val="clear" w:color="auto" w:fill="auto"/>
          <w:lang w:val="en-US" w:eastAsia="zh-CN"/>
        </w:rPr>
      </w:pPr>
      <w:r>
        <w:rPr>
          <w:rFonts w:hint="default" w:ascii="仿宋" w:hAnsi="仿宋" w:eastAsia="仿宋" w:cs="仿宋"/>
          <w:color w:val="auto"/>
          <w:sz w:val="24"/>
          <w:szCs w:val="24"/>
          <w:highlight w:val="none"/>
          <w:shd w:val="clear" w:color="auto" w:fill="auto"/>
          <w:lang w:val="en-US" w:eastAsia="zh-CN"/>
        </w:rPr>
        <w:t>（1）依据本项目的实施方案报告</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highlight w:val="none"/>
          <w:shd w:val="clear" w:color="auto" w:fill="auto"/>
          <w:lang w:val="en-US" w:eastAsia="zh-CN"/>
        </w:rPr>
      </w:pPr>
      <w:r>
        <w:rPr>
          <w:rFonts w:hint="default" w:ascii="仿宋" w:hAnsi="仿宋" w:eastAsia="仿宋" w:cs="仿宋"/>
          <w:color w:val="auto"/>
          <w:sz w:val="24"/>
          <w:szCs w:val="24"/>
          <w:highlight w:val="none"/>
          <w:shd w:val="clear" w:color="auto" w:fill="auto"/>
          <w:lang w:val="en-US" w:eastAsia="zh-CN"/>
        </w:rPr>
        <w:t>（2）依据本项目设计图纸</w:t>
      </w:r>
    </w:p>
    <w:p>
      <w:pPr>
        <w:numPr>
          <w:ilvl w:val="0"/>
          <w:numId w:val="0"/>
        </w:numPr>
        <w:spacing w:line="360" w:lineRule="auto"/>
        <w:jc w:val="left"/>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三、临时工程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施工其他临时工程，按“</w:t>
      </w:r>
      <w:bookmarkStart w:id="184" w:name="_GoBack"/>
      <w:bookmarkEnd w:id="184"/>
      <w:r>
        <w:rPr>
          <w:rFonts w:hint="eastAsia" w:ascii="仿宋" w:hAnsi="仿宋" w:eastAsia="仿宋" w:cs="仿宋"/>
          <w:color w:val="auto"/>
          <w:sz w:val="24"/>
          <w:szCs w:val="24"/>
          <w:highlight w:val="none"/>
          <w:shd w:val="clear" w:color="auto" w:fill="auto"/>
          <w:lang w:val="en-US" w:eastAsia="zh-CN"/>
        </w:rPr>
        <w:t>建筑和安装费”之和的2%计入。</w:t>
      </w:r>
    </w:p>
    <w:p>
      <w:pPr>
        <w:pStyle w:val="2"/>
        <w:rPr>
          <w:rFonts w:hint="eastAsia"/>
          <w:color w:val="auto"/>
          <w:highlight w:val="none"/>
          <w:lang w:val="en-US" w:eastAsia="zh-CN"/>
        </w:rPr>
      </w:pPr>
    </w:p>
    <w:p>
      <w:pPr>
        <w:jc w:val="center"/>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lang w:val="en-US" w:eastAsia="zh-CN"/>
        </w:rPr>
        <w:t>2.工程量清单另册</w:t>
      </w:r>
    </w:p>
    <w:p>
      <w:pPr>
        <w:jc w:val="both"/>
        <w:rPr>
          <w:rFonts w:hint="eastAsia" w:ascii="仿宋" w:hAnsi="仿宋" w:eastAsia="仿宋" w:cs="仿宋"/>
          <w:b/>
          <w:bCs/>
          <w:color w:val="auto"/>
          <w:highlight w:val="none"/>
          <w:lang w:val="en-US" w:eastAsia="zh-CN"/>
        </w:rPr>
      </w:pPr>
      <w:r>
        <w:rPr>
          <w:rFonts w:hint="eastAsia" w:ascii="仿宋" w:hAnsi="仿宋" w:eastAsia="仿宋" w:cs="仿宋"/>
          <w:b/>
          <w:bCs/>
          <w:color w:val="auto"/>
          <w:sz w:val="24"/>
          <w:szCs w:val="24"/>
          <w:highlight w:val="none"/>
        </w:rPr>
        <w:br w:type="page"/>
      </w:r>
      <w:bookmarkEnd w:id="96"/>
      <w:bookmarkStart w:id="97" w:name="_Toc410"/>
      <w:bookmarkStart w:id="98" w:name="_Toc421778381"/>
    </w:p>
    <w:p>
      <w:pPr>
        <w:pStyle w:val="3"/>
        <w:numPr>
          <w:ilvl w:val="0"/>
          <w:numId w:val="12"/>
        </w:numPr>
        <w:jc w:val="center"/>
        <w:rPr>
          <w:rFonts w:hint="eastAsia" w:ascii="仿宋" w:hAnsi="仿宋" w:eastAsia="仿宋" w:cs="仿宋"/>
          <w:color w:val="auto"/>
          <w:highlight w:val="none"/>
        </w:rPr>
      </w:pPr>
      <w:bookmarkStart w:id="99" w:name="_Toc16560"/>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技术</w:t>
      </w:r>
      <w:r>
        <w:rPr>
          <w:rFonts w:hint="eastAsia" w:ascii="仿宋" w:hAnsi="仿宋" w:eastAsia="仿宋" w:cs="仿宋"/>
          <w:color w:val="auto"/>
          <w:highlight w:val="none"/>
          <w:lang w:eastAsia="zh-CN"/>
        </w:rPr>
        <w:t>标准及</w:t>
      </w:r>
      <w:r>
        <w:rPr>
          <w:rFonts w:hint="eastAsia" w:ascii="仿宋" w:hAnsi="仿宋" w:eastAsia="仿宋" w:cs="仿宋"/>
          <w:color w:val="auto"/>
          <w:highlight w:val="none"/>
        </w:rPr>
        <w:t>要求</w:t>
      </w:r>
      <w:bookmarkEnd w:id="97"/>
      <w:bookmarkEnd w:id="98"/>
      <w:bookmarkEnd w:id="99"/>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一、项目名称</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长安区五台街道新农村、华家新村、星火村、石砭峪新村安全饮水巩固提升项目</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二、资金来源</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财政</w:t>
      </w:r>
      <w:r>
        <w:rPr>
          <w:rFonts w:hint="eastAsia" w:ascii="仿宋" w:hAnsi="仿宋" w:eastAsia="仿宋" w:cs="仿宋"/>
          <w:color w:val="auto"/>
          <w:sz w:val="24"/>
          <w:szCs w:val="24"/>
          <w:highlight w:val="none"/>
        </w:rPr>
        <w:t>资金</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、项目类型、数量、清单</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详见分部分项工程量清单</w:t>
      </w:r>
    </w:p>
    <w:p>
      <w:pPr>
        <w:spacing w:line="360" w:lineRule="auto"/>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keepNext w:val="0"/>
        <w:pageBreakBefore/>
        <w:spacing w:line="350" w:lineRule="auto"/>
        <w:jc w:val="center"/>
        <w:rPr>
          <w:rFonts w:hint="eastAsia" w:ascii="仿宋" w:hAnsi="仿宋" w:eastAsia="仿宋" w:cs="仿宋"/>
          <w:color w:val="auto"/>
          <w:sz w:val="32"/>
          <w:szCs w:val="32"/>
          <w:highlight w:val="none"/>
        </w:rPr>
      </w:pPr>
      <w:bookmarkStart w:id="100" w:name="_Toc421778384"/>
      <w:bookmarkStart w:id="101" w:name="_Toc12295"/>
      <w:bookmarkStart w:id="102" w:name="_Toc27303"/>
      <w:r>
        <w:rPr>
          <w:rFonts w:hint="eastAsia" w:ascii="仿宋" w:hAnsi="仿宋" w:eastAsia="仿宋" w:cs="仿宋"/>
          <w:color w:val="auto"/>
          <w:sz w:val="32"/>
          <w:szCs w:val="32"/>
          <w:highlight w:val="none"/>
        </w:rPr>
        <w:t>第</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章</w:t>
      </w:r>
      <w:bookmarkEnd w:id="100"/>
      <w:bookmarkEnd w:id="101"/>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竞争性磋商响应文件</w:t>
      </w:r>
      <w:r>
        <w:rPr>
          <w:rFonts w:hint="eastAsia" w:ascii="仿宋" w:hAnsi="仿宋" w:eastAsia="仿宋" w:cs="仿宋"/>
          <w:color w:val="auto"/>
          <w:sz w:val="32"/>
          <w:szCs w:val="32"/>
          <w:highlight w:val="none"/>
        </w:rPr>
        <w:t>格式</w:t>
      </w:r>
      <w:bookmarkEnd w:id="102"/>
    </w:p>
    <w:p>
      <w:pPr>
        <w:spacing w:line="5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项目编号：</w:t>
      </w:r>
      <w:r>
        <w:rPr>
          <w:rFonts w:hint="eastAsia" w:ascii="仿宋" w:hAnsi="仿宋" w:eastAsia="仿宋" w:cs="仿宋"/>
          <w:b/>
          <w:bCs/>
          <w:color w:val="auto"/>
          <w:sz w:val="24"/>
          <w:szCs w:val="24"/>
          <w:highlight w:val="none"/>
          <w:lang w:eastAsia="zh-CN"/>
        </w:rPr>
        <w:t>HXGJXM2023-ZC-CS1017</w:t>
      </w:r>
      <w:r>
        <w:rPr>
          <w:rFonts w:hint="eastAsia" w:ascii="仿宋" w:hAnsi="仿宋" w:eastAsia="仿宋" w:cs="仿宋"/>
          <w:b/>
          <w:bCs/>
          <w:color w:val="auto"/>
          <w:sz w:val="24"/>
          <w:szCs w:val="24"/>
          <w:highlight w:val="none"/>
        </w:rPr>
        <w:t>（正本或副本）</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jc w:val="center"/>
        <w:rPr>
          <w:rFonts w:hint="eastAsia" w:ascii="仿宋" w:hAnsi="仿宋" w:eastAsia="仿宋" w:cs="仿宋"/>
          <w:b/>
          <w:bCs/>
          <w:color w:val="auto"/>
          <w:sz w:val="52"/>
          <w:szCs w:val="52"/>
          <w:highlight w:val="none"/>
        </w:rPr>
      </w:pPr>
    </w:p>
    <w:p>
      <w:pPr>
        <w:spacing w:line="360" w:lineRule="auto"/>
        <w:jc w:val="center"/>
        <w:rPr>
          <w:rFonts w:hint="default" w:ascii="仿宋" w:hAnsi="仿宋" w:eastAsia="仿宋" w:cs="仿宋"/>
          <w:b/>
          <w:bCs/>
          <w:color w:val="auto"/>
          <w:sz w:val="48"/>
          <w:szCs w:val="48"/>
          <w:highlight w:val="none"/>
          <w:lang w:val="en-US" w:eastAsia="zh-CN"/>
        </w:rPr>
      </w:pPr>
      <w:r>
        <w:rPr>
          <w:rFonts w:hint="eastAsia" w:ascii="仿宋" w:hAnsi="仿宋" w:eastAsia="仿宋" w:cs="仿宋"/>
          <w:b/>
          <w:bCs/>
          <w:color w:val="auto"/>
          <w:sz w:val="48"/>
          <w:szCs w:val="48"/>
          <w:highlight w:val="none"/>
          <w:lang w:eastAsia="zh-CN"/>
        </w:rPr>
        <w:t>长安区五台街道新农村、华家新村、星火村、石砭峪新村安全饮水巩固提升项目</w:t>
      </w:r>
      <w:r>
        <w:rPr>
          <w:rFonts w:hint="eastAsia" w:ascii="仿宋" w:hAnsi="仿宋" w:eastAsia="仿宋" w:cs="仿宋"/>
          <w:b/>
          <w:bCs/>
          <w:color w:val="auto"/>
          <w:sz w:val="48"/>
          <w:szCs w:val="48"/>
          <w:highlight w:val="none"/>
          <w:u w:val="single"/>
          <w:lang w:val="en-US" w:eastAsia="zh-CN"/>
        </w:rPr>
        <w:t xml:space="preserve">  </w:t>
      </w:r>
      <w:r>
        <w:rPr>
          <w:rFonts w:hint="eastAsia" w:ascii="仿宋" w:hAnsi="仿宋" w:eastAsia="仿宋" w:cs="仿宋"/>
          <w:b/>
          <w:bCs/>
          <w:color w:val="auto"/>
          <w:sz w:val="48"/>
          <w:szCs w:val="48"/>
          <w:highlight w:val="none"/>
          <w:lang w:val="en-US" w:eastAsia="zh-CN"/>
        </w:rPr>
        <w:t>包</w:t>
      </w:r>
    </w:p>
    <w:p>
      <w:pPr>
        <w:spacing w:line="360" w:lineRule="auto"/>
        <w:jc w:val="center"/>
        <w:rPr>
          <w:rFonts w:hint="eastAsia" w:ascii="仿宋" w:hAnsi="仿宋" w:eastAsia="仿宋" w:cs="仿宋"/>
          <w:b/>
          <w:bCs/>
          <w:color w:val="auto"/>
          <w:sz w:val="44"/>
          <w:szCs w:val="44"/>
          <w:highlight w:val="none"/>
        </w:rPr>
      </w:pPr>
    </w:p>
    <w:p>
      <w:pPr>
        <w:spacing w:line="360" w:lineRule="auto"/>
        <w:rPr>
          <w:rFonts w:hint="eastAsia" w:ascii="仿宋" w:hAnsi="仿宋" w:eastAsia="仿宋" w:cs="仿宋"/>
          <w:color w:val="auto"/>
          <w:sz w:val="72"/>
          <w:szCs w:val="72"/>
          <w:highlight w:val="none"/>
        </w:rPr>
      </w:pPr>
    </w:p>
    <w:p>
      <w:pPr>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竞争性磋商响应文件</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1124" w:firstLineChars="40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供应商</w:t>
      </w:r>
      <w:r>
        <w:rPr>
          <w:rFonts w:hint="eastAsia" w:ascii="仿宋" w:hAnsi="仿宋" w:eastAsia="仿宋" w:cs="仿宋"/>
          <w:b/>
          <w:bCs/>
          <w:color w:val="auto"/>
          <w:sz w:val="28"/>
          <w:szCs w:val="28"/>
          <w:highlight w:val="none"/>
        </w:rPr>
        <w:t>：（盖章）</w:t>
      </w:r>
    </w:p>
    <w:p>
      <w:pPr>
        <w:spacing w:line="360" w:lineRule="auto"/>
        <w:ind w:firstLine="1124" w:firstLineChars="40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法定代表人或其委托代理人：（签字或盖章）</w:t>
      </w:r>
    </w:p>
    <w:p>
      <w:pPr>
        <w:spacing w:line="360" w:lineRule="auto"/>
        <w:ind w:firstLine="1124" w:firstLineChars="400"/>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年</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月</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日</w:t>
      </w:r>
    </w:p>
    <w:p>
      <w:pPr>
        <w:spacing w:line="360" w:lineRule="auto"/>
        <w:jc w:val="center"/>
        <w:rPr>
          <w:rFonts w:hint="eastAsia" w:ascii="仿宋" w:hAnsi="仿宋" w:eastAsia="仿宋" w:cs="仿宋"/>
          <w:color w:val="auto"/>
          <w:highlight w:val="none"/>
        </w:rPr>
        <w:sectPr>
          <w:pgSz w:w="11906" w:h="16838"/>
          <w:pgMar w:top="1417" w:right="1417" w:bottom="1417" w:left="1417" w:header="851" w:footer="992" w:gutter="0"/>
          <w:pgNumType w:fmt="decimal"/>
          <w:cols w:space="0" w:num="1"/>
          <w:rtlGutter w:val="0"/>
          <w:docGrid w:type="lines" w:linePitch="312" w:charSpace="0"/>
        </w:sectPr>
      </w:pPr>
    </w:p>
    <w:p>
      <w:pPr>
        <w:jc w:val="center"/>
        <w:rPr>
          <w:rFonts w:hint="eastAsia" w:ascii="仿宋" w:hAnsi="仿宋" w:eastAsia="仿宋" w:cs="仿宋"/>
          <w:b/>
          <w:bCs/>
          <w:color w:val="auto"/>
          <w:sz w:val="32"/>
          <w:szCs w:val="32"/>
          <w:highlight w:val="none"/>
        </w:rPr>
      </w:pPr>
      <w:bookmarkStart w:id="103" w:name="_Toc372885969"/>
      <w:bookmarkStart w:id="104" w:name="_Toc420591500"/>
      <w:bookmarkStart w:id="105" w:name="_Toc420591666"/>
      <w:bookmarkStart w:id="106" w:name="_Toc421778385"/>
      <w:r>
        <w:rPr>
          <w:rFonts w:hint="eastAsia" w:ascii="仿宋" w:hAnsi="仿宋" w:eastAsia="仿宋" w:cs="仿宋"/>
          <w:b/>
          <w:bCs/>
          <w:color w:val="auto"/>
          <w:sz w:val="32"/>
          <w:szCs w:val="32"/>
          <w:highlight w:val="none"/>
        </w:rPr>
        <w:t>目</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录</w:t>
      </w:r>
      <w:bookmarkEnd w:id="103"/>
      <w:bookmarkEnd w:id="104"/>
      <w:bookmarkEnd w:id="105"/>
      <w:bookmarkEnd w:id="106"/>
    </w:p>
    <w:p>
      <w:pPr>
        <w:pStyle w:val="2"/>
        <w:rPr>
          <w:rFonts w:hint="eastAsia" w:ascii="仿宋" w:hAnsi="仿宋" w:eastAsia="仿宋" w:cs="仿宋"/>
          <w:color w:val="auto"/>
          <w:highlight w:val="none"/>
        </w:rPr>
      </w:pPr>
    </w:p>
    <w:p>
      <w:pPr>
        <w:spacing w:line="480" w:lineRule="auto"/>
        <w:ind w:left="2310" w:leftChars="1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第一部分    商务标</w:t>
      </w:r>
    </w:p>
    <w:p>
      <w:pPr>
        <w:spacing w:line="480" w:lineRule="auto"/>
        <w:ind w:left="2310" w:leftChars="11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磋商响应函</w:t>
      </w:r>
    </w:p>
    <w:p>
      <w:pPr>
        <w:spacing w:line="480" w:lineRule="auto"/>
        <w:ind w:left="2310" w:leftChars="11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报价一览表</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三、法定代表人身份证明</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四、法人授权委托书</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五、已标价工程量清单</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六、商务响应与说明</w:t>
      </w:r>
    </w:p>
    <w:p>
      <w:pPr>
        <w:spacing w:line="48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七、承诺书</w:t>
      </w:r>
    </w:p>
    <w:p>
      <w:pPr>
        <w:spacing w:line="48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八、</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要求的其他文件或承诺</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九、其他可以证明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实力的文件   </w:t>
      </w:r>
    </w:p>
    <w:p>
      <w:pPr>
        <w:spacing w:line="480" w:lineRule="auto"/>
        <w:ind w:left="2310" w:leftChars="1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第二部分    技术标</w:t>
      </w:r>
    </w:p>
    <w:p>
      <w:pPr>
        <w:spacing w:line="480" w:lineRule="auto"/>
        <w:ind w:left="2310" w:leftChars="1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第三部分    资格标</w:t>
      </w:r>
    </w:p>
    <w:p>
      <w:pPr>
        <w:spacing w:line="480" w:lineRule="auto"/>
        <w:ind w:firstLine="2400" w:firstLineChars="10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的基本情况介绍和资格声明</w:t>
      </w:r>
    </w:p>
    <w:p>
      <w:pPr>
        <w:spacing w:line="480" w:lineRule="auto"/>
        <w:ind w:firstLine="2400" w:firstLineChars="10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资格证明文件</w:t>
      </w:r>
    </w:p>
    <w:p>
      <w:pPr>
        <w:spacing w:line="480" w:lineRule="auto"/>
        <w:jc w:val="left"/>
        <w:rPr>
          <w:rFonts w:hint="eastAsia" w:ascii="仿宋" w:hAnsi="仿宋" w:eastAsia="仿宋" w:cs="仿宋"/>
          <w:color w:val="auto"/>
          <w:sz w:val="24"/>
          <w:szCs w:val="24"/>
          <w:highlight w:val="none"/>
        </w:rPr>
      </w:pPr>
    </w:p>
    <w:p>
      <w:pPr>
        <w:spacing w:line="480" w:lineRule="auto"/>
        <w:ind w:firstLine="2448" w:firstLineChars="1020"/>
        <w:rPr>
          <w:rFonts w:hint="eastAsia" w:ascii="仿宋" w:hAnsi="仿宋" w:eastAsia="仿宋" w:cs="仿宋"/>
          <w:color w:val="auto"/>
          <w:sz w:val="24"/>
          <w:szCs w:val="24"/>
          <w:highlight w:val="none"/>
        </w:rPr>
      </w:pPr>
    </w:p>
    <w:p>
      <w:pPr>
        <w:spacing w:line="480" w:lineRule="auto"/>
        <w:rPr>
          <w:rFonts w:hint="eastAsia" w:ascii="仿宋" w:hAnsi="仿宋" w:eastAsia="仿宋" w:cs="仿宋"/>
          <w:color w:val="auto"/>
          <w:sz w:val="24"/>
          <w:szCs w:val="24"/>
          <w:highlight w:val="none"/>
        </w:rPr>
      </w:pPr>
    </w:p>
    <w:p>
      <w:pPr>
        <w:spacing w:line="480" w:lineRule="auto"/>
        <w:ind w:left="2310" w:leftChars="1100"/>
        <w:jc w:val="left"/>
        <w:rPr>
          <w:rFonts w:hint="eastAsia" w:ascii="仿宋" w:hAnsi="仿宋" w:eastAsia="仿宋" w:cs="仿宋"/>
          <w:b/>
          <w:bCs/>
          <w:color w:val="auto"/>
          <w:sz w:val="24"/>
          <w:szCs w:val="24"/>
          <w:highlight w:val="none"/>
        </w:rPr>
      </w:pPr>
      <w:bookmarkStart w:id="107" w:name="_Toc23278"/>
      <w:bookmarkStart w:id="108" w:name="_Toc32749"/>
      <w:bookmarkStart w:id="109" w:name="_Toc425240481"/>
      <w:bookmarkStart w:id="110" w:name="_Toc387"/>
      <w:bookmarkStart w:id="111" w:name="_Toc421778386"/>
      <w:bookmarkStart w:id="112" w:name="_Toc420591667"/>
    </w:p>
    <w:p>
      <w:pPr>
        <w:keepLines/>
        <w:pageBreakBefore/>
        <w:jc w:val="center"/>
        <w:outlineLvl w:val="1"/>
        <w:rPr>
          <w:rFonts w:hint="eastAsia" w:ascii="仿宋" w:hAnsi="仿宋" w:eastAsia="仿宋" w:cs="仿宋"/>
          <w:b/>
          <w:bCs/>
          <w:color w:val="auto"/>
          <w:sz w:val="32"/>
          <w:szCs w:val="32"/>
          <w:highlight w:val="none"/>
        </w:rPr>
      </w:pPr>
      <w:bookmarkStart w:id="113" w:name="_Toc25163"/>
      <w:r>
        <w:rPr>
          <w:rFonts w:hint="eastAsia" w:ascii="仿宋" w:hAnsi="仿宋" w:eastAsia="仿宋" w:cs="仿宋"/>
          <w:b/>
          <w:bCs/>
          <w:color w:val="auto"/>
          <w:sz w:val="32"/>
          <w:szCs w:val="32"/>
          <w:highlight w:val="none"/>
        </w:rPr>
        <w:t>第一部分 商务标</w:t>
      </w:r>
      <w:bookmarkEnd w:id="113"/>
    </w:p>
    <w:p>
      <w:pPr>
        <w:jc w:val="center"/>
        <w:outlineLvl w:val="1"/>
        <w:rPr>
          <w:rFonts w:hint="eastAsia" w:ascii="仿宋" w:hAnsi="仿宋" w:eastAsia="仿宋" w:cs="仿宋"/>
          <w:b/>
          <w:bCs/>
          <w:color w:val="auto"/>
          <w:sz w:val="32"/>
          <w:szCs w:val="32"/>
          <w:highlight w:val="none"/>
          <w:lang w:eastAsia="zh-CN"/>
        </w:rPr>
      </w:pPr>
      <w:bookmarkStart w:id="114" w:name="_Toc24435"/>
      <w:r>
        <w:rPr>
          <w:rFonts w:hint="eastAsia" w:ascii="仿宋" w:hAnsi="仿宋" w:eastAsia="仿宋" w:cs="仿宋"/>
          <w:b/>
          <w:bCs/>
          <w:color w:val="auto"/>
          <w:sz w:val="32"/>
          <w:szCs w:val="32"/>
          <w:highlight w:val="none"/>
        </w:rPr>
        <w:t>一、</w:t>
      </w:r>
      <w:bookmarkEnd w:id="107"/>
      <w:bookmarkEnd w:id="108"/>
      <w:bookmarkEnd w:id="109"/>
      <w:bookmarkEnd w:id="110"/>
      <w:bookmarkEnd w:id="111"/>
      <w:bookmarkEnd w:id="112"/>
      <w:r>
        <w:rPr>
          <w:rFonts w:hint="eastAsia" w:ascii="仿宋" w:hAnsi="仿宋" w:eastAsia="仿宋" w:cs="仿宋"/>
          <w:b/>
          <w:bCs/>
          <w:color w:val="auto"/>
          <w:sz w:val="32"/>
          <w:szCs w:val="32"/>
          <w:highlight w:val="none"/>
          <w:lang w:eastAsia="zh-CN"/>
        </w:rPr>
        <w:t>磋商响应函</w:t>
      </w:r>
      <w:bookmarkEnd w:id="114"/>
    </w:p>
    <w:p>
      <w:pPr>
        <w:pStyle w:val="31"/>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致：</w:t>
      </w: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eastAsia="zh-CN"/>
        </w:rPr>
        <w:t>采购人</w:t>
      </w:r>
      <w:r>
        <w:rPr>
          <w:rFonts w:hint="eastAsia" w:ascii="仿宋" w:hAnsi="仿宋" w:eastAsia="仿宋" w:cs="仿宋"/>
          <w:color w:val="auto"/>
          <w:highlight w:val="none"/>
          <w:u w:val="singl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1、根据已收到</w:t>
      </w:r>
      <w:r>
        <w:rPr>
          <w:rFonts w:hint="eastAsia" w:ascii="仿宋" w:hAnsi="仿宋" w:eastAsia="仿宋" w:cs="仿宋"/>
          <w:color w:val="auto"/>
          <w:highlight w:val="none"/>
          <w:u w:val="single"/>
        </w:rPr>
        <w:t>（项目名称）（项目编号）</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包号</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，遵照</w:t>
      </w:r>
      <w:r>
        <w:rPr>
          <w:rFonts w:hint="eastAsia" w:ascii="仿宋" w:hAnsi="仿宋" w:eastAsia="仿宋" w:cs="仿宋"/>
          <w:color w:val="auto"/>
          <w:szCs w:val="24"/>
          <w:highlight w:val="none"/>
        </w:rPr>
        <w:t>《中华人民共和国政府采购法》</w:t>
      </w:r>
      <w:r>
        <w:rPr>
          <w:rFonts w:hint="eastAsia" w:ascii="仿宋" w:hAnsi="仿宋" w:eastAsia="仿宋" w:cs="仿宋"/>
          <w:color w:val="auto"/>
          <w:szCs w:val="24"/>
          <w:highlight w:val="none"/>
          <w:lang w:eastAsia="zh-CN"/>
        </w:rPr>
        <w:t>及实施条例</w:t>
      </w:r>
      <w:r>
        <w:rPr>
          <w:rFonts w:hint="eastAsia" w:ascii="仿宋" w:hAnsi="仿宋" w:eastAsia="仿宋" w:cs="仿宋"/>
          <w:color w:val="auto"/>
          <w:szCs w:val="24"/>
          <w:highlight w:val="none"/>
        </w:rPr>
        <w:t>和关于印发《政府采购竞争性磋商采购方式管理暂行办法》的通知</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财库</w:t>
      </w:r>
      <w:r>
        <w:rPr>
          <w:rFonts w:hint="eastAsia" w:ascii="仿宋" w:hAnsi="仿宋" w:eastAsia="仿宋" w:cs="仿宋"/>
          <w:color w:val="auto"/>
          <w:szCs w:val="24"/>
          <w:highlight w:val="none"/>
          <w:lang w:eastAsia="zh-CN"/>
        </w:rPr>
        <w:t>〔2014〕</w:t>
      </w:r>
      <w:r>
        <w:rPr>
          <w:rFonts w:hint="eastAsia" w:ascii="仿宋" w:hAnsi="仿宋" w:eastAsia="仿宋" w:cs="仿宋"/>
          <w:color w:val="auto"/>
          <w:szCs w:val="24"/>
          <w:highlight w:val="none"/>
        </w:rPr>
        <w:t>214号</w:t>
      </w:r>
      <w:r>
        <w:rPr>
          <w:rFonts w:hint="eastAsia" w:ascii="仿宋" w:hAnsi="仿宋" w:eastAsia="仿宋" w:cs="仿宋"/>
          <w:color w:val="auto"/>
          <w:szCs w:val="24"/>
          <w:highlight w:val="none"/>
          <w:lang w:eastAsia="zh-CN"/>
        </w:rPr>
        <w:t>）</w:t>
      </w:r>
      <w:r>
        <w:rPr>
          <w:rFonts w:hint="eastAsia" w:ascii="仿宋" w:hAnsi="仿宋" w:eastAsia="仿宋" w:cs="仿宋"/>
          <w:color w:val="auto"/>
          <w:highlight w:val="none"/>
        </w:rPr>
        <w:t>等有关规定，经踏勘本项目现场、参加答疑会议和仔细研究本工程</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、答疑纪要、合同条款、图纸、工程量清单及其他有关文件后，我方愿以人民币</w:t>
      </w:r>
      <w:r>
        <w:rPr>
          <w:rFonts w:hint="eastAsia" w:ascii="仿宋" w:hAnsi="仿宋" w:eastAsia="仿宋" w:cs="仿宋"/>
          <w:color w:val="auto"/>
          <w:highlight w:val="none"/>
          <w:u w:val="single"/>
        </w:rPr>
        <w:t>（大写）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元（</w:t>
      </w: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元</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总报价，按</w:t>
      </w:r>
      <w:r>
        <w:rPr>
          <w:rFonts w:hint="eastAsia" w:ascii="仿宋" w:hAnsi="仿宋" w:eastAsia="仿宋" w:cs="仿宋"/>
          <w:color w:val="auto"/>
          <w:highlight w:val="none"/>
          <w:u w:val="single"/>
        </w:rPr>
        <w:t>（项目名称）（项目编号）</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包号</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、答疑纪要、合同条款、施工图纸、工程量清单及其他有关文件等承包本工程的施工、竣工和保修，并承担任何质量缺陷保修责任。</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2、我方已详细审核全部</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及有关附件、工程现场条件、答疑纪要、补遗书等文件。</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3、该报价是完成本</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规定的、所需的一切费用，且不低于我单位工程施工的成本价。</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4、如果我方</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，我方保证在</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none"/>
          <w:lang w:val="en-US" w:eastAsia="zh-CN"/>
        </w:rPr>
        <w:t>内完工</w:t>
      </w:r>
      <w:r>
        <w:rPr>
          <w:rFonts w:hint="eastAsia" w:ascii="仿宋" w:hAnsi="仿宋" w:eastAsia="仿宋" w:cs="仿宋"/>
          <w:color w:val="auto"/>
          <w:highlight w:val="none"/>
        </w:rPr>
        <w:t>，并确保工程质量达到标准。拟派项目</w:t>
      </w:r>
      <w:r>
        <w:rPr>
          <w:rFonts w:hint="eastAsia" w:ascii="仿宋" w:hAnsi="仿宋" w:eastAsia="仿宋" w:cs="仿宋"/>
          <w:color w:val="auto"/>
          <w:highlight w:val="none"/>
          <w:lang w:eastAsia="zh-CN"/>
        </w:rPr>
        <w:t>经理</w:t>
      </w:r>
      <w:r>
        <w:rPr>
          <w:rFonts w:hint="eastAsia" w:ascii="仿宋" w:hAnsi="仿宋" w:eastAsia="仿宋" w:cs="仿宋"/>
          <w:color w:val="auto"/>
          <w:highlight w:val="none"/>
          <w:u w:val="single"/>
        </w:rPr>
        <w:t>    </w:t>
      </w:r>
      <w:r>
        <w:rPr>
          <w:rFonts w:hint="eastAsia" w:ascii="仿宋" w:hAnsi="仿宋" w:eastAsia="仿宋" w:cs="仿宋"/>
          <w:color w:val="auto"/>
          <w:highlight w:val="none"/>
        </w:rPr>
        <w:t>，证书编号</w:t>
      </w:r>
      <w:r>
        <w:rPr>
          <w:rFonts w:hint="eastAsia" w:ascii="仿宋" w:hAnsi="仿宋" w:eastAsia="仿宋" w:cs="仿宋"/>
          <w:color w:val="auto"/>
          <w:highlight w:val="none"/>
          <w:u w:val="single"/>
        </w:rPr>
        <w:t>    </w:t>
      </w:r>
      <w:r>
        <w:rPr>
          <w:rFonts w:hint="eastAsia" w:ascii="仿宋" w:hAnsi="仿宋" w:eastAsia="仿宋" w:cs="仿宋"/>
          <w:color w:val="auto"/>
          <w:highlight w:val="none"/>
        </w:rPr>
        <w:t>。我方同意本</w:t>
      </w:r>
      <w:r>
        <w:rPr>
          <w:rFonts w:hint="eastAsia" w:ascii="仿宋" w:hAnsi="仿宋" w:eastAsia="仿宋" w:cs="仿宋"/>
          <w:color w:val="auto"/>
          <w:highlight w:val="none"/>
          <w:lang w:eastAsia="zh-CN"/>
        </w:rPr>
        <w:t>磋商响应函</w:t>
      </w:r>
      <w:r>
        <w:rPr>
          <w:rFonts w:hint="eastAsia" w:ascii="仿宋" w:hAnsi="仿宋" w:eastAsia="仿宋" w:cs="仿宋"/>
          <w:color w:val="auto"/>
          <w:highlight w:val="none"/>
        </w:rPr>
        <w:t>在</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规定的提交</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截止时间后，在</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规定的</w:t>
      </w:r>
      <w:r>
        <w:rPr>
          <w:rFonts w:hint="eastAsia" w:ascii="仿宋" w:hAnsi="仿宋" w:eastAsia="仿宋" w:cs="仿宋"/>
          <w:color w:val="auto"/>
          <w:highlight w:val="none"/>
          <w:lang w:eastAsia="zh-CN"/>
        </w:rPr>
        <w:t>磋商有效期</w:t>
      </w:r>
      <w:r>
        <w:rPr>
          <w:rFonts w:hint="eastAsia" w:ascii="仿宋" w:hAnsi="仿宋" w:eastAsia="仿宋" w:cs="仿宋"/>
          <w:color w:val="auto"/>
          <w:highlight w:val="none"/>
        </w:rPr>
        <w:t>期满前对我方具有约束力，且随时准备接受你方发出的</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通知书。</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5、如果我方</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，我方将按照</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规定时间足额提交合同履约保证金。</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6、我方保证递交的本工程相关资料和</w:t>
      </w:r>
      <w:r>
        <w:rPr>
          <w:rFonts w:hint="eastAsia" w:ascii="仿宋" w:hAnsi="仿宋" w:eastAsia="仿宋" w:cs="仿宋"/>
          <w:color w:val="auto"/>
          <w:highlight w:val="none"/>
          <w:lang w:eastAsia="zh-CN"/>
        </w:rPr>
        <w:t>磋商响应函</w:t>
      </w:r>
      <w:r>
        <w:rPr>
          <w:rFonts w:hint="eastAsia" w:ascii="仿宋" w:hAnsi="仿宋" w:eastAsia="仿宋" w:cs="仿宋"/>
          <w:color w:val="auto"/>
          <w:highlight w:val="none"/>
        </w:rPr>
        <w:t>中各种附件是真实可靠的，如有不实，我方将无条件接受</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的处理决定，甚至自动退出</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，由此产生的一切后果均由我方负责。</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7、除非另外达成协议并生效，你方的</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通知书和本</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将构成约束我们双方的合同。</w:t>
      </w:r>
    </w:p>
    <w:p>
      <w:pPr>
        <w:pStyle w:val="31"/>
        <w:spacing w:before="0" w:beforeAutospacing="0" w:after="0" w:afterAutospacing="0" w:line="360" w:lineRule="auto"/>
        <w:ind w:firstLine="480" w:firstLineChars="200"/>
        <w:rPr>
          <w:rStyle w:val="38"/>
          <w:rFonts w:hint="eastAsia" w:ascii="仿宋" w:hAnsi="仿宋" w:eastAsia="仿宋" w:cs="仿宋"/>
          <w:b w:val="0"/>
          <w:bCs w:val="0"/>
          <w:color w:val="auto"/>
          <w:highlight w:val="none"/>
        </w:rPr>
      </w:pPr>
      <w:r>
        <w:rPr>
          <w:rFonts w:hint="eastAsia" w:ascii="仿宋" w:hAnsi="仿宋" w:eastAsia="仿宋" w:cs="仿宋"/>
          <w:color w:val="auto"/>
          <w:highlight w:val="none"/>
        </w:rPr>
        <w:t>8、我方的</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在</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后</w:t>
      </w:r>
      <w:r>
        <w:rPr>
          <w:rFonts w:hint="eastAsia" w:ascii="仿宋" w:hAnsi="仿宋" w:eastAsia="仿宋" w:cs="仿宋"/>
          <w:color w:val="auto"/>
          <w:highlight w:val="none"/>
          <w:u w:val="single"/>
          <w:lang w:val="en-US" w:eastAsia="zh-CN"/>
        </w:rPr>
        <w:t xml:space="preserve">     天</w:t>
      </w:r>
      <w:r>
        <w:rPr>
          <w:rFonts w:hint="eastAsia" w:ascii="仿宋" w:hAnsi="仿宋" w:eastAsia="仿宋" w:cs="仿宋"/>
          <w:color w:val="auto"/>
          <w:highlight w:val="none"/>
        </w:rPr>
        <w:t>有效，在</w:t>
      </w:r>
      <w:r>
        <w:rPr>
          <w:rFonts w:hint="eastAsia" w:ascii="仿宋" w:hAnsi="仿宋" w:eastAsia="仿宋" w:cs="仿宋"/>
          <w:color w:val="auto"/>
          <w:highlight w:val="none"/>
          <w:lang w:eastAsia="zh-CN"/>
        </w:rPr>
        <w:t>磋商有效期</w:t>
      </w:r>
      <w:r>
        <w:rPr>
          <w:rFonts w:hint="eastAsia" w:ascii="仿宋" w:hAnsi="仿宋" w:eastAsia="仿宋" w:cs="仿宋"/>
          <w:color w:val="auto"/>
          <w:highlight w:val="none"/>
        </w:rPr>
        <w:t>内不修改或撤回</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9、我方理解你方及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不另负担我们的任何</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费用，无论我方总报价中是否包括</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费用，也无论是否能够</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，均不要求你方及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费用做任何补偿。</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10、我方理解你方及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，我方不要求你方及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对未</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原因做任何解释，也不退回</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11、如果因我方原因放弃</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，我方承诺，</w:t>
      </w:r>
      <w:r>
        <w:rPr>
          <w:rFonts w:hint="eastAsia" w:ascii="仿宋" w:hAnsi="仿宋" w:eastAsia="仿宋" w:cs="仿宋"/>
          <w:color w:val="auto"/>
          <w:highlight w:val="none"/>
          <w:lang w:eastAsia="zh-CN"/>
        </w:rPr>
        <w:t>将按照政府采购相关规定承担相应的责任</w:t>
      </w:r>
      <w:r>
        <w:rPr>
          <w:rFonts w:hint="eastAsia" w:ascii="仿宋" w:hAnsi="仿宋" w:eastAsia="仿宋" w:cs="仿宋"/>
          <w:color w:val="auto"/>
          <w:highlight w:val="non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12、若我方</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，将按时按规定缴纳</w:t>
      </w:r>
      <w:r>
        <w:rPr>
          <w:rFonts w:hint="eastAsia" w:ascii="仿宋" w:hAnsi="仿宋" w:eastAsia="仿宋" w:cs="仿宋"/>
          <w:color w:val="auto"/>
          <w:highlight w:val="none"/>
          <w:lang w:eastAsia="zh-CN"/>
        </w:rPr>
        <w:t>招标</w:t>
      </w:r>
      <w:r>
        <w:rPr>
          <w:rFonts w:hint="eastAsia" w:ascii="仿宋" w:hAnsi="仿宋" w:eastAsia="仿宋" w:cs="仿宋"/>
          <w:color w:val="auto"/>
          <w:highlight w:val="none"/>
        </w:rPr>
        <w:t>代理服务费。</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：（盖章）</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电话：</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法人代表或委托代理人：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（签</w:t>
      </w:r>
      <w:r>
        <w:rPr>
          <w:rFonts w:hint="eastAsia" w:ascii="仿宋" w:hAnsi="仿宋" w:eastAsia="仿宋" w:cs="仿宋"/>
          <w:color w:val="auto"/>
          <w:highlight w:val="none"/>
          <w:lang w:eastAsia="zh-CN"/>
        </w:rPr>
        <w:t>字或盖</w:t>
      </w:r>
      <w:r>
        <w:rPr>
          <w:rFonts w:hint="eastAsia" w:ascii="仿宋" w:hAnsi="仿宋" w:eastAsia="仿宋" w:cs="仿宋"/>
          <w:color w:val="auto"/>
          <w:highlight w:val="none"/>
        </w:rPr>
        <w:t>章）</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地址:</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日期：年　月　日</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keepLines/>
        <w:pageBreakBefore/>
        <w:jc w:val="center"/>
        <w:outlineLvl w:val="1"/>
        <w:rPr>
          <w:rFonts w:hint="eastAsia" w:ascii="仿宋" w:hAnsi="仿宋" w:eastAsia="仿宋" w:cs="仿宋"/>
          <w:b/>
          <w:bCs/>
          <w:color w:val="auto"/>
          <w:sz w:val="32"/>
          <w:szCs w:val="32"/>
          <w:highlight w:val="none"/>
          <w:lang w:eastAsia="zh-CN"/>
        </w:rPr>
      </w:pPr>
      <w:bookmarkStart w:id="115" w:name="_Toc3816"/>
      <w:bookmarkStart w:id="116" w:name="_Toc32443"/>
      <w:bookmarkStart w:id="117" w:name="_Toc421778387"/>
      <w:bookmarkStart w:id="118" w:name="_Toc420591668"/>
      <w:bookmarkStart w:id="119" w:name="_Toc11697"/>
      <w:bookmarkStart w:id="120" w:name="_Toc425240482"/>
      <w:bookmarkStart w:id="121" w:name="_Toc3994"/>
      <w:r>
        <w:rPr>
          <w:rFonts w:hint="eastAsia" w:ascii="仿宋" w:hAnsi="仿宋" w:eastAsia="仿宋" w:cs="仿宋"/>
          <w:b/>
          <w:bCs/>
          <w:color w:val="auto"/>
          <w:sz w:val="32"/>
          <w:szCs w:val="32"/>
          <w:highlight w:val="none"/>
        </w:rPr>
        <w:t>二、</w:t>
      </w:r>
      <w:bookmarkEnd w:id="115"/>
      <w:bookmarkEnd w:id="116"/>
      <w:bookmarkEnd w:id="117"/>
      <w:bookmarkEnd w:id="118"/>
      <w:bookmarkEnd w:id="119"/>
      <w:bookmarkEnd w:id="120"/>
      <w:bookmarkEnd w:id="121"/>
      <w:r>
        <w:rPr>
          <w:rFonts w:hint="eastAsia" w:ascii="仿宋" w:hAnsi="仿宋" w:eastAsia="仿宋" w:cs="仿宋"/>
          <w:b/>
          <w:bCs/>
          <w:color w:val="auto"/>
          <w:sz w:val="32"/>
          <w:szCs w:val="32"/>
          <w:highlight w:val="none"/>
          <w:lang w:eastAsia="zh-CN"/>
        </w:rPr>
        <w:t>报价一览表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包号：</w:t>
      </w:r>
    </w:p>
    <w:tbl>
      <w:tblPr>
        <w:tblStyle w:val="35"/>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023" w:type="dxa"/>
            <w:vMerge w:val="restart"/>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总报价（元）</w:t>
            </w:r>
          </w:p>
        </w:tc>
        <w:tc>
          <w:tcPr>
            <w:tcW w:w="6516" w:type="dxa"/>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023" w:type="dxa"/>
            <w:vMerge w:val="continue"/>
            <w:vAlign w:val="center"/>
          </w:tcPr>
          <w:p>
            <w:pPr>
              <w:jc w:val="center"/>
              <w:rPr>
                <w:rFonts w:hint="eastAsia" w:ascii="仿宋" w:hAnsi="仿宋" w:eastAsia="仿宋" w:cs="仿宋"/>
                <w:color w:val="auto"/>
                <w:sz w:val="24"/>
                <w:szCs w:val="24"/>
                <w:highlight w:val="none"/>
              </w:rPr>
            </w:pPr>
          </w:p>
        </w:tc>
        <w:tc>
          <w:tcPr>
            <w:tcW w:w="6516" w:type="dxa"/>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023"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w:t>
            </w:r>
          </w:p>
        </w:tc>
        <w:tc>
          <w:tcPr>
            <w:tcW w:w="6516" w:type="dxa"/>
            <w:vAlign w:val="center"/>
          </w:tcPr>
          <w:p>
            <w:pP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023"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6516" w:type="dxa"/>
            <w:vAlign w:val="center"/>
          </w:tcPr>
          <w:p>
            <w:pP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023"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6516" w:type="dxa"/>
            <w:vAlign w:val="center"/>
          </w:tcPr>
          <w:p>
            <w:pP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023"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6516" w:type="dxa"/>
            <w:vAlign w:val="center"/>
          </w:tcPr>
          <w:p>
            <w:pPr>
              <w:rPr>
                <w:rFonts w:hint="eastAsia" w:ascii="仿宋" w:hAnsi="仿宋" w:eastAsia="仿宋" w:cs="仿宋"/>
                <w:color w:val="auto"/>
                <w:sz w:val="24"/>
                <w:szCs w:val="24"/>
                <w:highlight w:val="none"/>
              </w:rPr>
            </w:pPr>
          </w:p>
        </w:tc>
      </w:tr>
    </w:tbl>
    <w:p>
      <w:pPr>
        <w:spacing w:line="120" w:lineRule="exact"/>
        <w:rPr>
          <w:rFonts w:hint="eastAsia" w:ascii="仿宋" w:hAnsi="仿宋" w:eastAsia="仿宋" w:cs="仿宋"/>
          <w:color w:val="auto"/>
          <w:sz w:val="24"/>
          <w:szCs w:val="24"/>
          <w:highlight w:val="none"/>
        </w:rPr>
      </w:pPr>
    </w:p>
    <w:p>
      <w:pPr>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注：1、以上表内报价内容以元为单位，保留小数点后两位。</w:t>
      </w:r>
    </w:p>
    <w:p>
      <w:pPr>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2、本表应按“</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须知”的规定密封单独提交。</w:t>
      </w: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u w:val="single"/>
        </w:rPr>
        <w:t>（加盖单位公章）</w:t>
      </w:r>
    </w:p>
    <w:p>
      <w:pPr>
        <w:spacing w:line="280" w:lineRule="exact"/>
        <w:ind w:right="540" w:rightChars="257" w:firstLine="360" w:firstLineChars="1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法定代表人/被授权人签</w:t>
      </w:r>
      <w:r>
        <w:rPr>
          <w:rFonts w:hint="eastAsia" w:ascii="仿宋" w:hAnsi="仿宋" w:eastAsia="仿宋" w:cs="仿宋"/>
          <w:color w:val="auto"/>
          <w:sz w:val="24"/>
          <w:szCs w:val="24"/>
          <w:highlight w:val="none"/>
          <w:lang w:eastAsia="zh-CN"/>
        </w:rPr>
        <w:t>字或盖</w:t>
      </w:r>
      <w:r>
        <w:rPr>
          <w:rFonts w:hint="eastAsia" w:ascii="仿宋" w:hAnsi="仿宋" w:eastAsia="仿宋" w:cs="仿宋"/>
          <w:color w:val="auto"/>
          <w:sz w:val="24"/>
          <w:szCs w:val="24"/>
          <w:highlight w:val="none"/>
        </w:rPr>
        <w:t>章：</w:t>
      </w: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jc w:val="left"/>
        <w:rPr>
          <w:rFonts w:hint="eastAsia" w:ascii="仿宋" w:hAnsi="仿宋" w:eastAsia="仿宋" w:cs="仿宋"/>
          <w:color w:val="auto"/>
          <w:sz w:val="24"/>
          <w:szCs w:val="24"/>
          <w:highlight w:val="none"/>
        </w:rPr>
      </w:pPr>
    </w:p>
    <w:p>
      <w:pPr>
        <w:spacing w:line="280" w:lineRule="exact"/>
        <w:ind w:right="540" w:rightChars="257" w:firstLine="4440" w:firstLineChars="185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keepLines/>
        <w:pageBreakBefore/>
        <w:jc w:val="center"/>
        <w:outlineLvl w:val="1"/>
        <w:rPr>
          <w:rFonts w:hint="eastAsia" w:ascii="仿宋" w:hAnsi="仿宋" w:eastAsia="仿宋" w:cs="仿宋"/>
          <w:b/>
          <w:bCs/>
          <w:color w:val="auto"/>
          <w:sz w:val="32"/>
          <w:szCs w:val="32"/>
          <w:highlight w:val="none"/>
        </w:rPr>
      </w:pPr>
      <w:bookmarkStart w:id="122" w:name="_Toc420591669"/>
      <w:bookmarkStart w:id="123" w:name="_Toc8191"/>
      <w:bookmarkStart w:id="124" w:name="_Toc14400"/>
      <w:bookmarkStart w:id="125" w:name="_Toc425240483"/>
      <w:bookmarkStart w:id="126" w:name="_Toc23559"/>
      <w:bookmarkStart w:id="127" w:name="_Toc421778388"/>
      <w:bookmarkStart w:id="128" w:name="_Toc17870"/>
      <w:r>
        <w:rPr>
          <w:rFonts w:hint="eastAsia" w:ascii="仿宋" w:hAnsi="仿宋" w:eastAsia="仿宋" w:cs="仿宋"/>
          <w:b/>
          <w:bCs/>
          <w:color w:val="auto"/>
          <w:sz w:val="32"/>
          <w:szCs w:val="32"/>
          <w:highlight w:val="none"/>
        </w:rPr>
        <w:t>三、法定代表人身份证明</w:t>
      </w:r>
      <w:bookmarkEnd w:id="122"/>
      <w:bookmarkEnd w:id="123"/>
      <w:bookmarkEnd w:id="124"/>
      <w:bookmarkEnd w:id="125"/>
      <w:bookmarkEnd w:id="126"/>
      <w:bookmarkEnd w:id="127"/>
      <w:bookmarkEnd w:id="128"/>
    </w:p>
    <w:p>
      <w:pPr>
        <w:spacing w:line="360" w:lineRule="auto"/>
        <w:ind w:firstLine="420" w:firstLineChars="200"/>
        <w:rPr>
          <w:rFonts w:hint="eastAsia" w:ascii="仿宋" w:hAnsi="仿宋" w:eastAsia="仿宋" w:cs="仿宋"/>
          <w:color w:val="auto"/>
          <w:highlight w:val="none"/>
        </w:rPr>
      </w:pP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单位性质：</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spacing w:line="48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经营期限：</w:t>
      </w:r>
    </w:p>
    <w:p>
      <w:pPr>
        <w:spacing w:line="48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职务：</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名称）的法定代表人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附：法定代表人身份证复印件。（</w:t>
      </w:r>
      <w:r>
        <w:rPr>
          <w:rFonts w:hint="eastAsia" w:ascii="仿宋" w:hAnsi="仿宋" w:eastAsia="仿宋" w:cs="仿宋"/>
          <w:color w:val="auto"/>
          <w:sz w:val="24"/>
          <w:szCs w:val="24"/>
          <w:highlight w:val="none"/>
          <w:lang w:val="en-US" w:eastAsia="zh-CN"/>
        </w:rPr>
        <w:t>正反面</w:t>
      </w:r>
      <w:r>
        <w:rPr>
          <w:rFonts w:hint="eastAsia" w:ascii="仿宋" w:hAnsi="仿宋" w:eastAsia="仿宋" w:cs="仿宋"/>
          <w:color w:val="auto"/>
          <w:sz w:val="24"/>
          <w:szCs w:val="24"/>
          <w:highlight w:val="none"/>
        </w:rPr>
        <w:t>）</w:t>
      </w:r>
    </w:p>
    <w:p>
      <w:pPr>
        <w:pStyle w:val="2"/>
        <w:jc w:val="both"/>
        <w:rPr>
          <w:rFonts w:hint="eastAsia" w:ascii="仿宋" w:hAnsi="仿宋" w:eastAsia="仿宋" w:cs="仿宋"/>
          <w:color w:val="auto"/>
          <w:highlight w:val="none"/>
        </w:rPr>
      </w:pPr>
    </w:p>
    <w:p>
      <w:pPr>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0" w:firstLineChars="20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（盖章）</w:t>
      </w:r>
    </w:p>
    <w:p>
      <w:pPr>
        <w:spacing w:line="360" w:lineRule="auto"/>
        <w:ind w:firstLine="5160" w:firstLineChars="2150"/>
        <w:rPr>
          <w:rFonts w:hint="eastAsia" w:ascii="仿宋" w:hAnsi="仿宋" w:eastAsia="仿宋" w:cs="仿宋"/>
          <w:color w:val="auto"/>
          <w:sz w:val="24"/>
          <w:szCs w:val="24"/>
          <w:highlight w:val="none"/>
          <w:u w:val="single"/>
        </w:rPr>
      </w:pPr>
    </w:p>
    <w:p>
      <w:pPr>
        <w:spacing w:line="360" w:lineRule="auto"/>
        <w:ind w:firstLine="5040" w:firstLineChars="2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pStyle w:val="2"/>
        <w:rPr>
          <w:rFonts w:hint="eastAsia" w:ascii="仿宋" w:hAnsi="仿宋" w:eastAsia="仿宋" w:cs="仿宋"/>
          <w:color w:val="auto"/>
          <w:sz w:val="24"/>
          <w:szCs w:val="24"/>
          <w:highlight w:val="none"/>
        </w:rPr>
      </w:pPr>
    </w:p>
    <w:p>
      <w:pPr>
        <w:pStyle w:val="2"/>
        <w:numPr>
          <w:ilvl w:val="0"/>
          <w:numId w:val="0"/>
        </w:numPr>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zh-CN" w:eastAsia="zh-CN"/>
        </w:rPr>
        <w:t>仅限法定代表人参加时提供。</w:t>
      </w:r>
    </w:p>
    <w:p>
      <w:pPr>
        <w:rPr>
          <w:rFonts w:hint="eastAsia" w:ascii="仿宋" w:hAnsi="仿宋" w:eastAsia="仿宋" w:cs="仿宋"/>
          <w:color w:val="auto"/>
          <w:highlight w:val="none"/>
        </w:rPr>
        <w:sectPr>
          <w:pgSz w:w="11906" w:h="16838"/>
          <w:pgMar w:top="1417" w:right="1417" w:bottom="1417" w:left="1417" w:header="851" w:footer="992" w:gutter="0"/>
          <w:pgNumType w:fmt="decimal"/>
          <w:cols w:space="0" w:num="1"/>
          <w:rtlGutter w:val="0"/>
          <w:docGrid w:type="lines" w:linePitch="312" w:charSpace="0"/>
        </w:sectPr>
      </w:pPr>
    </w:p>
    <w:p>
      <w:pPr>
        <w:keepLines/>
        <w:pageBreakBefore/>
        <w:spacing w:line="360" w:lineRule="auto"/>
        <w:jc w:val="center"/>
        <w:outlineLvl w:val="1"/>
        <w:rPr>
          <w:rFonts w:hint="eastAsia" w:ascii="仿宋" w:hAnsi="仿宋" w:eastAsia="仿宋" w:cs="仿宋"/>
          <w:b/>
          <w:bCs/>
          <w:color w:val="auto"/>
          <w:sz w:val="32"/>
          <w:szCs w:val="32"/>
          <w:highlight w:val="none"/>
        </w:rPr>
      </w:pPr>
      <w:bookmarkStart w:id="129" w:name="_Toc1856"/>
      <w:bookmarkStart w:id="130" w:name="_Toc13749"/>
      <w:bookmarkStart w:id="131" w:name="_Toc425240484"/>
      <w:bookmarkStart w:id="132" w:name="_Toc421778389"/>
      <w:bookmarkStart w:id="133" w:name="_Toc13782"/>
      <w:bookmarkStart w:id="134" w:name="_Toc9626"/>
      <w:bookmarkStart w:id="135" w:name="_Toc420591670"/>
      <w:r>
        <w:rPr>
          <w:rFonts w:hint="eastAsia" w:ascii="仿宋" w:hAnsi="仿宋" w:eastAsia="仿宋" w:cs="仿宋"/>
          <w:b/>
          <w:bCs/>
          <w:color w:val="auto"/>
          <w:sz w:val="32"/>
          <w:szCs w:val="32"/>
          <w:highlight w:val="none"/>
        </w:rPr>
        <w:t>四、法人授权委托书</w:t>
      </w:r>
      <w:bookmarkEnd w:id="129"/>
      <w:bookmarkEnd w:id="130"/>
      <w:bookmarkEnd w:id="131"/>
      <w:bookmarkEnd w:id="132"/>
      <w:bookmarkEnd w:id="133"/>
      <w:bookmarkEnd w:id="134"/>
      <w:bookmarkEnd w:id="135"/>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名称）的法定代表人，现委托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（姓名）为我方代理人。代理人根据授权，以我方名义签署、澄清、说明、补正、递交、撤回、修改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（项目名称）</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、签订合同和处理有关事宜，其法律后果由我方承担。</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代理人无转委托权。</w:t>
      </w:r>
    </w:p>
    <w:p>
      <w:pPr>
        <w:spacing w:line="360" w:lineRule="auto"/>
        <w:ind w:firstLine="480" w:firstLineChars="200"/>
        <w:rPr>
          <w:rFonts w:hint="eastAsia" w:ascii="仿宋" w:hAnsi="仿宋" w:eastAsia="仿宋" w:cs="仿宋"/>
          <w:color w:val="auto"/>
          <w:sz w:val="24"/>
          <w:szCs w:val="24"/>
          <w:highlight w:val="none"/>
        </w:rPr>
      </w:pPr>
      <w:bookmarkStart w:id="136" w:name="_Toc201637979"/>
      <w:bookmarkStart w:id="137" w:name="_Toc214090947"/>
      <w:r>
        <w:rPr>
          <w:rFonts w:hint="eastAsia" w:ascii="仿宋" w:hAnsi="仿宋" w:eastAsia="仿宋" w:cs="仿宋"/>
          <w:color w:val="auto"/>
          <w:sz w:val="24"/>
          <w:szCs w:val="24"/>
          <w:highlight w:val="none"/>
        </w:rPr>
        <w:t>本授权书于</w:t>
      </w:r>
      <w:r>
        <w:rPr>
          <w:rFonts w:hint="eastAsia" w:ascii="仿宋" w:hAnsi="仿宋" w:eastAsia="仿宋" w:cs="仿宋"/>
          <w:color w:val="auto"/>
          <w:sz w:val="24"/>
          <w:szCs w:val="24"/>
          <w:highlight w:val="none"/>
          <w:u w:val="single"/>
          <w:lang w:val="en-US" w:eastAsia="zh-CN"/>
        </w:rPr>
        <w:t>投标截止时间</w:t>
      </w:r>
      <w:r>
        <w:rPr>
          <w:rFonts w:hint="eastAsia" w:ascii="仿宋" w:hAnsi="仿宋" w:eastAsia="仿宋" w:cs="仿宋"/>
          <w:color w:val="auto"/>
          <w:sz w:val="24"/>
          <w:szCs w:val="24"/>
          <w:highlight w:val="none"/>
        </w:rPr>
        <w:t>签字生效，特此证明！</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本授权有效期与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有效期一致</w:t>
      </w:r>
      <w:r>
        <w:rPr>
          <w:rFonts w:hint="eastAsia" w:ascii="仿宋" w:hAnsi="仿宋" w:eastAsia="仿宋" w:cs="仿宋"/>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w:t>
      </w:r>
      <w:r>
        <w:rPr>
          <w:rFonts w:hint="eastAsia" w:ascii="仿宋" w:hAnsi="仿宋" w:eastAsia="仿宋" w:cs="仿宋"/>
          <w:color w:val="auto"/>
          <w:sz w:val="24"/>
          <w:szCs w:val="24"/>
          <w:highlight w:val="none"/>
          <w:lang w:eastAsia="zh-CN"/>
        </w:rPr>
        <w:t>字或盖</w:t>
      </w:r>
      <w:r>
        <w:rPr>
          <w:rFonts w:hint="eastAsia" w:ascii="仿宋" w:hAnsi="仿宋" w:eastAsia="仿宋" w:cs="仿宋"/>
          <w:color w:val="auto"/>
          <w:sz w:val="24"/>
          <w:szCs w:val="24"/>
          <w:highlight w:val="none"/>
        </w:rPr>
        <w:t>章：</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被授权人签</w:t>
      </w:r>
      <w:r>
        <w:rPr>
          <w:rFonts w:hint="eastAsia" w:ascii="仿宋" w:hAnsi="仿宋" w:eastAsia="仿宋" w:cs="仿宋"/>
          <w:color w:val="auto"/>
          <w:sz w:val="24"/>
          <w:szCs w:val="24"/>
          <w:highlight w:val="none"/>
          <w:lang w:eastAsia="zh-CN"/>
        </w:rPr>
        <w:t>字或盖</w:t>
      </w:r>
      <w:r>
        <w:rPr>
          <w:rFonts w:hint="eastAsia" w:ascii="仿宋" w:hAnsi="仿宋" w:eastAsia="仿宋" w:cs="仿宋"/>
          <w:color w:val="auto"/>
          <w:sz w:val="24"/>
          <w:szCs w:val="24"/>
          <w:highlight w:val="none"/>
        </w:rPr>
        <w:t>章：</w:t>
      </w:r>
      <w:bookmarkEnd w:id="136"/>
      <w:bookmarkEnd w:id="137"/>
    </w:p>
    <w:p>
      <w:pPr>
        <w:spacing w:line="360" w:lineRule="auto"/>
        <w:ind w:firstLine="480" w:firstLineChars="200"/>
        <w:rPr>
          <w:rFonts w:hint="eastAsia" w:ascii="仿宋" w:hAnsi="仿宋" w:eastAsia="仿宋" w:cs="仿宋"/>
          <w:color w:val="auto"/>
          <w:sz w:val="24"/>
          <w:szCs w:val="24"/>
          <w:highlight w:val="none"/>
        </w:rPr>
      </w:pPr>
      <w:bookmarkStart w:id="138" w:name="_Toc214090948"/>
      <w:bookmarkStart w:id="139" w:name="_Toc201637980"/>
      <w:r>
        <w:rPr>
          <w:rFonts w:hint="eastAsia" w:ascii="仿宋" w:hAnsi="仿宋" w:eastAsia="仿宋" w:cs="仿宋"/>
          <w:color w:val="auto"/>
          <w:sz w:val="24"/>
          <w:szCs w:val="24"/>
          <w:highlight w:val="none"/>
        </w:rPr>
        <w:t>职务：</w:t>
      </w:r>
      <w:bookmarkEnd w:id="138"/>
      <w:bookmarkEnd w:id="139"/>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职务：</w:t>
      </w:r>
    </w:p>
    <w:p>
      <w:pPr>
        <w:spacing w:line="360" w:lineRule="auto"/>
        <w:ind w:firstLine="480" w:firstLineChars="200"/>
        <w:rPr>
          <w:rFonts w:hint="eastAsia" w:ascii="仿宋" w:hAnsi="仿宋" w:eastAsia="仿宋" w:cs="仿宋"/>
          <w:color w:val="auto"/>
          <w:sz w:val="24"/>
          <w:szCs w:val="24"/>
          <w:highlight w:val="none"/>
        </w:rPr>
      </w:pPr>
      <w:bookmarkStart w:id="140" w:name="_Toc214090949"/>
      <w:bookmarkStart w:id="141" w:name="_Toc201637981"/>
      <w:r>
        <w:rPr>
          <w:rFonts w:hint="eastAsia" w:ascii="仿宋" w:hAnsi="仿宋" w:eastAsia="仿宋" w:cs="仿宋"/>
          <w:color w:val="auto"/>
          <w:sz w:val="24"/>
          <w:szCs w:val="24"/>
          <w:highlight w:val="none"/>
        </w:rPr>
        <w:t>身份证号：</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身份证号：</w:t>
      </w:r>
      <w:bookmarkEnd w:id="140"/>
      <w:bookmarkEnd w:id="141"/>
    </w:p>
    <w:p>
      <w:pPr>
        <w:spacing w:line="360" w:lineRule="auto"/>
        <w:rPr>
          <w:rFonts w:hint="eastAsia" w:ascii="仿宋" w:hAnsi="仿宋" w:eastAsia="仿宋" w:cs="仿宋"/>
          <w:color w:val="auto"/>
          <w:sz w:val="24"/>
          <w:szCs w:val="24"/>
          <w:highlight w:val="none"/>
        </w:rPr>
      </w:pPr>
      <w:bookmarkStart w:id="142" w:name="_Toc214090950"/>
      <w:bookmarkStart w:id="143" w:name="_Toc201637982"/>
      <w:r>
        <w:rPr>
          <w:rFonts w:hint="eastAsia" w:ascii="仿宋" w:hAnsi="仿宋" w:eastAsia="仿宋" w:cs="仿宋"/>
          <w:color w:val="auto"/>
          <w:sz w:val="24"/>
          <w:szCs w:val="24"/>
          <w:highlight w:val="none"/>
        </w:rPr>
        <w:t>附：法定代表人、被授权人身份证复印件。</w:t>
      </w:r>
      <w:bookmarkEnd w:id="142"/>
      <w:bookmarkEnd w:id="143"/>
    </w:p>
    <w:tbl>
      <w:tblPr>
        <w:tblStyle w:val="35"/>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2"/>
        <w:gridCol w:w="4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652" w:type="dxa"/>
            <w:vAlign w:val="center"/>
          </w:tcPr>
          <w:p>
            <w:pPr>
              <w:spacing w:line="360" w:lineRule="auto"/>
              <w:jc w:val="center"/>
              <w:rPr>
                <w:rFonts w:hint="eastAsia" w:ascii="仿宋" w:hAnsi="仿宋" w:eastAsia="仿宋" w:cs="仿宋"/>
                <w:color w:val="auto"/>
                <w:sz w:val="24"/>
                <w:szCs w:val="24"/>
                <w:highlight w:val="none"/>
              </w:rPr>
            </w:pPr>
            <w:bookmarkStart w:id="144" w:name="_Toc214090951"/>
            <w:bookmarkStart w:id="145" w:name="_Toc201637983"/>
            <w:r>
              <w:rPr>
                <w:rFonts w:hint="eastAsia" w:ascii="仿宋" w:hAnsi="仿宋" w:eastAsia="仿宋" w:cs="仿宋"/>
                <w:color w:val="auto"/>
                <w:sz w:val="24"/>
                <w:szCs w:val="24"/>
                <w:highlight w:val="none"/>
              </w:rPr>
              <w:t>法定代表人身份证复印件</w:t>
            </w:r>
            <w:bookmarkEnd w:id="144"/>
            <w:bookmarkEnd w:id="145"/>
          </w:p>
          <w:p>
            <w:pPr>
              <w:spacing w:line="360" w:lineRule="auto"/>
              <w:jc w:val="center"/>
              <w:rPr>
                <w:rFonts w:hint="eastAsia" w:ascii="仿宋" w:hAnsi="仿宋" w:eastAsia="仿宋" w:cs="仿宋"/>
                <w:color w:val="auto"/>
                <w:sz w:val="24"/>
                <w:szCs w:val="24"/>
                <w:highlight w:val="none"/>
              </w:rPr>
            </w:pPr>
            <w:bookmarkStart w:id="146" w:name="_Toc201637984"/>
            <w:bookmarkStart w:id="147" w:name="_Toc214090952"/>
            <w:r>
              <w:rPr>
                <w:rFonts w:hint="eastAsia" w:ascii="仿宋" w:hAnsi="仿宋" w:eastAsia="仿宋" w:cs="仿宋"/>
                <w:color w:val="auto"/>
                <w:sz w:val="24"/>
                <w:szCs w:val="24"/>
                <w:highlight w:val="none"/>
              </w:rPr>
              <w:t>（正面）</w:t>
            </w:r>
            <w:bookmarkEnd w:id="146"/>
            <w:bookmarkEnd w:id="147"/>
          </w:p>
        </w:tc>
        <w:tc>
          <w:tcPr>
            <w:tcW w:w="4649" w:type="dxa"/>
            <w:vAlign w:val="center"/>
          </w:tcPr>
          <w:p>
            <w:pPr>
              <w:spacing w:line="360" w:lineRule="auto"/>
              <w:jc w:val="center"/>
              <w:rPr>
                <w:rFonts w:hint="eastAsia" w:ascii="仿宋" w:hAnsi="仿宋" w:eastAsia="仿宋" w:cs="仿宋"/>
                <w:color w:val="auto"/>
                <w:sz w:val="24"/>
                <w:szCs w:val="24"/>
                <w:highlight w:val="none"/>
              </w:rPr>
            </w:pPr>
            <w:bookmarkStart w:id="148" w:name="_Toc201637985"/>
            <w:bookmarkStart w:id="149" w:name="_Toc214090953"/>
            <w:r>
              <w:rPr>
                <w:rFonts w:hint="eastAsia" w:ascii="仿宋" w:hAnsi="仿宋" w:eastAsia="仿宋" w:cs="仿宋"/>
                <w:color w:val="auto"/>
                <w:sz w:val="24"/>
                <w:szCs w:val="24"/>
                <w:highlight w:val="none"/>
              </w:rPr>
              <w:t>被授权人身份证复印件</w:t>
            </w:r>
            <w:bookmarkEnd w:id="148"/>
            <w:bookmarkEnd w:id="149"/>
          </w:p>
          <w:p>
            <w:pPr>
              <w:spacing w:line="360" w:lineRule="auto"/>
              <w:jc w:val="center"/>
              <w:rPr>
                <w:rFonts w:hint="eastAsia" w:ascii="仿宋" w:hAnsi="仿宋" w:eastAsia="仿宋" w:cs="仿宋"/>
                <w:color w:val="auto"/>
                <w:sz w:val="24"/>
                <w:szCs w:val="24"/>
                <w:highlight w:val="none"/>
              </w:rPr>
            </w:pPr>
            <w:bookmarkStart w:id="150" w:name="_Toc214090954"/>
            <w:bookmarkStart w:id="151" w:name="_Toc201637986"/>
            <w:r>
              <w:rPr>
                <w:rFonts w:hint="eastAsia" w:ascii="仿宋" w:hAnsi="仿宋" w:eastAsia="仿宋" w:cs="仿宋"/>
                <w:color w:val="auto"/>
                <w:sz w:val="24"/>
                <w:szCs w:val="24"/>
                <w:highlight w:val="none"/>
              </w:rPr>
              <w:t>（正面）</w:t>
            </w:r>
            <w:bookmarkEnd w:id="150"/>
            <w:bookmarkEnd w:id="1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652" w:type="dxa"/>
            <w:vAlign w:val="center"/>
          </w:tcPr>
          <w:p>
            <w:pPr>
              <w:spacing w:line="360" w:lineRule="auto"/>
              <w:jc w:val="center"/>
              <w:rPr>
                <w:rFonts w:hint="eastAsia" w:ascii="仿宋" w:hAnsi="仿宋" w:eastAsia="仿宋" w:cs="仿宋"/>
                <w:color w:val="auto"/>
                <w:sz w:val="24"/>
                <w:szCs w:val="24"/>
                <w:highlight w:val="none"/>
              </w:rPr>
            </w:pPr>
            <w:bookmarkStart w:id="152" w:name="_Toc201637987"/>
            <w:bookmarkStart w:id="153" w:name="_Toc214090955"/>
            <w:r>
              <w:rPr>
                <w:rFonts w:hint="eastAsia" w:ascii="仿宋" w:hAnsi="仿宋" w:eastAsia="仿宋" w:cs="仿宋"/>
                <w:color w:val="auto"/>
                <w:sz w:val="24"/>
                <w:szCs w:val="24"/>
                <w:highlight w:val="none"/>
              </w:rPr>
              <w:t>法定代表人身份证复印件</w:t>
            </w:r>
            <w:bookmarkEnd w:id="152"/>
            <w:bookmarkEnd w:id="153"/>
          </w:p>
          <w:p>
            <w:pPr>
              <w:spacing w:line="360" w:lineRule="auto"/>
              <w:jc w:val="center"/>
              <w:rPr>
                <w:rFonts w:hint="eastAsia" w:ascii="仿宋" w:hAnsi="仿宋" w:eastAsia="仿宋" w:cs="仿宋"/>
                <w:color w:val="auto"/>
                <w:sz w:val="24"/>
                <w:szCs w:val="24"/>
                <w:highlight w:val="none"/>
              </w:rPr>
            </w:pPr>
            <w:bookmarkStart w:id="154" w:name="_Toc201637988"/>
            <w:bookmarkStart w:id="155" w:name="_Toc214090956"/>
            <w:r>
              <w:rPr>
                <w:rFonts w:hint="eastAsia" w:ascii="仿宋" w:hAnsi="仿宋" w:eastAsia="仿宋" w:cs="仿宋"/>
                <w:color w:val="auto"/>
                <w:sz w:val="24"/>
                <w:szCs w:val="24"/>
                <w:highlight w:val="none"/>
              </w:rPr>
              <w:t>（反面）</w:t>
            </w:r>
            <w:bookmarkEnd w:id="154"/>
            <w:bookmarkEnd w:id="155"/>
          </w:p>
        </w:tc>
        <w:tc>
          <w:tcPr>
            <w:tcW w:w="4649" w:type="dxa"/>
            <w:vAlign w:val="center"/>
          </w:tcPr>
          <w:p>
            <w:pPr>
              <w:spacing w:line="360" w:lineRule="auto"/>
              <w:jc w:val="center"/>
              <w:rPr>
                <w:rFonts w:hint="eastAsia" w:ascii="仿宋" w:hAnsi="仿宋" w:eastAsia="仿宋" w:cs="仿宋"/>
                <w:color w:val="auto"/>
                <w:sz w:val="24"/>
                <w:szCs w:val="24"/>
                <w:highlight w:val="none"/>
              </w:rPr>
            </w:pPr>
            <w:bookmarkStart w:id="156" w:name="_Toc201637989"/>
            <w:bookmarkStart w:id="157" w:name="_Toc214090957"/>
            <w:r>
              <w:rPr>
                <w:rFonts w:hint="eastAsia" w:ascii="仿宋" w:hAnsi="仿宋" w:eastAsia="仿宋" w:cs="仿宋"/>
                <w:color w:val="auto"/>
                <w:sz w:val="24"/>
                <w:szCs w:val="24"/>
                <w:highlight w:val="none"/>
              </w:rPr>
              <w:t>被授权人身份证复印件</w:t>
            </w:r>
            <w:bookmarkEnd w:id="156"/>
            <w:bookmarkEnd w:id="157"/>
          </w:p>
          <w:p>
            <w:pPr>
              <w:spacing w:line="360" w:lineRule="auto"/>
              <w:jc w:val="center"/>
              <w:rPr>
                <w:rFonts w:hint="eastAsia" w:ascii="仿宋" w:hAnsi="仿宋" w:eastAsia="仿宋" w:cs="仿宋"/>
                <w:color w:val="auto"/>
                <w:sz w:val="24"/>
                <w:szCs w:val="24"/>
                <w:highlight w:val="none"/>
              </w:rPr>
            </w:pPr>
            <w:bookmarkStart w:id="158" w:name="_Toc201637990"/>
            <w:bookmarkStart w:id="159" w:name="_Toc214090958"/>
            <w:r>
              <w:rPr>
                <w:rFonts w:hint="eastAsia" w:ascii="仿宋" w:hAnsi="仿宋" w:eastAsia="仿宋" w:cs="仿宋"/>
                <w:color w:val="auto"/>
                <w:sz w:val="24"/>
                <w:szCs w:val="24"/>
                <w:highlight w:val="none"/>
              </w:rPr>
              <w:t>（反面）</w:t>
            </w:r>
            <w:bookmarkEnd w:id="158"/>
            <w:bookmarkEnd w:id="159"/>
          </w:p>
        </w:tc>
      </w:tr>
    </w:tbl>
    <w:p>
      <w:pPr>
        <w:spacing w:line="360" w:lineRule="auto"/>
        <w:rPr>
          <w:rFonts w:hint="eastAsia" w:ascii="仿宋" w:hAnsi="仿宋" w:eastAsia="仿宋" w:cs="仿宋"/>
          <w:color w:val="auto"/>
          <w:sz w:val="24"/>
          <w:szCs w:val="24"/>
          <w:highlight w:val="none"/>
        </w:rPr>
      </w:pPr>
    </w:p>
    <w:p>
      <w:pPr>
        <w:spacing w:line="480" w:lineRule="auto"/>
        <w:ind w:left="424" w:leftChars="202" w:right="540" w:rightChars="257"/>
        <w:jc w:val="left"/>
        <w:rPr>
          <w:rFonts w:hint="eastAsia" w:ascii="仿宋" w:hAnsi="仿宋" w:eastAsia="仿宋" w:cs="仿宋"/>
          <w:color w:val="auto"/>
          <w:sz w:val="24"/>
          <w:szCs w:val="24"/>
          <w:highlight w:val="none"/>
        </w:rPr>
      </w:pPr>
      <w:bookmarkStart w:id="160" w:name="_Toc421778390"/>
      <w:bookmarkStart w:id="161" w:name="_Toc425240485"/>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名称：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（加盖单位公章）      </w:t>
      </w:r>
    </w:p>
    <w:p>
      <w:pPr>
        <w:spacing w:line="480" w:lineRule="auto"/>
        <w:ind w:right="540" w:rightChars="257" w:firstLine="480" w:firstLineChars="200"/>
        <w:jc w:val="left"/>
        <w:rPr>
          <w:rFonts w:hint="eastAsia" w:ascii="仿宋" w:hAnsi="仿宋" w:eastAsia="仿宋" w:cs="仿宋"/>
          <w:b/>
          <w:color w:val="auto"/>
          <w:sz w:val="24"/>
          <w:szCs w:val="24"/>
          <w:highlight w:val="none"/>
          <w:u w:val="singl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月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widowControl/>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注：法定代表人参加时无需提供。</w:t>
      </w:r>
      <w:r>
        <w:rPr>
          <w:rFonts w:hint="eastAsia" w:ascii="仿宋" w:hAnsi="仿宋" w:eastAsia="仿宋" w:cs="仿宋"/>
          <w:color w:val="auto"/>
          <w:sz w:val="24"/>
          <w:szCs w:val="24"/>
          <w:highlight w:val="none"/>
        </w:rPr>
        <w:br w:type="page"/>
      </w:r>
    </w:p>
    <w:p>
      <w:pPr>
        <w:keepLines/>
        <w:pageBreakBefore/>
        <w:jc w:val="center"/>
        <w:outlineLvl w:val="1"/>
        <w:rPr>
          <w:rFonts w:hint="eastAsia" w:ascii="仿宋" w:hAnsi="仿宋" w:eastAsia="仿宋" w:cs="仿宋"/>
          <w:b/>
          <w:bCs/>
          <w:color w:val="auto"/>
          <w:sz w:val="32"/>
          <w:szCs w:val="32"/>
          <w:highlight w:val="none"/>
        </w:rPr>
      </w:pPr>
      <w:bookmarkStart w:id="162" w:name="_Toc16495"/>
      <w:bookmarkStart w:id="163" w:name="_Toc8044"/>
      <w:bookmarkStart w:id="164" w:name="_Toc7828"/>
      <w:bookmarkStart w:id="165" w:name="_Toc13497"/>
      <w:r>
        <w:rPr>
          <w:rFonts w:hint="eastAsia" w:ascii="仿宋" w:hAnsi="仿宋" w:eastAsia="仿宋" w:cs="仿宋"/>
          <w:b/>
          <w:bCs/>
          <w:color w:val="auto"/>
          <w:sz w:val="32"/>
          <w:szCs w:val="32"/>
          <w:highlight w:val="none"/>
        </w:rPr>
        <w:t>五、已标价工程量清单</w:t>
      </w:r>
      <w:bookmarkEnd w:id="162"/>
      <w:bookmarkEnd w:id="163"/>
      <w:bookmarkEnd w:id="164"/>
      <w:bookmarkEnd w:id="165"/>
    </w:p>
    <w:p>
      <w:pPr>
        <w:pStyle w:val="80"/>
        <w:spacing w:line="480" w:lineRule="auto"/>
        <w:rPr>
          <w:rFonts w:hint="eastAsia" w:ascii="仿宋" w:hAnsi="仿宋" w:eastAsia="仿宋" w:cs="仿宋"/>
          <w:b w:val="0"/>
          <w:bCs w:val="0"/>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166" w:name="_Toc5947"/>
      <w:bookmarkStart w:id="167" w:name="_Toc3574"/>
    </w:p>
    <w:p>
      <w:pPr>
        <w:keepLines/>
        <w:pageBreakBefore/>
        <w:jc w:val="center"/>
        <w:outlineLvl w:val="1"/>
        <w:rPr>
          <w:rFonts w:hint="eastAsia" w:ascii="仿宋" w:hAnsi="仿宋" w:eastAsia="仿宋" w:cs="仿宋"/>
          <w:b/>
          <w:bCs/>
          <w:color w:val="auto"/>
          <w:sz w:val="32"/>
          <w:szCs w:val="32"/>
          <w:highlight w:val="none"/>
        </w:rPr>
      </w:pPr>
      <w:bookmarkStart w:id="168" w:name="_Toc6797"/>
      <w:bookmarkStart w:id="169" w:name="_Toc6747"/>
      <w:bookmarkStart w:id="170" w:name="_Toc21095"/>
      <w:bookmarkStart w:id="171" w:name="_Toc15602"/>
      <w:r>
        <w:rPr>
          <w:rFonts w:hint="eastAsia" w:ascii="仿宋" w:hAnsi="仿宋" w:eastAsia="仿宋" w:cs="仿宋"/>
          <w:b/>
          <w:bCs/>
          <w:color w:val="auto"/>
          <w:sz w:val="32"/>
          <w:szCs w:val="32"/>
          <w:highlight w:val="none"/>
        </w:rPr>
        <w:t>六、商务响应与说明</w:t>
      </w:r>
      <w:bookmarkEnd w:id="168"/>
      <w:bookmarkEnd w:id="169"/>
      <w:bookmarkEnd w:id="170"/>
      <w:bookmarkEnd w:id="171"/>
    </w:p>
    <w:p>
      <w:pPr>
        <w:spacing w:after="120" w:line="44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pacing w:after="120" w:line="44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p>
      <w:pPr>
        <w:spacing w:after="120" w:line="44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包号：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的商务要求编制商务响应与说明，格式不限。但</w:t>
      </w:r>
      <w:r>
        <w:rPr>
          <w:rFonts w:hint="eastAsia" w:ascii="仿宋" w:hAnsi="仿宋" w:eastAsia="仿宋" w:cs="仿宋"/>
          <w:b/>
          <w:bCs/>
          <w:color w:val="auto"/>
          <w:sz w:val="24"/>
          <w:szCs w:val="24"/>
          <w:highlight w:val="none"/>
        </w:rPr>
        <w:t>内容至少应包括如下：</w:t>
      </w: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所包含的全部内容；</w:t>
      </w: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对工期、地点、验收、服务承诺、结算方式、合同条款等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w:t>
      </w: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中要求的其它内容。</w:t>
      </w: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keepLines/>
        <w:pageBreakBefore/>
        <w:numPr>
          <w:ilvl w:val="0"/>
          <w:numId w:val="0"/>
        </w:numPr>
        <w:ind w:leftChars="0"/>
        <w:jc w:val="center"/>
        <w:outlineLvl w:val="1"/>
        <w:rPr>
          <w:rFonts w:hint="eastAsia" w:ascii="仿宋" w:hAnsi="仿宋" w:eastAsia="仿宋" w:cs="仿宋"/>
          <w:b/>
          <w:bCs/>
          <w:color w:val="auto"/>
          <w:sz w:val="32"/>
          <w:szCs w:val="32"/>
          <w:highlight w:val="none"/>
          <w:lang w:eastAsia="zh-CN"/>
        </w:rPr>
      </w:pPr>
      <w:bookmarkStart w:id="172" w:name="_Toc31221"/>
      <w:r>
        <w:rPr>
          <w:rFonts w:hint="eastAsia" w:ascii="仿宋" w:hAnsi="仿宋" w:eastAsia="仿宋" w:cs="仿宋"/>
          <w:b/>
          <w:bCs/>
          <w:color w:val="auto"/>
          <w:sz w:val="32"/>
          <w:szCs w:val="32"/>
          <w:highlight w:val="none"/>
          <w:lang w:eastAsia="zh-CN"/>
        </w:rPr>
        <w:t>七、承诺书</w:t>
      </w:r>
      <w:bookmarkEnd w:id="172"/>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7.1陕</w:t>
      </w:r>
      <w:r>
        <w:rPr>
          <w:rFonts w:hint="eastAsia" w:ascii="仿宋" w:hAnsi="仿宋" w:eastAsia="仿宋" w:cs="仿宋"/>
          <w:b/>
          <w:bCs/>
          <w:color w:val="auto"/>
          <w:sz w:val="30"/>
          <w:szCs w:val="30"/>
          <w:highlight w:val="none"/>
        </w:rPr>
        <w:t>西省政府采购供应商拒绝政府采购领域商业贿赂承诺书</w:t>
      </w:r>
    </w:p>
    <w:p>
      <w:pPr>
        <w:keepNext w:val="0"/>
        <w:keepLines w:val="0"/>
        <w:pageBreakBefore w:val="0"/>
        <w:widowControl/>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为响应党中央、国务院关于治理政府采购领域商业贿赂行为的号召，我公司在此庄严承诺：</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在参与政府采购活动中遵纪守法、诚信经营、公平竞标。</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不向政府采购人、采购代理机构和政府采购评审专家进行任何形式的商业贿赂以谋取交易机会。</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不向政府采购代理机构和采购人提供虚假资质文件或采用虚假应标方式参与政府采购市场竞争并谋取中标、成交。</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不采取“围标、陪标”等商业欺诈手段获得政府采购定单。</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不采取不正当手段诋毁、排挤其他供应商。</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不在提供商品和服务时“偷梁换柱、以次充好”损害采购人的合法权益。</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不与采购人、采购代理机构政府采购评审专家或其它供应商恶意串通，进行质疑和投诉，维护政府采购市场秩序。</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尊重和接受政府采购监督管理部门的监督和政府采购代理机构招标采购要求，承担因违约行为给采购人造成的损失。</w:t>
      </w:r>
    </w:p>
    <w:p>
      <w:pPr>
        <w:keepNext w:val="0"/>
        <w:keepLines w:val="0"/>
        <w:pageBreakBefore w:val="0"/>
        <w:widowControl/>
        <w:numPr>
          <w:ilvl w:val="0"/>
          <w:numId w:val="13"/>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不发生其他有悖于政府采购公开、公平、公正和诚信原则的行为。</w:t>
      </w:r>
      <w:r>
        <w:rPr>
          <w:rFonts w:hint="eastAsia" w:ascii="仿宋" w:hAnsi="仿宋" w:eastAsia="仿宋" w:cs="仿宋"/>
          <w:color w:val="auto"/>
          <w:highlight w:val="none"/>
        </w:rPr>
        <w:br w:type="textWrapping"/>
      </w:r>
    </w:p>
    <w:p>
      <w:pPr>
        <w:widowControl/>
        <w:spacing w:line="408" w:lineRule="auto"/>
        <w:ind w:left="239" w:leftChars="114"/>
        <w:jc w:val="left"/>
        <w:rPr>
          <w:rFonts w:hint="eastAsia" w:ascii="仿宋" w:hAnsi="仿宋" w:eastAsia="仿宋" w:cs="仿宋"/>
          <w:color w:val="auto"/>
          <w:highlight w:val="none"/>
        </w:rPr>
      </w:pPr>
      <w:r>
        <w:rPr>
          <w:rFonts w:hint="eastAsia" w:ascii="仿宋" w:hAnsi="仿宋" w:eastAsia="仿宋" w:cs="仿宋"/>
          <w:color w:val="auto"/>
          <w:highlight w:val="none"/>
        </w:rPr>
        <w:t>承诺单位：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（盖章）</w:t>
      </w:r>
      <w:r>
        <w:rPr>
          <w:rFonts w:hint="eastAsia" w:ascii="仿宋" w:hAnsi="仿宋" w:eastAsia="仿宋" w:cs="仿宋"/>
          <w:color w:val="auto"/>
          <w:highlight w:val="none"/>
        </w:rPr>
        <w:br w:type="textWrapping"/>
      </w:r>
      <w:r>
        <w:rPr>
          <w:rFonts w:hint="eastAsia" w:ascii="仿宋" w:hAnsi="仿宋" w:eastAsia="仿宋" w:cs="仿宋"/>
          <w:color w:val="auto"/>
          <w:highlight w:val="none"/>
          <w:lang w:eastAsia="zh-CN"/>
        </w:rPr>
        <w:t>被授权人</w:t>
      </w:r>
      <w:r>
        <w:rPr>
          <w:rFonts w:hint="eastAsia" w:ascii="仿宋" w:hAnsi="仿宋" w:eastAsia="仿宋" w:cs="仿宋"/>
          <w:color w:val="auto"/>
          <w:highlight w:val="non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szCs w:val="24"/>
          <w:highlight w:val="none"/>
        </w:rPr>
        <w:t>签</w:t>
      </w:r>
      <w:r>
        <w:rPr>
          <w:rFonts w:hint="eastAsia" w:ascii="仿宋" w:hAnsi="仿宋" w:eastAsia="仿宋" w:cs="仿宋"/>
          <w:color w:val="auto"/>
          <w:szCs w:val="24"/>
          <w:highlight w:val="none"/>
          <w:lang w:eastAsia="zh-CN"/>
        </w:rPr>
        <w:t>字</w:t>
      </w:r>
      <w:r>
        <w:rPr>
          <w:rFonts w:hint="eastAsia" w:ascii="仿宋" w:hAnsi="仿宋" w:eastAsia="仿宋" w:cs="仿宋"/>
          <w:color w:val="auto"/>
          <w:highlight w:val="none"/>
        </w:rPr>
        <w:t>）</w:t>
      </w:r>
      <w:r>
        <w:rPr>
          <w:rFonts w:hint="eastAsia" w:ascii="仿宋" w:hAnsi="仿宋" w:eastAsia="仿宋" w:cs="仿宋"/>
          <w:color w:val="auto"/>
          <w:highlight w:val="none"/>
        </w:rPr>
        <w:br w:type="textWrapping"/>
      </w:r>
      <w:r>
        <w:rPr>
          <w:rFonts w:hint="eastAsia" w:ascii="仿宋" w:hAnsi="仿宋" w:eastAsia="仿宋" w:cs="仿宋"/>
          <w:color w:val="auto"/>
          <w:highlight w:val="none"/>
        </w:rPr>
        <w:t>地  址：</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w:t>
      </w:r>
    </w:p>
    <w:p>
      <w:pPr>
        <w:widowControl/>
        <w:spacing w:line="408" w:lineRule="auto"/>
        <w:ind w:left="239" w:leftChars="114"/>
        <w:jc w:val="left"/>
        <w:rPr>
          <w:rFonts w:hint="eastAsia" w:ascii="仿宋" w:hAnsi="仿宋" w:eastAsia="仿宋" w:cs="仿宋"/>
          <w:color w:val="auto"/>
          <w:highlight w:val="none"/>
        </w:rPr>
      </w:pPr>
      <w:r>
        <w:rPr>
          <w:rFonts w:hint="eastAsia" w:ascii="仿宋" w:hAnsi="仿宋" w:eastAsia="仿宋" w:cs="仿宋"/>
          <w:color w:val="auto"/>
          <w:highlight w:val="none"/>
        </w:rPr>
        <w:t>邮  编：</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br w:type="textWrapping"/>
      </w:r>
      <w:r>
        <w:rPr>
          <w:rFonts w:hint="eastAsia" w:ascii="仿宋" w:hAnsi="仿宋" w:eastAsia="仿宋" w:cs="仿宋"/>
          <w:color w:val="auto"/>
          <w:highlight w:val="none"/>
        </w:rPr>
        <w:t>电  话：</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年  月  日</w:t>
      </w: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zh-CN" w:eastAsia="zh-CN"/>
        </w:rPr>
      </w:pPr>
      <w:r>
        <w:rPr>
          <w:rFonts w:hint="eastAsia" w:ascii="仿宋" w:hAnsi="仿宋" w:eastAsia="仿宋" w:cs="仿宋"/>
          <w:b/>
          <w:bCs/>
          <w:color w:val="auto"/>
          <w:sz w:val="30"/>
          <w:szCs w:val="30"/>
          <w:highlight w:val="none"/>
          <w:lang w:val="en-US" w:eastAsia="zh-CN"/>
        </w:rPr>
        <w:t>7.2</w:t>
      </w:r>
      <w:r>
        <w:rPr>
          <w:rFonts w:hint="eastAsia" w:ascii="仿宋" w:hAnsi="仿宋" w:eastAsia="仿宋" w:cs="仿宋"/>
          <w:b/>
          <w:bCs/>
          <w:color w:val="auto"/>
          <w:sz w:val="30"/>
          <w:szCs w:val="30"/>
          <w:highlight w:val="none"/>
          <w:lang w:val="zh-CN" w:eastAsia="zh-CN"/>
        </w:rPr>
        <w:t>供应商企业关系关联承诺书</w:t>
      </w:r>
    </w:p>
    <w:p>
      <w:pPr>
        <w:pStyle w:val="2"/>
        <w:rPr>
          <w:rFonts w:hint="eastAsia" w:ascii="仿宋" w:hAnsi="仿宋" w:eastAsia="仿宋" w:cs="仿宋"/>
          <w:color w:val="auto"/>
          <w:highlight w:val="none"/>
          <w:lang w:val="zh-CN"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1、供应商在本项目磋商中，不存在与其它供应商负责人为同一人，有控股、管理等关联关系承诺：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1.1管理关系说明：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我单位管理的具有独立法人的下属单位有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我单位的上级管理单位有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1.2股权关系说明：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我单位控股的单位有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我单位被</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单位控股。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1.3单位负责人：</w:t>
      </w:r>
      <w:r>
        <w:rPr>
          <w:rFonts w:hint="eastAsia" w:ascii="仿宋" w:hAnsi="仿宋" w:eastAsia="仿宋" w:cs="仿宋"/>
          <w:b w:val="0"/>
          <w:bCs w:val="0"/>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（是或否，没有填否） 为采购项目提供整体设计、规范编制或者项目管理、监理、检测等服务的供应商。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3、其他与本项目有关的利害关系说明：</w:t>
      </w:r>
      <w:r>
        <w:rPr>
          <w:rFonts w:hint="eastAsia" w:ascii="仿宋" w:hAnsi="仿宋" w:eastAsia="仿宋" w:cs="仿宋"/>
          <w:b w:val="0"/>
          <w:bCs w:val="0"/>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我单位承诺以上说明真实有效，无虚假内容或隐瞒。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供应商名称</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法定代表人或被授权人</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（签字或盖章）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color w:val="auto"/>
          <w:kern w:val="0"/>
          <w:sz w:val="24"/>
          <w:highlight w:val="none"/>
        </w:rPr>
      </w:pPr>
      <w:r>
        <w:rPr>
          <w:rFonts w:hint="eastAsia" w:ascii="仿宋" w:hAnsi="仿宋" w:eastAsia="仿宋" w:cs="仿宋"/>
          <w:b w:val="0"/>
          <w:bCs w:val="0"/>
          <w:color w:val="auto"/>
          <w:sz w:val="24"/>
          <w:szCs w:val="24"/>
          <w:highlight w:val="none"/>
          <w:lang w:val="en-US" w:eastAsia="zh-CN"/>
        </w:rPr>
        <w:t xml:space="preserve">      </w:t>
      </w:r>
    </w:p>
    <w:p>
      <w:pPr>
        <w:widowControl/>
        <w:spacing w:line="408" w:lineRule="auto"/>
        <w:ind w:left="239" w:leftChars="114"/>
        <w:jc w:val="right"/>
        <w:rPr>
          <w:rFonts w:hint="eastAsia" w:ascii="仿宋" w:hAnsi="仿宋" w:eastAsia="仿宋" w:cs="仿宋"/>
          <w:color w:val="auto"/>
          <w:kern w:val="0"/>
          <w:sz w:val="24"/>
          <w:highlight w:val="none"/>
        </w:rPr>
      </w:pPr>
    </w:p>
    <w:p>
      <w:pPr>
        <w:widowControl/>
        <w:spacing w:line="408" w:lineRule="auto"/>
        <w:ind w:left="239" w:leftChars="114"/>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年  月  日</w:t>
      </w:r>
    </w:p>
    <w:p>
      <w:pPr>
        <w:spacing w:line="408" w:lineRule="auto"/>
        <w:ind w:left="525" w:leftChars="250"/>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widowControl/>
        <w:numPr>
          <w:ilvl w:val="0"/>
          <w:numId w:val="14"/>
        </w:numPr>
        <w:jc w:val="center"/>
        <w:outlineLvl w:val="1"/>
        <w:rPr>
          <w:rFonts w:hint="eastAsia" w:ascii="仿宋" w:hAnsi="仿宋" w:eastAsia="仿宋" w:cs="仿宋"/>
          <w:b/>
          <w:bCs/>
          <w:color w:val="auto"/>
          <w:sz w:val="32"/>
          <w:szCs w:val="32"/>
          <w:highlight w:val="none"/>
        </w:rPr>
      </w:pPr>
      <w:bookmarkStart w:id="173" w:name="_Toc22069"/>
      <w:r>
        <w:rPr>
          <w:rFonts w:hint="eastAsia" w:ascii="仿宋" w:hAnsi="仿宋" w:eastAsia="仿宋" w:cs="仿宋"/>
          <w:b/>
          <w:bCs/>
          <w:color w:val="auto"/>
          <w:sz w:val="32"/>
          <w:szCs w:val="32"/>
          <w:highlight w:val="none"/>
          <w:lang w:eastAsia="zh-CN"/>
        </w:rPr>
        <w:t>竞争性磋商文件</w:t>
      </w:r>
      <w:r>
        <w:rPr>
          <w:rFonts w:hint="eastAsia" w:ascii="仿宋" w:hAnsi="仿宋" w:eastAsia="仿宋" w:cs="仿宋"/>
          <w:b/>
          <w:bCs/>
          <w:color w:val="auto"/>
          <w:sz w:val="32"/>
          <w:szCs w:val="32"/>
          <w:highlight w:val="none"/>
        </w:rPr>
        <w:t>要求的其他文件或承诺</w:t>
      </w:r>
      <w:bookmarkEnd w:id="173"/>
    </w:p>
    <w:p>
      <w:pPr>
        <w:pStyle w:val="2"/>
        <w:rPr>
          <w:rFonts w:hint="eastAsia" w:ascii="仿宋" w:hAnsi="仿宋" w:eastAsia="仿宋" w:cs="仿宋"/>
          <w:color w:val="auto"/>
          <w:highlight w:val="none"/>
        </w:rPr>
      </w:pPr>
    </w:p>
    <w:p>
      <w:pPr>
        <w:pStyle w:val="2"/>
        <w:numPr>
          <w:ilvl w:val="0"/>
          <w:numId w:val="15"/>
        </w:numPr>
        <w:jc w:val="both"/>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基本存款账户开户许可证（基本账户信息）</w:t>
      </w:r>
    </w:p>
    <w:p>
      <w:pPr>
        <w:pStyle w:val="2"/>
        <w:numPr>
          <w:ilvl w:val="0"/>
          <w:numId w:val="15"/>
        </w:numPr>
        <w:jc w:val="both"/>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其他文件。</w:t>
      </w:r>
    </w:p>
    <w:p>
      <w:pPr>
        <w:keepLines/>
        <w:pageBreakBefore/>
        <w:jc w:val="center"/>
        <w:outlineLvl w:val="1"/>
        <w:rPr>
          <w:rFonts w:hint="eastAsia" w:ascii="仿宋" w:hAnsi="仿宋" w:eastAsia="仿宋" w:cs="仿宋"/>
          <w:b/>
          <w:bCs/>
          <w:color w:val="auto"/>
          <w:sz w:val="32"/>
          <w:szCs w:val="32"/>
          <w:highlight w:val="none"/>
        </w:rPr>
      </w:pPr>
      <w:bookmarkStart w:id="174" w:name="_Toc13500"/>
      <w:r>
        <w:rPr>
          <w:rFonts w:hint="eastAsia" w:ascii="仿宋" w:hAnsi="仿宋" w:eastAsia="仿宋" w:cs="仿宋"/>
          <w:b/>
          <w:bCs/>
          <w:color w:val="auto"/>
          <w:sz w:val="32"/>
          <w:szCs w:val="32"/>
          <w:highlight w:val="none"/>
        </w:rPr>
        <w:t>九、其他可以证明</w:t>
      </w:r>
      <w:r>
        <w:rPr>
          <w:rFonts w:hint="eastAsia" w:ascii="仿宋" w:hAnsi="仿宋" w:eastAsia="仿宋" w:cs="仿宋"/>
          <w:b/>
          <w:bCs/>
          <w:color w:val="auto"/>
          <w:sz w:val="32"/>
          <w:szCs w:val="32"/>
          <w:highlight w:val="none"/>
          <w:lang w:eastAsia="zh-CN"/>
        </w:rPr>
        <w:t>供应商</w:t>
      </w:r>
      <w:r>
        <w:rPr>
          <w:rFonts w:hint="eastAsia" w:ascii="仿宋" w:hAnsi="仿宋" w:eastAsia="仿宋" w:cs="仿宋"/>
          <w:b/>
          <w:bCs/>
          <w:color w:val="auto"/>
          <w:sz w:val="32"/>
          <w:szCs w:val="32"/>
          <w:highlight w:val="none"/>
        </w:rPr>
        <w:t>实力的文件</w:t>
      </w:r>
      <w:bookmarkEnd w:id="174"/>
      <w:r>
        <w:rPr>
          <w:rFonts w:hint="eastAsia" w:ascii="仿宋" w:hAnsi="仿宋" w:eastAsia="仿宋" w:cs="仿宋"/>
          <w:b/>
          <w:bCs/>
          <w:color w:val="auto"/>
          <w:sz w:val="32"/>
          <w:szCs w:val="32"/>
          <w:highlight w:val="none"/>
        </w:rPr>
        <w:t xml:space="preserve"> </w:t>
      </w:r>
    </w:p>
    <w:p>
      <w:pPr>
        <w:spacing w:line="408" w:lineRule="auto"/>
        <w:ind w:left="525" w:leftChars="250"/>
        <w:rPr>
          <w:rFonts w:hint="eastAsia" w:ascii="仿宋" w:hAnsi="仿宋" w:eastAsia="仿宋" w:cs="仿宋"/>
          <w:color w:val="auto"/>
          <w:sz w:val="32"/>
          <w:szCs w:val="32"/>
          <w:highlight w:val="none"/>
        </w:rPr>
      </w:pP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keepLines/>
        <w:pageBreakBefore/>
        <w:jc w:val="center"/>
        <w:outlineLvl w:val="1"/>
        <w:rPr>
          <w:rFonts w:hint="eastAsia" w:ascii="仿宋" w:hAnsi="仿宋" w:eastAsia="仿宋" w:cs="仿宋"/>
          <w:b/>
          <w:bCs/>
          <w:color w:val="auto"/>
          <w:sz w:val="32"/>
          <w:szCs w:val="32"/>
          <w:highlight w:val="none"/>
        </w:rPr>
      </w:pPr>
      <w:bookmarkStart w:id="175" w:name="_Toc22342"/>
      <w:r>
        <w:rPr>
          <w:rFonts w:hint="eastAsia" w:ascii="仿宋" w:hAnsi="仿宋" w:eastAsia="仿宋" w:cs="仿宋"/>
          <w:b/>
          <w:bCs/>
          <w:color w:val="auto"/>
          <w:sz w:val="32"/>
          <w:szCs w:val="32"/>
          <w:highlight w:val="none"/>
        </w:rPr>
        <w:t>第二部分</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技术</w:t>
      </w:r>
      <w:bookmarkEnd w:id="166"/>
      <w:bookmarkEnd w:id="167"/>
      <w:r>
        <w:rPr>
          <w:rFonts w:hint="eastAsia" w:ascii="仿宋" w:hAnsi="仿宋" w:eastAsia="仿宋" w:cs="仿宋"/>
          <w:b/>
          <w:bCs/>
          <w:color w:val="auto"/>
          <w:sz w:val="32"/>
          <w:szCs w:val="32"/>
          <w:highlight w:val="none"/>
        </w:rPr>
        <w:t>标</w:t>
      </w:r>
      <w:bookmarkEnd w:id="175"/>
    </w:p>
    <w:p>
      <w:pPr>
        <w:spacing w:after="12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pacing w:after="12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p>
      <w:pPr>
        <w:spacing w:after="12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包号：</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编制的施工组织设计包含以下内容：</w:t>
      </w:r>
    </w:p>
    <w:p>
      <w:pPr>
        <w:spacing w:line="5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（1）评标办法技术标要求的内容</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合理化建议</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认为有必要说明的问题</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施工组织设计除采用文字表述外可附下列图表，图表及格式要求附后。</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附表一</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拟投入本工程的主要施工设备表</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附表二</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拟配备本工程的试验和检测仪器设备表</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附表三</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劳动力计划表</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附表四</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计划开、竣工日期和施工进度网络图</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临时用地表</w:t>
      </w:r>
    </w:p>
    <w:p>
      <w:pPr>
        <w:spacing w:line="580" w:lineRule="exact"/>
        <w:ind w:firstLine="480" w:firstLineChars="200"/>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highlight w:val="none"/>
        </w:rPr>
      </w:pPr>
    </w:p>
    <w:p>
      <w:pPr>
        <w:spacing w:beforeLines="50" w:afterLines="100" w:line="42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附表一：拟投入本工程的主要施工设备表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239"/>
        <w:gridCol w:w="1102"/>
        <w:gridCol w:w="786"/>
        <w:gridCol w:w="1258"/>
        <w:gridCol w:w="2047"/>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18"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667"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设备</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593"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型号</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规格</w:t>
            </w:r>
          </w:p>
        </w:tc>
        <w:tc>
          <w:tcPr>
            <w:tcW w:w="423"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677"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国别</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产地</w:t>
            </w:r>
          </w:p>
        </w:tc>
        <w:tc>
          <w:tcPr>
            <w:tcW w:w="1102"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用于施工部位</w:t>
            </w:r>
          </w:p>
        </w:tc>
        <w:tc>
          <w:tcPr>
            <w:tcW w:w="1018"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18" w:type="pct"/>
            <w:vAlign w:val="center"/>
          </w:tcPr>
          <w:p>
            <w:pPr>
              <w:jc w:val="center"/>
              <w:rPr>
                <w:rFonts w:hint="eastAsia" w:ascii="仿宋" w:hAnsi="仿宋" w:eastAsia="仿宋" w:cs="仿宋"/>
                <w:color w:val="auto"/>
                <w:highlight w:val="none"/>
              </w:rPr>
            </w:pPr>
          </w:p>
        </w:tc>
        <w:tc>
          <w:tcPr>
            <w:tcW w:w="667" w:type="pct"/>
            <w:vAlign w:val="center"/>
          </w:tcPr>
          <w:p>
            <w:pPr>
              <w:jc w:val="center"/>
              <w:rPr>
                <w:rFonts w:hint="eastAsia" w:ascii="仿宋" w:hAnsi="仿宋" w:eastAsia="仿宋" w:cs="仿宋"/>
                <w:color w:val="auto"/>
                <w:highlight w:val="none"/>
              </w:rPr>
            </w:pPr>
          </w:p>
        </w:tc>
        <w:tc>
          <w:tcPr>
            <w:tcW w:w="593" w:type="pct"/>
            <w:vAlign w:val="center"/>
          </w:tcPr>
          <w:p>
            <w:pPr>
              <w:jc w:val="center"/>
              <w:rPr>
                <w:rFonts w:hint="eastAsia" w:ascii="仿宋" w:hAnsi="仿宋" w:eastAsia="仿宋" w:cs="仿宋"/>
                <w:color w:val="auto"/>
                <w:highlight w:val="none"/>
              </w:rPr>
            </w:pPr>
          </w:p>
        </w:tc>
        <w:tc>
          <w:tcPr>
            <w:tcW w:w="423" w:type="pct"/>
            <w:vAlign w:val="center"/>
          </w:tcPr>
          <w:p>
            <w:pPr>
              <w:jc w:val="center"/>
              <w:rPr>
                <w:rFonts w:hint="eastAsia" w:ascii="仿宋" w:hAnsi="仿宋" w:eastAsia="仿宋" w:cs="仿宋"/>
                <w:color w:val="auto"/>
                <w:highlight w:val="none"/>
              </w:rPr>
            </w:pPr>
          </w:p>
        </w:tc>
        <w:tc>
          <w:tcPr>
            <w:tcW w:w="677" w:type="pct"/>
            <w:vAlign w:val="center"/>
          </w:tcPr>
          <w:p>
            <w:pPr>
              <w:jc w:val="center"/>
              <w:rPr>
                <w:rFonts w:hint="eastAsia" w:ascii="仿宋" w:hAnsi="仿宋" w:eastAsia="仿宋" w:cs="仿宋"/>
                <w:color w:val="auto"/>
                <w:highlight w:val="none"/>
              </w:rPr>
            </w:pPr>
          </w:p>
        </w:tc>
        <w:tc>
          <w:tcPr>
            <w:tcW w:w="1102" w:type="pct"/>
            <w:vAlign w:val="center"/>
          </w:tcPr>
          <w:p>
            <w:pPr>
              <w:jc w:val="center"/>
              <w:rPr>
                <w:rFonts w:hint="eastAsia" w:ascii="仿宋" w:hAnsi="仿宋" w:eastAsia="仿宋" w:cs="仿宋"/>
                <w:color w:val="auto"/>
                <w:highlight w:val="none"/>
              </w:rPr>
            </w:pPr>
          </w:p>
        </w:tc>
        <w:tc>
          <w:tcPr>
            <w:tcW w:w="1018" w:type="pct"/>
            <w:vAlign w:val="center"/>
          </w:tcPr>
          <w:p>
            <w:pPr>
              <w:jc w:val="center"/>
              <w:rPr>
                <w:rFonts w:hint="eastAsia" w:ascii="仿宋" w:hAnsi="仿宋" w:eastAsia="仿宋" w:cs="仿宋"/>
                <w:color w:val="auto"/>
                <w:highlight w:val="none"/>
              </w:rPr>
            </w:pPr>
          </w:p>
        </w:tc>
      </w:tr>
    </w:tbl>
    <w:p>
      <w:pPr>
        <w:spacing w:line="420" w:lineRule="exact"/>
        <w:rPr>
          <w:rFonts w:hint="eastAsia" w:ascii="仿宋" w:hAnsi="仿宋" w:eastAsia="仿宋" w:cs="仿宋"/>
          <w:color w:val="auto"/>
          <w:sz w:val="24"/>
          <w:szCs w:val="24"/>
          <w:highlight w:val="none"/>
        </w:rPr>
      </w:pPr>
    </w:p>
    <w:p>
      <w:pPr>
        <w:spacing w:beforeLines="50" w:afterLines="100" w:line="42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bCs/>
          <w:color w:val="auto"/>
          <w:sz w:val="24"/>
          <w:szCs w:val="24"/>
          <w:highlight w:val="none"/>
        </w:rPr>
        <w:t>附表二：拟配备本工程的试验和检测仪器设备表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685"/>
        <w:gridCol w:w="1414"/>
        <w:gridCol w:w="1039"/>
        <w:gridCol w:w="1225"/>
        <w:gridCol w:w="145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13"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907"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仪器设备名称</w:t>
            </w:r>
          </w:p>
        </w:tc>
        <w:tc>
          <w:tcPr>
            <w:tcW w:w="761"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型号</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规格</w:t>
            </w:r>
          </w:p>
        </w:tc>
        <w:tc>
          <w:tcPr>
            <w:tcW w:w="559"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659"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国别</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产地</w:t>
            </w:r>
          </w:p>
        </w:tc>
        <w:tc>
          <w:tcPr>
            <w:tcW w:w="783"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用途</w:t>
            </w:r>
          </w:p>
        </w:tc>
        <w:tc>
          <w:tcPr>
            <w:tcW w:w="714"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13" w:type="pct"/>
            <w:vAlign w:val="center"/>
          </w:tcPr>
          <w:p>
            <w:pPr>
              <w:jc w:val="center"/>
              <w:rPr>
                <w:rFonts w:hint="eastAsia" w:ascii="仿宋" w:hAnsi="仿宋" w:eastAsia="仿宋" w:cs="仿宋"/>
                <w:color w:val="auto"/>
                <w:highlight w:val="none"/>
              </w:rPr>
            </w:pPr>
          </w:p>
        </w:tc>
        <w:tc>
          <w:tcPr>
            <w:tcW w:w="907" w:type="pct"/>
            <w:vAlign w:val="center"/>
          </w:tcPr>
          <w:p>
            <w:pPr>
              <w:jc w:val="center"/>
              <w:rPr>
                <w:rFonts w:hint="eastAsia" w:ascii="仿宋" w:hAnsi="仿宋" w:eastAsia="仿宋" w:cs="仿宋"/>
                <w:color w:val="auto"/>
                <w:highlight w:val="none"/>
              </w:rPr>
            </w:pPr>
          </w:p>
        </w:tc>
        <w:tc>
          <w:tcPr>
            <w:tcW w:w="761" w:type="pct"/>
            <w:vAlign w:val="center"/>
          </w:tcPr>
          <w:p>
            <w:pPr>
              <w:jc w:val="center"/>
              <w:rPr>
                <w:rFonts w:hint="eastAsia" w:ascii="仿宋" w:hAnsi="仿宋" w:eastAsia="仿宋" w:cs="仿宋"/>
                <w:color w:val="auto"/>
                <w:highlight w:val="none"/>
              </w:rPr>
            </w:pPr>
          </w:p>
        </w:tc>
        <w:tc>
          <w:tcPr>
            <w:tcW w:w="559" w:type="pct"/>
            <w:vAlign w:val="center"/>
          </w:tcPr>
          <w:p>
            <w:pPr>
              <w:jc w:val="center"/>
              <w:rPr>
                <w:rFonts w:hint="eastAsia" w:ascii="仿宋" w:hAnsi="仿宋" w:eastAsia="仿宋" w:cs="仿宋"/>
                <w:color w:val="auto"/>
                <w:highlight w:val="none"/>
              </w:rPr>
            </w:pPr>
          </w:p>
        </w:tc>
        <w:tc>
          <w:tcPr>
            <w:tcW w:w="659" w:type="pct"/>
            <w:vAlign w:val="center"/>
          </w:tcPr>
          <w:p>
            <w:pPr>
              <w:jc w:val="center"/>
              <w:rPr>
                <w:rFonts w:hint="eastAsia" w:ascii="仿宋" w:hAnsi="仿宋" w:eastAsia="仿宋" w:cs="仿宋"/>
                <w:color w:val="auto"/>
                <w:highlight w:val="none"/>
              </w:rPr>
            </w:pPr>
          </w:p>
        </w:tc>
        <w:tc>
          <w:tcPr>
            <w:tcW w:w="783" w:type="pct"/>
            <w:vAlign w:val="center"/>
          </w:tcPr>
          <w:p>
            <w:pPr>
              <w:jc w:val="center"/>
              <w:rPr>
                <w:rFonts w:hint="eastAsia" w:ascii="仿宋" w:hAnsi="仿宋" w:eastAsia="仿宋" w:cs="仿宋"/>
                <w:color w:val="auto"/>
                <w:highlight w:val="none"/>
              </w:rPr>
            </w:pPr>
          </w:p>
        </w:tc>
        <w:tc>
          <w:tcPr>
            <w:tcW w:w="714" w:type="pct"/>
            <w:vAlign w:val="center"/>
          </w:tcPr>
          <w:p>
            <w:pPr>
              <w:jc w:val="center"/>
              <w:rPr>
                <w:rFonts w:hint="eastAsia" w:ascii="仿宋" w:hAnsi="仿宋" w:eastAsia="仿宋" w:cs="仿宋"/>
                <w:color w:val="auto"/>
                <w:highlight w:val="none"/>
              </w:rPr>
            </w:pPr>
          </w:p>
        </w:tc>
      </w:tr>
    </w:tbl>
    <w:p>
      <w:pPr>
        <w:spacing w:beforeLines="50" w:afterLines="50" w:line="48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24"/>
          <w:szCs w:val="24"/>
          <w:highlight w:val="none"/>
        </w:rPr>
        <w:t>附表三：劳动力计划表</w:t>
      </w:r>
    </w:p>
    <w:p>
      <w:pPr>
        <w:spacing w:beforeLines="50" w:afterLines="50" w:line="48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单位：人</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84"/>
        <w:gridCol w:w="1101"/>
        <w:gridCol w:w="1102"/>
        <w:gridCol w:w="1102"/>
        <w:gridCol w:w="1102"/>
        <w:gridCol w:w="1102"/>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3"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工种</w:t>
            </w:r>
          </w:p>
        </w:tc>
        <w:tc>
          <w:tcPr>
            <w:tcW w:w="4146" w:type="pct"/>
            <w:gridSpan w:val="7"/>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3" w:type="pct"/>
            <w:vAlign w:val="center"/>
          </w:tcPr>
          <w:p>
            <w:pPr>
              <w:spacing w:line="360" w:lineRule="auto"/>
              <w:jc w:val="center"/>
              <w:rPr>
                <w:rFonts w:hint="eastAsia" w:ascii="仿宋" w:hAnsi="仿宋" w:eastAsia="仿宋" w:cs="仿宋"/>
                <w:color w:val="auto"/>
                <w:highlight w:val="none"/>
              </w:rPr>
            </w:pPr>
          </w:p>
        </w:tc>
        <w:tc>
          <w:tcPr>
            <w:tcW w:w="584"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3" w:type="pct"/>
            <w:vAlign w:val="center"/>
          </w:tcPr>
          <w:p>
            <w:pPr>
              <w:spacing w:line="360" w:lineRule="auto"/>
              <w:jc w:val="center"/>
              <w:rPr>
                <w:rFonts w:hint="eastAsia" w:ascii="仿宋" w:hAnsi="仿宋" w:eastAsia="仿宋" w:cs="仿宋"/>
                <w:color w:val="auto"/>
                <w:highlight w:val="none"/>
              </w:rPr>
            </w:pPr>
          </w:p>
        </w:tc>
        <w:tc>
          <w:tcPr>
            <w:tcW w:w="594" w:type="pct"/>
            <w:vAlign w:val="center"/>
          </w:tcPr>
          <w:p>
            <w:pPr>
              <w:spacing w:line="360" w:lineRule="auto"/>
              <w:jc w:val="center"/>
              <w:rPr>
                <w:rFonts w:hint="eastAsia" w:ascii="仿宋" w:hAnsi="仿宋" w:eastAsia="仿宋" w:cs="仿宋"/>
                <w:color w:val="auto"/>
                <w:highlight w:val="none"/>
              </w:rPr>
            </w:pPr>
          </w:p>
        </w:tc>
      </w:tr>
    </w:tbl>
    <w:p>
      <w:pPr>
        <w:spacing w:line="580" w:lineRule="exact"/>
        <w:rPr>
          <w:rFonts w:hint="eastAsia" w:ascii="仿宋" w:hAnsi="仿宋" w:eastAsia="仿宋" w:cs="仿宋"/>
          <w:b/>
          <w:bCs/>
          <w:color w:val="auto"/>
          <w:spacing w:val="4"/>
          <w:sz w:val="24"/>
          <w:szCs w:val="24"/>
          <w:highlight w:val="none"/>
        </w:rPr>
      </w:pPr>
    </w:p>
    <w:p>
      <w:pPr>
        <w:spacing w:beforeLines="50" w:afterLines="100"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24"/>
          <w:szCs w:val="24"/>
          <w:highlight w:val="none"/>
        </w:rPr>
        <w:t>附表四：计划开、竣工日期和施工进度网络图</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应递交施工进度网络图或施工进度表，说明按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要求的计划工期进行施工的各个关键日期。</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施工进度表可采用网络图或横道图表示。</w:t>
      </w:r>
    </w:p>
    <w:p>
      <w:pPr>
        <w:spacing w:beforeLines="50" w:afterLines="100" w:line="480" w:lineRule="auto"/>
        <w:rPr>
          <w:rFonts w:hint="eastAsia" w:ascii="仿宋" w:hAnsi="仿宋" w:eastAsia="仿宋" w:cs="仿宋"/>
          <w:color w:val="auto"/>
          <w:sz w:val="24"/>
          <w:szCs w:val="24"/>
          <w:highlight w:val="none"/>
        </w:rPr>
      </w:pPr>
    </w:p>
    <w:p>
      <w:pPr>
        <w:spacing w:beforeLines="50" w:afterLines="100" w:line="42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bCs/>
          <w:color w:val="auto"/>
          <w:sz w:val="24"/>
          <w:szCs w:val="24"/>
          <w:highlight w:val="none"/>
        </w:rPr>
        <w:t>附表五：临时用地表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6"/>
        <w:gridCol w:w="2269"/>
        <w:gridCol w:w="2269"/>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用途</w:t>
            </w:r>
          </w:p>
        </w:tc>
        <w:tc>
          <w:tcPr>
            <w:tcW w:w="1222"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面积（平方米）</w:t>
            </w:r>
          </w:p>
        </w:tc>
        <w:tc>
          <w:tcPr>
            <w:tcW w:w="1222"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位置</w:t>
            </w:r>
          </w:p>
        </w:tc>
        <w:tc>
          <w:tcPr>
            <w:tcW w:w="1222" w:type="pct"/>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33"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c>
          <w:tcPr>
            <w:tcW w:w="1222" w:type="pct"/>
          </w:tcPr>
          <w:p>
            <w:pPr>
              <w:rPr>
                <w:rFonts w:hint="eastAsia" w:ascii="仿宋" w:hAnsi="仿宋" w:eastAsia="仿宋" w:cs="仿宋"/>
                <w:color w:val="auto"/>
                <w:highlight w:val="none"/>
              </w:rPr>
            </w:pPr>
          </w:p>
        </w:tc>
      </w:tr>
    </w:tbl>
    <w:p>
      <w:pPr>
        <w:keepLines/>
        <w:pageBreakBefore/>
        <w:jc w:val="center"/>
        <w:outlineLvl w:val="1"/>
        <w:rPr>
          <w:rFonts w:hint="eastAsia" w:ascii="仿宋" w:hAnsi="仿宋" w:eastAsia="仿宋" w:cs="仿宋"/>
          <w:b/>
          <w:bCs/>
          <w:color w:val="auto"/>
          <w:sz w:val="32"/>
          <w:szCs w:val="32"/>
          <w:highlight w:val="none"/>
        </w:rPr>
      </w:pPr>
      <w:bookmarkStart w:id="176" w:name="_Toc11640"/>
      <w:bookmarkStart w:id="177" w:name="_Toc16618"/>
      <w:bookmarkStart w:id="178" w:name="_Toc18300"/>
      <w:bookmarkStart w:id="179" w:name="_Toc20335"/>
      <w:r>
        <w:rPr>
          <w:rFonts w:hint="eastAsia" w:ascii="仿宋" w:hAnsi="仿宋" w:eastAsia="仿宋" w:cs="仿宋"/>
          <w:b/>
          <w:bCs/>
          <w:color w:val="auto"/>
          <w:sz w:val="32"/>
          <w:szCs w:val="32"/>
          <w:highlight w:val="none"/>
        </w:rPr>
        <w:t>第三部分</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资格标</w:t>
      </w:r>
      <w:bookmarkEnd w:id="176"/>
    </w:p>
    <w:p>
      <w:pPr>
        <w:keepLines/>
        <w:pageBreakBefore/>
        <w:jc w:val="center"/>
        <w:outlineLvl w:val="1"/>
        <w:rPr>
          <w:rFonts w:hint="eastAsia" w:ascii="仿宋" w:hAnsi="仿宋" w:eastAsia="仿宋" w:cs="仿宋"/>
          <w:b/>
          <w:color w:val="auto"/>
          <w:sz w:val="32"/>
          <w:szCs w:val="32"/>
          <w:highlight w:val="none"/>
        </w:rPr>
      </w:pPr>
      <w:bookmarkStart w:id="180" w:name="_Toc18660"/>
      <w:r>
        <w:rPr>
          <w:rFonts w:hint="eastAsia" w:ascii="仿宋" w:hAnsi="仿宋" w:eastAsia="仿宋" w:cs="仿宋"/>
          <w:b/>
          <w:bCs/>
          <w:color w:val="auto"/>
          <w:sz w:val="32"/>
          <w:szCs w:val="32"/>
          <w:highlight w:val="none"/>
          <w:lang w:eastAsia="zh-CN"/>
        </w:rPr>
        <w:t>一、供应商</w:t>
      </w:r>
      <w:r>
        <w:rPr>
          <w:rFonts w:hint="eastAsia" w:ascii="仿宋" w:hAnsi="仿宋" w:eastAsia="仿宋" w:cs="仿宋"/>
          <w:b/>
          <w:bCs/>
          <w:color w:val="auto"/>
          <w:sz w:val="32"/>
          <w:szCs w:val="32"/>
          <w:highlight w:val="none"/>
        </w:rPr>
        <w:t>的基本情况介绍和资格声明</w:t>
      </w:r>
      <w:bookmarkEnd w:id="180"/>
    </w:p>
    <w:p>
      <w:pPr>
        <w:numPr>
          <w:ilvl w:val="0"/>
          <w:numId w:val="16"/>
        </w:num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供应商</w:t>
      </w:r>
      <w:r>
        <w:rPr>
          <w:rFonts w:hint="eastAsia" w:ascii="仿宋" w:hAnsi="仿宋" w:eastAsia="仿宋" w:cs="仿宋"/>
          <w:b/>
          <w:bCs/>
          <w:color w:val="auto"/>
          <w:sz w:val="32"/>
          <w:szCs w:val="32"/>
          <w:highlight w:val="none"/>
        </w:rPr>
        <w:t>的基本情况介绍</w:t>
      </w:r>
    </w:p>
    <w:p>
      <w:pPr>
        <w:numPr>
          <w:ilvl w:val="0"/>
          <w:numId w:val="0"/>
        </w:num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（格式自拟）</w:t>
      </w:r>
    </w:p>
    <w:p>
      <w:pPr>
        <w:numPr>
          <w:ilvl w:val="0"/>
          <w:numId w:val="0"/>
        </w:numPr>
        <w:jc w:val="center"/>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lang w:eastAsia="zh-CN"/>
        </w:rPr>
        <w:t>（二）供应商资格声明</w:t>
      </w:r>
    </w:p>
    <w:p>
      <w:pPr>
        <w:numPr>
          <w:ilvl w:val="0"/>
          <w:numId w:val="17"/>
        </w:num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名称及其它情况</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名称：____________________________________</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址：电  话：</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成立和注册日期：</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主管部门：</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公司性质：</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职工总人数：</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工程技术及管理人员数分别为：</w:t>
      </w:r>
    </w:p>
    <w:p>
      <w:pPr>
        <w:numPr>
          <w:ilvl w:val="0"/>
          <w:numId w:val="18"/>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本年度</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的主要财务情况（到  </w:t>
      </w:r>
      <w:r>
        <w:rPr>
          <w:rFonts w:hint="eastAsia" w:ascii="仿宋" w:hAnsi="仿宋" w:eastAsia="仿宋" w:cs="仿宋"/>
          <w:color w:val="auto"/>
          <w:sz w:val="24"/>
          <w:szCs w:val="24"/>
          <w:highlight w:val="none"/>
          <w:u w:val="single"/>
        </w:rPr>
        <w:t xml:space="preserve">年  月  日 </w:t>
      </w:r>
      <w:r>
        <w:rPr>
          <w:rFonts w:hint="eastAsia" w:ascii="仿宋" w:hAnsi="仿宋" w:eastAsia="仿宋" w:cs="仿宋"/>
          <w:color w:val="auto"/>
          <w:sz w:val="24"/>
          <w:szCs w:val="24"/>
          <w:highlight w:val="none"/>
        </w:rPr>
        <w:t>止）</w:t>
      </w:r>
    </w:p>
    <w:p>
      <w:pPr>
        <w:numPr>
          <w:ilvl w:val="0"/>
          <w:numId w:val="19"/>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注册资金：</w:t>
      </w:r>
    </w:p>
    <w:p>
      <w:pPr>
        <w:numPr>
          <w:ilvl w:val="0"/>
          <w:numId w:val="19"/>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固定资产：</w:t>
      </w:r>
    </w:p>
    <w:p>
      <w:pPr>
        <w:spacing w:line="520" w:lineRule="exact"/>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原    值：</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净    值：</w:t>
      </w:r>
    </w:p>
    <w:p>
      <w:pPr>
        <w:numPr>
          <w:ilvl w:val="0"/>
          <w:numId w:val="19"/>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流动资产：</w:t>
      </w:r>
    </w:p>
    <w:p>
      <w:pPr>
        <w:numPr>
          <w:ilvl w:val="0"/>
          <w:numId w:val="19"/>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长期负债：</w:t>
      </w:r>
    </w:p>
    <w:p>
      <w:pPr>
        <w:numPr>
          <w:ilvl w:val="0"/>
          <w:numId w:val="19"/>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短期负债：</w:t>
      </w:r>
    </w:p>
    <w:p>
      <w:pPr>
        <w:numPr>
          <w:ilvl w:val="0"/>
          <w:numId w:val="19"/>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销售收入/主营业务收入：</w:t>
      </w:r>
    </w:p>
    <w:p>
      <w:pPr>
        <w:numPr>
          <w:ilvl w:val="0"/>
          <w:numId w:val="17"/>
        </w:num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最近三年的年度总营业额：</w:t>
      </w:r>
    </w:p>
    <w:p>
      <w:pPr>
        <w:numPr>
          <w:ilvl w:val="0"/>
          <w:numId w:val="17"/>
        </w:num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最近三年法律纠纷情况</w:t>
      </w:r>
    </w:p>
    <w:tbl>
      <w:tblPr>
        <w:tblStyle w:val="35"/>
        <w:tblW w:w="9004" w:type="dxa"/>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280"/>
        <w:gridCol w:w="1826"/>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p>
        </w:tc>
        <w:tc>
          <w:tcPr>
            <w:tcW w:w="2280"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案由</w:t>
            </w:r>
          </w:p>
        </w:tc>
        <w:tc>
          <w:tcPr>
            <w:tcW w:w="1826"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涉及金额</w:t>
            </w:r>
          </w:p>
        </w:tc>
        <w:tc>
          <w:tcPr>
            <w:tcW w:w="2919"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目前办理情况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tcPr>
          <w:p>
            <w:pPr>
              <w:spacing w:line="520" w:lineRule="exact"/>
              <w:jc w:val="left"/>
              <w:rPr>
                <w:rFonts w:hint="eastAsia" w:ascii="仿宋" w:hAnsi="仿宋" w:eastAsia="仿宋" w:cs="仿宋"/>
                <w:color w:val="auto"/>
                <w:sz w:val="24"/>
                <w:szCs w:val="24"/>
                <w:highlight w:val="none"/>
              </w:rPr>
            </w:pPr>
          </w:p>
        </w:tc>
        <w:tc>
          <w:tcPr>
            <w:tcW w:w="2280" w:type="dxa"/>
          </w:tcPr>
          <w:p>
            <w:pPr>
              <w:spacing w:line="520" w:lineRule="exact"/>
              <w:jc w:val="left"/>
              <w:rPr>
                <w:rFonts w:hint="eastAsia" w:ascii="仿宋" w:hAnsi="仿宋" w:eastAsia="仿宋" w:cs="仿宋"/>
                <w:color w:val="auto"/>
                <w:sz w:val="24"/>
                <w:szCs w:val="24"/>
                <w:highlight w:val="none"/>
              </w:rPr>
            </w:pPr>
          </w:p>
        </w:tc>
        <w:tc>
          <w:tcPr>
            <w:tcW w:w="1826" w:type="dxa"/>
          </w:tcPr>
          <w:p>
            <w:pPr>
              <w:spacing w:line="520" w:lineRule="exact"/>
              <w:jc w:val="left"/>
              <w:rPr>
                <w:rFonts w:hint="eastAsia" w:ascii="仿宋" w:hAnsi="仿宋" w:eastAsia="仿宋" w:cs="仿宋"/>
                <w:color w:val="auto"/>
                <w:sz w:val="24"/>
                <w:szCs w:val="24"/>
                <w:highlight w:val="none"/>
              </w:rPr>
            </w:pPr>
          </w:p>
        </w:tc>
        <w:tc>
          <w:tcPr>
            <w:tcW w:w="2919" w:type="dxa"/>
          </w:tcPr>
          <w:p>
            <w:pPr>
              <w:spacing w:line="520" w:lineRule="exact"/>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tcPr>
          <w:p>
            <w:pPr>
              <w:spacing w:line="520" w:lineRule="exact"/>
              <w:jc w:val="left"/>
              <w:rPr>
                <w:rFonts w:hint="eastAsia" w:ascii="仿宋" w:hAnsi="仿宋" w:eastAsia="仿宋" w:cs="仿宋"/>
                <w:color w:val="auto"/>
                <w:sz w:val="24"/>
                <w:szCs w:val="24"/>
                <w:highlight w:val="none"/>
              </w:rPr>
            </w:pPr>
          </w:p>
        </w:tc>
        <w:tc>
          <w:tcPr>
            <w:tcW w:w="2280" w:type="dxa"/>
          </w:tcPr>
          <w:p>
            <w:pPr>
              <w:spacing w:line="520" w:lineRule="exact"/>
              <w:jc w:val="left"/>
              <w:rPr>
                <w:rFonts w:hint="eastAsia" w:ascii="仿宋" w:hAnsi="仿宋" w:eastAsia="仿宋" w:cs="仿宋"/>
                <w:color w:val="auto"/>
                <w:sz w:val="24"/>
                <w:szCs w:val="24"/>
                <w:highlight w:val="none"/>
              </w:rPr>
            </w:pPr>
          </w:p>
        </w:tc>
        <w:tc>
          <w:tcPr>
            <w:tcW w:w="1826" w:type="dxa"/>
          </w:tcPr>
          <w:p>
            <w:pPr>
              <w:spacing w:line="520" w:lineRule="exact"/>
              <w:jc w:val="left"/>
              <w:rPr>
                <w:rFonts w:hint="eastAsia" w:ascii="仿宋" w:hAnsi="仿宋" w:eastAsia="仿宋" w:cs="仿宋"/>
                <w:color w:val="auto"/>
                <w:sz w:val="24"/>
                <w:szCs w:val="24"/>
                <w:highlight w:val="none"/>
              </w:rPr>
            </w:pPr>
          </w:p>
        </w:tc>
        <w:tc>
          <w:tcPr>
            <w:tcW w:w="2919" w:type="dxa"/>
          </w:tcPr>
          <w:p>
            <w:pPr>
              <w:spacing w:line="520" w:lineRule="exact"/>
              <w:jc w:val="left"/>
              <w:rPr>
                <w:rFonts w:hint="eastAsia" w:ascii="仿宋" w:hAnsi="仿宋" w:eastAsia="仿宋" w:cs="仿宋"/>
                <w:color w:val="auto"/>
                <w:sz w:val="24"/>
                <w:szCs w:val="24"/>
                <w:highlight w:val="none"/>
              </w:rPr>
            </w:pPr>
          </w:p>
        </w:tc>
      </w:tr>
    </w:tbl>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4、有关银行的名称和地址：</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5、其他情况：</w:t>
      </w:r>
    </w:p>
    <w:p>
      <w:pPr>
        <w:spacing w:line="520" w:lineRule="exact"/>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我们保证上述声明是真实的、正确的，并提供了全部能提供的资料和数据；如贵方要求我们同意出示进一步证明文件。</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授权代表签字：</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授权代表的职务：</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电话号和传真号：</w:t>
      </w:r>
    </w:p>
    <w:p>
      <w:pPr>
        <w:spacing w:line="520" w:lineRule="exact"/>
        <w:ind w:right="960"/>
        <w:rPr>
          <w:rFonts w:hint="eastAsia" w:ascii="仿宋" w:hAnsi="仿宋" w:eastAsia="仿宋" w:cs="仿宋"/>
          <w:color w:val="auto"/>
          <w:sz w:val="24"/>
          <w:szCs w:val="24"/>
          <w:highlight w:val="none"/>
        </w:rPr>
      </w:pPr>
    </w:p>
    <w:p>
      <w:pPr>
        <w:spacing w:line="520" w:lineRule="exact"/>
        <w:ind w:right="960" w:firstLine="5280" w:firstLineChars="2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   章:</w:t>
      </w:r>
    </w:p>
    <w:p>
      <w:pPr>
        <w:wordWrap w:val="0"/>
        <w:spacing w:line="520" w:lineRule="exact"/>
        <w:ind w:right="48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tabs>
          <w:tab w:val="left" w:pos="1799"/>
        </w:tabs>
        <w:jc w:val="left"/>
        <w:rPr>
          <w:rFonts w:hint="eastAsia" w:ascii="仿宋" w:hAnsi="仿宋" w:eastAsia="仿宋" w:cs="仿宋"/>
          <w:b/>
          <w:bCs/>
          <w:color w:val="auto"/>
          <w:sz w:val="24"/>
          <w:szCs w:val="24"/>
          <w:highlight w:val="none"/>
        </w:rPr>
      </w:pPr>
    </w:p>
    <w:p>
      <w:pPr>
        <w:keepLines/>
        <w:pageBreakBefore/>
        <w:jc w:val="center"/>
        <w:outlineLvl w:val="1"/>
        <w:rPr>
          <w:rFonts w:hint="eastAsia" w:ascii="仿宋" w:hAnsi="仿宋" w:eastAsia="仿宋" w:cs="仿宋"/>
          <w:b/>
          <w:bCs/>
          <w:color w:val="auto"/>
          <w:sz w:val="32"/>
          <w:szCs w:val="32"/>
          <w:highlight w:val="none"/>
        </w:rPr>
      </w:pPr>
      <w:bookmarkStart w:id="181" w:name="_Toc22089"/>
      <w:r>
        <w:rPr>
          <w:rFonts w:hint="eastAsia" w:ascii="仿宋" w:hAnsi="仿宋" w:eastAsia="仿宋" w:cs="仿宋"/>
          <w:b/>
          <w:bCs/>
          <w:color w:val="auto"/>
          <w:sz w:val="32"/>
          <w:szCs w:val="32"/>
          <w:highlight w:val="none"/>
        </w:rPr>
        <w:t>二、</w:t>
      </w:r>
      <w:r>
        <w:rPr>
          <w:rFonts w:hint="eastAsia" w:ascii="仿宋" w:hAnsi="仿宋" w:eastAsia="仿宋" w:cs="仿宋"/>
          <w:b/>
          <w:bCs/>
          <w:color w:val="auto"/>
          <w:sz w:val="32"/>
          <w:szCs w:val="32"/>
          <w:highlight w:val="none"/>
          <w:lang w:eastAsia="zh-CN"/>
        </w:rPr>
        <w:t>供应商</w:t>
      </w:r>
      <w:r>
        <w:rPr>
          <w:rFonts w:hint="eastAsia" w:ascii="仿宋" w:hAnsi="仿宋" w:eastAsia="仿宋" w:cs="仿宋"/>
          <w:b/>
          <w:bCs/>
          <w:color w:val="auto"/>
          <w:sz w:val="32"/>
          <w:szCs w:val="32"/>
          <w:highlight w:val="none"/>
        </w:rPr>
        <w:t>资格证明文件</w:t>
      </w:r>
      <w:bookmarkEnd w:id="181"/>
    </w:p>
    <w:p>
      <w:pPr>
        <w:pStyle w:val="2"/>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（见</w:t>
      </w:r>
      <w:r>
        <w:rPr>
          <w:rFonts w:hint="eastAsia" w:ascii="仿宋" w:hAnsi="仿宋" w:eastAsia="仿宋" w:cs="仿宋"/>
          <w:b/>
          <w:bCs/>
          <w:color w:val="auto"/>
          <w:sz w:val="24"/>
          <w:szCs w:val="24"/>
          <w:highlight w:val="none"/>
          <w:lang w:eastAsia="zh-CN"/>
        </w:rPr>
        <w:t>初步审查要素表</w:t>
      </w:r>
      <w:r>
        <w:rPr>
          <w:rFonts w:hint="eastAsia" w:ascii="仿宋" w:hAnsi="仿宋" w:eastAsia="仿宋" w:cs="仿宋"/>
          <w:b/>
          <w:bCs/>
          <w:color w:val="auto"/>
          <w:sz w:val="24"/>
          <w:szCs w:val="24"/>
          <w:highlight w:val="none"/>
        </w:rPr>
        <w:t>）</w:t>
      </w:r>
    </w:p>
    <w:bookmarkEnd w:id="160"/>
    <w:bookmarkEnd w:id="161"/>
    <w:bookmarkEnd w:id="177"/>
    <w:bookmarkEnd w:id="178"/>
    <w:bookmarkEnd w:id="179"/>
    <w:p>
      <w:pPr>
        <w:keepLines/>
        <w:pageBreakBefore/>
        <w:widowControl w:val="0"/>
        <w:kinsoku/>
        <w:wordWrap/>
        <w:overflowPunct/>
        <w:topLinePunct w:val="0"/>
        <w:autoSpaceDE/>
        <w:autoSpaceDN/>
        <w:bidi w:val="0"/>
        <w:adjustRightInd/>
        <w:snapToGrid/>
        <w:spacing w:before="100" w:beforeAutospacing="0" w:afterLines="50" w:line="360" w:lineRule="auto"/>
        <w:textAlignment w:val="auto"/>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附件1：</w:t>
      </w:r>
    </w:p>
    <w:p>
      <w:pPr>
        <w:pStyle w:val="5"/>
        <w:keepNext/>
        <w:keepLines w:val="0"/>
        <w:pageBreakBefore w:val="0"/>
        <w:widowControl w:val="0"/>
        <w:kinsoku/>
        <w:wordWrap/>
        <w:overflowPunct/>
        <w:topLinePunct w:val="0"/>
        <w:autoSpaceDE/>
        <w:autoSpaceDN/>
        <w:bidi w:val="0"/>
        <w:adjustRightInd/>
        <w:snapToGrid/>
        <w:spacing w:beforeAutospacing="0"/>
        <w:jc w:val="center"/>
        <w:textAlignment w:val="auto"/>
        <w:outlineLvl w:val="2"/>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中小企业声明函（工程、服务）</w:t>
      </w:r>
    </w:p>
    <w:p>
      <w:pPr>
        <w:pStyle w:val="2"/>
        <w:keepNext w:val="0"/>
        <w:keepLines w:val="0"/>
        <w:pageBreakBefore w:val="0"/>
        <w:widowControl w:val="0"/>
        <w:kinsoku/>
        <w:wordWrap/>
        <w:overflowPunct/>
        <w:topLinePunct w:val="0"/>
        <w:autoSpaceDE/>
        <w:autoSpaceDN/>
        <w:bidi w:val="0"/>
        <w:adjustRightInd/>
        <w:snapToGrid/>
        <w:spacing w:before="55" w:after="0" w:afterLines="0" w:line="360" w:lineRule="auto"/>
        <w:ind w:right="415" w:firstLine="640"/>
        <w:textAlignment w:val="auto"/>
        <w:outlineLvl w:val="9"/>
        <w:rPr>
          <w:rFonts w:hint="eastAsia" w:ascii="仿宋" w:hAnsi="仿宋" w:eastAsia="仿宋" w:cs="仿宋"/>
          <w:b w:val="0"/>
          <w:bCs w:val="0"/>
          <w:color w:val="auto"/>
          <w:spacing w:val="-2"/>
          <w:sz w:val="24"/>
          <w:szCs w:val="24"/>
          <w:highlight w:val="none"/>
        </w:rPr>
      </w:pPr>
    </w:p>
    <w:p>
      <w:pPr>
        <w:pStyle w:val="2"/>
        <w:keepNext w:val="0"/>
        <w:keepLines w:val="0"/>
        <w:pageBreakBefore w:val="0"/>
        <w:widowControl w:val="0"/>
        <w:kinsoku/>
        <w:wordWrap/>
        <w:overflowPunct/>
        <w:topLinePunct w:val="0"/>
        <w:autoSpaceDE/>
        <w:autoSpaceDN/>
        <w:bidi w:val="0"/>
        <w:adjustRightInd/>
        <w:snapToGrid/>
        <w:spacing w:before="55" w:after="0" w:afterLines="0" w:line="360" w:lineRule="auto"/>
        <w:ind w:right="0" w:rightChars="0" w:firstLine="640"/>
        <w:jc w:val="left"/>
        <w:textAlignment w:val="auto"/>
        <w:outlineLvl w:val="9"/>
        <w:rPr>
          <w:rFonts w:hint="eastAsia" w:ascii="仿宋" w:hAnsi="仿宋" w:eastAsia="仿宋" w:cs="仿宋"/>
          <w:b w:val="0"/>
          <w:bCs w:val="0"/>
          <w:color w:val="auto"/>
          <w:spacing w:val="-2"/>
          <w:sz w:val="24"/>
          <w:szCs w:val="24"/>
          <w:highlight w:val="none"/>
        </w:rPr>
      </w:pPr>
      <w:r>
        <w:rPr>
          <w:rFonts w:hint="eastAsia" w:ascii="仿宋" w:hAnsi="仿宋" w:eastAsia="仿宋" w:cs="仿宋"/>
          <w:b w:val="0"/>
          <w:bCs w:val="0"/>
          <w:color w:val="auto"/>
          <w:spacing w:val="-2"/>
          <w:sz w:val="24"/>
          <w:szCs w:val="24"/>
          <w:highlight w:val="none"/>
        </w:rPr>
        <w:t>本公司（联合体）郑重声明，根据《政府采购促进中小企业发展管理办法》（财库﹝2020﹞46 号）的规定，本公司（联合体）参加</w:t>
      </w:r>
      <w:r>
        <w:rPr>
          <w:rFonts w:hint="eastAsia" w:ascii="仿宋" w:hAnsi="仿宋" w:eastAsia="仿宋" w:cs="仿宋"/>
          <w:b w:val="0"/>
          <w:bCs w:val="0"/>
          <w:color w:val="auto"/>
          <w:spacing w:val="-2"/>
          <w:sz w:val="24"/>
          <w:szCs w:val="24"/>
          <w:highlight w:val="none"/>
          <w:u w:val="single"/>
        </w:rPr>
        <w:t>（单位名称）</w:t>
      </w:r>
      <w:r>
        <w:rPr>
          <w:rFonts w:hint="eastAsia" w:ascii="仿宋" w:hAnsi="仿宋" w:eastAsia="仿宋" w:cs="仿宋"/>
          <w:b w:val="0"/>
          <w:bCs w:val="0"/>
          <w:color w:val="auto"/>
          <w:spacing w:val="-2"/>
          <w:sz w:val="24"/>
          <w:szCs w:val="24"/>
          <w:highlight w:val="none"/>
        </w:rPr>
        <w:t>的</w:t>
      </w:r>
      <w:r>
        <w:rPr>
          <w:rFonts w:hint="eastAsia" w:ascii="仿宋" w:hAnsi="仿宋" w:eastAsia="仿宋" w:cs="仿宋"/>
          <w:b w:val="0"/>
          <w:bCs w:val="0"/>
          <w:color w:val="auto"/>
          <w:spacing w:val="-2"/>
          <w:sz w:val="24"/>
          <w:szCs w:val="24"/>
          <w:highlight w:val="none"/>
          <w:u w:val="single"/>
        </w:rPr>
        <w:t>（项目名称）</w:t>
      </w:r>
      <w:r>
        <w:rPr>
          <w:rFonts w:hint="eastAsia" w:ascii="仿宋" w:hAnsi="仿宋" w:eastAsia="仿宋" w:cs="仿宋"/>
          <w:b w:val="0"/>
          <w:bCs w:val="0"/>
          <w:color w:val="auto"/>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13"/>
        <w:pageBreakBefore w:val="0"/>
        <w:numPr>
          <w:ilvl w:val="0"/>
          <w:numId w:val="2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eastAsia="zh-CN"/>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zh-CN" w:eastAsia="zh-CN"/>
        </w:rPr>
        <w:t>（采购文件中明确的所属行业）</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113"/>
        <w:pageBreakBefore w:val="0"/>
        <w:numPr>
          <w:ilvl w:val="0"/>
          <w:numId w:val="2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eastAsia="zh-CN"/>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zh-CN" w:eastAsia="zh-CN"/>
        </w:rPr>
        <w:t>（采购文件中明确的所属行业）</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113"/>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none"/>
          <w:lang w:val="zh-CN" w:eastAsia="zh-CN"/>
        </w:rPr>
      </w:pPr>
      <w:r>
        <w:rPr>
          <w:rFonts w:hint="eastAsia" w:ascii="仿宋" w:hAnsi="仿宋" w:eastAsia="仿宋" w:cs="仿宋"/>
          <w:color w:val="auto"/>
          <w:sz w:val="24"/>
          <w:szCs w:val="24"/>
          <w:highlight w:val="none"/>
          <w:u w:val="none"/>
          <w:lang w:val="zh-CN" w:eastAsia="zh-CN"/>
        </w:rPr>
        <w:t>……</w:t>
      </w:r>
    </w:p>
    <w:p>
      <w:pPr>
        <w:pStyle w:val="113"/>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none"/>
          <w:lang w:val="zh-CN" w:eastAsia="zh-CN"/>
        </w:rPr>
      </w:pPr>
      <w:r>
        <w:rPr>
          <w:rFonts w:hint="eastAsia" w:ascii="仿宋" w:hAnsi="仿宋" w:eastAsia="仿宋" w:cs="仿宋"/>
          <w:color w:val="auto"/>
          <w:sz w:val="24"/>
          <w:szCs w:val="24"/>
          <w:highlight w:val="none"/>
          <w:u w:val="none"/>
          <w:lang w:val="zh-CN" w:eastAsia="zh-CN"/>
        </w:rPr>
        <w:t>以上企业，不属于大企业的分支机构，不存在控股股东为大企业的情形，也不存在与大企业的负责人为同一人的情形。</w:t>
      </w:r>
    </w:p>
    <w:p>
      <w:pPr>
        <w:pStyle w:val="113"/>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none"/>
          <w:lang w:val="zh-CN" w:eastAsia="zh-CN"/>
        </w:rPr>
      </w:pPr>
      <w:r>
        <w:rPr>
          <w:rFonts w:hint="eastAsia" w:ascii="仿宋" w:hAnsi="仿宋" w:eastAsia="仿宋" w:cs="仿宋"/>
          <w:color w:val="auto"/>
          <w:sz w:val="24"/>
          <w:szCs w:val="24"/>
          <w:highlight w:val="none"/>
          <w:u w:val="none"/>
          <w:lang w:val="zh-CN" w:eastAsia="zh-CN"/>
        </w:rPr>
        <w:t>本企业对上述声明内容的真实性负责。如有虚假，将依法承担相应责任。</w:t>
      </w:r>
    </w:p>
    <w:p>
      <w:pPr>
        <w:pStyle w:val="113"/>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p>
    <w:p>
      <w:pPr>
        <w:pStyle w:val="113"/>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outlineLvl w:val="9"/>
        <w:rPr>
          <w:rFonts w:hint="eastAsia" w:ascii="仿宋" w:hAnsi="仿宋" w:eastAsia="仿宋" w:cs="仿宋"/>
          <w:b w:val="0"/>
          <w:bCs w:val="0"/>
          <w:color w:val="auto"/>
          <w:kern w:val="0"/>
          <w:sz w:val="24"/>
          <w:szCs w:val="24"/>
          <w:highlight w:val="none"/>
          <w:u w:val="none"/>
          <w:lang w:val="en-US" w:eastAsia="zh-CN" w:bidi="ar-SA"/>
        </w:rPr>
      </w:pPr>
      <w:r>
        <w:rPr>
          <w:rFonts w:hint="eastAsia" w:ascii="仿宋" w:hAnsi="仿宋" w:eastAsia="仿宋" w:cs="仿宋"/>
          <w:b w:val="0"/>
          <w:bCs w:val="0"/>
          <w:color w:val="auto"/>
          <w:kern w:val="0"/>
          <w:sz w:val="24"/>
          <w:szCs w:val="24"/>
          <w:highlight w:val="none"/>
          <w:u w:val="none"/>
          <w:lang w:val="en-US" w:eastAsia="zh-CN" w:bidi="ar-SA"/>
        </w:rPr>
        <w:t>企业名称（盖章）：</w:t>
      </w:r>
    </w:p>
    <w:p>
      <w:pPr>
        <w:pStyle w:val="113"/>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outlineLvl w:val="9"/>
        <w:rPr>
          <w:rFonts w:hint="eastAsia" w:ascii="仿宋" w:hAnsi="仿宋" w:eastAsia="仿宋" w:cs="仿宋"/>
          <w:b w:val="0"/>
          <w:bCs w:val="0"/>
          <w:color w:val="auto"/>
          <w:kern w:val="0"/>
          <w:sz w:val="24"/>
          <w:szCs w:val="24"/>
          <w:highlight w:val="none"/>
          <w:u w:val="none"/>
          <w:lang w:val="en-US" w:eastAsia="zh-CN" w:bidi="ar-SA"/>
        </w:rPr>
      </w:pPr>
      <w:r>
        <w:rPr>
          <w:rFonts w:hint="eastAsia" w:ascii="仿宋" w:hAnsi="仿宋" w:eastAsia="仿宋" w:cs="仿宋"/>
          <w:b w:val="0"/>
          <w:bCs w:val="0"/>
          <w:color w:val="auto"/>
          <w:kern w:val="0"/>
          <w:sz w:val="24"/>
          <w:szCs w:val="24"/>
          <w:highlight w:val="none"/>
          <w:u w:val="none"/>
          <w:lang w:val="en-US" w:eastAsia="zh-CN" w:bidi="ar-SA"/>
        </w:rPr>
        <w:t>日期：</w:t>
      </w:r>
    </w:p>
    <w:p>
      <w:pPr>
        <w:pStyle w:val="113"/>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p>
    <w:p>
      <w:pPr>
        <w:pStyle w:val="113"/>
        <w:pageBreakBefore w:val="0"/>
        <w:kinsoku/>
        <w:wordWrap/>
        <w:overflowPunct/>
        <w:topLinePunct w:val="0"/>
        <w:autoSpaceDE/>
        <w:autoSpaceDN/>
        <w:bidi w:val="0"/>
        <w:adjustRightInd/>
        <w:snapToGrid/>
        <w:spacing w:line="360" w:lineRule="auto"/>
        <w:ind w:left="630" w:leftChars="0" w:hanging="630" w:hangingChars="300"/>
        <w:textAlignment w:val="auto"/>
        <w:rPr>
          <w:rFonts w:hint="eastAsia" w:ascii="仿宋" w:hAnsi="仿宋" w:eastAsia="仿宋" w:cs="仿宋"/>
          <w:color w:val="auto"/>
          <w:spacing w:val="-8"/>
          <w:sz w:val="21"/>
          <w:szCs w:val="21"/>
          <w:highlight w:val="none"/>
          <w:lang w:eastAsia="zh-CN"/>
        </w:rPr>
      </w:pPr>
      <w:r>
        <w:rPr>
          <w:rFonts w:hint="eastAsia" w:ascii="仿宋" w:hAnsi="仿宋" w:eastAsia="仿宋" w:cs="仿宋"/>
          <w:color w:val="auto"/>
          <w:sz w:val="21"/>
          <w:szCs w:val="21"/>
          <w:highlight w:val="none"/>
          <w:lang w:eastAsia="zh-CN"/>
        </w:rPr>
        <w:t>备注：</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pacing w:val="-8"/>
          <w:sz w:val="21"/>
          <w:szCs w:val="21"/>
          <w:highlight w:val="none"/>
        </w:rPr>
        <w:t>中小企业参加政府采购活动，应当按照</w:t>
      </w:r>
      <w:r>
        <w:rPr>
          <w:rFonts w:hint="eastAsia" w:ascii="仿宋" w:hAnsi="仿宋" w:eastAsia="仿宋" w:cs="仿宋"/>
          <w:color w:val="auto"/>
          <w:spacing w:val="-8"/>
          <w:sz w:val="21"/>
          <w:szCs w:val="21"/>
          <w:highlight w:val="none"/>
          <w:lang w:eastAsia="zh-CN"/>
        </w:rPr>
        <w:t>《政府采购促进中小企业发展管理办法》（财库〔2020〕46号）</w:t>
      </w:r>
      <w:r>
        <w:rPr>
          <w:rFonts w:hint="eastAsia" w:ascii="仿宋" w:hAnsi="仿宋" w:eastAsia="仿宋" w:cs="仿宋"/>
          <w:color w:val="auto"/>
          <w:spacing w:val="-8"/>
          <w:sz w:val="21"/>
          <w:szCs w:val="21"/>
          <w:highlight w:val="none"/>
        </w:rPr>
        <w:t>规定和《中小企业划型标准规定》（工信部联企业〔2011〕300号），如实填写并</w:t>
      </w:r>
      <w:r>
        <w:rPr>
          <w:rFonts w:hint="eastAsia" w:ascii="仿宋" w:hAnsi="仿宋" w:eastAsia="仿宋" w:cs="仿宋"/>
          <w:color w:val="auto"/>
          <w:spacing w:val="-8"/>
          <w:sz w:val="21"/>
          <w:szCs w:val="21"/>
          <w:highlight w:val="none"/>
          <w:lang w:eastAsia="zh-CN"/>
        </w:rPr>
        <w:t>提交本</w:t>
      </w:r>
      <w:r>
        <w:rPr>
          <w:rFonts w:hint="eastAsia" w:ascii="仿宋" w:hAnsi="仿宋" w:eastAsia="仿宋" w:cs="仿宋"/>
          <w:color w:val="auto"/>
          <w:spacing w:val="-8"/>
          <w:sz w:val="21"/>
          <w:szCs w:val="21"/>
          <w:highlight w:val="none"/>
        </w:rPr>
        <w:t>《中小企业声明函》</w:t>
      </w:r>
      <w:r>
        <w:rPr>
          <w:rFonts w:hint="eastAsia" w:ascii="仿宋" w:hAnsi="仿宋" w:eastAsia="仿宋" w:cs="仿宋"/>
          <w:color w:val="auto"/>
          <w:spacing w:val="-8"/>
          <w:sz w:val="21"/>
          <w:szCs w:val="21"/>
          <w:highlight w:val="none"/>
          <w:lang w:eastAsia="zh-CN"/>
        </w:rPr>
        <w:t>。</w:t>
      </w:r>
    </w:p>
    <w:p>
      <w:pPr>
        <w:pStyle w:val="113"/>
        <w:pageBreakBefore w:val="0"/>
        <w:kinsoku/>
        <w:wordWrap/>
        <w:overflowPunct/>
        <w:topLinePunct w:val="0"/>
        <w:autoSpaceDE/>
        <w:autoSpaceDN/>
        <w:bidi w:val="0"/>
        <w:adjustRightInd/>
        <w:snapToGrid/>
        <w:spacing w:line="360" w:lineRule="auto"/>
        <w:ind w:left="615" w:leftChars="293" w:firstLine="19" w:firstLineChars="1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8"/>
          <w:sz w:val="21"/>
          <w:szCs w:val="21"/>
          <w:highlight w:val="none"/>
          <w:lang w:val="en-US" w:eastAsia="zh-CN"/>
        </w:rPr>
        <w:t>2、从业人员、营业收入、资产总额填报上一年度数据，无上一年度数据的新成立企业可不填报。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beforeAutospacing="0" w:line="360" w:lineRule="auto"/>
        <w:jc w:val="left"/>
        <w:textAlignment w:val="auto"/>
        <w:rPr>
          <w:rFonts w:hint="eastAsia" w:ascii="仿宋" w:hAnsi="仿宋" w:eastAsia="仿宋" w:cs="仿宋"/>
          <w:b/>
          <w:color w:val="auto"/>
          <w:sz w:val="28"/>
          <w:szCs w:val="28"/>
          <w:highlight w:val="none"/>
        </w:rPr>
      </w:pPr>
    </w:p>
    <w:p>
      <w:pPr>
        <w:spacing w:line="360" w:lineRule="auto"/>
        <w:ind w:right="640"/>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100" w:beforeAutospacing="0" w:after="156" w:afterLines="50" w:line="360" w:lineRule="auto"/>
        <w:textAlignment w:val="auto"/>
        <w:outlineLvl w:val="2"/>
        <w:rPr>
          <w:rFonts w:hint="eastAsia" w:ascii="仿宋" w:hAnsi="仿宋" w:eastAsia="仿宋" w:cs="仿宋"/>
          <w:b/>
          <w:bCs/>
          <w:color w:val="auto"/>
          <w:spacing w:val="6"/>
          <w:sz w:val="30"/>
          <w:szCs w:val="30"/>
          <w:highlight w:val="none"/>
        </w:rPr>
      </w:pPr>
      <w:r>
        <w:rPr>
          <w:rFonts w:hint="eastAsia" w:ascii="仿宋" w:hAnsi="仿宋" w:eastAsia="仿宋" w:cs="仿宋"/>
          <w:b/>
          <w:bCs/>
          <w:color w:val="auto"/>
          <w:spacing w:val="6"/>
          <w:sz w:val="30"/>
          <w:szCs w:val="30"/>
          <w:highlight w:val="none"/>
        </w:rPr>
        <w:t>附件</w:t>
      </w:r>
      <w:r>
        <w:rPr>
          <w:rFonts w:hint="eastAsia" w:ascii="仿宋" w:hAnsi="仿宋" w:eastAsia="仿宋" w:cs="仿宋"/>
          <w:b/>
          <w:bCs/>
          <w:color w:val="auto"/>
          <w:spacing w:val="6"/>
          <w:sz w:val="30"/>
          <w:szCs w:val="30"/>
          <w:highlight w:val="none"/>
          <w:lang w:val="en-US" w:eastAsia="zh-CN"/>
        </w:rPr>
        <w:t>3</w:t>
      </w:r>
      <w:r>
        <w:rPr>
          <w:rFonts w:hint="eastAsia" w:ascii="仿宋" w:hAnsi="仿宋" w:eastAsia="仿宋" w:cs="仿宋"/>
          <w:b/>
          <w:bCs/>
          <w:color w:val="auto"/>
          <w:spacing w:val="6"/>
          <w:sz w:val="30"/>
          <w:szCs w:val="30"/>
          <w:highlight w:val="none"/>
        </w:rPr>
        <w:t>：</w:t>
      </w:r>
    </w:p>
    <w:p>
      <w:pPr>
        <w:keepNext w:val="0"/>
        <w:keepLines w:val="0"/>
        <w:pageBreakBefore w:val="0"/>
        <w:widowControl w:val="0"/>
        <w:kinsoku/>
        <w:wordWrap/>
        <w:overflowPunct/>
        <w:topLinePunct w:val="0"/>
        <w:autoSpaceDE/>
        <w:autoSpaceDN/>
        <w:bidi w:val="0"/>
        <w:adjustRightInd/>
        <w:snapToGrid/>
        <w:spacing w:beforeAutospacing="0" w:line="588" w:lineRule="exact"/>
        <w:jc w:val="center"/>
        <w:textAlignment w:val="auto"/>
        <w:outlineLvl w:val="2"/>
        <w:rPr>
          <w:rFonts w:hint="eastAsia" w:ascii="仿宋" w:hAnsi="仿宋" w:eastAsia="仿宋" w:cs="仿宋"/>
          <w:b/>
          <w:color w:val="auto"/>
          <w:spacing w:val="6"/>
          <w:sz w:val="32"/>
          <w:szCs w:val="32"/>
          <w:highlight w:val="none"/>
        </w:rPr>
      </w:pPr>
      <w:bookmarkStart w:id="182" w:name="OLE_LINK14"/>
      <w:bookmarkStart w:id="183" w:name="OLE_LINK13"/>
      <w:r>
        <w:rPr>
          <w:rFonts w:hint="eastAsia" w:ascii="仿宋" w:hAnsi="仿宋" w:eastAsia="仿宋" w:cs="仿宋"/>
          <w:b/>
          <w:color w:val="auto"/>
          <w:spacing w:val="6"/>
          <w:sz w:val="32"/>
          <w:szCs w:val="32"/>
          <w:highlight w:val="none"/>
        </w:rPr>
        <w:t>残疾人福利性单位声明函</w:t>
      </w:r>
    </w:p>
    <w:bookmarkEnd w:id="182"/>
    <w:bookmarkEnd w:id="183"/>
    <w:p>
      <w:pPr>
        <w:spacing w:line="588" w:lineRule="exact"/>
        <w:rPr>
          <w:rFonts w:hint="eastAsia" w:ascii="仿宋" w:hAnsi="仿宋" w:eastAsia="仿宋" w:cs="仿宋"/>
          <w:b/>
          <w:color w:val="auto"/>
          <w:spacing w:val="6"/>
          <w:sz w:val="30"/>
          <w:szCs w:val="30"/>
          <w:highlight w:val="none"/>
        </w:rPr>
      </w:pPr>
    </w:p>
    <w:p>
      <w:pPr>
        <w:spacing w:line="588" w:lineRule="exact"/>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szCs w:val="24"/>
          <w:highlight w:val="none"/>
        </w:rPr>
        <w:t>〔2017〕 141</w:t>
      </w:r>
      <w:r>
        <w:rPr>
          <w:rFonts w:hint="eastAsia" w:ascii="仿宋" w:hAnsi="仿宋" w:eastAsia="仿宋" w:cs="仿宋"/>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本单位对上述声明的真实性负责。如有虚假，将依法承担相应责任。</w:t>
      </w:r>
    </w:p>
    <w:p>
      <w:pPr>
        <w:spacing w:line="588" w:lineRule="exact"/>
        <w:ind w:firstLine="444" w:firstLineChars="200"/>
        <w:rPr>
          <w:rFonts w:hint="eastAsia" w:ascii="仿宋" w:hAnsi="仿宋" w:eastAsia="仿宋" w:cs="仿宋"/>
          <w:color w:val="auto"/>
          <w:spacing w:val="6"/>
          <w:szCs w:val="24"/>
          <w:highlight w:val="none"/>
        </w:rPr>
      </w:pPr>
    </w:p>
    <w:p>
      <w:pPr>
        <w:spacing w:line="588" w:lineRule="exact"/>
        <w:ind w:firstLine="444" w:firstLineChars="200"/>
        <w:rPr>
          <w:rFonts w:hint="eastAsia" w:ascii="仿宋" w:hAnsi="仿宋" w:eastAsia="仿宋" w:cs="仿宋"/>
          <w:color w:val="auto"/>
          <w:spacing w:val="6"/>
          <w:szCs w:val="24"/>
          <w:highlight w:val="none"/>
        </w:rPr>
      </w:pPr>
    </w:p>
    <w:p>
      <w:pPr>
        <w:spacing w:line="588" w:lineRule="exact"/>
        <w:ind w:firstLine="504" w:firstLineChars="200"/>
        <w:rPr>
          <w:rFonts w:hint="eastAsia" w:ascii="仿宋" w:hAnsi="仿宋" w:eastAsia="仿宋" w:cs="仿宋"/>
          <w:color w:val="auto"/>
          <w:spacing w:val="6"/>
          <w:sz w:val="24"/>
          <w:szCs w:val="24"/>
          <w:highlight w:val="none"/>
        </w:rPr>
      </w:pPr>
    </w:p>
    <w:p>
      <w:pPr>
        <w:spacing w:line="588" w:lineRule="exact"/>
        <w:ind w:firstLine="504" w:firstLineChars="200"/>
        <w:rPr>
          <w:rFonts w:hint="eastAsia" w:ascii="仿宋" w:hAnsi="仿宋" w:eastAsia="仿宋" w:cs="仿宋"/>
          <w:color w:val="auto"/>
          <w:spacing w:val="6"/>
          <w:sz w:val="24"/>
          <w:szCs w:val="24"/>
          <w:highlight w:val="none"/>
        </w:rPr>
      </w:pPr>
    </w:p>
    <w:p>
      <w:pPr>
        <w:tabs>
          <w:tab w:val="left" w:pos="4860"/>
        </w:tabs>
        <w:spacing w:line="588" w:lineRule="exact"/>
        <w:ind w:right="1560" w:firstLine="504" w:firstLineChars="200"/>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 xml:space="preserve">               单位名称（盖章）：</w:t>
      </w:r>
    </w:p>
    <w:p>
      <w:pPr>
        <w:tabs>
          <w:tab w:val="left" w:pos="4860"/>
        </w:tabs>
        <w:spacing w:line="588" w:lineRule="exact"/>
        <w:ind w:right="1560" w:firstLine="504" w:firstLineChars="200"/>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 xml:space="preserve">       日    期：</w:t>
      </w: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备注：</w:t>
      </w:r>
      <w:r>
        <w:rPr>
          <w:rFonts w:hint="eastAsia" w:ascii="仿宋" w:hAnsi="仿宋" w:eastAsia="仿宋" w:cs="仿宋"/>
          <w:color w:val="auto"/>
          <w:sz w:val="24"/>
          <w:szCs w:val="24"/>
          <w:highlight w:val="none"/>
          <w:lang w:eastAsia="zh-CN"/>
        </w:rPr>
        <w:t>符合条件的残疾人福利性单位在参加政府采购活动时，应当提供《残疾人福利性单位声明函》，并对声明的真实性负责；非残疾人福利性单位无需提供。</w:t>
      </w: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b/>
          <w:bCs/>
          <w:color w:val="auto"/>
          <w:spacing w:val="6"/>
          <w:kern w:val="0"/>
          <w:sz w:val="30"/>
          <w:szCs w:val="30"/>
          <w:highlight w:val="none"/>
          <w:lang w:val="en-US" w:eastAsia="zh-CN" w:bidi="ar-SA"/>
        </w:rPr>
        <w:t>附件4</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2"/>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监狱企业证明文件</w:t>
      </w:r>
    </w:p>
    <w:p>
      <w:pPr>
        <w:pStyle w:val="2"/>
        <w:rPr>
          <w:rFonts w:hint="eastAsia" w:ascii="仿宋" w:hAnsi="仿宋" w:eastAsia="仿宋" w:cs="仿宋"/>
          <w:color w:val="auto"/>
          <w:highlight w:val="none"/>
          <w:lang w:eastAsia="zh-CN"/>
        </w:rPr>
      </w:pP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00" w:lineRule="exact"/>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监狱企业参加政府采购活动时，应当提供由省级以上监狱管理局、戒毒管理局（含新疆生产建设兵团）出具的属于监狱企业的证明文件</w:t>
      </w:r>
      <w:r>
        <w:rPr>
          <w:rFonts w:hint="eastAsia" w:ascii="仿宋" w:hAnsi="仿宋" w:eastAsia="仿宋" w:cs="仿宋"/>
          <w:b/>
          <w:bCs/>
          <w:color w:val="auto"/>
          <w:sz w:val="24"/>
          <w:szCs w:val="24"/>
          <w:highlight w:val="none"/>
          <w:lang w:eastAsia="zh-CN"/>
        </w:rPr>
        <w:t>，非监狱企业无需提供</w:t>
      </w:r>
      <w:r>
        <w:rPr>
          <w:rFonts w:hint="eastAsia" w:ascii="仿宋" w:hAnsi="仿宋" w:eastAsia="仿宋" w:cs="仿宋"/>
          <w:b/>
          <w:bCs/>
          <w:color w:val="auto"/>
          <w:sz w:val="24"/>
          <w:szCs w:val="24"/>
          <w:highlight w:val="none"/>
        </w:rPr>
        <w:t>。</w:t>
      </w:r>
    </w:p>
    <w:p>
      <w:pPr>
        <w:tabs>
          <w:tab w:val="left" w:pos="1620"/>
          <w:tab w:val="left" w:pos="1800"/>
        </w:tabs>
        <w:spacing w:line="440" w:lineRule="exact"/>
        <w:ind w:right="540" w:rightChars="257"/>
        <w:rPr>
          <w:rFonts w:hint="eastAsia" w:ascii="仿宋" w:hAnsi="仿宋" w:eastAsia="仿宋" w:cs="仿宋"/>
          <w:color w:val="auto"/>
          <w:sz w:val="24"/>
          <w:szCs w:val="24"/>
          <w:highlight w:val="none"/>
        </w:rPr>
      </w:pPr>
    </w:p>
    <w:p>
      <w:pPr>
        <w:spacing w:line="360" w:lineRule="auto"/>
        <w:ind w:right="640"/>
        <w:rPr>
          <w:rFonts w:hint="eastAsia" w:ascii="仿宋" w:hAnsi="仿宋" w:eastAsia="仿宋" w:cs="仿宋"/>
          <w:color w:val="auto"/>
          <w:sz w:val="24"/>
          <w:szCs w:val="24"/>
          <w:highlight w:val="none"/>
        </w:rPr>
      </w:pPr>
    </w:p>
    <w:p>
      <w:pPr>
        <w:spacing w:line="360" w:lineRule="auto"/>
        <w:ind w:right="640"/>
        <w:rPr>
          <w:rFonts w:hint="eastAsia" w:ascii="仿宋" w:hAnsi="仿宋" w:eastAsia="仿宋" w:cs="仿宋"/>
          <w:color w:val="auto"/>
          <w:sz w:val="24"/>
          <w:szCs w:val="24"/>
          <w:highlight w:val="none"/>
        </w:rPr>
      </w:pPr>
    </w:p>
    <w:p>
      <w:pPr>
        <w:spacing w:line="550" w:lineRule="exact"/>
        <w:ind w:right="640"/>
        <w:rPr>
          <w:rFonts w:hint="eastAsia" w:ascii="仿宋" w:hAnsi="仿宋" w:eastAsia="仿宋" w:cs="仿宋"/>
          <w:color w:val="auto"/>
          <w:sz w:val="24"/>
          <w:szCs w:val="24"/>
          <w:highlight w:val="none"/>
        </w:rPr>
      </w:pPr>
    </w:p>
    <w:sectPr>
      <w:pgSz w:w="11906" w:h="16838"/>
      <w:pgMar w:top="1417" w:right="1417" w:bottom="1417"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font-weight : 400">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ascii="仿宋" w:hAnsi="仿宋" w:eastAsia="仿宋" w:cs="仿宋"/>
        <w:highlight w:val="none"/>
      </w:rPr>
    </w:pPr>
    <w:r>
      <w:rPr>
        <w:rFonts w:hint="eastAsia" w:ascii="仿宋" w:hAnsi="仿宋" w:eastAsia="仿宋" w:cs="仿宋"/>
        <w:sz w:val="18"/>
        <w:szCs w:val="18"/>
        <w:lang w:eastAsia="zh-CN"/>
      </w:rPr>
      <w:t>华夏国际项目管理有限公司</w:t>
    </w:r>
    <w:r>
      <w:rPr>
        <w:rFonts w:hint="eastAsia" w:ascii="仿宋" w:hAnsi="仿宋" w:eastAsia="仿宋" w:cs="仿宋"/>
        <w:sz w:val="18"/>
        <w:szCs w:val="18"/>
        <w:lang w:val="en-US" w:eastAsia="zh-CN"/>
      </w:rPr>
      <w:t xml:space="preserve">                                 </w:t>
    </w:r>
    <w:r>
      <w:rPr>
        <w:rFonts w:hint="eastAsia" w:ascii="仿宋" w:hAnsi="仿宋" w:eastAsia="仿宋" w:cs="仿宋"/>
        <w:sz w:val="18"/>
        <w:szCs w:val="18"/>
        <w:highlight w:val="none"/>
        <w:lang w:val="en-US" w:eastAsia="zh-CN"/>
      </w:rPr>
      <w:t xml:space="preserve"> </w:t>
    </w:r>
    <w:r>
      <w:rPr>
        <w:rFonts w:hint="eastAsia" w:ascii="仿宋" w:hAnsi="仿宋" w:eastAsia="仿宋" w:cs="仿宋"/>
        <w:sz w:val="18"/>
        <w:szCs w:val="18"/>
        <w:highlight w:val="none"/>
        <w:lang w:eastAsia="zh-CN"/>
      </w:rPr>
      <w:tab/>
    </w:r>
    <w:r>
      <w:rPr>
        <w:rFonts w:hint="eastAsia" w:ascii="仿宋" w:hAnsi="仿宋" w:eastAsia="仿宋" w:cs="仿宋"/>
        <w:sz w:val="18"/>
        <w:szCs w:val="18"/>
        <w:highlight w:val="none"/>
        <w:lang w:eastAsia="zh-CN"/>
      </w:rPr>
      <w:t>地址：西安市高新区科技五路8号数字大厦11楼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rPr>
        <w:rFonts w:hint="eastAsia" w:ascii="仿宋" w:hAnsi="仿宋" w:eastAsia="仿宋" w:cs="仿宋"/>
        <w:lang w:val="en-US" w:eastAsia="zh-CN"/>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margin">
                <wp:posOffset>2760980</wp:posOffset>
              </wp:positionH>
              <wp:positionV relativeFrom="paragraph">
                <wp:posOffset>-1905</wp:posOffset>
              </wp:positionV>
              <wp:extent cx="11493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4pt;margin-top:-0.15pt;height:10.35pt;width:9.05pt;mso-position-horizontal-relative:margin;mso-wrap-style:none;z-index:251660288;mso-width-relative:page;mso-height-relative:page;" filled="f" stroked="f" coordsize="21600,21600" o:gfxdata="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O3OZ1gAAAAgBAAAPAAAAAAAAAAEAIAAAACIAAABkcnMvZG93bnJl&#10;di54bWxQSwECFAAUAAAACACHTuJAXhqPXzgCAABvBAAADgAAAAAAAAABACAAAAAlAQAAZHJzL2Uy&#10;b0RvYy54bWxQSwUGAAAAAAYABgBZAQAAz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r>
      <w:rPr>
        <w:rFonts w:hint="eastAsia" w:ascii="仿宋" w:hAnsi="仿宋" w:eastAsia="仿宋" w:cs="仿宋"/>
        <w:lang w:eastAsia="zh-CN"/>
      </w:rPr>
      <w:t>华夏国际项目管理有限公司</w:t>
    </w:r>
    <w:r>
      <w:rPr>
        <w:rFonts w:hint="eastAsia" w:ascii="仿宋" w:hAnsi="仿宋" w:eastAsia="仿宋" w:cs="仿宋"/>
        <w:lang w:val="en-US" w:eastAsia="zh-CN"/>
      </w:rPr>
      <w:t xml:space="preserve">                               </w:t>
    </w:r>
    <w:r>
      <w:rPr>
        <w:rFonts w:hint="eastAsia" w:ascii="仿宋" w:hAnsi="仿宋" w:eastAsia="仿宋" w:cs="仿宋"/>
        <w:sz w:val="18"/>
        <w:szCs w:val="18"/>
        <w:lang w:eastAsia="zh-CN"/>
      </w:rPr>
      <w:t>地址：西安市高新区科技五路8号数字大厦11楼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rPr>
        <w:rFonts w:hint="eastAsia" w:ascii="仿宋" w:hAnsi="仿宋" w:eastAsia="仿宋" w:cs="仿宋"/>
        <w:lang w:val="en-US" w:eastAsia="zh-CN"/>
      </w:rPr>
    </w:pP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margin">
                <wp:posOffset>2760980</wp:posOffset>
              </wp:positionH>
              <wp:positionV relativeFrom="paragraph">
                <wp:posOffset>-1905</wp:posOffset>
              </wp:positionV>
              <wp:extent cx="114935" cy="13144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left:217.4pt;margin-top:-0.15pt;height:10.35pt;width:9.05pt;mso-position-horizontal-relative:margin;mso-wrap-style:none;z-index:251661312;mso-width-relative:page;mso-height-relative:page;" filled="f" stroked="f" coordsize="21600,21600" o:gfxdata="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O3OZ1gAAAAgBAAAPAAAAAAAAAAEAIAAAACIAAABkcnMvZG93bnJl&#10;di54bWxQSwECFAAUAAAACACHTuJA9ujB2jgCAABvBAAADgAAAAAAAAABACAAAAAlAQAAZHJzL2Uy&#10;b0RvYy54bWxQSwUGAAAAAAYABgBZAQAAz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r>
      <w:rPr>
        <w:rFonts w:hint="eastAsia" w:ascii="仿宋" w:hAnsi="仿宋" w:eastAsia="仿宋" w:cs="仿宋"/>
        <w:lang w:eastAsia="zh-CN"/>
      </w:rPr>
      <w:t>华夏国际项目管理有限公司</w:t>
    </w:r>
    <w:r>
      <w:rPr>
        <w:rFonts w:hint="eastAsia" w:ascii="仿宋" w:hAnsi="仿宋" w:eastAsia="仿宋" w:cs="仿宋"/>
        <w:lang w:val="en-US" w:eastAsia="zh-CN"/>
      </w:rPr>
      <w:t xml:space="preserve">                               </w:t>
    </w:r>
    <w:r>
      <w:rPr>
        <w:rFonts w:hint="eastAsia" w:ascii="仿宋" w:hAnsi="仿宋" w:eastAsia="仿宋" w:cs="仿宋"/>
        <w:sz w:val="18"/>
        <w:szCs w:val="18"/>
        <w:lang w:eastAsia="zh-CN"/>
      </w:rPr>
      <w:t>地址：西安市高新区科技五路8号数字大厦11楼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00" w:lineRule="exact"/>
      <w:ind w:left="1530" w:hanging="1530" w:hangingChars="850"/>
      <w:jc w:val="left"/>
      <w:rPr>
        <w:rFonts w:hAnsi="宋体" w:cs="宋体"/>
        <w:szCs w:val="24"/>
      </w:rPr>
    </w:pPr>
    <w:r>
      <w:rPr>
        <w:rFonts w:hint="eastAsia" w:ascii="仿宋" w:hAnsi="仿宋" w:eastAsia="仿宋" w:cs="仿宋"/>
        <w:bCs/>
        <w:sz w:val="18"/>
        <w:szCs w:val="18"/>
        <w:u w:val="single"/>
        <w:lang w:eastAsia="zh-CN"/>
      </w:rPr>
      <w:t>长安区五台街道新农村、华家新村、星火村、石砭峪新村安全饮水巩固提升项目</w:t>
    </w:r>
    <w:r>
      <w:rPr>
        <w:rFonts w:hint="eastAsia" w:ascii="仿宋" w:hAnsi="仿宋" w:eastAsia="仿宋" w:cs="仿宋"/>
        <w:bCs/>
        <w:sz w:val="18"/>
        <w:szCs w:val="18"/>
        <w:u w:val="single"/>
      </w:rPr>
      <w:t xml:space="preserve">         </w:t>
    </w:r>
    <w:r>
      <w:rPr>
        <w:rFonts w:hint="eastAsia" w:ascii="仿宋" w:hAnsi="仿宋" w:eastAsia="仿宋" w:cs="仿宋"/>
        <w:bCs/>
        <w:sz w:val="18"/>
        <w:szCs w:val="18"/>
        <w:u w:val="single"/>
        <w:lang w:val="en-US" w:eastAsia="zh-CN"/>
      </w:rPr>
      <w:t xml:space="preserve">   </w:t>
    </w:r>
    <w:r>
      <w:rPr>
        <w:rFonts w:hint="eastAsia" w:ascii="仿宋" w:hAnsi="仿宋" w:eastAsia="仿宋" w:cs="仿宋"/>
        <w:bCs/>
        <w:sz w:val="18"/>
        <w:szCs w:val="18"/>
        <w:u w:val="single"/>
      </w:rPr>
      <w:t xml:space="preserve"> 竞争性磋商文件 </w:t>
    </w:r>
    <w:r>
      <w:rPr>
        <w:rFonts w:hint="eastAsia" w:hAnsi="宋体"/>
        <w:bCs/>
        <w:sz w:val="18"/>
        <w:szCs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251"/>
        <w:tab w:val="clear" w:pos="4153"/>
      </w:tabs>
      <w:jc w:val="both"/>
      <w:rPr>
        <w:rFonts w:hint="eastAsia" w:ascii="仿宋" w:hAnsi="仿宋" w:eastAsia="仿宋" w:cs="仿宋"/>
        <w:u w:val="none"/>
        <w:lang w:eastAsia="zh-CN"/>
      </w:rPr>
    </w:pPr>
    <w:r>
      <w:rPr>
        <w:rFonts w:hint="eastAsia" w:ascii="仿宋" w:hAnsi="仿宋" w:eastAsia="仿宋" w:cs="仿宋"/>
        <w:lang w:eastAsia="zh-CN"/>
      </w:rPr>
      <w:t>长安区五台街道新农村、华家新村、星火村、石砭峪新村安全饮水巩固提升项目</w:t>
    </w:r>
    <w:r>
      <w:rPr>
        <w:rFonts w:hint="eastAsia" w:ascii="仿宋" w:hAnsi="仿宋" w:eastAsia="仿宋" w:cs="仿宋"/>
      </w:rPr>
      <w:tab/>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u w:val="none"/>
      </w:rPr>
      <w:t xml:space="preserve">  </w:t>
    </w:r>
    <w:r>
      <w:rPr>
        <w:rFonts w:hint="eastAsia" w:ascii="仿宋" w:hAnsi="仿宋" w:eastAsia="仿宋" w:cs="仿宋"/>
        <w:bCs/>
        <w:sz w:val="18"/>
        <w:szCs w:val="18"/>
        <w:u w:val="none"/>
      </w:rPr>
      <w:t xml:space="preserve"> </w:t>
    </w:r>
    <w:r>
      <w:rPr>
        <w:rFonts w:hint="eastAsia" w:ascii="仿宋" w:hAnsi="仿宋" w:eastAsia="仿宋" w:cs="仿宋"/>
        <w:bCs/>
        <w:sz w:val="18"/>
        <w:szCs w:val="18"/>
        <w:u w:val="none"/>
        <w:lang w:eastAsia="zh-CN"/>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6E805"/>
    <w:multiLevelType w:val="singleLevel"/>
    <w:tmpl w:val="8666E805"/>
    <w:lvl w:ilvl="0" w:tentative="0">
      <w:start w:val="1"/>
      <w:numFmt w:val="decimal"/>
      <w:suff w:val="nothing"/>
      <w:lvlText w:val="%1、"/>
      <w:lvlJc w:val="left"/>
    </w:lvl>
  </w:abstractNum>
  <w:abstractNum w:abstractNumId="1">
    <w:nsid w:val="88F483E0"/>
    <w:multiLevelType w:val="singleLevel"/>
    <w:tmpl w:val="88F483E0"/>
    <w:lvl w:ilvl="0" w:tentative="0">
      <w:start w:val="1"/>
      <w:numFmt w:val="decimal"/>
      <w:suff w:val="nothing"/>
      <w:lvlText w:val="%1、"/>
      <w:lvlJc w:val="left"/>
    </w:lvl>
  </w:abstractNum>
  <w:abstractNum w:abstractNumId="2">
    <w:nsid w:val="9682BD26"/>
    <w:multiLevelType w:val="singleLevel"/>
    <w:tmpl w:val="9682BD26"/>
    <w:lvl w:ilvl="0" w:tentative="0">
      <w:start w:val="1"/>
      <w:numFmt w:val="decimal"/>
      <w:suff w:val="nothing"/>
      <w:lvlText w:val="%1、"/>
      <w:lvlJc w:val="left"/>
    </w:lvl>
  </w:abstractNum>
  <w:abstractNum w:abstractNumId="3">
    <w:nsid w:val="A7DDED23"/>
    <w:multiLevelType w:val="singleLevel"/>
    <w:tmpl w:val="A7DDED23"/>
    <w:lvl w:ilvl="0" w:tentative="0">
      <w:start w:val="8"/>
      <w:numFmt w:val="chineseCounting"/>
      <w:suff w:val="nothing"/>
      <w:lvlText w:val="%1、"/>
      <w:lvlJc w:val="left"/>
      <w:rPr>
        <w:rFonts w:hint="eastAsia"/>
      </w:rPr>
    </w:lvl>
  </w:abstractNum>
  <w:abstractNum w:abstractNumId="4">
    <w:nsid w:val="E0DC7E9A"/>
    <w:multiLevelType w:val="singleLevel"/>
    <w:tmpl w:val="E0DC7E9A"/>
    <w:lvl w:ilvl="0" w:tentative="0">
      <w:start w:val="1"/>
      <w:numFmt w:val="decimal"/>
      <w:suff w:val="nothing"/>
      <w:lvlText w:val="（%1）"/>
      <w:lvlJc w:val="left"/>
    </w:lvl>
  </w:abstractNum>
  <w:abstractNum w:abstractNumId="5">
    <w:nsid w:val="ED157E40"/>
    <w:multiLevelType w:val="singleLevel"/>
    <w:tmpl w:val="ED157E40"/>
    <w:lvl w:ilvl="0" w:tentative="0">
      <w:start w:val="5"/>
      <w:numFmt w:val="decimal"/>
      <w:suff w:val="nothing"/>
      <w:lvlText w:val="%1、"/>
      <w:lvlJc w:val="left"/>
    </w:lvl>
  </w:abstractNum>
  <w:abstractNum w:abstractNumId="6">
    <w:nsid w:val="05B652DA"/>
    <w:multiLevelType w:val="singleLevel"/>
    <w:tmpl w:val="05B652DA"/>
    <w:lvl w:ilvl="0" w:tentative="0">
      <w:start w:val="1"/>
      <w:numFmt w:val="decimalEnclosedCircle"/>
      <w:lvlText w:val="%1"/>
      <w:lvlJc w:val="left"/>
      <w:pPr>
        <w:tabs>
          <w:tab w:val="left" w:pos="810"/>
        </w:tabs>
        <w:ind w:left="810" w:hanging="330"/>
      </w:pPr>
      <w:rPr>
        <w:rFonts w:hint="eastAsia"/>
      </w:rPr>
    </w:lvl>
  </w:abstractNum>
  <w:abstractNum w:abstractNumId="7">
    <w:nsid w:val="2372421E"/>
    <w:multiLevelType w:val="singleLevel"/>
    <w:tmpl w:val="2372421E"/>
    <w:lvl w:ilvl="0" w:tentative="0">
      <w:start w:val="1"/>
      <w:numFmt w:val="decimal"/>
      <w:lvlText w:val="(%1)"/>
      <w:lvlJc w:val="left"/>
      <w:pPr>
        <w:tabs>
          <w:tab w:val="left" w:pos="420"/>
        </w:tabs>
        <w:ind w:left="0" w:leftChars="0" w:firstLine="0" w:firstLineChars="0"/>
      </w:pPr>
      <w:rPr>
        <w:rFonts w:hint="default"/>
      </w:rPr>
    </w:lvl>
  </w:abstractNum>
  <w:abstractNum w:abstractNumId="8">
    <w:nsid w:val="23B22A7C"/>
    <w:multiLevelType w:val="multilevel"/>
    <w:tmpl w:val="23B22A7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40D3E5A"/>
    <w:multiLevelType w:val="singleLevel"/>
    <w:tmpl w:val="240D3E5A"/>
    <w:lvl w:ilvl="0" w:tentative="0">
      <w:start w:val="1"/>
      <w:numFmt w:val="decimal"/>
      <w:lvlText w:val="%1、"/>
      <w:lvlJc w:val="left"/>
      <w:pPr>
        <w:tabs>
          <w:tab w:val="left" w:pos="480"/>
        </w:tabs>
        <w:ind w:left="480" w:hanging="480"/>
      </w:pPr>
      <w:rPr>
        <w:rFonts w:hint="eastAsia"/>
      </w:rPr>
    </w:lvl>
  </w:abstractNum>
  <w:abstractNum w:abstractNumId="10">
    <w:nsid w:val="287AEC02"/>
    <w:multiLevelType w:val="singleLevel"/>
    <w:tmpl w:val="287AEC02"/>
    <w:lvl w:ilvl="0" w:tentative="0">
      <w:start w:val="1"/>
      <w:numFmt w:val="decimal"/>
      <w:lvlText w:val="(%1)"/>
      <w:lvlJc w:val="left"/>
      <w:pPr>
        <w:tabs>
          <w:tab w:val="left" w:pos="420"/>
        </w:tabs>
        <w:ind w:left="0" w:leftChars="0" w:firstLine="0" w:firstLineChars="0"/>
      </w:pPr>
      <w:rPr>
        <w:rFonts w:hint="default"/>
      </w:rPr>
    </w:lvl>
  </w:abstractNum>
  <w:abstractNum w:abstractNumId="11">
    <w:nsid w:val="2E2861B5"/>
    <w:multiLevelType w:val="multilevel"/>
    <w:tmpl w:val="2E2861B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B1065F5"/>
    <w:multiLevelType w:val="singleLevel"/>
    <w:tmpl w:val="3B1065F5"/>
    <w:lvl w:ilvl="0" w:tentative="0">
      <w:start w:val="1"/>
      <w:numFmt w:val="decimal"/>
      <w:suff w:val="nothing"/>
      <w:lvlText w:val="（%1）"/>
      <w:lvlJc w:val="left"/>
    </w:lvl>
  </w:abstractNum>
  <w:abstractNum w:abstractNumId="13">
    <w:nsid w:val="3B202EAA"/>
    <w:multiLevelType w:val="singleLevel"/>
    <w:tmpl w:val="3B202EAA"/>
    <w:lvl w:ilvl="0" w:tentative="0">
      <w:start w:val="3"/>
      <w:numFmt w:val="decimal"/>
      <w:lvlText w:val="%1."/>
      <w:lvlJc w:val="left"/>
      <w:pPr>
        <w:tabs>
          <w:tab w:val="left" w:pos="312"/>
        </w:tabs>
      </w:pPr>
    </w:lvl>
  </w:abstractNum>
  <w:abstractNum w:abstractNumId="14">
    <w:nsid w:val="3E44EB76"/>
    <w:multiLevelType w:val="singleLevel"/>
    <w:tmpl w:val="3E44EB76"/>
    <w:lvl w:ilvl="0" w:tentative="0">
      <w:start w:val="1"/>
      <w:numFmt w:val="chineseCounting"/>
      <w:suff w:val="nothing"/>
      <w:lvlText w:val="%1、"/>
      <w:lvlJc w:val="left"/>
      <w:rPr>
        <w:rFonts w:hint="eastAsia"/>
      </w:rPr>
    </w:lvl>
  </w:abstractNum>
  <w:abstractNum w:abstractNumId="15">
    <w:nsid w:val="4C0C1BFB"/>
    <w:multiLevelType w:val="singleLevel"/>
    <w:tmpl w:val="4C0C1BFB"/>
    <w:lvl w:ilvl="0" w:tentative="0">
      <w:start w:val="1"/>
      <w:numFmt w:val="decimal"/>
      <w:lvlText w:val="（%1）"/>
      <w:lvlJc w:val="left"/>
      <w:pPr>
        <w:tabs>
          <w:tab w:val="left" w:pos="810"/>
        </w:tabs>
        <w:ind w:left="810" w:hanging="810"/>
      </w:pPr>
      <w:rPr>
        <w:rFonts w:hint="eastAsia"/>
      </w:rPr>
    </w:lvl>
  </w:abstractNum>
  <w:abstractNum w:abstractNumId="16">
    <w:nsid w:val="57675E35"/>
    <w:multiLevelType w:val="singleLevel"/>
    <w:tmpl w:val="57675E35"/>
    <w:lvl w:ilvl="0" w:tentative="0">
      <w:start w:val="6"/>
      <w:numFmt w:val="chineseCounting"/>
      <w:suff w:val="space"/>
      <w:lvlText w:val="第%1章"/>
      <w:lvlJc w:val="left"/>
    </w:lvl>
  </w:abstractNum>
  <w:abstractNum w:abstractNumId="17">
    <w:nsid w:val="5913EF5B"/>
    <w:multiLevelType w:val="singleLevel"/>
    <w:tmpl w:val="5913EF5B"/>
    <w:lvl w:ilvl="0" w:tentative="0">
      <w:start w:val="1"/>
      <w:numFmt w:val="chineseCounting"/>
      <w:suff w:val="nothing"/>
      <w:lvlText w:val="（%1）"/>
      <w:lvlJc w:val="left"/>
    </w:lvl>
  </w:abstractNum>
  <w:abstractNum w:abstractNumId="18">
    <w:nsid w:val="61289B7E"/>
    <w:multiLevelType w:val="singleLevel"/>
    <w:tmpl w:val="61289B7E"/>
    <w:lvl w:ilvl="0" w:tentative="0">
      <w:start w:val="5"/>
      <w:numFmt w:val="decimal"/>
      <w:suff w:val="nothing"/>
      <w:lvlText w:val="%1."/>
      <w:lvlJc w:val="left"/>
    </w:lvl>
  </w:abstractNum>
  <w:abstractNum w:abstractNumId="19">
    <w:nsid w:val="7ED0A0DE"/>
    <w:multiLevelType w:val="singleLevel"/>
    <w:tmpl w:val="7ED0A0DE"/>
    <w:lvl w:ilvl="0" w:tentative="0">
      <w:start w:val="1"/>
      <w:numFmt w:val="decimal"/>
      <w:suff w:val="nothing"/>
      <w:lvlText w:val="%1、"/>
      <w:lvlJc w:val="left"/>
    </w:lvl>
  </w:abstractNum>
  <w:num w:numId="1">
    <w:abstractNumId w:val="14"/>
  </w:num>
  <w:num w:numId="2">
    <w:abstractNumId w:val="12"/>
  </w:num>
  <w:num w:numId="3">
    <w:abstractNumId w:val="7"/>
  </w:num>
  <w:num w:numId="4">
    <w:abstractNumId w:val="10"/>
  </w:num>
  <w:num w:numId="5">
    <w:abstractNumId w:val="4"/>
  </w:num>
  <w:num w:numId="6">
    <w:abstractNumId w:val="13"/>
  </w:num>
  <w:num w:numId="7">
    <w:abstractNumId w:val="18"/>
  </w:num>
  <w:num w:numId="8">
    <w:abstractNumId w:val="5"/>
  </w:num>
  <w:num w:numId="9">
    <w:abstractNumId w:val="2"/>
  </w:num>
  <w:num w:numId="10">
    <w:abstractNumId w:val="8"/>
  </w:num>
  <w:num w:numId="11">
    <w:abstractNumId w:val="11"/>
  </w:num>
  <w:num w:numId="12">
    <w:abstractNumId w:val="16"/>
  </w:num>
  <w:num w:numId="13">
    <w:abstractNumId w:val="1"/>
  </w:num>
  <w:num w:numId="14">
    <w:abstractNumId w:val="3"/>
  </w:num>
  <w:num w:numId="15">
    <w:abstractNumId w:val="0"/>
  </w:num>
  <w:num w:numId="16">
    <w:abstractNumId w:val="17"/>
  </w:num>
  <w:num w:numId="17">
    <w:abstractNumId w:val="9"/>
  </w:num>
  <w:num w:numId="18">
    <w:abstractNumId w:val="15"/>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iYmI2ZjZiODkzY2I2NmI2MTQ4MmVmOTI3NmZhZDcifQ=="/>
  </w:docVars>
  <w:rsids>
    <w:rsidRoot w:val="00172A27"/>
    <w:rsid w:val="00000B79"/>
    <w:rsid w:val="0000215D"/>
    <w:rsid w:val="00003F19"/>
    <w:rsid w:val="0000558E"/>
    <w:rsid w:val="000067FE"/>
    <w:rsid w:val="00006F45"/>
    <w:rsid w:val="00007B0C"/>
    <w:rsid w:val="00010632"/>
    <w:rsid w:val="00010FA5"/>
    <w:rsid w:val="00012150"/>
    <w:rsid w:val="000122FE"/>
    <w:rsid w:val="00013C0B"/>
    <w:rsid w:val="00014D51"/>
    <w:rsid w:val="000150E1"/>
    <w:rsid w:val="0001566F"/>
    <w:rsid w:val="00015A14"/>
    <w:rsid w:val="00016449"/>
    <w:rsid w:val="000207FF"/>
    <w:rsid w:val="00021267"/>
    <w:rsid w:val="00023783"/>
    <w:rsid w:val="000239F4"/>
    <w:rsid w:val="000250BB"/>
    <w:rsid w:val="000253E5"/>
    <w:rsid w:val="000255CB"/>
    <w:rsid w:val="000261B6"/>
    <w:rsid w:val="000268D2"/>
    <w:rsid w:val="00027D20"/>
    <w:rsid w:val="00031201"/>
    <w:rsid w:val="00034583"/>
    <w:rsid w:val="00034BC2"/>
    <w:rsid w:val="00034C7E"/>
    <w:rsid w:val="00036283"/>
    <w:rsid w:val="00037304"/>
    <w:rsid w:val="000404EA"/>
    <w:rsid w:val="00041B9E"/>
    <w:rsid w:val="00041EDA"/>
    <w:rsid w:val="0004251E"/>
    <w:rsid w:val="00042A62"/>
    <w:rsid w:val="00043948"/>
    <w:rsid w:val="00044508"/>
    <w:rsid w:val="00044AF2"/>
    <w:rsid w:val="00044E7D"/>
    <w:rsid w:val="00045300"/>
    <w:rsid w:val="00045850"/>
    <w:rsid w:val="0005063C"/>
    <w:rsid w:val="00051E3B"/>
    <w:rsid w:val="00051EFE"/>
    <w:rsid w:val="00052AB3"/>
    <w:rsid w:val="00054965"/>
    <w:rsid w:val="00054F2A"/>
    <w:rsid w:val="000566F1"/>
    <w:rsid w:val="00057F94"/>
    <w:rsid w:val="00060ABB"/>
    <w:rsid w:val="00061B72"/>
    <w:rsid w:val="0006202B"/>
    <w:rsid w:val="00062425"/>
    <w:rsid w:val="0006264A"/>
    <w:rsid w:val="00063042"/>
    <w:rsid w:val="00064C8A"/>
    <w:rsid w:val="00067CEF"/>
    <w:rsid w:val="0007163C"/>
    <w:rsid w:val="00072AAF"/>
    <w:rsid w:val="00073176"/>
    <w:rsid w:val="00073C4A"/>
    <w:rsid w:val="000743DF"/>
    <w:rsid w:val="0007508E"/>
    <w:rsid w:val="000757D9"/>
    <w:rsid w:val="00075BFF"/>
    <w:rsid w:val="000766BC"/>
    <w:rsid w:val="00076752"/>
    <w:rsid w:val="00076FBC"/>
    <w:rsid w:val="000775BE"/>
    <w:rsid w:val="000779E0"/>
    <w:rsid w:val="00081F9C"/>
    <w:rsid w:val="000827B7"/>
    <w:rsid w:val="00083F35"/>
    <w:rsid w:val="0008479A"/>
    <w:rsid w:val="0008507C"/>
    <w:rsid w:val="000853F7"/>
    <w:rsid w:val="000858A6"/>
    <w:rsid w:val="000858D9"/>
    <w:rsid w:val="00085F58"/>
    <w:rsid w:val="00086702"/>
    <w:rsid w:val="00086D83"/>
    <w:rsid w:val="00086E59"/>
    <w:rsid w:val="00087B37"/>
    <w:rsid w:val="0009055A"/>
    <w:rsid w:val="00090774"/>
    <w:rsid w:val="00091267"/>
    <w:rsid w:val="00091347"/>
    <w:rsid w:val="00092735"/>
    <w:rsid w:val="00092B1B"/>
    <w:rsid w:val="000951CD"/>
    <w:rsid w:val="000957CC"/>
    <w:rsid w:val="00097DA7"/>
    <w:rsid w:val="000A0454"/>
    <w:rsid w:val="000A1062"/>
    <w:rsid w:val="000A2244"/>
    <w:rsid w:val="000A23E9"/>
    <w:rsid w:val="000A36D5"/>
    <w:rsid w:val="000A4140"/>
    <w:rsid w:val="000A419A"/>
    <w:rsid w:val="000A6318"/>
    <w:rsid w:val="000A6CAF"/>
    <w:rsid w:val="000B0256"/>
    <w:rsid w:val="000B0687"/>
    <w:rsid w:val="000B0EFE"/>
    <w:rsid w:val="000B36B7"/>
    <w:rsid w:val="000B37C2"/>
    <w:rsid w:val="000B3D2B"/>
    <w:rsid w:val="000B5FF5"/>
    <w:rsid w:val="000B76DF"/>
    <w:rsid w:val="000B79AF"/>
    <w:rsid w:val="000C07B5"/>
    <w:rsid w:val="000C2924"/>
    <w:rsid w:val="000C3701"/>
    <w:rsid w:val="000C49DB"/>
    <w:rsid w:val="000C5BE0"/>
    <w:rsid w:val="000C5EC2"/>
    <w:rsid w:val="000C7211"/>
    <w:rsid w:val="000C7440"/>
    <w:rsid w:val="000D0609"/>
    <w:rsid w:val="000D0BDF"/>
    <w:rsid w:val="000D1205"/>
    <w:rsid w:val="000D14CD"/>
    <w:rsid w:val="000D1ED0"/>
    <w:rsid w:val="000D1EF1"/>
    <w:rsid w:val="000D228C"/>
    <w:rsid w:val="000D3416"/>
    <w:rsid w:val="000D3F99"/>
    <w:rsid w:val="000D4D1B"/>
    <w:rsid w:val="000D5AE6"/>
    <w:rsid w:val="000D6425"/>
    <w:rsid w:val="000D693A"/>
    <w:rsid w:val="000D6E95"/>
    <w:rsid w:val="000E007C"/>
    <w:rsid w:val="000E0DB5"/>
    <w:rsid w:val="000E1449"/>
    <w:rsid w:val="000E2E1A"/>
    <w:rsid w:val="000E2E98"/>
    <w:rsid w:val="000E37C1"/>
    <w:rsid w:val="000E49DB"/>
    <w:rsid w:val="000E61E4"/>
    <w:rsid w:val="000E7294"/>
    <w:rsid w:val="000F0F67"/>
    <w:rsid w:val="000F18B6"/>
    <w:rsid w:val="000F1FAC"/>
    <w:rsid w:val="000F2187"/>
    <w:rsid w:val="000F2CF5"/>
    <w:rsid w:val="000F38E6"/>
    <w:rsid w:val="000F4453"/>
    <w:rsid w:val="000F4691"/>
    <w:rsid w:val="000F4C8E"/>
    <w:rsid w:val="000F50FE"/>
    <w:rsid w:val="000F536C"/>
    <w:rsid w:val="000F61F4"/>
    <w:rsid w:val="000F6F95"/>
    <w:rsid w:val="000F7CD7"/>
    <w:rsid w:val="00100E29"/>
    <w:rsid w:val="00105369"/>
    <w:rsid w:val="00105862"/>
    <w:rsid w:val="0010628B"/>
    <w:rsid w:val="001066D1"/>
    <w:rsid w:val="0010704D"/>
    <w:rsid w:val="0010706C"/>
    <w:rsid w:val="001074EA"/>
    <w:rsid w:val="00107737"/>
    <w:rsid w:val="00107DDE"/>
    <w:rsid w:val="001106A2"/>
    <w:rsid w:val="001107E0"/>
    <w:rsid w:val="00110965"/>
    <w:rsid w:val="00111DC3"/>
    <w:rsid w:val="0011393E"/>
    <w:rsid w:val="00113CE9"/>
    <w:rsid w:val="001140D6"/>
    <w:rsid w:val="001149FD"/>
    <w:rsid w:val="00115496"/>
    <w:rsid w:val="001156F4"/>
    <w:rsid w:val="00115775"/>
    <w:rsid w:val="001171E8"/>
    <w:rsid w:val="00117318"/>
    <w:rsid w:val="001177F0"/>
    <w:rsid w:val="00117AF5"/>
    <w:rsid w:val="00117CF8"/>
    <w:rsid w:val="00117F8A"/>
    <w:rsid w:val="00120166"/>
    <w:rsid w:val="001206F3"/>
    <w:rsid w:val="001228AB"/>
    <w:rsid w:val="00122E2F"/>
    <w:rsid w:val="0012400F"/>
    <w:rsid w:val="00124F99"/>
    <w:rsid w:val="00125D85"/>
    <w:rsid w:val="00126EC1"/>
    <w:rsid w:val="001275FA"/>
    <w:rsid w:val="00127AA9"/>
    <w:rsid w:val="00130A9B"/>
    <w:rsid w:val="00131740"/>
    <w:rsid w:val="0013354C"/>
    <w:rsid w:val="00133AED"/>
    <w:rsid w:val="00133E39"/>
    <w:rsid w:val="0013465C"/>
    <w:rsid w:val="00135740"/>
    <w:rsid w:val="0013722A"/>
    <w:rsid w:val="00137566"/>
    <w:rsid w:val="00140847"/>
    <w:rsid w:val="00140DD7"/>
    <w:rsid w:val="00141A92"/>
    <w:rsid w:val="0014274E"/>
    <w:rsid w:val="00143711"/>
    <w:rsid w:val="00143D6F"/>
    <w:rsid w:val="00144199"/>
    <w:rsid w:val="00144BF8"/>
    <w:rsid w:val="001453FC"/>
    <w:rsid w:val="0014592E"/>
    <w:rsid w:val="00146C59"/>
    <w:rsid w:val="00146EF9"/>
    <w:rsid w:val="0014723D"/>
    <w:rsid w:val="001512AC"/>
    <w:rsid w:val="0015152E"/>
    <w:rsid w:val="00152D0A"/>
    <w:rsid w:val="00153D19"/>
    <w:rsid w:val="0015492B"/>
    <w:rsid w:val="001556A0"/>
    <w:rsid w:val="001560AE"/>
    <w:rsid w:val="001573B2"/>
    <w:rsid w:val="001600AE"/>
    <w:rsid w:val="001605A3"/>
    <w:rsid w:val="001605C5"/>
    <w:rsid w:val="00160BDD"/>
    <w:rsid w:val="001610BE"/>
    <w:rsid w:val="00161674"/>
    <w:rsid w:val="00161C80"/>
    <w:rsid w:val="00161E4E"/>
    <w:rsid w:val="00162887"/>
    <w:rsid w:val="00162A0A"/>
    <w:rsid w:val="00163B78"/>
    <w:rsid w:val="00166761"/>
    <w:rsid w:val="001667E9"/>
    <w:rsid w:val="0016771A"/>
    <w:rsid w:val="001700B4"/>
    <w:rsid w:val="001719EB"/>
    <w:rsid w:val="00172A27"/>
    <w:rsid w:val="001731C2"/>
    <w:rsid w:val="00173969"/>
    <w:rsid w:val="001740D0"/>
    <w:rsid w:val="00176B19"/>
    <w:rsid w:val="00176B72"/>
    <w:rsid w:val="00177602"/>
    <w:rsid w:val="001804C7"/>
    <w:rsid w:val="00181C7E"/>
    <w:rsid w:val="00182FAB"/>
    <w:rsid w:val="00183994"/>
    <w:rsid w:val="001851EE"/>
    <w:rsid w:val="001876E9"/>
    <w:rsid w:val="00190942"/>
    <w:rsid w:val="00191A80"/>
    <w:rsid w:val="00192AF9"/>
    <w:rsid w:val="001930CE"/>
    <w:rsid w:val="001935D1"/>
    <w:rsid w:val="00193A79"/>
    <w:rsid w:val="0019465E"/>
    <w:rsid w:val="00195687"/>
    <w:rsid w:val="00196728"/>
    <w:rsid w:val="00196929"/>
    <w:rsid w:val="00197C31"/>
    <w:rsid w:val="001A060F"/>
    <w:rsid w:val="001A1834"/>
    <w:rsid w:val="001A23B9"/>
    <w:rsid w:val="001A3911"/>
    <w:rsid w:val="001A3A75"/>
    <w:rsid w:val="001A3FFF"/>
    <w:rsid w:val="001A4AC9"/>
    <w:rsid w:val="001A4D86"/>
    <w:rsid w:val="001A4DFD"/>
    <w:rsid w:val="001A4FC1"/>
    <w:rsid w:val="001A5705"/>
    <w:rsid w:val="001A5ABF"/>
    <w:rsid w:val="001A66EF"/>
    <w:rsid w:val="001A70A5"/>
    <w:rsid w:val="001A74DC"/>
    <w:rsid w:val="001B0C6C"/>
    <w:rsid w:val="001B1D2F"/>
    <w:rsid w:val="001B32E1"/>
    <w:rsid w:val="001B33C6"/>
    <w:rsid w:val="001B47A4"/>
    <w:rsid w:val="001B4CDE"/>
    <w:rsid w:val="001B4FDA"/>
    <w:rsid w:val="001B55E2"/>
    <w:rsid w:val="001B69BD"/>
    <w:rsid w:val="001C0D55"/>
    <w:rsid w:val="001C284B"/>
    <w:rsid w:val="001C3DAA"/>
    <w:rsid w:val="001C43B7"/>
    <w:rsid w:val="001C4E56"/>
    <w:rsid w:val="001C628C"/>
    <w:rsid w:val="001C6407"/>
    <w:rsid w:val="001D0C72"/>
    <w:rsid w:val="001D203D"/>
    <w:rsid w:val="001D2B52"/>
    <w:rsid w:val="001D3AC7"/>
    <w:rsid w:val="001D5204"/>
    <w:rsid w:val="001D73F4"/>
    <w:rsid w:val="001E02F9"/>
    <w:rsid w:val="001E25AF"/>
    <w:rsid w:val="001E279A"/>
    <w:rsid w:val="001E413F"/>
    <w:rsid w:val="001E4B9A"/>
    <w:rsid w:val="001E5281"/>
    <w:rsid w:val="001E58D2"/>
    <w:rsid w:val="001E634C"/>
    <w:rsid w:val="001E7667"/>
    <w:rsid w:val="001E79C4"/>
    <w:rsid w:val="001F0441"/>
    <w:rsid w:val="001F0F75"/>
    <w:rsid w:val="001F23D3"/>
    <w:rsid w:val="001F248A"/>
    <w:rsid w:val="001F4067"/>
    <w:rsid w:val="001F5288"/>
    <w:rsid w:val="001F57EB"/>
    <w:rsid w:val="001F626C"/>
    <w:rsid w:val="001F6290"/>
    <w:rsid w:val="001F7C94"/>
    <w:rsid w:val="0020010D"/>
    <w:rsid w:val="00200837"/>
    <w:rsid w:val="0020121B"/>
    <w:rsid w:val="00201A4C"/>
    <w:rsid w:val="002039A8"/>
    <w:rsid w:val="00203EBE"/>
    <w:rsid w:val="00203F16"/>
    <w:rsid w:val="00205499"/>
    <w:rsid w:val="002055E6"/>
    <w:rsid w:val="002058B4"/>
    <w:rsid w:val="002064AA"/>
    <w:rsid w:val="002068C4"/>
    <w:rsid w:val="002079D7"/>
    <w:rsid w:val="0021054F"/>
    <w:rsid w:val="00213086"/>
    <w:rsid w:val="002133C4"/>
    <w:rsid w:val="00213C10"/>
    <w:rsid w:val="002140D4"/>
    <w:rsid w:val="00215EE4"/>
    <w:rsid w:val="00216B93"/>
    <w:rsid w:val="00223FDF"/>
    <w:rsid w:val="00225792"/>
    <w:rsid w:val="00226047"/>
    <w:rsid w:val="00226893"/>
    <w:rsid w:val="00226ECF"/>
    <w:rsid w:val="002308EB"/>
    <w:rsid w:val="002317A8"/>
    <w:rsid w:val="00233377"/>
    <w:rsid w:val="002337D5"/>
    <w:rsid w:val="0023488A"/>
    <w:rsid w:val="002348C5"/>
    <w:rsid w:val="00234E13"/>
    <w:rsid w:val="00236865"/>
    <w:rsid w:val="002369EB"/>
    <w:rsid w:val="002372E1"/>
    <w:rsid w:val="00240261"/>
    <w:rsid w:val="00240310"/>
    <w:rsid w:val="00241476"/>
    <w:rsid w:val="00242784"/>
    <w:rsid w:val="0024369B"/>
    <w:rsid w:val="00244963"/>
    <w:rsid w:val="00244B56"/>
    <w:rsid w:val="00245B38"/>
    <w:rsid w:val="00246D4A"/>
    <w:rsid w:val="00247780"/>
    <w:rsid w:val="00247965"/>
    <w:rsid w:val="00250CDF"/>
    <w:rsid w:val="002516F8"/>
    <w:rsid w:val="0025250C"/>
    <w:rsid w:val="00252E6B"/>
    <w:rsid w:val="00253665"/>
    <w:rsid w:val="002536FB"/>
    <w:rsid w:val="002543BE"/>
    <w:rsid w:val="002548AF"/>
    <w:rsid w:val="00255263"/>
    <w:rsid w:val="00257784"/>
    <w:rsid w:val="0025783C"/>
    <w:rsid w:val="00260832"/>
    <w:rsid w:val="002611DA"/>
    <w:rsid w:val="002616DA"/>
    <w:rsid w:val="00261CB6"/>
    <w:rsid w:val="00262354"/>
    <w:rsid w:val="002625AC"/>
    <w:rsid w:val="0026424F"/>
    <w:rsid w:val="00264325"/>
    <w:rsid w:val="002648C1"/>
    <w:rsid w:val="00264D24"/>
    <w:rsid w:val="00265BDA"/>
    <w:rsid w:val="0026675B"/>
    <w:rsid w:val="0026771E"/>
    <w:rsid w:val="00270797"/>
    <w:rsid w:val="002707F7"/>
    <w:rsid w:val="00271396"/>
    <w:rsid w:val="00271A13"/>
    <w:rsid w:val="00271AEE"/>
    <w:rsid w:val="00272085"/>
    <w:rsid w:val="00273A0D"/>
    <w:rsid w:val="002741B4"/>
    <w:rsid w:val="002744D2"/>
    <w:rsid w:val="00274E73"/>
    <w:rsid w:val="00275AD7"/>
    <w:rsid w:val="00276E55"/>
    <w:rsid w:val="00276ED2"/>
    <w:rsid w:val="002777C0"/>
    <w:rsid w:val="00277A72"/>
    <w:rsid w:val="0028145F"/>
    <w:rsid w:val="00281ACC"/>
    <w:rsid w:val="00281F6A"/>
    <w:rsid w:val="002823A6"/>
    <w:rsid w:val="002829A6"/>
    <w:rsid w:val="002836EA"/>
    <w:rsid w:val="00283E70"/>
    <w:rsid w:val="002848E4"/>
    <w:rsid w:val="00285445"/>
    <w:rsid w:val="002856F8"/>
    <w:rsid w:val="002873BC"/>
    <w:rsid w:val="00287927"/>
    <w:rsid w:val="00290D84"/>
    <w:rsid w:val="0029328E"/>
    <w:rsid w:val="00293942"/>
    <w:rsid w:val="00293E7E"/>
    <w:rsid w:val="00294075"/>
    <w:rsid w:val="00294297"/>
    <w:rsid w:val="00294CA0"/>
    <w:rsid w:val="00295AB4"/>
    <w:rsid w:val="00295DEF"/>
    <w:rsid w:val="002963A4"/>
    <w:rsid w:val="002A085F"/>
    <w:rsid w:val="002A11CB"/>
    <w:rsid w:val="002A15ED"/>
    <w:rsid w:val="002A3044"/>
    <w:rsid w:val="002A3444"/>
    <w:rsid w:val="002A34D1"/>
    <w:rsid w:val="002A460D"/>
    <w:rsid w:val="002A56C7"/>
    <w:rsid w:val="002A5964"/>
    <w:rsid w:val="002A5DBA"/>
    <w:rsid w:val="002A5E24"/>
    <w:rsid w:val="002A7061"/>
    <w:rsid w:val="002A7299"/>
    <w:rsid w:val="002A745E"/>
    <w:rsid w:val="002B0500"/>
    <w:rsid w:val="002B0A45"/>
    <w:rsid w:val="002B1E2E"/>
    <w:rsid w:val="002B28D2"/>
    <w:rsid w:val="002B450F"/>
    <w:rsid w:val="002B4694"/>
    <w:rsid w:val="002B747E"/>
    <w:rsid w:val="002C071F"/>
    <w:rsid w:val="002C0D55"/>
    <w:rsid w:val="002C1340"/>
    <w:rsid w:val="002C158B"/>
    <w:rsid w:val="002C3DCF"/>
    <w:rsid w:val="002C3E1B"/>
    <w:rsid w:val="002C4D14"/>
    <w:rsid w:val="002C4E4A"/>
    <w:rsid w:val="002C589E"/>
    <w:rsid w:val="002C74A1"/>
    <w:rsid w:val="002D08E0"/>
    <w:rsid w:val="002D2CC6"/>
    <w:rsid w:val="002D3494"/>
    <w:rsid w:val="002D4239"/>
    <w:rsid w:val="002D4B56"/>
    <w:rsid w:val="002D5573"/>
    <w:rsid w:val="002D616A"/>
    <w:rsid w:val="002D652C"/>
    <w:rsid w:val="002D6C1C"/>
    <w:rsid w:val="002D7BA7"/>
    <w:rsid w:val="002D7C37"/>
    <w:rsid w:val="002E1205"/>
    <w:rsid w:val="002E4A0F"/>
    <w:rsid w:val="002E4A7A"/>
    <w:rsid w:val="002E61D6"/>
    <w:rsid w:val="002E719D"/>
    <w:rsid w:val="002E783B"/>
    <w:rsid w:val="002F0E0D"/>
    <w:rsid w:val="002F0F35"/>
    <w:rsid w:val="002F1355"/>
    <w:rsid w:val="002F149D"/>
    <w:rsid w:val="002F1905"/>
    <w:rsid w:val="002F5377"/>
    <w:rsid w:val="002F694A"/>
    <w:rsid w:val="002F6BC6"/>
    <w:rsid w:val="002F7AE9"/>
    <w:rsid w:val="002F7BD0"/>
    <w:rsid w:val="00300043"/>
    <w:rsid w:val="00300997"/>
    <w:rsid w:val="0030100D"/>
    <w:rsid w:val="003045A3"/>
    <w:rsid w:val="00304B5E"/>
    <w:rsid w:val="00304F2A"/>
    <w:rsid w:val="003053A1"/>
    <w:rsid w:val="003055DB"/>
    <w:rsid w:val="00305E04"/>
    <w:rsid w:val="0030648E"/>
    <w:rsid w:val="0030689B"/>
    <w:rsid w:val="00306A95"/>
    <w:rsid w:val="00307FE7"/>
    <w:rsid w:val="003112C0"/>
    <w:rsid w:val="00312B54"/>
    <w:rsid w:val="00313A8C"/>
    <w:rsid w:val="0031416E"/>
    <w:rsid w:val="003145A1"/>
    <w:rsid w:val="00314B49"/>
    <w:rsid w:val="00314BA6"/>
    <w:rsid w:val="00314DED"/>
    <w:rsid w:val="0031504C"/>
    <w:rsid w:val="003152EB"/>
    <w:rsid w:val="00315DB4"/>
    <w:rsid w:val="003165E9"/>
    <w:rsid w:val="003166BE"/>
    <w:rsid w:val="003168A2"/>
    <w:rsid w:val="00316904"/>
    <w:rsid w:val="0032098B"/>
    <w:rsid w:val="0032098F"/>
    <w:rsid w:val="00320C33"/>
    <w:rsid w:val="00321127"/>
    <w:rsid w:val="003215E9"/>
    <w:rsid w:val="003219D6"/>
    <w:rsid w:val="00322D65"/>
    <w:rsid w:val="00324293"/>
    <w:rsid w:val="00324477"/>
    <w:rsid w:val="00324FFF"/>
    <w:rsid w:val="003258FF"/>
    <w:rsid w:val="003259B2"/>
    <w:rsid w:val="00325EF0"/>
    <w:rsid w:val="003269A8"/>
    <w:rsid w:val="00326A3F"/>
    <w:rsid w:val="00326C2C"/>
    <w:rsid w:val="00326F9F"/>
    <w:rsid w:val="0032713D"/>
    <w:rsid w:val="003273BA"/>
    <w:rsid w:val="00330B51"/>
    <w:rsid w:val="003314B6"/>
    <w:rsid w:val="00332B47"/>
    <w:rsid w:val="00332F7B"/>
    <w:rsid w:val="0033316A"/>
    <w:rsid w:val="00334454"/>
    <w:rsid w:val="00334C72"/>
    <w:rsid w:val="00335C95"/>
    <w:rsid w:val="00336655"/>
    <w:rsid w:val="0033751D"/>
    <w:rsid w:val="00337DAF"/>
    <w:rsid w:val="0034158C"/>
    <w:rsid w:val="0034160A"/>
    <w:rsid w:val="003419D1"/>
    <w:rsid w:val="00341C64"/>
    <w:rsid w:val="00342B1D"/>
    <w:rsid w:val="00343297"/>
    <w:rsid w:val="00343341"/>
    <w:rsid w:val="00343455"/>
    <w:rsid w:val="003435C6"/>
    <w:rsid w:val="00343E83"/>
    <w:rsid w:val="003442F3"/>
    <w:rsid w:val="00344AB1"/>
    <w:rsid w:val="00344BB4"/>
    <w:rsid w:val="00345252"/>
    <w:rsid w:val="00345898"/>
    <w:rsid w:val="00345CF8"/>
    <w:rsid w:val="003465A5"/>
    <w:rsid w:val="00350931"/>
    <w:rsid w:val="0035140B"/>
    <w:rsid w:val="00351421"/>
    <w:rsid w:val="00351ABB"/>
    <w:rsid w:val="00351E22"/>
    <w:rsid w:val="00353E0B"/>
    <w:rsid w:val="00355059"/>
    <w:rsid w:val="00355ABB"/>
    <w:rsid w:val="003567E1"/>
    <w:rsid w:val="0035748E"/>
    <w:rsid w:val="00357DCF"/>
    <w:rsid w:val="00360820"/>
    <w:rsid w:val="00360C7A"/>
    <w:rsid w:val="00360D21"/>
    <w:rsid w:val="0036213C"/>
    <w:rsid w:val="003628DA"/>
    <w:rsid w:val="003635DF"/>
    <w:rsid w:val="0036504C"/>
    <w:rsid w:val="0036539D"/>
    <w:rsid w:val="00366D46"/>
    <w:rsid w:val="003676C3"/>
    <w:rsid w:val="003709FF"/>
    <w:rsid w:val="00370C7C"/>
    <w:rsid w:val="00372978"/>
    <w:rsid w:val="00372FE9"/>
    <w:rsid w:val="00376AA0"/>
    <w:rsid w:val="00377517"/>
    <w:rsid w:val="003778E6"/>
    <w:rsid w:val="0038006A"/>
    <w:rsid w:val="00381D92"/>
    <w:rsid w:val="00381E45"/>
    <w:rsid w:val="00382532"/>
    <w:rsid w:val="003826D1"/>
    <w:rsid w:val="003839DF"/>
    <w:rsid w:val="00384677"/>
    <w:rsid w:val="00384B2A"/>
    <w:rsid w:val="00384BA6"/>
    <w:rsid w:val="003869B0"/>
    <w:rsid w:val="00387339"/>
    <w:rsid w:val="00387AC6"/>
    <w:rsid w:val="00387F4C"/>
    <w:rsid w:val="00391036"/>
    <w:rsid w:val="0039378A"/>
    <w:rsid w:val="003943FC"/>
    <w:rsid w:val="003944CC"/>
    <w:rsid w:val="00395253"/>
    <w:rsid w:val="003955B0"/>
    <w:rsid w:val="0039571F"/>
    <w:rsid w:val="00395CFD"/>
    <w:rsid w:val="003965EF"/>
    <w:rsid w:val="00396815"/>
    <w:rsid w:val="00396DE2"/>
    <w:rsid w:val="0039742B"/>
    <w:rsid w:val="00397BC0"/>
    <w:rsid w:val="003A0846"/>
    <w:rsid w:val="003A08B8"/>
    <w:rsid w:val="003A15EC"/>
    <w:rsid w:val="003A2331"/>
    <w:rsid w:val="003A3B47"/>
    <w:rsid w:val="003A403D"/>
    <w:rsid w:val="003A5163"/>
    <w:rsid w:val="003A6636"/>
    <w:rsid w:val="003A6FD1"/>
    <w:rsid w:val="003B020A"/>
    <w:rsid w:val="003B1786"/>
    <w:rsid w:val="003B21BF"/>
    <w:rsid w:val="003B435C"/>
    <w:rsid w:val="003B465A"/>
    <w:rsid w:val="003B4721"/>
    <w:rsid w:val="003B5ACB"/>
    <w:rsid w:val="003B65AD"/>
    <w:rsid w:val="003B705B"/>
    <w:rsid w:val="003B7837"/>
    <w:rsid w:val="003C13C5"/>
    <w:rsid w:val="003C199E"/>
    <w:rsid w:val="003C263C"/>
    <w:rsid w:val="003C3899"/>
    <w:rsid w:val="003C4EDE"/>
    <w:rsid w:val="003C56DD"/>
    <w:rsid w:val="003C5C6E"/>
    <w:rsid w:val="003C607E"/>
    <w:rsid w:val="003C705B"/>
    <w:rsid w:val="003C7EEE"/>
    <w:rsid w:val="003D1D9D"/>
    <w:rsid w:val="003D2330"/>
    <w:rsid w:val="003D2963"/>
    <w:rsid w:val="003D413E"/>
    <w:rsid w:val="003D432D"/>
    <w:rsid w:val="003D4474"/>
    <w:rsid w:val="003D44EE"/>
    <w:rsid w:val="003D6C75"/>
    <w:rsid w:val="003D78AE"/>
    <w:rsid w:val="003E24C8"/>
    <w:rsid w:val="003E4F4E"/>
    <w:rsid w:val="003E66EE"/>
    <w:rsid w:val="003E6DE2"/>
    <w:rsid w:val="003E70C5"/>
    <w:rsid w:val="003F2889"/>
    <w:rsid w:val="003F29E2"/>
    <w:rsid w:val="003F3D0C"/>
    <w:rsid w:val="003F5EA8"/>
    <w:rsid w:val="003F7747"/>
    <w:rsid w:val="003F7C5E"/>
    <w:rsid w:val="00400424"/>
    <w:rsid w:val="004007DF"/>
    <w:rsid w:val="00400B94"/>
    <w:rsid w:val="00401072"/>
    <w:rsid w:val="00402B06"/>
    <w:rsid w:val="004059B8"/>
    <w:rsid w:val="00406279"/>
    <w:rsid w:val="00406336"/>
    <w:rsid w:val="00407BD5"/>
    <w:rsid w:val="0041008F"/>
    <w:rsid w:val="00410B10"/>
    <w:rsid w:val="0041149B"/>
    <w:rsid w:val="00412E98"/>
    <w:rsid w:val="004148C2"/>
    <w:rsid w:val="00414940"/>
    <w:rsid w:val="00415502"/>
    <w:rsid w:val="00415682"/>
    <w:rsid w:val="00415B59"/>
    <w:rsid w:val="004164DC"/>
    <w:rsid w:val="00416C79"/>
    <w:rsid w:val="00417BC1"/>
    <w:rsid w:val="00417E61"/>
    <w:rsid w:val="00417FD0"/>
    <w:rsid w:val="0042034E"/>
    <w:rsid w:val="00421BEF"/>
    <w:rsid w:val="00422A70"/>
    <w:rsid w:val="004234ED"/>
    <w:rsid w:val="0042412F"/>
    <w:rsid w:val="0042482C"/>
    <w:rsid w:val="00424BE0"/>
    <w:rsid w:val="00424D92"/>
    <w:rsid w:val="00426321"/>
    <w:rsid w:val="00426675"/>
    <w:rsid w:val="00426E0C"/>
    <w:rsid w:val="0042751E"/>
    <w:rsid w:val="004275F7"/>
    <w:rsid w:val="00430106"/>
    <w:rsid w:val="0043142C"/>
    <w:rsid w:val="004336CE"/>
    <w:rsid w:val="004339A8"/>
    <w:rsid w:val="00436B63"/>
    <w:rsid w:val="00436E21"/>
    <w:rsid w:val="004373B3"/>
    <w:rsid w:val="00437D15"/>
    <w:rsid w:val="004413DF"/>
    <w:rsid w:val="00443339"/>
    <w:rsid w:val="00443ADB"/>
    <w:rsid w:val="00444ABC"/>
    <w:rsid w:val="00445040"/>
    <w:rsid w:val="0044547A"/>
    <w:rsid w:val="004463AA"/>
    <w:rsid w:val="004468E4"/>
    <w:rsid w:val="004478EA"/>
    <w:rsid w:val="0045090B"/>
    <w:rsid w:val="00450A87"/>
    <w:rsid w:val="00450B27"/>
    <w:rsid w:val="00451EB7"/>
    <w:rsid w:val="00452807"/>
    <w:rsid w:val="004529FC"/>
    <w:rsid w:val="00452DE9"/>
    <w:rsid w:val="00452E0E"/>
    <w:rsid w:val="00453E2B"/>
    <w:rsid w:val="00454002"/>
    <w:rsid w:val="00454FEF"/>
    <w:rsid w:val="00455009"/>
    <w:rsid w:val="00456486"/>
    <w:rsid w:val="00456C1F"/>
    <w:rsid w:val="004573E5"/>
    <w:rsid w:val="0045761A"/>
    <w:rsid w:val="0046147B"/>
    <w:rsid w:val="00463AF9"/>
    <w:rsid w:val="00464883"/>
    <w:rsid w:val="00464A18"/>
    <w:rsid w:val="00464C9F"/>
    <w:rsid w:val="00464FE3"/>
    <w:rsid w:val="0046566C"/>
    <w:rsid w:val="00467AA9"/>
    <w:rsid w:val="00471204"/>
    <w:rsid w:val="0047152D"/>
    <w:rsid w:val="00471C02"/>
    <w:rsid w:val="00472526"/>
    <w:rsid w:val="00472BBF"/>
    <w:rsid w:val="0047365F"/>
    <w:rsid w:val="0047608A"/>
    <w:rsid w:val="00476B1B"/>
    <w:rsid w:val="004775F1"/>
    <w:rsid w:val="004804AF"/>
    <w:rsid w:val="004825BE"/>
    <w:rsid w:val="00483287"/>
    <w:rsid w:val="00483886"/>
    <w:rsid w:val="00483EEF"/>
    <w:rsid w:val="00483F65"/>
    <w:rsid w:val="0048418B"/>
    <w:rsid w:val="00485C12"/>
    <w:rsid w:val="004864CA"/>
    <w:rsid w:val="00486D20"/>
    <w:rsid w:val="004879D4"/>
    <w:rsid w:val="004917C2"/>
    <w:rsid w:val="0049354B"/>
    <w:rsid w:val="004938FE"/>
    <w:rsid w:val="00493ED2"/>
    <w:rsid w:val="004941FA"/>
    <w:rsid w:val="004949CB"/>
    <w:rsid w:val="004952CC"/>
    <w:rsid w:val="00495569"/>
    <w:rsid w:val="004957D0"/>
    <w:rsid w:val="00495A8F"/>
    <w:rsid w:val="00496898"/>
    <w:rsid w:val="00496C07"/>
    <w:rsid w:val="00497D28"/>
    <w:rsid w:val="004A0786"/>
    <w:rsid w:val="004A0C10"/>
    <w:rsid w:val="004A1262"/>
    <w:rsid w:val="004A16C9"/>
    <w:rsid w:val="004A1DE8"/>
    <w:rsid w:val="004A2401"/>
    <w:rsid w:val="004A242E"/>
    <w:rsid w:val="004A2525"/>
    <w:rsid w:val="004A259A"/>
    <w:rsid w:val="004A3228"/>
    <w:rsid w:val="004A3BFE"/>
    <w:rsid w:val="004A3EDB"/>
    <w:rsid w:val="004A3F12"/>
    <w:rsid w:val="004A3F98"/>
    <w:rsid w:val="004A4B21"/>
    <w:rsid w:val="004A4DE6"/>
    <w:rsid w:val="004A5D9F"/>
    <w:rsid w:val="004A5DBB"/>
    <w:rsid w:val="004A6319"/>
    <w:rsid w:val="004A64C7"/>
    <w:rsid w:val="004B0429"/>
    <w:rsid w:val="004B05C4"/>
    <w:rsid w:val="004B1211"/>
    <w:rsid w:val="004B23C1"/>
    <w:rsid w:val="004B273F"/>
    <w:rsid w:val="004B28DF"/>
    <w:rsid w:val="004B415D"/>
    <w:rsid w:val="004B452A"/>
    <w:rsid w:val="004B46C8"/>
    <w:rsid w:val="004B4CDA"/>
    <w:rsid w:val="004B583E"/>
    <w:rsid w:val="004B5A39"/>
    <w:rsid w:val="004B5D87"/>
    <w:rsid w:val="004B5FDF"/>
    <w:rsid w:val="004B6C28"/>
    <w:rsid w:val="004B78E1"/>
    <w:rsid w:val="004C00D8"/>
    <w:rsid w:val="004C0F45"/>
    <w:rsid w:val="004C1A8D"/>
    <w:rsid w:val="004C1B0F"/>
    <w:rsid w:val="004C24CD"/>
    <w:rsid w:val="004C28F1"/>
    <w:rsid w:val="004C299D"/>
    <w:rsid w:val="004C35B5"/>
    <w:rsid w:val="004C42E9"/>
    <w:rsid w:val="004C508E"/>
    <w:rsid w:val="004C67CB"/>
    <w:rsid w:val="004C6B00"/>
    <w:rsid w:val="004C71F6"/>
    <w:rsid w:val="004D2348"/>
    <w:rsid w:val="004D24FF"/>
    <w:rsid w:val="004D2903"/>
    <w:rsid w:val="004D5029"/>
    <w:rsid w:val="004D5382"/>
    <w:rsid w:val="004D5933"/>
    <w:rsid w:val="004D6F1D"/>
    <w:rsid w:val="004D70FF"/>
    <w:rsid w:val="004E0834"/>
    <w:rsid w:val="004E0A9C"/>
    <w:rsid w:val="004E1CAA"/>
    <w:rsid w:val="004E296D"/>
    <w:rsid w:val="004E2A7D"/>
    <w:rsid w:val="004E6395"/>
    <w:rsid w:val="004F25CB"/>
    <w:rsid w:val="004F25EE"/>
    <w:rsid w:val="004F2B59"/>
    <w:rsid w:val="004F39F0"/>
    <w:rsid w:val="004F41C3"/>
    <w:rsid w:val="004F5DCD"/>
    <w:rsid w:val="004F6D27"/>
    <w:rsid w:val="004F763B"/>
    <w:rsid w:val="00502CD3"/>
    <w:rsid w:val="00502F4C"/>
    <w:rsid w:val="00503576"/>
    <w:rsid w:val="00503902"/>
    <w:rsid w:val="00504ADC"/>
    <w:rsid w:val="00504BC3"/>
    <w:rsid w:val="00505650"/>
    <w:rsid w:val="005067FE"/>
    <w:rsid w:val="005075A6"/>
    <w:rsid w:val="00507FE4"/>
    <w:rsid w:val="00511488"/>
    <w:rsid w:val="00511A65"/>
    <w:rsid w:val="005136C2"/>
    <w:rsid w:val="00514121"/>
    <w:rsid w:val="00514D22"/>
    <w:rsid w:val="00514F52"/>
    <w:rsid w:val="005159F7"/>
    <w:rsid w:val="00515ED1"/>
    <w:rsid w:val="00516308"/>
    <w:rsid w:val="0051642B"/>
    <w:rsid w:val="005164E8"/>
    <w:rsid w:val="00517B7C"/>
    <w:rsid w:val="005214F2"/>
    <w:rsid w:val="005243FD"/>
    <w:rsid w:val="0052465A"/>
    <w:rsid w:val="005252CA"/>
    <w:rsid w:val="00530B56"/>
    <w:rsid w:val="00531062"/>
    <w:rsid w:val="005320FC"/>
    <w:rsid w:val="00532115"/>
    <w:rsid w:val="00532427"/>
    <w:rsid w:val="005324EA"/>
    <w:rsid w:val="00532A6F"/>
    <w:rsid w:val="005330FD"/>
    <w:rsid w:val="00533263"/>
    <w:rsid w:val="00534EA3"/>
    <w:rsid w:val="005358CF"/>
    <w:rsid w:val="00535A3E"/>
    <w:rsid w:val="005360E7"/>
    <w:rsid w:val="005408D8"/>
    <w:rsid w:val="00541199"/>
    <w:rsid w:val="00542C92"/>
    <w:rsid w:val="00542CE1"/>
    <w:rsid w:val="00542F1A"/>
    <w:rsid w:val="005440E4"/>
    <w:rsid w:val="00544D7C"/>
    <w:rsid w:val="005458E1"/>
    <w:rsid w:val="00546455"/>
    <w:rsid w:val="00546AFC"/>
    <w:rsid w:val="00546ED8"/>
    <w:rsid w:val="00547454"/>
    <w:rsid w:val="005475FC"/>
    <w:rsid w:val="00547FE8"/>
    <w:rsid w:val="00550174"/>
    <w:rsid w:val="0055075A"/>
    <w:rsid w:val="00550ACA"/>
    <w:rsid w:val="00552AD4"/>
    <w:rsid w:val="00553FA5"/>
    <w:rsid w:val="0055415C"/>
    <w:rsid w:val="0055424B"/>
    <w:rsid w:val="00556EF9"/>
    <w:rsid w:val="0055706C"/>
    <w:rsid w:val="00557310"/>
    <w:rsid w:val="005577B7"/>
    <w:rsid w:val="0056018A"/>
    <w:rsid w:val="00560BE2"/>
    <w:rsid w:val="005611C3"/>
    <w:rsid w:val="00561891"/>
    <w:rsid w:val="00562289"/>
    <w:rsid w:val="005623D7"/>
    <w:rsid w:val="00563157"/>
    <w:rsid w:val="00564824"/>
    <w:rsid w:val="00565294"/>
    <w:rsid w:val="0056614E"/>
    <w:rsid w:val="00566DF0"/>
    <w:rsid w:val="00566FAF"/>
    <w:rsid w:val="005670FF"/>
    <w:rsid w:val="00567614"/>
    <w:rsid w:val="005706A1"/>
    <w:rsid w:val="00571181"/>
    <w:rsid w:val="00575E36"/>
    <w:rsid w:val="00576610"/>
    <w:rsid w:val="00577116"/>
    <w:rsid w:val="005776AE"/>
    <w:rsid w:val="0058068B"/>
    <w:rsid w:val="00581BBD"/>
    <w:rsid w:val="0058448D"/>
    <w:rsid w:val="00584A45"/>
    <w:rsid w:val="00584B97"/>
    <w:rsid w:val="0058555B"/>
    <w:rsid w:val="00586AFC"/>
    <w:rsid w:val="00586D61"/>
    <w:rsid w:val="0058757C"/>
    <w:rsid w:val="00587EF3"/>
    <w:rsid w:val="005916AE"/>
    <w:rsid w:val="00591C56"/>
    <w:rsid w:val="005939DD"/>
    <w:rsid w:val="00593C1E"/>
    <w:rsid w:val="00593CF6"/>
    <w:rsid w:val="00593D05"/>
    <w:rsid w:val="0059488D"/>
    <w:rsid w:val="00594C47"/>
    <w:rsid w:val="00596310"/>
    <w:rsid w:val="00596823"/>
    <w:rsid w:val="00596F90"/>
    <w:rsid w:val="005A0DC1"/>
    <w:rsid w:val="005A16F1"/>
    <w:rsid w:val="005A1715"/>
    <w:rsid w:val="005A2CE8"/>
    <w:rsid w:val="005A33CB"/>
    <w:rsid w:val="005A3777"/>
    <w:rsid w:val="005A3D5C"/>
    <w:rsid w:val="005A4281"/>
    <w:rsid w:val="005A514E"/>
    <w:rsid w:val="005A6C23"/>
    <w:rsid w:val="005A74A9"/>
    <w:rsid w:val="005A7ECC"/>
    <w:rsid w:val="005B0CB5"/>
    <w:rsid w:val="005B158E"/>
    <w:rsid w:val="005B24C4"/>
    <w:rsid w:val="005B2A68"/>
    <w:rsid w:val="005B5E46"/>
    <w:rsid w:val="005B6EC3"/>
    <w:rsid w:val="005B74AB"/>
    <w:rsid w:val="005B7E51"/>
    <w:rsid w:val="005B7E79"/>
    <w:rsid w:val="005C0946"/>
    <w:rsid w:val="005C0A0C"/>
    <w:rsid w:val="005C274F"/>
    <w:rsid w:val="005C2ED4"/>
    <w:rsid w:val="005C42E6"/>
    <w:rsid w:val="005C64C4"/>
    <w:rsid w:val="005C7BF1"/>
    <w:rsid w:val="005C7FD1"/>
    <w:rsid w:val="005D1DB8"/>
    <w:rsid w:val="005D2427"/>
    <w:rsid w:val="005D2FB2"/>
    <w:rsid w:val="005D50D6"/>
    <w:rsid w:val="005D55D6"/>
    <w:rsid w:val="005D55F2"/>
    <w:rsid w:val="005D5D1B"/>
    <w:rsid w:val="005D5DFC"/>
    <w:rsid w:val="005D6EB3"/>
    <w:rsid w:val="005D731F"/>
    <w:rsid w:val="005E02B6"/>
    <w:rsid w:val="005E0D30"/>
    <w:rsid w:val="005E19D5"/>
    <w:rsid w:val="005E207B"/>
    <w:rsid w:val="005E26B3"/>
    <w:rsid w:val="005E2A2F"/>
    <w:rsid w:val="005E39B3"/>
    <w:rsid w:val="005E4047"/>
    <w:rsid w:val="005E428E"/>
    <w:rsid w:val="005E47A5"/>
    <w:rsid w:val="005E4DC1"/>
    <w:rsid w:val="005E5C4C"/>
    <w:rsid w:val="005E6BDA"/>
    <w:rsid w:val="005E7499"/>
    <w:rsid w:val="005E74BC"/>
    <w:rsid w:val="005F1DA8"/>
    <w:rsid w:val="005F34E0"/>
    <w:rsid w:val="005F49D7"/>
    <w:rsid w:val="005F4E8C"/>
    <w:rsid w:val="005F501B"/>
    <w:rsid w:val="005F6034"/>
    <w:rsid w:val="005F62B6"/>
    <w:rsid w:val="005F6A5A"/>
    <w:rsid w:val="005F790C"/>
    <w:rsid w:val="005F7CFD"/>
    <w:rsid w:val="006005D1"/>
    <w:rsid w:val="00601EE4"/>
    <w:rsid w:val="0060395C"/>
    <w:rsid w:val="00604328"/>
    <w:rsid w:val="006043DC"/>
    <w:rsid w:val="006053B5"/>
    <w:rsid w:val="00605807"/>
    <w:rsid w:val="0060766B"/>
    <w:rsid w:val="00607912"/>
    <w:rsid w:val="00610DE2"/>
    <w:rsid w:val="00612465"/>
    <w:rsid w:val="006128B4"/>
    <w:rsid w:val="00613E45"/>
    <w:rsid w:val="00614546"/>
    <w:rsid w:val="00614600"/>
    <w:rsid w:val="006158B7"/>
    <w:rsid w:val="00615CA0"/>
    <w:rsid w:val="006164E5"/>
    <w:rsid w:val="00617C80"/>
    <w:rsid w:val="00626914"/>
    <w:rsid w:val="00626D9A"/>
    <w:rsid w:val="006272FE"/>
    <w:rsid w:val="006300BF"/>
    <w:rsid w:val="006306F3"/>
    <w:rsid w:val="0063302D"/>
    <w:rsid w:val="00633B51"/>
    <w:rsid w:val="00633C79"/>
    <w:rsid w:val="00633F2E"/>
    <w:rsid w:val="00634ED8"/>
    <w:rsid w:val="00635FDB"/>
    <w:rsid w:val="00636654"/>
    <w:rsid w:val="0063750B"/>
    <w:rsid w:val="00640763"/>
    <w:rsid w:val="0064098E"/>
    <w:rsid w:val="00640F8F"/>
    <w:rsid w:val="00642103"/>
    <w:rsid w:val="0064239C"/>
    <w:rsid w:val="00642604"/>
    <w:rsid w:val="006435EF"/>
    <w:rsid w:val="00643A52"/>
    <w:rsid w:val="00643A64"/>
    <w:rsid w:val="006443DA"/>
    <w:rsid w:val="0064459F"/>
    <w:rsid w:val="00644E57"/>
    <w:rsid w:val="00645B0C"/>
    <w:rsid w:val="00646D9A"/>
    <w:rsid w:val="006474B9"/>
    <w:rsid w:val="006476DD"/>
    <w:rsid w:val="006477CA"/>
    <w:rsid w:val="00647C89"/>
    <w:rsid w:val="00651B96"/>
    <w:rsid w:val="00651E72"/>
    <w:rsid w:val="00651FDB"/>
    <w:rsid w:val="0065269B"/>
    <w:rsid w:val="00653020"/>
    <w:rsid w:val="006541A4"/>
    <w:rsid w:val="00655B1B"/>
    <w:rsid w:val="006560A3"/>
    <w:rsid w:val="006562D1"/>
    <w:rsid w:val="00656831"/>
    <w:rsid w:val="006574B2"/>
    <w:rsid w:val="00657E88"/>
    <w:rsid w:val="00660096"/>
    <w:rsid w:val="00660AE7"/>
    <w:rsid w:val="006614CE"/>
    <w:rsid w:val="00662E41"/>
    <w:rsid w:val="00662EE3"/>
    <w:rsid w:val="00664655"/>
    <w:rsid w:val="00664EE4"/>
    <w:rsid w:val="0066572F"/>
    <w:rsid w:val="00665EE0"/>
    <w:rsid w:val="006676B6"/>
    <w:rsid w:val="006701AA"/>
    <w:rsid w:val="006706B8"/>
    <w:rsid w:val="00670740"/>
    <w:rsid w:val="00672DB5"/>
    <w:rsid w:val="006743BE"/>
    <w:rsid w:val="006752D4"/>
    <w:rsid w:val="00677E41"/>
    <w:rsid w:val="00681E86"/>
    <w:rsid w:val="0068204C"/>
    <w:rsid w:val="006833B4"/>
    <w:rsid w:val="00683C24"/>
    <w:rsid w:val="00685DB5"/>
    <w:rsid w:val="006861D7"/>
    <w:rsid w:val="006869D1"/>
    <w:rsid w:val="00687A9C"/>
    <w:rsid w:val="00690869"/>
    <w:rsid w:val="00690D3B"/>
    <w:rsid w:val="0069226B"/>
    <w:rsid w:val="00692507"/>
    <w:rsid w:val="0069255B"/>
    <w:rsid w:val="0069258B"/>
    <w:rsid w:val="00692C52"/>
    <w:rsid w:val="00694C16"/>
    <w:rsid w:val="006957A4"/>
    <w:rsid w:val="00695C58"/>
    <w:rsid w:val="006964CC"/>
    <w:rsid w:val="00696527"/>
    <w:rsid w:val="00696B3E"/>
    <w:rsid w:val="00696DB6"/>
    <w:rsid w:val="006978E7"/>
    <w:rsid w:val="006A03D8"/>
    <w:rsid w:val="006A1870"/>
    <w:rsid w:val="006A1CF8"/>
    <w:rsid w:val="006A3C30"/>
    <w:rsid w:val="006A3CF4"/>
    <w:rsid w:val="006A4BD7"/>
    <w:rsid w:val="006A54DC"/>
    <w:rsid w:val="006A5E34"/>
    <w:rsid w:val="006A71B8"/>
    <w:rsid w:val="006A7538"/>
    <w:rsid w:val="006A7722"/>
    <w:rsid w:val="006A785C"/>
    <w:rsid w:val="006B1C0E"/>
    <w:rsid w:val="006B33A7"/>
    <w:rsid w:val="006B50E2"/>
    <w:rsid w:val="006B76EF"/>
    <w:rsid w:val="006C07C5"/>
    <w:rsid w:val="006C0FAE"/>
    <w:rsid w:val="006C1D4D"/>
    <w:rsid w:val="006C26D1"/>
    <w:rsid w:val="006C3378"/>
    <w:rsid w:val="006C3E9F"/>
    <w:rsid w:val="006C4286"/>
    <w:rsid w:val="006C43A1"/>
    <w:rsid w:val="006C4BCF"/>
    <w:rsid w:val="006C56E5"/>
    <w:rsid w:val="006C6B24"/>
    <w:rsid w:val="006C79BA"/>
    <w:rsid w:val="006C7E1C"/>
    <w:rsid w:val="006D0516"/>
    <w:rsid w:val="006D0F9C"/>
    <w:rsid w:val="006D15D6"/>
    <w:rsid w:val="006D2CD4"/>
    <w:rsid w:val="006D3FE8"/>
    <w:rsid w:val="006D4E7D"/>
    <w:rsid w:val="006D7742"/>
    <w:rsid w:val="006E0AAF"/>
    <w:rsid w:val="006E3E48"/>
    <w:rsid w:val="006E4252"/>
    <w:rsid w:val="006E4488"/>
    <w:rsid w:val="006E5974"/>
    <w:rsid w:val="006E622A"/>
    <w:rsid w:val="006E6C07"/>
    <w:rsid w:val="006E70B2"/>
    <w:rsid w:val="006F03A6"/>
    <w:rsid w:val="006F1A86"/>
    <w:rsid w:val="006F2065"/>
    <w:rsid w:val="006F5870"/>
    <w:rsid w:val="007004A0"/>
    <w:rsid w:val="007009A0"/>
    <w:rsid w:val="00700E93"/>
    <w:rsid w:val="00700F3C"/>
    <w:rsid w:val="00701464"/>
    <w:rsid w:val="0070301A"/>
    <w:rsid w:val="007043D5"/>
    <w:rsid w:val="00704AFF"/>
    <w:rsid w:val="00705367"/>
    <w:rsid w:val="00705631"/>
    <w:rsid w:val="007058D8"/>
    <w:rsid w:val="00705990"/>
    <w:rsid w:val="007114B4"/>
    <w:rsid w:val="00713395"/>
    <w:rsid w:val="00713CAC"/>
    <w:rsid w:val="00715D2A"/>
    <w:rsid w:val="007164A3"/>
    <w:rsid w:val="0072059E"/>
    <w:rsid w:val="00720899"/>
    <w:rsid w:val="007208E1"/>
    <w:rsid w:val="007219DC"/>
    <w:rsid w:val="00721E57"/>
    <w:rsid w:val="00722CB9"/>
    <w:rsid w:val="00723F95"/>
    <w:rsid w:val="00723FC8"/>
    <w:rsid w:val="007250D5"/>
    <w:rsid w:val="0072674D"/>
    <w:rsid w:val="00726BE3"/>
    <w:rsid w:val="00730050"/>
    <w:rsid w:val="007302FE"/>
    <w:rsid w:val="00730BD6"/>
    <w:rsid w:val="00730F53"/>
    <w:rsid w:val="00732527"/>
    <w:rsid w:val="00732EB3"/>
    <w:rsid w:val="00734095"/>
    <w:rsid w:val="007340FE"/>
    <w:rsid w:val="00734C2B"/>
    <w:rsid w:val="00736150"/>
    <w:rsid w:val="007371EF"/>
    <w:rsid w:val="00737469"/>
    <w:rsid w:val="0073749D"/>
    <w:rsid w:val="00740A92"/>
    <w:rsid w:val="007440D7"/>
    <w:rsid w:val="00744AAE"/>
    <w:rsid w:val="00745043"/>
    <w:rsid w:val="0074547D"/>
    <w:rsid w:val="007471FC"/>
    <w:rsid w:val="0074758A"/>
    <w:rsid w:val="00747CD4"/>
    <w:rsid w:val="00753A11"/>
    <w:rsid w:val="00753BFC"/>
    <w:rsid w:val="00754EDE"/>
    <w:rsid w:val="00755C48"/>
    <w:rsid w:val="007562ED"/>
    <w:rsid w:val="0075687B"/>
    <w:rsid w:val="00757242"/>
    <w:rsid w:val="00757A2B"/>
    <w:rsid w:val="00757B02"/>
    <w:rsid w:val="00760272"/>
    <w:rsid w:val="00760AE4"/>
    <w:rsid w:val="00761B42"/>
    <w:rsid w:val="00761BBC"/>
    <w:rsid w:val="00761D26"/>
    <w:rsid w:val="007625E7"/>
    <w:rsid w:val="007652EE"/>
    <w:rsid w:val="00765B7A"/>
    <w:rsid w:val="0076632B"/>
    <w:rsid w:val="0076768B"/>
    <w:rsid w:val="0076772D"/>
    <w:rsid w:val="00770E38"/>
    <w:rsid w:val="00770F71"/>
    <w:rsid w:val="0077116A"/>
    <w:rsid w:val="0077172B"/>
    <w:rsid w:val="00773475"/>
    <w:rsid w:val="00774490"/>
    <w:rsid w:val="00776725"/>
    <w:rsid w:val="00776FF2"/>
    <w:rsid w:val="007770B2"/>
    <w:rsid w:val="007778E6"/>
    <w:rsid w:val="00780ADB"/>
    <w:rsid w:val="007828F4"/>
    <w:rsid w:val="00782FAB"/>
    <w:rsid w:val="0078329E"/>
    <w:rsid w:val="007845CB"/>
    <w:rsid w:val="00785AD9"/>
    <w:rsid w:val="00786629"/>
    <w:rsid w:val="00786DDF"/>
    <w:rsid w:val="007874A6"/>
    <w:rsid w:val="00787927"/>
    <w:rsid w:val="00787DFF"/>
    <w:rsid w:val="00790259"/>
    <w:rsid w:val="007907BA"/>
    <w:rsid w:val="00790A70"/>
    <w:rsid w:val="00791709"/>
    <w:rsid w:val="00792B25"/>
    <w:rsid w:val="00793829"/>
    <w:rsid w:val="0079405C"/>
    <w:rsid w:val="00796496"/>
    <w:rsid w:val="00796B92"/>
    <w:rsid w:val="007A0361"/>
    <w:rsid w:val="007A0EF1"/>
    <w:rsid w:val="007A32D3"/>
    <w:rsid w:val="007A55D5"/>
    <w:rsid w:val="007A61F5"/>
    <w:rsid w:val="007A6263"/>
    <w:rsid w:val="007A6A3F"/>
    <w:rsid w:val="007A6E23"/>
    <w:rsid w:val="007A6E70"/>
    <w:rsid w:val="007A7D4C"/>
    <w:rsid w:val="007B112D"/>
    <w:rsid w:val="007B26A4"/>
    <w:rsid w:val="007B39F0"/>
    <w:rsid w:val="007B3DEF"/>
    <w:rsid w:val="007B4CB7"/>
    <w:rsid w:val="007B7E53"/>
    <w:rsid w:val="007B7F53"/>
    <w:rsid w:val="007C0103"/>
    <w:rsid w:val="007C040F"/>
    <w:rsid w:val="007C0561"/>
    <w:rsid w:val="007C0B6D"/>
    <w:rsid w:val="007C0F27"/>
    <w:rsid w:val="007C1458"/>
    <w:rsid w:val="007C1E05"/>
    <w:rsid w:val="007C28CC"/>
    <w:rsid w:val="007C2DF7"/>
    <w:rsid w:val="007C3E26"/>
    <w:rsid w:val="007C40CA"/>
    <w:rsid w:val="007C4132"/>
    <w:rsid w:val="007C5664"/>
    <w:rsid w:val="007C56E3"/>
    <w:rsid w:val="007C6FFA"/>
    <w:rsid w:val="007D0012"/>
    <w:rsid w:val="007D0844"/>
    <w:rsid w:val="007D196F"/>
    <w:rsid w:val="007D2422"/>
    <w:rsid w:val="007D35BD"/>
    <w:rsid w:val="007D3C5E"/>
    <w:rsid w:val="007D46B4"/>
    <w:rsid w:val="007D4BC5"/>
    <w:rsid w:val="007D4E85"/>
    <w:rsid w:val="007D673A"/>
    <w:rsid w:val="007D75D2"/>
    <w:rsid w:val="007D7BF4"/>
    <w:rsid w:val="007E1A07"/>
    <w:rsid w:val="007E1C3B"/>
    <w:rsid w:val="007E32DE"/>
    <w:rsid w:val="007E3AD5"/>
    <w:rsid w:val="007E4A67"/>
    <w:rsid w:val="007E543B"/>
    <w:rsid w:val="007E60DE"/>
    <w:rsid w:val="007E6C3F"/>
    <w:rsid w:val="007F2E3C"/>
    <w:rsid w:val="007F3EEE"/>
    <w:rsid w:val="007F3F52"/>
    <w:rsid w:val="007F524C"/>
    <w:rsid w:val="007F57CC"/>
    <w:rsid w:val="007F6B6F"/>
    <w:rsid w:val="007F6C36"/>
    <w:rsid w:val="007F798B"/>
    <w:rsid w:val="007F7BFA"/>
    <w:rsid w:val="00802206"/>
    <w:rsid w:val="00802AEF"/>
    <w:rsid w:val="00802F34"/>
    <w:rsid w:val="00803770"/>
    <w:rsid w:val="0080544A"/>
    <w:rsid w:val="008071F5"/>
    <w:rsid w:val="00810261"/>
    <w:rsid w:val="0081154C"/>
    <w:rsid w:val="00812569"/>
    <w:rsid w:val="00812E84"/>
    <w:rsid w:val="00812F83"/>
    <w:rsid w:val="00813B2F"/>
    <w:rsid w:val="00813B51"/>
    <w:rsid w:val="00815020"/>
    <w:rsid w:val="0081511E"/>
    <w:rsid w:val="00815CD6"/>
    <w:rsid w:val="008163F9"/>
    <w:rsid w:val="008164CE"/>
    <w:rsid w:val="0081685F"/>
    <w:rsid w:val="00816B2A"/>
    <w:rsid w:val="00816CBF"/>
    <w:rsid w:val="008171DA"/>
    <w:rsid w:val="008210BB"/>
    <w:rsid w:val="00822139"/>
    <w:rsid w:val="008223E3"/>
    <w:rsid w:val="0082399C"/>
    <w:rsid w:val="0082479D"/>
    <w:rsid w:val="008252CB"/>
    <w:rsid w:val="008258E5"/>
    <w:rsid w:val="0083027D"/>
    <w:rsid w:val="008309FA"/>
    <w:rsid w:val="00831AE2"/>
    <w:rsid w:val="008328DC"/>
    <w:rsid w:val="00832CA2"/>
    <w:rsid w:val="008333CF"/>
    <w:rsid w:val="0083351B"/>
    <w:rsid w:val="00834AF1"/>
    <w:rsid w:val="00835455"/>
    <w:rsid w:val="0083686F"/>
    <w:rsid w:val="008375E0"/>
    <w:rsid w:val="00840A3F"/>
    <w:rsid w:val="00840D35"/>
    <w:rsid w:val="00840D7D"/>
    <w:rsid w:val="00840F5A"/>
    <w:rsid w:val="00841A0D"/>
    <w:rsid w:val="00841BB0"/>
    <w:rsid w:val="0084405E"/>
    <w:rsid w:val="0084520D"/>
    <w:rsid w:val="008459DB"/>
    <w:rsid w:val="0084704A"/>
    <w:rsid w:val="0084715E"/>
    <w:rsid w:val="0084746F"/>
    <w:rsid w:val="00847976"/>
    <w:rsid w:val="00850485"/>
    <w:rsid w:val="00851433"/>
    <w:rsid w:val="00851625"/>
    <w:rsid w:val="0085208F"/>
    <w:rsid w:val="008526CA"/>
    <w:rsid w:val="008535FC"/>
    <w:rsid w:val="0085438A"/>
    <w:rsid w:val="00856863"/>
    <w:rsid w:val="00857683"/>
    <w:rsid w:val="00857C2A"/>
    <w:rsid w:val="00860CC0"/>
    <w:rsid w:val="00860DEA"/>
    <w:rsid w:val="00862977"/>
    <w:rsid w:val="00863FF0"/>
    <w:rsid w:val="00864505"/>
    <w:rsid w:val="00866569"/>
    <w:rsid w:val="00866628"/>
    <w:rsid w:val="008677FA"/>
    <w:rsid w:val="00867FD1"/>
    <w:rsid w:val="00870767"/>
    <w:rsid w:val="00870C48"/>
    <w:rsid w:val="00870DE1"/>
    <w:rsid w:val="00870F8B"/>
    <w:rsid w:val="00873713"/>
    <w:rsid w:val="0087372C"/>
    <w:rsid w:val="00875054"/>
    <w:rsid w:val="00875775"/>
    <w:rsid w:val="00875A6B"/>
    <w:rsid w:val="0087634B"/>
    <w:rsid w:val="00877C7C"/>
    <w:rsid w:val="00880AF1"/>
    <w:rsid w:val="00880B6D"/>
    <w:rsid w:val="00881AF8"/>
    <w:rsid w:val="008822AC"/>
    <w:rsid w:val="00882836"/>
    <w:rsid w:val="00884127"/>
    <w:rsid w:val="00884B9A"/>
    <w:rsid w:val="008853E0"/>
    <w:rsid w:val="008855AA"/>
    <w:rsid w:val="00885B72"/>
    <w:rsid w:val="0088703B"/>
    <w:rsid w:val="0088745D"/>
    <w:rsid w:val="008900B2"/>
    <w:rsid w:val="0089036D"/>
    <w:rsid w:val="008906F0"/>
    <w:rsid w:val="00892D20"/>
    <w:rsid w:val="008934F3"/>
    <w:rsid w:val="00893568"/>
    <w:rsid w:val="00894544"/>
    <w:rsid w:val="008952C3"/>
    <w:rsid w:val="00895D6A"/>
    <w:rsid w:val="008A0212"/>
    <w:rsid w:val="008A0A76"/>
    <w:rsid w:val="008A1374"/>
    <w:rsid w:val="008A1631"/>
    <w:rsid w:val="008A1BD6"/>
    <w:rsid w:val="008A1DC9"/>
    <w:rsid w:val="008A3175"/>
    <w:rsid w:val="008A4CFE"/>
    <w:rsid w:val="008A5972"/>
    <w:rsid w:val="008A5FCF"/>
    <w:rsid w:val="008A7DCC"/>
    <w:rsid w:val="008B09B6"/>
    <w:rsid w:val="008B1741"/>
    <w:rsid w:val="008B1D1E"/>
    <w:rsid w:val="008B2F8C"/>
    <w:rsid w:val="008B51F3"/>
    <w:rsid w:val="008B5D20"/>
    <w:rsid w:val="008B6D7E"/>
    <w:rsid w:val="008C1413"/>
    <w:rsid w:val="008C239C"/>
    <w:rsid w:val="008C4691"/>
    <w:rsid w:val="008C4708"/>
    <w:rsid w:val="008C4CE6"/>
    <w:rsid w:val="008C4D25"/>
    <w:rsid w:val="008C63B9"/>
    <w:rsid w:val="008C6D28"/>
    <w:rsid w:val="008C6D66"/>
    <w:rsid w:val="008C778E"/>
    <w:rsid w:val="008C7C01"/>
    <w:rsid w:val="008D1304"/>
    <w:rsid w:val="008D3368"/>
    <w:rsid w:val="008D34BB"/>
    <w:rsid w:val="008D369B"/>
    <w:rsid w:val="008D445D"/>
    <w:rsid w:val="008D57BF"/>
    <w:rsid w:val="008D67CF"/>
    <w:rsid w:val="008E052B"/>
    <w:rsid w:val="008E1515"/>
    <w:rsid w:val="008E43C7"/>
    <w:rsid w:val="008E63E8"/>
    <w:rsid w:val="008F0418"/>
    <w:rsid w:val="008F08DC"/>
    <w:rsid w:val="008F1381"/>
    <w:rsid w:val="008F1AEF"/>
    <w:rsid w:val="008F1F5D"/>
    <w:rsid w:val="008F1FEF"/>
    <w:rsid w:val="008F2A9E"/>
    <w:rsid w:val="008F3376"/>
    <w:rsid w:val="008F38EE"/>
    <w:rsid w:val="008F6135"/>
    <w:rsid w:val="008F6305"/>
    <w:rsid w:val="008F71AF"/>
    <w:rsid w:val="009008A0"/>
    <w:rsid w:val="00900A44"/>
    <w:rsid w:val="00902F35"/>
    <w:rsid w:val="009032D5"/>
    <w:rsid w:val="0090418B"/>
    <w:rsid w:val="00905055"/>
    <w:rsid w:val="00905D2A"/>
    <w:rsid w:val="00906A2A"/>
    <w:rsid w:val="00907097"/>
    <w:rsid w:val="0091056D"/>
    <w:rsid w:val="00910A7E"/>
    <w:rsid w:val="0091134E"/>
    <w:rsid w:val="00912F26"/>
    <w:rsid w:val="00913BFD"/>
    <w:rsid w:val="00913C71"/>
    <w:rsid w:val="009153F3"/>
    <w:rsid w:val="00921464"/>
    <w:rsid w:val="0092189F"/>
    <w:rsid w:val="0092192D"/>
    <w:rsid w:val="009222DB"/>
    <w:rsid w:val="00924A26"/>
    <w:rsid w:val="009270FA"/>
    <w:rsid w:val="0092722E"/>
    <w:rsid w:val="009275FC"/>
    <w:rsid w:val="0092774D"/>
    <w:rsid w:val="00930159"/>
    <w:rsid w:val="0093060C"/>
    <w:rsid w:val="00930D99"/>
    <w:rsid w:val="00931116"/>
    <w:rsid w:val="00932C9E"/>
    <w:rsid w:val="00932EDE"/>
    <w:rsid w:val="00933C86"/>
    <w:rsid w:val="00933D37"/>
    <w:rsid w:val="00933F77"/>
    <w:rsid w:val="0093469D"/>
    <w:rsid w:val="00935035"/>
    <w:rsid w:val="00936700"/>
    <w:rsid w:val="0093675E"/>
    <w:rsid w:val="00937530"/>
    <w:rsid w:val="009375D9"/>
    <w:rsid w:val="009401A8"/>
    <w:rsid w:val="00940BB3"/>
    <w:rsid w:val="009422E0"/>
    <w:rsid w:val="00943D1E"/>
    <w:rsid w:val="00943E1C"/>
    <w:rsid w:val="00944E26"/>
    <w:rsid w:val="0094581A"/>
    <w:rsid w:val="009478F7"/>
    <w:rsid w:val="00950301"/>
    <w:rsid w:val="00950CD0"/>
    <w:rsid w:val="00953C46"/>
    <w:rsid w:val="00955285"/>
    <w:rsid w:val="00956536"/>
    <w:rsid w:val="00956BD1"/>
    <w:rsid w:val="00956E9E"/>
    <w:rsid w:val="009570EA"/>
    <w:rsid w:val="00957A54"/>
    <w:rsid w:val="0096194D"/>
    <w:rsid w:val="00961986"/>
    <w:rsid w:val="0096221F"/>
    <w:rsid w:val="009637FE"/>
    <w:rsid w:val="00964264"/>
    <w:rsid w:val="00964438"/>
    <w:rsid w:val="00965B78"/>
    <w:rsid w:val="009662CE"/>
    <w:rsid w:val="00966DAA"/>
    <w:rsid w:val="00966E31"/>
    <w:rsid w:val="00966FF8"/>
    <w:rsid w:val="00970CB2"/>
    <w:rsid w:val="00971A0F"/>
    <w:rsid w:val="00971A9E"/>
    <w:rsid w:val="009723FF"/>
    <w:rsid w:val="009735B5"/>
    <w:rsid w:val="009736B0"/>
    <w:rsid w:val="00974A57"/>
    <w:rsid w:val="009774F4"/>
    <w:rsid w:val="00980F75"/>
    <w:rsid w:val="009820C6"/>
    <w:rsid w:val="009831D2"/>
    <w:rsid w:val="00983FA9"/>
    <w:rsid w:val="00984257"/>
    <w:rsid w:val="0098456F"/>
    <w:rsid w:val="00984818"/>
    <w:rsid w:val="009848B7"/>
    <w:rsid w:val="00986852"/>
    <w:rsid w:val="00986891"/>
    <w:rsid w:val="00986CD7"/>
    <w:rsid w:val="00991DBA"/>
    <w:rsid w:val="009923C1"/>
    <w:rsid w:val="009930C0"/>
    <w:rsid w:val="00993A2A"/>
    <w:rsid w:val="00994C29"/>
    <w:rsid w:val="00995510"/>
    <w:rsid w:val="00995C6F"/>
    <w:rsid w:val="00995E71"/>
    <w:rsid w:val="009964A4"/>
    <w:rsid w:val="0099695F"/>
    <w:rsid w:val="009969FF"/>
    <w:rsid w:val="0099726F"/>
    <w:rsid w:val="009A0ABB"/>
    <w:rsid w:val="009A1031"/>
    <w:rsid w:val="009A12EA"/>
    <w:rsid w:val="009A1867"/>
    <w:rsid w:val="009A1EC7"/>
    <w:rsid w:val="009A31C3"/>
    <w:rsid w:val="009A4536"/>
    <w:rsid w:val="009A75C4"/>
    <w:rsid w:val="009A7D6A"/>
    <w:rsid w:val="009B0153"/>
    <w:rsid w:val="009B02EB"/>
    <w:rsid w:val="009B04EF"/>
    <w:rsid w:val="009B0DF4"/>
    <w:rsid w:val="009B1281"/>
    <w:rsid w:val="009B2622"/>
    <w:rsid w:val="009B426B"/>
    <w:rsid w:val="009B4D11"/>
    <w:rsid w:val="009B50D9"/>
    <w:rsid w:val="009B62F1"/>
    <w:rsid w:val="009C0C51"/>
    <w:rsid w:val="009C1706"/>
    <w:rsid w:val="009C1FD3"/>
    <w:rsid w:val="009C2BC1"/>
    <w:rsid w:val="009C3441"/>
    <w:rsid w:val="009C4B3A"/>
    <w:rsid w:val="009C4EA2"/>
    <w:rsid w:val="009C53DF"/>
    <w:rsid w:val="009C5CEA"/>
    <w:rsid w:val="009C5FEC"/>
    <w:rsid w:val="009C73E2"/>
    <w:rsid w:val="009D0907"/>
    <w:rsid w:val="009D1524"/>
    <w:rsid w:val="009D1E2E"/>
    <w:rsid w:val="009D2859"/>
    <w:rsid w:val="009D292F"/>
    <w:rsid w:val="009D2B34"/>
    <w:rsid w:val="009D35BA"/>
    <w:rsid w:val="009D3AF0"/>
    <w:rsid w:val="009D3B13"/>
    <w:rsid w:val="009D3B31"/>
    <w:rsid w:val="009D43B2"/>
    <w:rsid w:val="009D493C"/>
    <w:rsid w:val="009D5217"/>
    <w:rsid w:val="009D5D97"/>
    <w:rsid w:val="009D5F81"/>
    <w:rsid w:val="009D62AD"/>
    <w:rsid w:val="009D6324"/>
    <w:rsid w:val="009D7EAE"/>
    <w:rsid w:val="009E05DC"/>
    <w:rsid w:val="009E0872"/>
    <w:rsid w:val="009E15B7"/>
    <w:rsid w:val="009E291F"/>
    <w:rsid w:val="009E3443"/>
    <w:rsid w:val="009E3CE2"/>
    <w:rsid w:val="009E3D76"/>
    <w:rsid w:val="009E3DFC"/>
    <w:rsid w:val="009F005D"/>
    <w:rsid w:val="009F11D8"/>
    <w:rsid w:val="009F1CD2"/>
    <w:rsid w:val="009F2973"/>
    <w:rsid w:val="009F35F2"/>
    <w:rsid w:val="009F36D4"/>
    <w:rsid w:val="009F4248"/>
    <w:rsid w:val="009F4901"/>
    <w:rsid w:val="009F50F8"/>
    <w:rsid w:val="009F529A"/>
    <w:rsid w:val="009F62E2"/>
    <w:rsid w:val="009F72A9"/>
    <w:rsid w:val="009F767D"/>
    <w:rsid w:val="009F7757"/>
    <w:rsid w:val="009F7798"/>
    <w:rsid w:val="009F7821"/>
    <w:rsid w:val="00A005F2"/>
    <w:rsid w:val="00A00A4D"/>
    <w:rsid w:val="00A00D2B"/>
    <w:rsid w:val="00A0135D"/>
    <w:rsid w:val="00A015CE"/>
    <w:rsid w:val="00A02E5E"/>
    <w:rsid w:val="00A034F0"/>
    <w:rsid w:val="00A05C5E"/>
    <w:rsid w:val="00A05D6E"/>
    <w:rsid w:val="00A0695D"/>
    <w:rsid w:val="00A06B85"/>
    <w:rsid w:val="00A0732C"/>
    <w:rsid w:val="00A0764F"/>
    <w:rsid w:val="00A1131C"/>
    <w:rsid w:val="00A1247C"/>
    <w:rsid w:val="00A12A61"/>
    <w:rsid w:val="00A12E0B"/>
    <w:rsid w:val="00A13293"/>
    <w:rsid w:val="00A13FB4"/>
    <w:rsid w:val="00A1466B"/>
    <w:rsid w:val="00A14C1E"/>
    <w:rsid w:val="00A14FFF"/>
    <w:rsid w:val="00A152A4"/>
    <w:rsid w:val="00A16722"/>
    <w:rsid w:val="00A16881"/>
    <w:rsid w:val="00A16AF8"/>
    <w:rsid w:val="00A17027"/>
    <w:rsid w:val="00A20876"/>
    <w:rsid w:val="00A20985"/>
    <w:rsid w:val="00A22CCF"/>
    <w:rsid w:val="00A235CC"/>
    <w:rsid w:val="00A24464"/>
    <w:rsid w:val="00A2621D"/>
    <w:rsid w:val="00A27C16"/>
    <w:rsid w:val="00A317B8"/>
    <w:rsid w:val="00A32282"/>
    <w:rsid w:val="00A32F43"/>
    <w:rsid w:val="00A3350E"/>
    <w:rsid w:val="00A33644"/>
    <w:rsid w:val="00A336B8"/>
    <w:rsid w:val="00A33DBF"/>
    <w:rsid w:val="00A33FA7"/>
    <w:rsid w:val="00A36AB6"/>
    <w:rsid w:val="00A37946"/>
    <w:rsid w:val="00A40BE1"/>
    <w:rsid w:val="00A40D3F"/>
    <w:rsid w:val="00A40DB4"/>
    <w:rsid w:val="00A42413"/>
    <w:rsid w:val="00A429E9"/>
    <w:rsid w:val="00A42A19"/>
    <w:rsid w:val="00A42AC4"/>
    <w:rsid w:val="00A43D1C"/>
    <w:rsid w:val="00A44950"/>
    <w:rsid w:val="00A45F6A"/>
    <w:rsid w:val="00A460F7"/>
    <w:rsid w:val="00A464D4"/>
    <w:rsid w:val="00A4734C"/>
    <w:rsid w:val="00A4789F"/>
    <w:rsid w:val="00A50496"/>
    <w:rsid w:val="00A512D5"/>
    <w:rsid w:val="00A51391"/>
    <w:rsid w:val="00A513A2"/>
    <w:rsid w:val="00A51F5C"/>
    <w:rsid w:val="00A51F91"/>
    <w:rsid w:val="00A5214B"/>
    <w:rsid w:val="00A523CF"/>
    <w:rsid w:val="00A52596"/>
    <w:rsid w:val="00A52F8F"/>
    <w:rsid w:val="00A5312F"/>
    <w:rsid w:val="00A54A2C"/>
    <w:rsid w:val="00A54F40"/>
    <w:rsid w:val="00A5737B"/>
    <w:rsid w:val="00A5743C"/>
    <w:rsid w:val="00A57CE1"/>
    <w:rsid w:val="00A6065E"/>
    <w:rsid w:val="00A60C5E"/>
    <w:rsid w:val="00A620CF"/>
    <w:rsid w:val="00A63948"/>
    <w:rsid w:val="00A64767"/>
    <w:rsid w:val="00A64D85"/>
    <w:rsid w:val="00A65329"/>
    <w:rsid w:val="00A65377"/>
    <w:rsid w:val="00A65464"/>
    <w:rsid w:val="00A667C5"/>
    <w:rsid w:val="00A66A0D"/>
    <w:rsid w:val="00A6702C"/>
    <w:rsid w:val="00A6771A"/>
    <w:rsid w:val="00A67812"/>
    <w:rsid w:val="00A67E28"/>
    <w:rsid w:val="00A705EB"/>
    <w:rsid w:val="00A70E83"/>
    <w:rsid w:val="00A73075"/>
    <w:rsid w:val="00A733AA"/>
    <w:rsid w:val="00A73767"/>
    <w:rsid w:val="00A73D00"/>
    <w:rsid w:val="00A74E9C"/>
    <w:rsid w:val="00A74EC6"/>
    <w:rsid w:val="00A74F00"/>
    <w:rsid w:val="00A75837"/>
    <w:rsid w:val="00A773D4"/>
    <w:rsid w:val="00A77EF9"/>
    <w:rsid w:val="00A82867"/>
    <w:rsid w:val="00A829A1"/>
    <w:rsid w:val="00A82D09"/>
    <w:rsid w:val="00A82EA5"/>
    <w:rsid w:val="00A86D30"/>
    <w:rsid w:val="00A8725D"/>
    <w:rsid w:val="00A87AC5"/>
    <w:rsid w:val="00A905EA"/>
    <w:rsid w:val="00A908FA"/>
    <w:rsid w:val="00A90DB8"/>
    <w:rsid w:val="00A9400D"/>
    <w:rsid w:val="00A94280"/>
    <w:rsid w:val="00A94792"/>
    <w:rsid w:val="00A949E8"/>
    <w:rsid w:val="00A958A4"/>
    <w:rsid w:val="00A95A9C"/>
    <w:rsid w:val="00A95C34"/>
    <w:rsid w:val="00A95FE5"/>
    <w:rsid w:val="00A96799"/>
    <w:rsid w:val="00A967DC"/>
    <w:rsid w:val="00A9699A"/>
    <w:rsid w:val="00A96CBD"/>
    <w:rsid w:val="00AA1C39"/>
    <w:rsid w:val="00AA25CD"/>
    <w:rsid w:val="00AA2774"/>
    <w:rsid w:val="00AA2A5A"/>
    <w:rsid w:val="00AA32B9"/>
    <w:rsid w:val="00AA3519"/>
    <w:rsid w:val="00AA351D"/>
    <w:rsid w:val="00AA39D7"/>
    <w:rsid w:val="00AA433D"/>
    <w:rsid w:val="00AA4F5D"/>
    <w:rsid w:val="00AA50D1"/>
    <w:rsid w:val="00AA6B4C"/>
    <w:rsid w:val="00AA7399"/>
    <w:rsid w:val="00AA7864"/>
    <w:rsid w:val="00AA7921"/>
    <w:rsid w:val="00AB01C7"/>
    <w:rsid w:val="00AB0A63"/>
    <w:rsid w:val="00AB142D"/>
    <w:rsid w:val="00AB2B9F"/>
    <w:rsid w:val="00AB472A"/>
    <w:rsid w:val="00AB4AD6"/>
    <w:rsid w:val="00AB4F07"/>
    <w:rsid w:val="00AB4F49"/>
    <w:rsid w:val="00AB7187"/>
    <w:rsid w:val="00AB73A2"/>
    <w:rsid w:val="00AC0442"/>
    <w:rsid w:val="00AC07C9"/>
    <w:rsid w:val="00AC33A8"/>
    <w:rsid w:val="00AC360D"/>
    <w:rsid w:val="00AC5948"/>
    <w:rsid w:val="00AC6EBD"/>
    <w:rsid w:val="00AC6EFF"/>
    <w:rsid w:val="00AC7755"/>
    <w:rsid w:val="00AD0890"/>
    <w:rsid w:val="00AD2BBD"/>
    <w:rsid w:val="00AD2BD1"/>
    <w:rsid w:val="00AD3373"/>
    <w:rsid w:val="00AD3FED"/>
    <w:rsid w:val="00AD60BC"/>
    <w:rsid w:val="00AD622A"/>
    <w:rsid w:val="00AD69CD"/>
    <w:rsid w:val="00AD7024"/>
    <w:rsid w:val="00AD7A08"/>
    <w:rsid w:val="00AD7AD5"/>
    <w:rsid w:val="00AD7CD6"/>
    <w:rsid w:val="00AE0460"/>
    <w:rsid w:val="00AE0C6D"/>
    <w:rsid w:val="00AE0FF5"/>
    <w:rsid w:val="00AE2DDE"/>
    <w:rsid w:val="00AE344B"/>
    <w:rsid w:val="00AE3B95"/>
    <w:rsid w:val="00AE60F9"/>
    <w:rsid w:val="00AE63A7"/>
    <w:rsid w:val="00AE6CE5"/>
    <w:rsid w:val="00AE7CD5"/>
    <w:rsid w:val="00AE7E8B"/>
    <w:rsid w:val="00AF1E2F"/>
    <w:rsid w:val="00AF23AD"/>
    <w:rsid w:val="00AF270E"/>
    <w:rsid w:val="00AF28A5"/>
    <w:rsid w:val="00AF2953"/>
    <w:rsid w:val="00AF3B95"/>
    <w:rsid w:val="00AF3D5F"/>
    <w:rsid w:val="00AF5B06"/>
    <w:rsid w:val="00AF5FA9"/>
    <w:rsid w:val="00B01054"/>
    <w:rsid w:val="00B02F64"/>
    <w:rsid w:val="00B037B0"/>
    <w:rsid w:val="00B0472B"/>
    <w:rsid w:val="00B04F2F"/>
    <w:rsid w:val="00B07E99"/>
    <w:rsid w:val="00B1039B"/>
    <w:rsid w:val="00B10887"/>
    <w:rsid w:val="00B10B3D"/>
    <w:rsid w:val="00B12247"/>
    <w:rsid w:val="00B1360F"/>
    <w:rsid w:val="00B1445C"/>
    <w:rsid w:val="00B144E5"/>
    <w:rsid w:val="00B146D9"/>
    <w:rsid w:val="00B14B6A"/>
    <w:rsid w:val="00B14E18"/>
    <w:rsid w:val="00B161F1"/>
    <w:rsid w:val="00B16716"/>
    <w:rsid w:val="00B16976"/>
    <w:rsid w:val="00B17173"/>
    <w:rsid w:val="00B2034D"/>
    <w:rsid w:val="00B208FD"/>
    <w:rsid w:val="00B20D9F"/>
    <w:rsid w:val="00B21725"/>
    <w:rsid w:val="00B21730"/>
    <w:rsid w:val="00B23038"/>
    <w:rsid w:val="00B23678"/>
    <w:rsid w:val="00B23A69"/>
    <w:rsid w:val="00B23C78"/>
    <w:rsid w:val="00B23DB4"/>
    <w:rsid w:val="00B276D3"/>
    <w:rsid w:val="00B27AA9"/>
    <w:rsid w:val="00B30660"/>
    <w:rsid w:val="00B30A28"/>
    <w:rsid w:val="00B32771"/>
    <w:rsid w:val="00B359B9"/>
    <w:rsid w:val="00B35C98"/>
    <w:rsid w:val="00B402F6"/>
    <w:rsid w:val="00B40795"/>
    <w:rsid w:val="00B410D4"/>
    <w:rsid w:val="00B41B8D"/>
    <w:rsid w:val="00B42329"/>
    <w:rsid w:val="00B42FA1"/>
    <w:rsid w:val="00B43118"/>
    <w:rsid w:val="00B43178"/>
    <w:rsid w:val="00B43364"/>
    <w:rsid w:val="00B43886"/>
    <w:rsid w:val="00B43FCE"/>
    <w:rsid w:val="00B44E5B"/>
    <w:rsid w:val="00B44EA4"/>
    <w:rsid w:val="00B44F1B"/>
    <w:rsid w:val="00B451FA"/>
    <w:rsid w:val="00B45C48"/>
    <w:rsid w:val="00B45E67"/>
    <w:rsid w:val="00B46066"/>
    <w:rsid w:val="00B46F2B"/>
    <w:rsid w:val="00B471E1"/>
    <w:rsid w:val="00B473C2"/>
    <w:rsid w:val="00B47624"/>
    <w:rsid w:val="00B47F5F"/>
    <w:rsid w:val="00B5057E"/>
    <w:rsid w:val="00B50D10"/>
    <w:rsid w:val="00B51EC9"/>
    <w:rsid w:val="00B53003"/>
    <w:rsid w:val="00B53F6B"/>
    <w:rsid w:val="00B5475D"/>
    <w:rsid w:val="00B54FCE"/>
    <w:rsid w:val="00B56DE1"/>
    <w:rsid w:val="00B56F89"/>
    <w:rsid w:val="00B57A7C"/>
    <w:rsid w:val="00B57CA0"/>
    <w:rsid w:val="00B600DA"/>
    <w:rsid w:val="00B6084B"/>
    <w:rsid w:val="00B614C4"/>
    <w:rsid w:val="00B62365"/>
    <w:rsid w:val="00B64671"/>
    <w:rsid w:val="00B6574D"/>
    <w:rsid w:val="00B6596B"/>
    <w:rsid w:val="00B659DC"/>
    <w:rsid w:val="00B65C4F"/>
    <w:rsid w:val="00B67402"/>
    <w:rsid w:val="00B705DC"/>
    <w:rsid w:val="00B71E43"/>
    <w:rsid w:val="00B727F0"/>
    <w:rsid w:val="00B7330E"/>
    <w:rsid w:val="00B73E0E"/>
    <w:rsid w:val="00B75050"/>
    <w:rsid w:val="00B758AB"/>
    <w:rsid w:val="00B807F4"/>
    <w:rsid w:val="00B80C93"/>
    <w:rsid w:val="00B8135F"/>
    <w:rsid w:val="00B813E2"/>
    <w:rsid w:val="00B85E39"/>
    <w:rsid w:val="00B872FA"/>
    <w:rsid w:val="00B8752E"/>
    <w:rsid w:val="00B87829"/>
    <w:rsid w:val="00B87A96"/>
    <w:rsid w:val="00B87AE6"/>
    <w:rsid w:val="00B910F2"/>
    <w:rsid w:val="00B932B0"/>
    <w:rsid w:val="00B944C5"/>
    <w:rsid w:val="00B94E20"/>
    <w:rsid w:val="00B94ECD"/>
    <w:rsid w:val="00B9511E"/>
    <w:rsid w:val="00B965A0"/>
    <w:rsid w:val="00B973E6"/>
    <w:rsid w:val="00BA0C34"/>
    <w:rsid w:val="00BA1767"/>
    <w:rsid w:val="00BA1E41"/>
    <w:rsid w:val="00BA2167"/>
    <w:rsid w:val="00BA236C"/>
    <w:rsid w:val="00BA2962"/>
    <w:rsid w:val="00BA38F0"/>
    <w:rsid w:val="00BA3FA5"/>
    <w:rsid w:val="00BA5CB6"/>
    <w:rsid w:val="00BA6C3D"/>
    <w:rsid w:val="00BA77A3"/>
    <w:rsid w:val="00BB3150"/>
    <w:rsid w:val="00BB4062"/>
    <w:rsid w:val="00BB4137"/>
    <w:rsid w:val="00BB45D2"/>
    <w:rsid w:val="00BB5225"/>
    <w:rsid w:val="00BB6131"/>
    <w:rsid w:val="00BC0BC0"/>
    <w:rsid w:val="00BC1E0F"/>
    <w:rsid w:val="00BC2B7D"/>
    <w:rsid w:val="00BC3C60"/>
    <w:rsid w:val="00BC5FA3"/>
    <w:rsid w:val="00BC75B5"/>
    <w:rsid w:val="00BC76B0"/>
    <w:rsid w:val="00BC7B17"/>
    <w:rsid w:val="00BD01B5"/>
    <w:rsid w:val="00BD1849"/>
    <w:rsid w:val="00BD19FF"/>
    <w:rsid w:val="00BD37E1"/>
    <w:rsid w:val="00BD59A6"/>
    <w:rsid w:val="00BD5F1F"/>
    <w:rsid w:val="00BD6F36"/>
    <w:rsid w:val="00BD6F65"/>
    <w:rsid w:val="00BE0068"/>
    <w:rsid w:val="00BE101D"/>
    <w:rsid w:val="00BE207D"/>
    <w:rsid w:val="00BE2A79"/>
    <w:rsid w:val="00BE2C12"/>
    <w:rsid w:val="00BE2F33"/>
    <w:rsid w:val="00BE36F0"/>
    <w:rsid w:val="00BE4F35"/>
    <w:rsid w:val="00BE7D14"/>
    <w:rsid w:val="00BF0323"/>
    <w:rsid w:val="00BF070D"/>
    <w:rsid w:val="00BF0D6B"/>
    <w:rsid w:val="00BF2777"/>
    <w:rsid w:val="00BF2B86"/>
    <w:rsid w:val="00BF3110"/>
    <w:rsid w:val="00BF36F9"/>
    <w:rsid w:val="00BF3870"/>
    <w:rsid w:val="00BF4F60"/>
    <w:rsid w:val="00BF68FD"/>
    <w:rsid w:val="00BF732E"/>
    <w:rsid w:val="00BF7364"/>
    <w:rsid w:val="00BF75F8"/>
    <w:rsid w:val="00BF7DDE"/>
    <w:rsid w:val="00C00A6A"/>
    <w:rsid w:val="00C03DD7"/>
    <w:rsid w:val="00C03FCA"/>
    <w:rsid w:val="00C04313"/>
    <w:rsid w:val="00C0478A"/>
    <w:rsid w:val="00C06733"/>
    <w:rsid w:val="00C06D59"/>
    <w:rsid w:val="00C107A7"/>
    <w:rsid w:val="00C10CC9"/>
    <w:rsid w:val="00C11C68"/>
    <w:rsid w:val="00C11E5A"/>
    <w:rsid w:val="00C15E0F"/>
    <w:rsid w:val="00C16A68"/>
    <w:rsid w:val="00C16BBD"/>
    <w:rsid w:val="00C171BA"/>
    <w:rsid w:val="00C20582"/>
    <w:rsid w:val="00C22098"/>
    <w:rsid w:val="00C2243C"/>
    <w:rsid w:val="00C23472"/>
    <w:rsid w:val="00C23BB2"/>
    <w:rsid w:val="00C2549E"/>
    <w:rsid w:val="00C26C4E"/>
    <w:rsid w:val="00C33152"/>
    <w:rsid w:val="00C33A46"/>
    <w:rsid w:val="00C33A58"/>
    <w:rsid w:val="00C340E6"/>
    <w:rsid w:val="00C34C14"/>
    <w:rsid w:val="00C36A7B"/>
    <w:rsid w:val="00C36CC6"/>
    <w:rsid w:val="00C36F1B"/>
    <w:rsid w:val="00C37BD5"/>
    <w:rsid w:val="00C4010A"/>
    <w:rsid w:val="00C40F5A"/>
    <w:rsid w:val="00C41584"/>
    <w:rsid w:val="00C41B14"/>
    <w:rsid w:val="00C426B6"/>
    <w:rsid w:val="00C435D4"/>
    <w:rsid w:val="00C44C79"/>
    <w:rsid w:val="00C44E10"/>
    <w:rsid w:val="00C45577"/>
    <w:rsid w:val="00C46473"/>
    <w:rsid w:val="00C46763"/>
    <w:rsid w:val="00C5173F"/>
    <w:rsid w:val="00C54244"/>
    <w:rsid w:val="00C5429E"/>
    <w:rsid w:val="00C60502"/>
    <w:rsid w:val="00C61032"/>
    <w:rsid w:val="00C613E1"/>
    <w:rsid w:val="00C6169C"/>
    <w:rsid w:val="00C6303F"/>
    <w:rsid w:val="00C6357D"/>
    <w:rsid w:val="00C635B3"/>
    <w:rsid w:val="00C64121"/>
    <w:rsid w:val="00C66442"/>
    <w:rsid w:val="00C66BBD"/>
    <w:rsid w:val="00C673CB"/>
    <w:rsid w:val="00C67E1B"/>
    <w:rsid w:val="00C7036F"/>
    <w:rsid w:val="00C70395"/>
    <w:rsid w:val="00C706C9"/>
    <w:rsid w:val="00C7189E"/>
    <w:rsid w:val="00C71D3D"/>
    <w:rsid w:val="00C72109"/>
    <w:rsid w:val="00C726DF"/>
    <w:rsid w:val="00C72928"/>
    <w:rsid w:val="00C74181"/>
    <w:rsid w:val="00C752FD"/>
    <w:rsid w:val="00C75F8A"/>
    <w:rsid w:val="00C7728D"/>
    <w:rsid w:val="00C804E2"/>
    <w:rsid w:val="00C80732"/>
    <w:rsid w:val="00C8128E"/>
    <w:rsid w:val="00C8207F"/>
    <w:rsid w:val="00C85968"/>
    <w:rsid w:val="00C86AFD"/>
    <w:rsid w:val="00C87673"/>
    <w:rsid w:val="00C87CD7"/>
    <w:rsid w:val="00C90E5D"/>
    <w:rsid w:val="00C914E8"/>
    <w:rsid w:val="00C9197B"/>
    <w:rsid w:val="00C9224A"/>
    <w:rsid w:val="00C92861"/>
    <w:rsid w:val="00C92A16"/>
    <w:rsid w:val="00C932E6"/>
    <w:rsid w:val="00C9369D"/>
    <w:rsid w:val="00C93BD7"/>
    <w:rsid w:val="00C93BF4"/>
    <w:rsid w:val="00C95040"/>
    <w:rsid w:val="00C95596"/>
    <w:rsid w:val="00C96509"/>
    <w:rsid w:val="00C96E07"/>
    <w:rsid w:val="00C9736F"/>
    <w:rsid w:val="00CA021C"/>
    <w:rsid w:val="00CA05F2"/>
    <w:rsid w:val="00CA104E"/>
    <w:rsid w:val="00CA123F"/>
    <w:rsid w:val="00CA2089"/>
    <w:rsid w:val="00CA2540"/>
    <w:rsid w:val="00CA259C"/>
    <w:rsid w:val="00CA3398"/>
    <w:rsid w:val="00CA3C23"/>
    <w:rsid w:val="00CA3F6C"/>
    <w:rsid w:val="00CA45E3"/>
    <w:rsid w:val="00CA4858"/>
    <w:rsid w:val="00CA488B"/>
    <w:rsid w:val="00CA4A96"/>
    <w:rsid w:val="00CA4FEE"/>
    <w:rsid w:val="00CA5788"/>
    <w:rsid w:val="00CA626D"/>
    <w:rsid w:val="00CA64FE"/>
    <w:rsid w:val="00CA6641"/>
    <w:rsid w:val="00CA6D78"/>
    <w:rsid w:val="00CA710A"/>
    <w:rsid w:val="00CA7A32"/>
    <w:rsid w:val="00CB0186"/>
    <w:rsid w:val="00CB1237"/>
    <w:rsid w:val="00CB2266"/>
    <w:rsid w:val="00CB29DB"/>
    <w:rsid w:val="00CB2E95"/>
    <w:rsid w:val="00CB35A8"/>
    <w:rsid w:val="00CB46EC"/>
    <w:rsid w:val="00CB4D0E"/>
    <w:rsid w:val="00CB599E"/>
    <w:rsid w:val="00CB5F9E"/>
    <w:rsid w:val="00CB650F"/>
    <w:rsid w:val="00CB6DD0"/>
    <w:rsid w:val="00CB70AE"/>
    <w:rsid w:val="00CB7D7F"/>
    <w:rsid w:val="00CB7EA8"/>
    <w:rsid w:val="00CC03F7"/>
    <w:rsid w:val="00CC0D11"/>
    <w:rsid w:val="00CC1264"/>
    <w:rsid w:val="00CC1E42"/>
    <w:rsid w:val="00CC319C"/>
    <w:rsid w:val="00CC474A"/>
    <w:rsid w:val="00CC48E7"/>
    <w:rsid w:val="00CC5024"/>
    <w:rsid w:val="00CC56D5"/>
    <w:rsid w:val="00CC5CFF"/>
    <w:rsid w:val="00CC63A1"/>
    <w:rsid w:val="00CD045D"/>
    <w:rsid w:val="00CD09A6"/>
    <w:rsid w:val="00CD09F1"/>
    <w:rsid w:val="00CD0AA7"/>
    <w:rsid w:val="00CD200E"/>
    <w:rsid w:val="00CD3152"/>
    <w:rsid w:val="00CD3516"/>
    <w:rsid w:val="00CD3A55"/>
    <w:rsid w:val="00CD3F00"/>
    <w:rsid w:val="00CD4375"/>
    <w:rsid w:val="00CD4670"/>
    <w:rsid w:val="00CD49AB"/>
    <w:rsid w:val="00CD51A7"/>
    <w:rsid w:val="00CD5645"/>
    <w:rsid w:val="00CD57BA"/>
    <w:rsid w:val="00CD5841"/>
    <w:rsid w:val="00CD662A"/>
    <w:rsid w:val="00CD67A5"/>
    <w:rsid w:val="00CD728C"/>
    <w:rsid w:val="00CD7809"/>
    <w:rsid w:val="00CD7A71"/>
    <w:rsid w:val="00CE0BAC"/>
    <w:rsid w:val="00CE0FD8"/>
    <w:rsid w:val="00CE164A"/>
    <w:rsid w:val="00CE1CB0"/>
    <w:rsid w:val="00CE1E96"/>
    <w:rsid w:val="00CE2E05"/>
    <w:rsid w:val="00CE3024"/>
    <w:rsid w:val="00CE357B"/>
    <w:rsid w:val="00CE3E2B"/>
    <w:rsid w:val="00CE4321"/>
    <w:rsid w:val="00CE4939"/>
    <w:rsid w:val="00CE5D19"/>
    <w:rsid w:val="00CE6E3A"/>
    <w:rsid w:val="00CE72E3"/>
    <w:rsid w:val="00CF0E17"/>
    <w:rsid w:val="00CF19AA"/>
    <w:rsid w:val="00CF28EF"/>
    <w:rsid w:val="00CF2F86"/>
    <w:rsid w:val="00CF3F27"/>
    <w:rsid w:val="00CF5508"/>
    <w:rsid w:val="00CF5BE7"/>
    <w:rsid w:val="00CF6731"/>
    <w:rsid w:val="00CF6825"/>
    <w:rsid w:val="00CF6DD0"/>
    <w:rsid w:val="00CF6EF3"/>
    <w:rsid w:val="00CF7872"/>
    <w:rsid w:val="00CF7F3C"/>
    <w:rsid w:val="00D0081E"/>
    <w:rsid w:val="00D00A95"/>
    <w:rsid w:val="00D03427"/>
    <w:rsid w:val="00D037AC"/>
    <w:rsid w:val="00D043DE"/>
    <w:rsid w:val="00D0445C"/>
    <w:rsid w:val="00D05824"/>
    <w:rsid w:val="00D1007E"/>
    <w:rsid w:val="00D101F6"/>
    <w:rsid w:val="00D10459"/>
    <w:rsid w:val="00D120F0"/>
    <w:rsid w:val="00D1228C"/>
    <w:rsid w:val="00D12BC2"/>
    <w:rsid w:val="00D1336A"/>
    <w:rsid w:val="00D13F3C"/>
    <w:rsid w:val="00D149AE"/>
    <w:rsid w:val="00D15278"/>
    <w:rsid w:val="00D1546A"/>
    <w:rsid w:val="00D15E7E"/>
    <w:rsid w:val="00D16AB1"/>
    <w:rsid w:val="00D17078"/>
    <w:rsid w:val="00D1731B"/>
    <w:rsid w:val="00D202F2"/>
    <w:rsid w:val="00D20B5D"/>
    <w:rsid w:val="00D20C5B"/>
    <w:rsid w:val="00D20D6B"/>
    <w:rsid w:val="00D21FE4"/>
    <w:rsid w:val="00D2225B"/>
    <w:rsid w:val="00D222BA"/>
    <w:rsid w:val="00D23080"/>
    <w:rsid w:val="00D2380A"/>
    <w:rsid w:val="00D24775"/>
    <w:rsid w:val="00D24B12"/>
    <w:rsid w:val="00D25451"/>
    <w:rsid w:val="00D255A3"/>
    <w:rsid w:val="00D26A6E"/>
    <w:rsid w:val="00D27154"/>
    <w:rsid w:val="00D2762A"/>
    <w:rsid w:val="00D30C27"/>
    <w:rsid w:val="00D30F4D"/>
    <w:rsid w:val="00D31429"/>
    <w:rsid w:val="00D31751"/>
    <w:rsid w:val="00D32CE8"/>
    <w:rsid w:val="00D34377"/>
    <w:rsid w:val="00D343EB"/>
    <w:rsid w:val="00D3452E"/>
    <w:rsid w:val="00D35860"/>
    <w:rsid w:val="00D35B3F"/>
    <w:rsid w:val="00D36099"/>
    <w:rsid w:val="00D36156"/>
    <w:rsid w:val="00D40FE3"/>
    <w:rsid w:val="00D42FBF"/>
    <w:rsid w:val="00D43008"/>
    <w:rsid w:val="00D43014"/>
    <w:rsid w:val="00D43BD4"/>
    <w:rsid w:val="00D44280"/>
    <w:rsid w:val="00D4445F"/>
    <w:rsid w:val="00D453EB"/>
    <w:rsid w:val="00D45697"/>
    <w:rsid w:val="00D46CE2"/>
    <w:rsid w:val="00D473B4"/>
    <w:rsid w:val="00D526D1"/>
    <w:rsid w:val="00D52A19"/>
    <w:rsid w:val="00D52AE0"/>
    <w:rsid w:val="00D537D1"/>
    <w:rsid w:val="00D53EE0"/>
    <w:rsid w:val="00D54106"/>
    <w:rsid w:val="00D550F5"/>
    <w:rsid w:val="00D55360"/>
    <w:rsid w:val="00D55628"/>
    <w:rsid w:val="00D56AD9"/>
    <w:rsid w:val="00D579ED"/>
    <w:rsid w:val="00D61A96"/>
    <w:rsid w:val="00D61DE2"/>
    <w:rsid w:val="00D62879"/>
    <w:rsid w:val="00D62E3F"/>
    <w:rsid w:val="00D62F09"/>
    <w:rsid w:val="00D64B66"/>
    <w:rsid w:val="00D66F44"/>
    <w:rsid w:val="00D675FC"/>
    <w:rsid w:val="00D71E7E"/>
    <w:rsid w:val="00D724CA"/>
    <w:rsid w:val="00D72852"/>
    <w:rsid w:val="00D72F18"/>
    <w:rsid w:val="00D739E5"/>
    <w:rsid w:val="00D739FD"/>
    <w:rsid w:val="00D74BBD"/>
    <w:rsid w:val="00D7626E"/>
    <w:rsid w:val="00D76283"/>
    <w:rsid w:val="00D80202"/>
    <w:rsid w:val="00D805C9"/>
    <w:rsid w:val="00D81DA9"/>
    <w:rsid w:val="00D82381"/>
    <w:rsid w:val="00D829C3"/>
    <w:rsid w:val="00D83B01"/>
    <w:rsid w:val="00D85659"/>
    <w:rsid w:val="00D8568B"/>
    <w:rsid w:val="00D85D35"/>
    <w:rsid w:val="00D872C0"/>
    <w:rsid w:val="00D874FB"/>
    <w:rsid w:val="00D907AD"/>
    <w:rsid w:val="00D918B6"/>
    <w:rsid w:val="00D91C86"/>
    <w:rsid w:val="00D92449"/>
    <w:rsid w:val="00D92DA7"/>
    <w:rsid w:val="00D93C0C"/>
    <w:rsid w:val="00D95988"/>
    <w:rsid w:val="00D9599B"/>
    <w:rsid w:val="00D95F6F"/>
    <w:rsid w:val="00D9630A"/>
    <w:rsid w:val="00D967F5"/>
    <w:rsid w:val="00D96BAC"/>
    <w:rsid w:val="00D96FDD"/>
    <w:rsid w:val="00D9705D"/>
    <w:rsid w:val="00D974B9"/>
    <w:rsid w:val="00D97607"/>
    <w:rsid w:val="00DA0CFE"/>
    <w:rsid w:val="00DA0DA2"/>
    <w:rsid w:val="00DA2FC8"/>
    <w:rsid w:val="00DA3160"/>
    <w:rsid w:val="00DA3885"/>
    <w:rsid w:val="00DA3CE6"/>
    <w:rsid w:val="00DA3CF2"/>
    <w:rsid w:val="00DA4611"/>
    <w:rsid w:val="00DA471E"/>
    <w:rsid w:val="00DA4881"/>
    <w:rsid w:val="00DA4F33"/>
    <w:rsid w:val="00DA4F44"/>
    <w:rsid w:val="00DA5433"/>
    <w:rsid w:val="00DA5F52"/>
    <w:rsid w:val="00DA6027"/>
    <w:rsid w:val="00DA63DC"/>
    <w:rsid w:val="00DA70DD"/>
    <w:rsid w:val="00DB02C7"/>
    <w:rsid w:val="00DB0931"/>
    <w:rsid w:val="00DB235F"/>
    <w:rsid w:val="00DB3500"/>
    <w:rsid w:val="00DB3E46"/>
    <w:rsid w:val="00DB3E5B"/>
    <w:rsid w:val="00DB6058"/>
    <w:rsid w:val="00DB627F"/>
    <w:rsid w:val="00DB6287"/>
    <w:rsid w:val="00DB6ADD"/>
    <w:rsid w:val="00DB735F"/>
    <w:rsid w:val="00DB7958"/>
    <w:rsid w:val="00DC0B9A"/>
    <w:rsid w:val="00DC101A"/>
    <w:rsid w:val="00DC1DD8"/>
    <w:rsid w:val="00DC1F9C"/>
    <w:rsid w:val="00DC2914"/>
    <w:rsid w:val="00DC3B97"/>
    <w:rsid w:val="00DC3ED8"/>
    <w:rsid w:val="00DC3F61"/>
    <w:rsid w:val="00DC3F74"/>
    <w:rsid w:val="00DC42F8"/>
    <w:rsid w:val="00DC52E0"/>
    <w:rsid w:val="00DC7798"/>
    <w:rsid w:val="00DD03B4"/>
    <w:rsid w:val="00DD0B5E"/>
    <w:rsid w:val="00DD13A8"/>
    <w:rsid w:val="00DD4AD5"/>
    <w:rsid w:val="00DD52C9"/>
    <w:rsid w:val="00DD5B1F"/>
    <w:rsid w:val="00DD5EA2"/>
    <w:rsid w:val="00DD71AA"/>
    <w:rsid w:val="00DD7366"/>
    <w:rsid w:val="00DD7F6C"/>
    <w:rsid w:val="00DE0127"/>
    <w:rsid w:val="00DE0631"/>
    <w:rsid w:val="00DE10D5"/>
    <w:rsid w:val="00DE1C5D"/>
    <w:rsid w:val="00DE2715"/>
    <w:rsid w:val="00DE3304"/>
    <w:rsid w:val="00DE3681"/>
    <w:rsid w:val="00DE5090"/>
    <w:rsid w:val="00DE523D"/>
    <w:rsid w:val="00DE5844"/>
    <w:rsid w:val="00DE6199"/>
    <w:rsid w:val="00DE6F1C"/>
    <w:rsid w:val="00DE7148"/>
    <w:rsid w:val="00DE7208"/>
    <w:rsid w:val="00DF04E9"/>
    <w:rsid w:val="00DF0EBC"/>
    <w:rsid w:val="00DF13C6"/>
    <w:rsid w:val="00DF14FE"/>
    <w:rsid w:val="00DF1639"/>
    <w:rsid w:val="00DF2F1E"/>
    <w:rsid w:val="00DF3E1D"/>
    <w:rsid w:val="00DF6A04"/>
    <w:rsid w:val="00DF6BD3"/>
    <w:rsid w:val="00DF79F6"/>
    <w:rsid w:val="00E00FF0"/>
    <w:rsid w:val="00E01722"/>
    <w:rsid w:val="00E01FE1"/>
    <w:rsid w:val="00E02321"/>
    <w:rsid w:val="00E02600"/>
    <w:rsid w:val="00E031F9"/>
    <w:rsid w:val="00E03254"/>
    <w:rsid w:val="00E03F87"/>
    <w:rsid w:val="00E0548E"/>
    <w:rsid w:val="00E0632D"/>
    <w:rsid w:val="00E06652"/>
    <w:rsid w:val="00E06702"/>
    <w:rsid w:val="00E072AE"/>
    <w:rsid w:val="00E10019"/>
    <w:rsid w:val="00E105C7"/>
    <w:rsid w:val="00E10C40"/>
    <w:rsid w:val="00E121F2"/>
    <w:rsid w:val="00E13520"/>
    <w:rsid w:val="00E13975"/>
    <w:rsid w:val="00E1437D"/>
    <w:rsid w:val="00E156D4"/>
    <w:rsid w:val="00E15BB2"/>
    <w:rsid w:val="00E164CC"/>
    <w:rsid w:val="00E176C5"/>
    <w:rsid w:val="00E21948"/>
    <w:rsid w:val="00E21C93"/>
    <w:rsid w:val="00E23CDA"/>
    <w:rsid w:val="00E2561B"/>
    <w:rsid w:val="00E25CA6"/>
    <w:rsid w:val="00E25F44"/>
    <w:rsid w:val="00E265D7"/>
    <w:rsid w:val="00E267F4"/>
    <w:rsid w:val="00E26B0F"/>
    <w:rsid w:val="00E26D58"/>
    <w:rsid w:val="00E27629"/>
    <w:rsid w:val="00E2788A"/>
    <w:rsid w:val="00E30319"/>
    <w:rsid w:val="00E321B0"/>
    <w:rsid w:val="00E3258B"/>
    <w:rsid w:val="00E34F4A"/>
    <w:rsid w:val="00E35222"/>
    <w:rsid w:val="00E35AA9"/>
    <w:rsid w:val="00E36D2B"/>
    <w:rsid w:val="00E4044B"/>
    <w:rsid w:val="00E420E7"/>
    <w:rsid w:val="00E42345"/>
    <w:rsid w:val="00E4268A"/>
    <w:rsid w:val="00E42904"/>
    <w:rsid w:val="00E42E04"/>
    <w:rsid w:val="00E436AE"/>
    <w:rsid w:val="00E43B23"/>
    <w:rsid w:val="00E43ED3"/>
    <w:rsid w:val="00E45B64"/>
    <w:rsid w:val="00E4647F"/>
    <w:rsid w:val="00E464E5"/>
    <w:rsid w:val="00E473B3"/>
    <w:rsid w:val="00E504C3"/>
    <w:rsid w:val="00E5092F"/>
    <w:rsid w:val="00E50B26"/>
    <w:rsid w:val="00E51882"/>
    <w:rsid w:val="00E51FFA"/>
    <w:rsid w:val="00E521D6"/>
    <w:rsid w:val="00E53235"/>
    <w:rsid w:val="00E536B6"/>
    <w:rsid w:val="00E5407B"/>
    <w:rsid w:val="00E540EA"/>
    <w:rsid w:val="00E54CAE"/>
    <w:rsid w:val="00E54D27"/>
    <w:rsid w:val="00E55228"/>
    <w:rsid w:val="00E55440"/>
    <w:rsid w:val="00E5591E"/>
    <w:rsid w:val="00E55BD2"/>
    <w:rsid w:val="00E56A12"/>
    <w:rsid w:val="00E57588"/>
    <w:rsid w:val="00E57900"/>
    <w:rsid w:val="00E60240"/>
    <w:rsid w:val="00E6279A"/>
    <w:rsid w:val="00E665D2"/>
    <w:rsid w:val="00E72039"/>
    <w:rsid w:val="00E73795"/>
    <w:rsid w:val="00E748D0"/>
    <w:rsid w:val="00E74FB6"/>
    <w:rsid w:val="00E7585A"/>
    <w:rsid w:val="00E76ABA"/>
    <w:rsid w:val="00E76ED9"/>
    <w:rsid w:val="00E7715C"/>
    <w:rsid w:val="00E7754F"/>
    <w:rsid w:val="00E778D5"/>
    <w:rsid w:val="00E7798F"/>
    <w:rsid w:val="00E807C6"/>
    <w:rsid w:val="00E814EE"/>
    <w:rsid w:val="00E81C41"/>
    <w:rsid w:val="00E8206B"/>
    <w:rsid w:val="00E83AE6"/>
    <w:rsid w:val="00E85B45"/>
    <w:rsid w:val="00E85F21"/>
    <w:rsid w:val="00E86BBC"/>
    <w:rsid w:val="00E87EE0"/>
    <w:rsid w:val="00E901B5"/>
    <w:rsid w:val="00E9031A"/>
    <w:rsid w:val="00E90E0F"/>
    <w:rsid w:val="00E92226"/>
    <w:rsid w:val="00E92A7F"/>
    <w:rsid w:val="00E935E6"/>
    <w:rsid w:val="00E93665"/>
    <w:rsid w:val="00E93FA8"/>
    <w:rsid w:val="00E95668"/>
    <w:rsid w:val="00E95EC2"/>
    <w:rsid w:val="00EA0038"/>
    <w:rsid w:val="00EA0C11"/>
    <w:rsid w:val="00EA0FFE"/>
    <w:rsid w:val="00EA1D1F"/>
    <w:rsid w:val="00EA24A0"/>
    <w:rsid w:val="00EA2FF0"/>
    <w:rsid w:val="00EA3474"/>
    <w:rsid w:val="00EA3F81"/>
    <w:rsid w:val="00EA461D"/>
    <w:rsid w:val="00EA5DEC"/>
    <w:rsid w:val="00EA6BDC"/>
    <w:rsid w:val="00EB011D"/>
    <w:rsid w:val="00EB074D"/>
    <w:rsid w:val="00EB1874"/>
    <w:rsid w:val="00EB2997"/>
    <w:rsid w:val="00EB3429"/>
    <w:rsid w:val="00EB3D6D"/>
    <w:rsid w:val="00EB5754"/>
    <w:rsid w:val="00EB589F"/>
    <w:rsid w:val="00EC0520"/>
    <w:rsid w:val="00EC0777"/>
    <w:rsid w:val="00EC097F"/>
    <w:rsid w:val="00EC09EF"/>
    <w:rsid w:val="00EC1459"/>
    <w:rsid w:val="00EC225B"/>
    <w:rsid w:val="00EC2683"/>
    <w:rsid w:val="00EC347D"/>
    <w:rsid w:val="00EC55B5"/>
    <w:rsid w:val="00EC6ABF"/>
    <w:rsid w:val="00ED011F"/>
    <w:rsid w:val="00ED0A9A"/>
    <w:rsid w:val="00ED0D72"/>
    <w:rsid w:val="00ED0F98"/>
    <w:rsid w:val="00ED1292"/>
    <w:rsid w:val="00ED12C2"/>
    <w:rsid w:val="00ED1800"/>
    <w:rsid w:val="00ED1CC0"/>
    <w:rsid w:val="00ED3318"/>
    <w:rsid w:val="00ED36F2"/>
    <w:rsid w:val="00ED39E1"/>
    <w:rsid w:val="00ED55BC"/>
    <w:rsid w:val="00EE008D"/>
    <w:rsid w:val="00EE16F1"/>
    <w:rsid w:val="00EE226B"/>
    <w:rsid w:val="00EE23BB"/>
    <w:rsid w:val="00EE2D11"/>
    <w:rsid w:val="00EE3211"/>
    <w:rsid w:val="00EE3C37"/>
    <w:rsid w:val="00EE3E04"/>
    <w:rsid w:val="00EE5287"/>
    <w:rsid w:val="00EE64FA"/>
    <w:rsid w:val="00EE693B"/>
    <w:rsid w:val="00EE6E27"/>
    <w:rsid w:val="00EE73D6"/>
    <w:rsid w:val="00EE7407"/>
    <w:rsid w:val="00EF004F"/>
    <w:rsid w:val="00EF00E7"/>
    <w:rsid w:val="00EF1121"/>
    <w:rsid w:val="00EF1123"/>
    <w:rsid w:val="00EF196B"/>
    <w:rsid w:val="00EF3661"/>
    <w:rsid w:val="00EF38BF"/>
    <w:rsid w:val="00EF5AED"/>
    <w:rsid w:val="00EF5CA4"/>
    <w:rsid w:val="00EF6252"/>
    <w:rsid w:val="00EF680B"/>
    <w:rsid w:val="00EF699D"/>
    <w:rsid w:val="00EF75F4"/>
    <w:rsid w:val="00EF761B"/>
    <w:rsid w:val="00EF77DA"/>
    <w:rsid w:val="00EF7876"/>
    <w:rsid w:val="00F013A6"/>
    <w:rsid w:val="00F0266E"/>
    <w:rsid w:val="00F05E29"/>
    <w:rsid w:val="00F05E67"/>
    <w:rsid w:val="00F07AC8"/>
    <w:rsid w:val="00F11D2F"/>
    <w:rsid w:val="00F12883"/>
    <w:rsid w:val="00F128F8"/>
    <w:rsid w:val="00F13002"/>
    <w:rsid w:val="00F13BC0"/>
    <w:rsid w:val="00F150D4"/>
    <w:rsid w:val="00F174FD"/>
    <w:rsid w:val="00F17B14"/>
    <w:rsid w:val="00F20DE7"/>
    <w:rsid w:val="00F20E63"/>
    <w:rsid w:val="00F21E84"/>
    <w:rsid w:val="00F230C8"/>
    <w:rsid w:val="00F24056"/>
    <w:rsid w:val="00F241B5"/>
    <w:rsid w:val="00F244B0"/>
    <w:rsid w:val="00F25F03"/>
    <w:rsid w:val="00F26006"/>
    <w:rsid w:val="00F26B86"/>
    <w:rsid w:val="00F2735E"/>
    <w:rsid w:val="00F278C2"/>
    <w:rsid w:val="00F312AC"/>
    <w:rsid w:val="00F313AF"/>
    <w:rsid w:val="00F3149D"/>
    <w:rsid w:val="00F3173F"/>
    <w:rsid w:val="00F320D4"/>
    <w:rsid w:val="00F32657"/>
    <w:rsid w:val="00F32B96"/>
    <w:rsid w:val="00F34981"/>
    <w:rsid w:val="00F37B70"/>
    <w:rsid w:val="00F40397"/>
    <w:rsid w:val="00F403AB"/>
    <w:rsid w:val="00F40EF4"/>
    <w:rsid w:val="00F41E89"/>
    <w:rsid w:val="00F422EF"/>
    <w:rsid w:val="00F42855"/>
    <w:rsid w:val="00F42A07"/>
    <w:rsid w:val="00F42AC6"/>
    <w:rsid w:val="00F441AF"/>
    <w:rsid w:val="00F44363"/>
    <w:rsid w:val="00F466B1"/>
    <w:rsid w:val="00F47A91"/>
    <w:rsid w:val="00F47BAB"/>
    <w:rsid w:val="00F50380"/>
    <w:rsid w:val="00F51D61"/>
    <w:rsid w:val="00F524B5"/>
    <w:rsid w:val="00F528E8"/>
    <w:rsid w:val="00F52CE6"/>
    <w:rsid w:val="00F532EC"/>
    <w:rsid w:val="00F55584"/>
    <w:rsid w:val="00F5571F"/>
    <w:rsid w:val="00F55E4E"/>
    <w:rsid w:val="00F56B9D"/>
    <w:rsid w:val="00F56BB5"/>
    <w:rsid w:val="00F571D7"/>
    <w:rsid w:val="00F574DC"/>
    <w:rsid w:val="00F613EA"/>
    <w:rsid w:val="00F624F1"/>
    <w:rsid w:val="00F636FF"/>
    <w:rsid w:val="00F63FE1"/>
    <w:rsid w:val="00F65831"/>
    <w:rsid w:val="00F65DB1"/>
    <w:rsid w:val="00F66855"/>
    <w:rsid w:val="00F66BE0"/>
    <w:rsid w:val="00F70147"/>
    <w:rsid w:val="00F713D7"/>
    <w:rsid w:val="00F71C5C"/>
    <w:rsid w:val="00F72251"/>
    <w:rsid w:val="00F72289"/>
    <w:rsid w:val="00F730D1"/>
    <w:rsid w:val="00F74059"/>
    <w:rsid w:val="00F740B5"/>
    <w:rsid w:val="00F74F01"/>
    <w:rsid w:val="00F75B7C"/>
    <w:rsid w:val="00F7656D"/>
    <w:rsid w:val="00F7716B"/>
    <w:rsid w:val="00F8230E"/>
    <w:rsid w:val="00F84A90"/>
    <w:rsid w:val="00F855E3"/>
    <w:rsid w:val="00F85673"/>
    <w:rsid w:val="00F872A9"/>
    <w:rsid w:val="00F9074A"/>
    <w:rsid w:val="00F92ECF"/>
    <w:rsid w:val="00F93D57"/>
    <w:rsid w:val="00F9437E"/>
    <w:rsid w:val="00F944A2"/>
    <w:rsid w:val="00F948BA"/>
    <w:rsid w:val="00F94BCD"/>
    <w:rsid w:val="00F97436"/>
    <w:rsid w:val="00FA014D"/>
    <w:rsid w:val="00FA01BA"/>
    <w:rsid w:val="00FA047C"/>
    <w:rsid w:val="00FA084A"/>
    <w:rsid w:val="00FA13A3"/>
    <w:rsid w:val="00FA15FC"/>
    <w:rsid w:val="00FA3F40"/>
    <w:rsid w:val="00FA50EE"/>
    <w:rsid w:val="00FA5BFD"/>
    <w:rsid w:val="00FA7111"/>
    <w:rsid w:val="00FA7682"/>
    <w:rsid w:val="00FB040A"/>
    <w:rsid w:val="00FB15B6"/>
    <w:rsid w:val="00FB2209"/>
    <w:rsid w:val="00FB3B52"/>
    <w:rsid w:val="00FB6AC4"/>
    <w:rsid w:val="00FC09C6"/>
    <w:rsid w:val="00FC0E1D"/>
    <w:rsid w:val="00FC30DA"/>
    <w:rsid w:val="00FC40B3"/>
    <w:rsid w:val="00FD1225"/>
    <w:rsid w:val="00FD20C6"/>
    <w:rsid w:val="00FD255B"/>
    <w:rsid w:val="00FD2E11"/>
    <w:rsid w:val="00FD460D"/>
    <w:rsid w:val="00FD4804"/>
    <w:rsid w:val="00FD506E"/>
    <w:rsid w:val="00FD5395"/>
    <w:rsid w:val="00FD557A"/>
    <w:rsid w:val="00FD6014"/>
    <w:rsid w:val="00FD6418"/>
    <w:rsid w:val="00FD70ED"/>
    <w:rsid w:val="00FD7573"/>
    <w:rsid w:val="00FD7B81"/>
    <w:rsid w:val="00FD7B98"/>
    <w:rsid w:val="00FE0AC9"/>
    <w:rsid w:val="00FE29AA"/>
    <w:rsid w:val="00FE3415"/>
    <w:rsid w:val="00FE37D3"/>
    <w:rsid w:val="00FE5197"/>
    <w:rsid w:val="00FE59C7"/>
    <w:rsid w:val="00FE6093"/>
    <w:rsid w:val="00FE6D1B"/>
    <w:rsid w:val="00FE78C6"/>
    <w:rsid w:val="00FE79AA"/>
    <w:rsid w:val="00FE7DEF"/>
    <w:rsid w:val="00FF0C23"/>
    <w:rsid w:val="00FF127B"/>
    <w:rsid w:val="00FF3C8F"/>
    <w:rsid w:val="00FF3D37"/>
    <w:rsid w:val="00FF3E62"/>
    <w:rsid w:val="00FF4F84"/>
    <w:rsid w:val="00FF535D"/>
    <w:rsid w:val="00FF58AC"/>
    <w:rsid w:val="00FF5C98"/>
    <w:rsid w:val="00FF6381"/>
    <w:rsid w:val="00FF679D"/>
    <w:rsid w:val="00FF6DB2"/>
    <w:rsid w:val="00FF7E2F"/>
    <w:rsid w:val="010E6107"/>
    <w:rsid w:val="01382DB4"/>
    <w:rsid w:val="01423649"/>
    <w:rsid w:val="01457F6F"/>
    <w:rsid w:val="01747D1E"/>
    <w:rsid w:val="01C43576"/>
    <w:rsid w:val="01C47CF3"/>
    <w:rsid w:val="01C96287"/>
    <w:rsid w:val="01CF1907"/>
    <w:rsid w:val="01E4051A"/>
    <w:rsid w:val="01F178BE"/>
    <w:rsid w:val="021C71F5"/>
    <w:rsid w:val="023006A7"/>
    <w:rsid w:val="0252665D"/>
    <w:rsid w:val="025F19CF"/>
    <w:rsid w:val="0285316A"/>
    <w:rsid w:val="028A13E5"/>
    <w:rsid w:val="029564D7"/>
    <w:rsid w:val="02FF7A7B"/>
    <w:rsid w:val="035203D6"/>
    <w:rsid w:val="03610DE0"/>
    <w:rsid w:val="0361681B"/>
    <w:rsid w:val="03914CEF"/>
    <w:rsid w:val="03ED1CC0"/>
    <w:rsid w:val="03EE1902"/>
    <w:rsid w:val="04253FDA"/>
    <w:rsid w:val="045A77D7"/>
    <w:rsid w:val="045C66B2"/>
    <w:rsid w:val="04641540"/>
    <w:rsid w:val="0475354E"/>
    <w:rsid w:val="048A515F"/>
    <w:rsid w:val="0491498E"/>
    <w:rsid w:val="04A41675"/>
    <w:rsid w:val="04B65C6F"/>
    <w:rsid w:val="04C837E3"/>
    <w:rsid w:val="04D253F8"/>
    <w:rsid w:val="04FD71C5"/>
    <w:rsid w:val="05084354"/>
    <w:rsid w:val="0515416E"/>
    <w:rsid w:val="0525422D"/>
    <w:rsid w:val="05460C55"/>
    <w:rsid w:val="056B1564"/>
    <w:rsid w:val="058B77B2"/>
    <w:rsid w:val="05A671DA"/>
    <w:rsid w:val="05B9261D"/>
    <w:rsid w:val="0623601E"/>
    <w:rsid w:val="06302DB6"/>
    <w:rsid w:val="06597543"/>
    <w:rsid w:val="067D155B"/>
    <w:rsid w:val="06981DF9"/>
    <w:rsid w:val="06C550DB"/>
    <w:rsid w:val="06D0743C"/>
    <w:rsid w:val="06F7755F"/>
    <w:rsid w:val="071E63F3"/>
    <w:rsid w:val="075E2523"/>
    <w:rsid w:val="07944BFB"/>
    <w:rsid w:val="07A36A9F"/>
    <w:rsid w:val="07A64AE1"/>
    <w:rsid w:val="07D26F91"/>
    <w:rsid w:val="08377730"/>
    <w:rsid w:val="08422A5C"/>
    <w:rsid w:val="086C26E0"/>
    <w:rsid w:val="08822685"/>
    <w:rsid w:val="088C0A16"/>
    <w:rsid w:val="08C52D6F"/>
    <w:rsid w:val="08C701BC"/>
    <w:rsid w:val="0929584C"/>
    <w:rsid w:val="092E340E"/>
    <w:rsid w:val="093431FC"/>
    <w:rsid w:val="094B3B92"/>
    <w:rsid w:val="0966617B"/>
    <w:rsid w:val="0986540A"/>
    <w:rsid w:val="09DD2B7E"/>
    <w:rsid w:val="09DE12BD"/>
    <w:rsid w:val="09DF5A3E"/>
    <w:rsid w:val="0A1039BB"/>
    <w:rsid w:val="0A1F64AE"/>
    <w:rsid w:val="0A2464AA"/>
    <w:rsid w:val="0A264213"/>
    <w:rsid w:val="0A303D95"/>
    <w:rsid w:val="0A4038E0"/>
    <w:rsid w:val="0A8623B3"/>
    <w:rsid w:val="0A9860DD"/>
    <w:rsid w:val="0AB063A2"/>
    <w:rsid w:val="0B243B52"/>
    <w:rsid w:val="0B591E2E"/>
    <w:rsid w:val="0B6049A4"/>
    <w:rsid w:val="0B982B1A"/>
    <w:rsid w:val="0BBC2B25"/>
    <w:rsid w:val="0BCD1763"/>
    <w:rsid w:val="0C1D75EE"/>
    <w:rsid w:val="0C340569"/>
    <w:rsid w:val="0C5F0057"/>
    <w:rsid w:val="0C691C6B"/>
    <w:rsid w:val="0C7451AE"/>
    <w:rsid w:val="0C890D10"/>
    <w:rsid w:val="0CB50A66"/>
    <w:rsid w:val="0CB72334"/>
    <w:rsid w:val="0CBB102F"/>
    <w:rsid w:val="0CC06DF7"/>
    <w:rsid w:val="0DAF4501"/>
    <w:rsid w:val="0DEF62B6"/>
    <w:rsid w:val="0E3C75E8"/>
    <w:rsid w:val="0E43752E"/>
    <w:rsid w:val="0E4C30EB"/>
    <w:rsid w:val="0E5C591E"/>
    <w:rsid w:val="0E617934"/>
    <w:rsid w:val="0E8343A6"/>
    <w:rsid w:val="0E8419FF"/>
    <w:rsid w:val="0EEA0A05"/>
    <w:rsid w:val="0EEE65D1"/>
    <w:rsid w:val="0F0273A3"/>
    <w:rsid w:val="0F4E27DE"/>
    <w:rsid w:val="0F6D2474"/>
    <w:rsid w:val="0F6D575B"/>
    <w:rsid w:val="0F8B645F"/>
    <w:rsid w:val="0F971E23"/>
    <w:rsid w:val="0FAB02B9"/>
    <w:rsid w:val="0FE02217"/>
    <w:rsid w:val="102333CF"/>
    <w:rsid w:val="103A162C"/>
    <w:rsid w:val="106A0522"/>
    <w:rsid w:val="107431BA"/>
    <w:rsid w:val="10956CD9"/>
    <w:rsid w:val="109B03CC"/>
    <w:rsid w:val="109E452C"/>
    <w:rsid w:val="10F54C7E"/>
    <w:rsid w:val="11127111"/>
    <w:rsid w:val="11151235"/>
    <w:rsid w:val="113D42B9"/>
    <w:rsid w:val="11515D18"/>
    <w:rsid w:val="11645423"/>
    <w:rsid w:val="118B5AD6"/>
    <w:rsid w:val="11942369"/>
    <w:rsid w:val="122C1B04"/>
    <w:rsid w:val="122C6060"/>
    <w:rsid w:val="12777F79"/>
    <w:rsid w:val="12912E05"/>
    <w:rsid w:val="12A44024"/>
    <w:rsid w:val="12A97B84"/>
    <w:rsid w:val="13223AF1"/>
    <w:rsid w:val="13327318"/>
    <w:rsid w:val="13327FF2"/>
    <w:rsid w:val="13451321"/>
    <w:rsid w:val="134770B1"/>
    <w:rsid w:val="13887B1A"/>
    <w:rsid w:val="13923D54"/>
    <w:rsid w:val="13AA413F"/>
    <w:rsid w:val="13D778B6"/>
    <w:rsid w:val="13E62E35"/>
    <w:rsid w:val="140B4870"/>
    <w:rsid w:val="14162C01"/>
    <w:rsid w:val="142469A5"/>
    <w:rsid w:val="143015E2"/>
    <w:rsid w:val="14565413"/>
    <w:rsid w:val="14D56784"/>
    <w:rsid w:val="14E4621D"/>
    <w:rsid w:val="15003A82"/>
    <w:rsid w:val="1508348E"/>
    <w:rsid w:val="150E2655"/>
    <w:rsid w:val="151F2260"/>
    <w:rsid w:val="15203C88"/>
    <w:rsid w:val="15242DBE"/>
    <w:rsid w:val="1526273B"/>
    <w:rsid w:val="15317A6C"/>
    <w:rsid w:val="154842EA"/>
    <w:rsid w:val="15B21729"/>
    <w:rsid w:val="15EB4E7C"/>
    <w:rsid w:val="15F92FD8"/>
    <w:rsid w:val="161B48EC"/>
    <w:rsid w:val="1620557D"/>
    <w:rsid w:val="167071E4"/>
    <w:rsid w:val="16733962"/>
    <w:rsid w:val="16757268"/>
    <w:rsid w:val="168E0488"/>
    <w:rsid w:val="16997AD2"/>
    <w:rsid w:val="16AC5172"/>
    <w:rsid w:val="16B3479E"/>
    <w:rsid w:val="16C42BE6"/>
    <w:rsid w:val="16FF19EA"/>
    <w:rsid w:val="170B670F"/>
    <w:rsid w:val="172179B8"/>
    <w:rsid w:val="1727563E"/>
    <w:rsid w:val="17850FB1"/>
    <w:rsid w:val="17DC4231"/>
    <w:rsid w:val="180E3DC2"/>
    <w:rsid w:val="18125D1A"/>
    <w:rsid w:val="182944A3"/>
    <w:rsid w:val="1852743B"/>
    <w:rsid w:val="185C1A45"/>
    <w:rsid w:val="188B43D5"/>
    <w:rsid w:val="19024013"/>
    <w:rsid w:val="191F7377"/>
    <w:rsid w:val="19414DFD"/>
    <w:rsid w:val="19420680"/>
    <w:rsid w:val="194C318E"/>
    <w:rsid w:val="1979635F"/>
    <w:rsid w:val="19AF5431"/>
    <w:rsid w:val="19BF22BF"/>
    <w:rsid w:val="19CF3767"/>
    <w:rsid w:val="19D528C7"/>
    <w:rsid w:val="19E96131"/>
    <w:rsid w:val="1A1041D0"/>
    <w:rsid w:val="1A247A97"/>
    <w:rsid w:val="1A3A7593"/>
    <w:rsid w:val="1A7C1301"/>
    <w:rsid w:val="1A9C7638"/>
    <w:rsid w:val="1AA530AD"/>
    <w:rsid w:val="1AFB58F2"/>
    <w:rsid w:val="1B2E3201"/>
    <w:rsid w:val="1B376301"/>
    <w:rsid w:val="1B380F38"/>
    <w:rsid w:val="1B415452"/>
    <w:rsid w:val="1B6B6A0B"/>
    <w:rsid w:val="1B764049"/>
    <w:rsid w:val="1C154F6E"/>
    <w:rsid w:val="1C197E29"/>
    <w:rsid w:val="1C262D11"/>
    <w:rsid w:val="1C4A49B2"/>
    <w:rsid w:val="1C4F6C7E"/>
    <w:rsid w:val="1C5172BA"/>
    <w:rsid w:val="1C625C9F"/>
    <w:rsid w:val="1C912F6B"/>
    <w:rsid w:val="1CD30C0D"/>
    <w:rsid w:val="1D03247A"/>
    <w:rsid w:val="1D047EAE"/>
    <w:rsid w:val="1D320DF5"/>
    <w:rsid w:val="1D6E70D6"/>
    <w:rsid w:val="1D7A568E"/>
    <w:rsid w:val="1DB530CD"/>
    <w:rsid w:val="1DC23799"/>
    <w:rsid w:val="1DD8637C"/>
    <w:rsid w:val="1E2101FE"/>
    <w:rsid w:val="1E3B28B6"/>
    <w:rsid w:val="1E5E66D2"/>
    <w:rsid w:val="1EA416D1"/>
    <w:rsid w:val="1EA4585B"/>
    <w:rsid w:val="1EE61241"/>
    <w:rsid w:val="1EF06882"/>
    <w:rsid w:val="1F010A0B"/>
    <w:rsid w:val="1F06691B"/>
    <w:rsid w:val="1F1C0F96"/>
    <w:rsid w:val="1F1F7A4B"/>
    <w:rsid w:val="1F271CAA"/>
    <w:rsid w:val="1F3C63CC"/>
    <w:rsid w:val="1F8A0ACB"/>
    <w:rsid w:val="1F92518E"/>
    <w:rsid w:val="1FCD7EB9"/>
    <w:rsid w:val="1FE926FE"/>
    <w:rsid w:val="200A5B20"/>
    <w:rsid w:val="20163B31"/>
    <w:rsid w:val="20201EC2"/>
    <w:rsid w:val="20220951"/>
    <w:rsid w:val="204C14F0"/>
    <w:rsid w:val="20585C30"/>
    <w:rsid w:val="206A5249"/>
    <w:rsid w:val="207A3E5E"/>
    <w:rsid w:val="20D17AAC"/>
    <w:rsid w:val="20E91E42"/>
    <w:rsid w:val="20EF3C66"/>
    <w:rsid w:val="21386C7B"/>
    <w:rsid w:val="21935C7E"/>
    <w:rsid w:val="21C34CF0"/>
    <w:rsid w:val="21C76D7B"/>
    <w:rsid w:val="21E736FC"/>
    <w:rsid w:val="21F44835"/>
    <w:rsid w:val="221E3F06"/>
    <w:rsid w:val="22587EB6"/>
    <w:rsid w:val="22645564"/>
    <w:rsid w:val="229628CB"/>
    <w:rsid w:val="22CC223E"/>
    <w:rsid w:val="22D20532"/>
    <w:rsid w:val="22D66F38"/>
    <w:rsid w:val="22DC346F"/>
    <w:rsid w:val="230756AC"/>
    <w:rsid w:val="232A43DD"/>
    <w:rsid w:val="23341EBB"/>
    <w:rsid w:val="23580F2E"/>
    <w:rsid w:val="2364201F"/>
    <w:rsid w:val="23A52A88"/>
    <w:rsid w:val="23B0469D"/>
    <w:rsid w:val="23C1773C"/>
    <w:rsid w:val="24470995"/>
    <w:rsid w:val="24482291"/>
    <w:rsid w:val="24674FCB"/>
    <w:rsid w:val="252A6FED"/>
    <w:rsid w:val="253F1428"/>
    <w:rsid w:val="2562407F"/>
    <w:rsid w:val="256C1795"/>
    <w:rsid w:val="25A8151C"/>
    <w:rsid w:val="25C87B3D"/>
    <w:rsid w:val="260F5480"/>
    <w:rsid w:val="262A565F"/>
    <w:rsid w:val="269D1C78"/>
    <w:rsid w:val="26A06F6E"/>
    <w:rsid w:val="26B639D7"/>
    <w:rsid w:val="26DE0FD1"/>
    <w:rsid w:val="26E31B2E"/>
    <w:rsid w:val="26EE1790"/>
    <w:rsid w:val="2781405D"/>
    <w:rsid w:val="280B3FC1"/>
    <w:rsid w:val="285A40FB"/>
    <w:rsid w:val="285E3505"/>
    <w:rsid w:val="286233FC"/>
    <w:rsid w:val="287149A1"/>
    <w:rsid w:val="28AF344A"/>
    <w:rsid w:val="28B14910"/>
    <w:rsid w:val="28BF25E3"/>
    <w:rsid w:val="28DC6898"/>
    <w:rsid w:val="29854031"/>
    <w:rsid w:val="29880BEA"/>
    <w:rsid w:val="29980F12"/>
    <w:rsid w:val="2A1A4572"/>
    <w:rsid w:val="2A230DAE"/>
    <w:rsid w:val="2A3B04C1"/>
    <w:rsid w:val="2A423861"/>
    <w:rsid w:val="2AB22C1B"/>
    <w:rsid w:val="2AEA3A1A"/>
    <w:rsid w:val="2B267866"/>
    <w:rsid w:val="2B320F6B"/>
    <w:rsid w:val="2B3C72FC"/>
    <w:rsid w:val="2B6A4FC2"/>
    <w:rsid w:val="2B841FE9"/>
    <w:rsid w:val="2BCC7E8E"/>
    <w:rsid w:val="2BD22C0B"/>
    <w:rsid w:val="2C25678C"/>
    <w:rsid w:val="2C3253FB"/>
    <w:rsid w:val="2C3B2E86"/>
    <w:rsid w:val="2CEF21C5"/>
    <w:rsid w:val="2D3102E5"/>
    <w:rsid w:val="2D3364CE"/>
    <w:rsid w:val="2D376058"/>
    <w:rsid w:val="2D452F54"/>
    <w:rsid w:val="2D5A676F"/>
    <w:rsid w:val="2DBD6096"/>
    <w:rsid w:val="2DC77CAA"/>
    <w:rsid w:val="2DE26AA6"/>
    <w:rsid w:val="2E1A1742"/>
    <w:rsid w:val="2E5444D3"/>
    <w:rsid w:val="2ECC1AD7"/>
    <w:rsid w:val="2ED72669"/>
    <w:rsid w:val="2F0B32F8"/>
    <w:rsid w:val="2F0D2540"/>
    <w:rsid w:val="2F317156"/>
    <w:rsid w:val="2F386C07"/>
    <w:rsid w:val="2F571D98"/>
    <w:rsid w:val="2F7552B2"/>
    <w:rsid w:val="2F9D7121"/>
    <w:rsid w:val="2FD62A87"/>
    <w:rsid w:val="2FF21A69"/>
    <w:rsid w:val="303111DD"/>
    <w:rsid w:val="305D6C29"/>
    <w:rsid w:val="306774CB"/>
    <w:rsid w:val="307D149D"/>
    <w:rsid w:val="30C10EB6"/>
    <w:rsid w:val="30C44089"/>
    <w:rsid w:val="30D163DD"/>
    <w:rsid w:val="30D7336F"/>
    <w:rsid w:val="30E531BD"/>
    <w:rsid w:val="30EB624E"/>
    <w:rsid w:val="30EC6A9B"/>
    <w:rsid w:val="311D09DC"/>
    <w:rsid w:val="312F5E08"/>
    <w:rsid w:val="31411253"/>
    <w:rsid w:val="3157337F"/>
    <w:rsid w:val="318254C8"/>
    <w:rsid w:val="31870B7D"/>
    <w:rsid w:val="319A5D04"/>
    <w:rsid w:val="31A17BC3"/>
    <w:rsid w:val="31F9640B"/>
    <w:rsid w:val="3204001F"/>
    <w:rsid w:val="32242AD2"/>
    <w:rsid w:val="322A3DF1"/>
    <w:rsid w:val="328234D4"/>
    <w:rsid w:val="328E1B6C"/>
    <w:rsid w:val="32C91C94"/>
    <w:rsid w:val="32F93DAF"/>
    <w:rsid w:val="32FF2902"/>
    <w:rsid w:val="330672EA"/>
    <w:rsid w:val="33322B72"/>
    <w:rsid w:val="33391532"/>
    <w:rsid w:val="333F0CA1"/>
    <w:rsid w:val="33C92B36"/>
    <w:rsid w:val="33CE41B8"/>
    <w:rsid w:val="33D72119"/>
    <w:rsid w:val="33DC6658"/>
    <w:rsid w:val="33F73CD2"/>
    <w:rsid w:val="34270272"/>
    <w:rsid w:val="343B01DB"/>
    <w:rsid w:val="343B5701"/>
    <w:rsid w:val="344779A5"/>
    <w:rsid w:val="345532A4"/>
    <w:rsid w:val="34554598"/>
    <w:rsid w:val="34933B51"/>
    <w:rsid w:val="34A90CC0"/>
    <w:rsid w:val="34B01D39"/>
    <w:rsid w:val="34F27A73"/>
    <w:rsid w:val="35216666"/>
    <w:rsid w:val="352A2CFC"/>
    <w:rsid w:val="353F7ACA"/>
    <w:rsid w:val="358E1AEB"/>
    <w:rsid w:val="35B80C45"/>
    <w:rsid w:val="35C032BE"/>
    <w:rsid w:val="35D579E0"/>
    <w:rsid w:val="366D46DB"/>
    <w:rsid w:val="36820DFD"/>
    <w:rsid w:val="368D718F"/>
    <w:rsid w:val="36D44917"/>
    <w:rsid w:val="36DB4D0F"/>
    <w:rsid w:val="370B29C9"/>
    <w:rsid w:val="371812F1"/>
    <w:rsid w:val="375201D1"/>
    <w:rsid w:val="378E453E"/>
    <w:rsid w:val="37910FBB"/>
    <w:rsid w:val="37BD5302"/>
    <w:rsid w:val="37CF27BA"/>
    <w:rsid w:val="37DA7D0B"/>
    <w:rsid w:val="3801031D"/>
    <w:rsid w:val="3810198E"/>
    <w:rsid w:val="384A2968"/>
    <w:rsid w:val="385641FC"/>
    <w:rsid w:val="385A6D1E"/>
    <w:rsid w:val="386B671F"/>
    <w:rsid w:val="38EE3475"/>
    <w:rsid w:val="390A7481"/>
    <w:rsid w:val="39385E8A"/>
    <w:rsid w:val="393941D4"/>
    <w:rsid w:val="393F0C84"/>
    <w:rsid w:val="39BB7346"/>
    <w:rsid w:val="39D20B92"/>
    <w:rsid w:val="39EB029D"/>
    <w:rsid w:val="39FC7DAF"/>
    <w:rsid w:val="39FD3633"/>
    <w:rsid w:val="3A0B4374"/>
    <w:rsid w:val="3A276D51"/>
    <w:rsid w:val="3A29797A"/>
    <w:rsid w:val="3A3C2693"/>
    <w:rsid w:val="3A4B3EDA"/>
    <w:rsid w:val="3A73272E"/>
    <w:rsid w:val="3A7B62C6"/>
    <w:rsid w:val="3ACB7183"/>
    <w:rsid w:val="3ADC3E14"/>
    <w:rsid w:val="3AEE2E06"/>
    <w:rsid w:val="3B191137"/>
    <w:rsid w:val="3B6405FB"/>
    <w:rsid w:val="3BA725FA"/>
    <w:rsid w:val="3BC907C3"/>
    <w:rsid w:val="3C0704BD"/>
    <w:rsid w:val="3C1C362D"/>
    <w:rsid w:val="3C26613B"/>
    <w:rsid w:val="3C772A18"/>
    <w:rsid w:val="3C94676F"/>
    <w:rsid w:val="3CA96714"/>
    <w:rsid w:val="3CC66044"/>
    <w:rsid w:val="3CE974FE"/>
    <w:rsid w:val="3D264530"/>
    <w:rsid w:val="3D393E77"/>
    <w:rsid w:val="3D493E51"/>
    <w:rsid w:val="3D61263F"/>
    <w:rsid w:val="3D712EC0"/>
    <w:rsid w:val="3D8C258A"/>
    <w:rsid w:val="3DDA0B0A"/>
    <w:rsid w:val="3DEC58B0"/>
    <w:rsid w:val="3DF22D6E"/>
    <w:rsid w:val="3DF633C5"/>
    <w:rsid w:val="3DFA2BBE"/>
    <w:rsid w:val="3DFE50A4"/>
    <w:rsid w:val="3E0F3A5D"/>
    <w:rsid w:val="3E1C72D0"/>
    <w:rsid w:val="3EF43B41"/>
    <w:rsid w:val="3F0874F8"/>
    <w:rsid w:val="3F39320C"/>
    <w:rsid w:val="3F602397"/>
    <w:rsid w:val="3F69137B"/>
    <w:rsid w:val="3F6C1603"/>
    <w:rsid w:val="3F6F5F91"/>
    <w:rsid w:val="3FA12730"/>
    <w:rsid w:val="3FD140EA"/>
    <w:rsid w:val="3FDD0BD3"/>
    <w:rsid w:val="3FDE08F5"/>
    <w:rsid w:val="3FE1257F"/>
    <w:rsid w:val="4008017A"/>
    <w:rsid w:val="401776B5"/>
    <w:rsid w:val="40481F49"/>
    <w:rsid w:val="40535A0F"/>
    <w:rsid w:val="405B1B43"/>
    <w:rsid w:val="40A57735"/>
    <w:rsid w:val="40C50AD3"/>
    <w:rsid w:val="40E65833"/>
    <w:rsid w:val="414B09AC"/>
    <w:rsid w:val="41717932"/>
    <w:rsid w:val="418A654E"/>
    <w:rsid w:val="41947EA6"/>
    <w:rsid w:val="41D47F93"/>
    <w:rsid w:val="41F533C3"/>
    <w:rsid w:val="42004FD7"/>
    <w:rsid w:val="42014C57"/>
    <w:rsid w:val="4211049B"/>
    <w:rsid w:val="421C55D1"/>
    <w:rsid w:val="424010B3"/>
    <w:rsid w:val="4268218D"/>
    <w:rsid w:val="42772D77"/>
    <w:rsid w:val="42C07614"/>
    <w:rsid w:val="42C42797"/>
    <w:rsid w:val="42C8103A"/>
    <w:rsid w:val="42D178AE"/>
    <w:rsid w:val="42E41580"/>
    <w:rsid w:val="432418C0"/>
    <w:rsid w:val="4351010D"/>
    <w:rsid w:val="435C3C0F"/>
    <w:rsid w:val="436E3978"/>
    <w:rsid w:val="43713BB4"/>
    <w:rsid w:val="438B4FB1"/>
    <w:rsid w:val="43947F98"/>
    <w:rsid w:val="439B601B"/>
    <w:rsid w:val="43A45F3A"/>
    <w:rsid w:val="43AE11BC"/>
    <w:rsid w:val="44020D16"/>
    <w:rsid w:val="442339D8"/>
    <w:rsid w:val="44563ED5"/>
    <w:rsid w:val="44605A3B"/>
    <w:rsid w:val="44D25AAC"/>
    <w:rsid w:val="44EB79FC"/>
    <w:rsid w:val="44F92736"/>
    <w:rsid w:val="45030AC7"/>
    <w:rsid w:val="45441531"/>
    <w:rsid w:val="45647867"/>
    <w:rsid w:val="456E61AA"/>
    <w:rsid w:val="45913BAE"/>
    <w:rsid w:val="45C614E7"/>
    <w:rsid w:val="45C66607"/>
    <w:rsid w:val="45D55F98"/>
    <w:rsid w:val="46295027"/>
    <w:rsid w:val="4650656B"/>
    <w:rsid w:val="465E3302"/>
    <w:rsid w:val="46722FB9"/>
    <w:rsid w:val="4672735B"/>
    <w:rsid w:val="46816C10"/>
    <w:rsid w:val="46916FD4"/>
    <w:rsid w:val="46C26BAA"/>
    <w:rsid w:val="47051512"/>
    <w:rsid w:val="47567722"/>
    <w:rsid w:val="478E1953"/>
    <w:rsid w:val="47D01EDF"/>
    <w:rsid w:val="47DD782E"/>
    <w:rsid w:val="47FF54E0"/>
    <w:rsid w:val="481822D3"/>
    <w:rsid w:val="482B4C75"/>
    <w:rsid w:val="48531B40"/>
    <w:rsid w:val="48AB2F86"/>
    <w:rsid w:val="48BF3D66"/>
    <w:rsid w:val="493004A6"/>
    <w:rsid w:val="49746620"/>
    <w:rsid w:val="498C34BA"/>
    <w:rsid w:val="499E6ADA"/>
    <w:rsid w:val="49B8117F"/>
    <w:rsid w:val="4AB26F61"/>
    <w:rsid w:val="4ABD162D"/>
    <w:rsid w:val="4ACE2F74"/>
    <w:rsid w:val="4AE46A7B"/>
    <w:rsid w:val="4AEA39F4"/>
    <w:rsid w:val="4B3F2B00"/>
    <w:rsid w:val="4B51581A"/>
    <w:rsid w:val="4B8B517E"/>
    <w:rsid w:val="4B9B51B7"/>
    <w:rsid w:val="4BD03E62"/>
    <w:rsid w:val="4C0C69D1"/>
    <w:rsid w:val="4C4A4923"/>
    <w:rsid w:val="4C537700"/>
    <w:rsid w:val="4C6F4A6E"/>
    <w:rsid w:val="4C8F3727"/>
    <w:rsid w:val="4CB06962"/>
    <w:rsid w:val="4CD01F92"/>
    <w:rsid w:val="4D2D7FD5"/>
    <w:rsid w:val="4D490586"/>
    <w:rsid w:val="4D5E2AFB"/>
    <w:rsid w:val="4D7A64BE"/>
    <w:rsid w:val="4D7E0E31"/>
    <w:rsid w:val="4D8347ED"/>
    <w:rsid w:val="4DCA5495"/>
    <w:rsid w:val="4E0C3F18"/>
    <w:rsid w:val="4E6D2CB8"/>
    <w:rsid w:val="4E717CF4"/>
    <w:rsid w:val="4E7C4161"/>
    <w:rsid w:val="4E933E07"/>
    <w:rsid w:val="4E9C3FAB"/>
    <w:rsid w:val="4ED97DE9"/>
    <w:rsid w:val="4F320A25"/>
    <w:rsid w:val="4F404BC5"/>
    <w:rsid w:val="4F45079D"/>
    <w:rsid w:val="4F7C2E75"/>
    <w:rsid w:val="4F851663"/>
    <w:rsid w:val="5027550C"/>
    <w:rsid w:val="5054095A"/>
    <w:rsid w:val="507B081A"/>
    <w:rsid w:val="50A75D18"/>
    <w:rsid w:val="50CD3844"/>
    <w:rsid w:val="512A4843"/>
    <w:rsid w:val="513A40D0"/>
    <w:rsid w:val="514946EA"/>
    <w:rsid w:val="515A6B83"/>
    <w:rsid w:val="517A073C"/>
    <w:rsid w:val="517F6B8D"/>
    <w:rsid w:val="519B2E9C"/>
    <w:rsid w:val="51A161BE"/>
    <w:rsid w:val="51D714C7"/>
    <w:rsid w:val="51E00412"/>
    <w:rsid w:val="51F562DF"/>
    <w:rsid w:val="52121BB5"/>
    <w:rsid w:val="521D0102"/>
    <w:rsid w:val="52752859"/>
    <w:rsid w:val="52B513BE"/>
    <w:rsid w:val="52EC03EB"/>
    <w:rsid w:val="530B1DCC"/>
    <w:rsid w:val="530C225C"/>
    <w:rsid w:val="531F0928"/>
    <w:rsid w:val="533E08F9"/>
    <w:rsid w:val="5346672E"/>
    <w:rsid w:val="534728AC"/>
    <w:rsid w:val="5357444A"/>
    <w:rsid w:val="535757FA"/>
    <w:rsid w:val="53820B12"/>
    <w:rsid w:val="53C548B8"/>
    <w:rsid w:val="53F96DF7"/>
    <w:rsid w:val="54267F9B"/>
    <w:rsid w:val="54782184"/>
    <w:rsid w:val="54C31A5B"/>
    <w:rsid w:val="55040266"/>
    <w:rsid w:val="5509025D"/>
    <w:rsid w:val="551556A5"/>
    <w:rsid w:val="55401D6C"/>
    <w:rsid w:val="554558D8"/>
    <w:rsid w:val="55754AD4"/>
    <w:rsid w:val="557708B5"/>
    <w:rsid w:val="558B778B"/>
    <w:rsid w:val="55C43625"/>
    <w:rsid w:val="55DB77D0"/>
    <w:rsid w:val="55ED318A"/>
    <w:rsid w:val="55FA625C"/>
    <w:rsid w:val="56220DA3"/>
    <w:rsid w:val="56251668"/>
    <w:rsid w:val="563E54BC"/>
    <w:rsid w:val="565B7F3A"/>
    <w:rsid w:val="567427EB"/>
    <w:rsid w:val="56A71C6A"/>
    <w:rsid w:val="56FD77F1"/>
    <w:rsid w:val="571E12FD"/>
    <w:rsid w:val="571F24A8"/>
    <w:rsid w:val="573E3DB0"/>
    <w:rsid w:val="578A642E"/>
    <w:rsid w:val="578C1931"/>
    <w:rsid w:val="57A7215B"/>
    <w:rsid w:val="580367B5"/>
    <w:rsid w:val="58425BDC"/>
    <w:rsid w:val="58803394"/>
    <w:rsid w:val="588562C6"/>
    <w:rsid w:val="589B15EF"/>
    <w:rsid w:val="58AE189E"/>
    <w:rsid w:val="58D6513A"/>
    <w:rsid w:val="59522196"/>
    <w:rsid w:val="597102E2"/>
    <w:rsid w:val="59A92BA5"/>
    <w:rsid w:val="59AA2204"/>
    <w:rsid w:val="59EC260F"/>
    <w:rsid w:val="5A006E37"/>
    <w:rsid w:val="5A597AB5"/>
    <w:rsid w:val="5A6826C8"/>
    <w:rsid w:val="5A6C3F68"/>
    <w:rsid w:val="5ABF32C5"/>
    <w:rsid w:val="5AEE3DBE"/>
    <w:rsid w:val="5B0F6FF4"/>
    <w:rsid w:val="5B1556C4"/>
    <w:rsid w:val="5B2D6220"/>
    <w:rsid w:val="5B343F5B"/>
    <w:rsid w:val="5B715A14"/>
    <w:rsid w:val="5B7F2E79"/>
    <w:rsid w:val="5B8945B3"/>
    <w:rsid w:val="5B9C20DB"/>
    <w:rsid w:val="5BD347B4"/>
    <w:rsid w:val="5BD42235"/>
    <w:rsid w:val="5BDD2B45"/>
    <w:rsid w:val="5BE701AC"/>
    <w:rsid w:val="5BFA51BE"/>
    <w:rsid w:val="5C3B728F"/>
    <w:rsid w:val="5C493E38"/>
    <w:rsid w:val="5C497C75"/>
    <w:rsid w:val="5CD765E0"/>
    <w:rsid w:val="5D385380"/>
    <w:rsid w:val="5D6F7A58"/>
    <w:rsid w:val="5D715229"/>
    <w:rsid w:val="5DA80EB7"/>
    <w:rsid w:val="5DD067F8"/>
    <w:rsid w:val="5E12784F"/>
    <w:rsid w:val="5E26061F"/>
    <w:rsid w:val="5E391380"/>
    <w:rsid w:val="5E902C25"/>
    <w:rsid w:val="5EB21969"/>
    <w:rsid w:val="5ED46B86"/>
    <w:rsid w:val="5ED50624"/>
    <w:rsid w:val="5ED8702A"/>
    <w:rsid w:val="5EDA45BA"/>
    <w:rsid w:val="5EF7597F"/>
    <w:rsid w:val="5F164911"/>
    <w:rsid w:val="5F335AED"/>
    <w:rsid w:val="5F3560BF"/>
    <w:rsid w:val="5FD50E80"/>
    <w:rsid w:val="60467201"/>
    <w:rsid w:val="607F5921"/>
    <w:rsid w:val="60DF69B9"/>
    <w:rsid w:val="61023B41"/>
    <w:rsid w:val="611B369C"/>
    <w:rsid w:val="614A6BE5"/>
    <w:rsid w:val="61662701"/>
    <w:rsid w:val="61855A0A"/>
    <w:rsid w:val="619F1F9F"/>
    <w:rsid w:val="62037FB9"/>
    <w:rsid w:val="62146209"/>
    <w:rsid w:val="62395D3E"/>
    <w:rsid w:val="623B33BE"/>
    <w:rsid w:val="623F1E5F"/>
    <w:rsid w:val="627B71A0"/>
    <w:rsid w:val="62C82CA9"/>
    <w:rsid w:val="63130619"/>
    <w:rsid w:val="63483071"/>
    <w:rsid w:val="63800859"/>
    <w:rsid w:val="63936B74"/>
    <w:rsid w:val="64423289"/>
    <w:rsid w:val="645B1696"/>
    <w:rsid w:val="645F60EA"/>
    <w:rsid w:val="647319F7"/>
    <w:rsid w:val="64901066"/>
    <w:rsid w:val="64B1636B"/>
    <w:rsid w:val="64E2007C"/>
    <w:rsid w:val="64E60AF2"/>
    <w:rsid w:val="6501056A"/>
    <w:rsid w:val="65367019"/>
    <w:rsid w:val="654B2B4E"/>
    <w:rsid w:val="659A6D3E"/>
    <w:rsid w:val="65C825EA"/>
    <w:rsid w:val="65D920A6"/>
    <w:rsid w:val="6619093D"/>
    <w:rsid w:val="661F6E0C"/>
    <w:rsid w:val="66361A5A"/>
    <w:rsid w:val="663667DB"/>
    <w:rsid w:val="664107D0"/>
    <w:rsid w:val="667A6BE2"/>
    <w:rsid w:val="667B19B6"/>
    <w:rsid w:val="667C162B"/>
    <w:rsid w:val="66990B2F"/>
    <w:rsid w:val="66A355E9"/>
    <w:rsid w:val="66B229A3"/>
    <w:rsid w:val="66CC7AB7"/>
    <w:rsid w:val="66EC34BE"/>
    <w:rsid w:val="66ED5FB4"/>
    <w:rsid w:val="670853FD"/>
    <w:rsid w:val="670E46A1"/>
    <w:rsid w:val="67193AFD"/>
    <w:rsid w:val="67456D79"/>
    <w:rsid w:val="674A1F08"/>
    <w:rsid w:val="67602EBD"/>
    <w:rsid w:val="67666032"/>
    <w:rsid w:val="676C7B91"/>
    <w:rsid w:val="67706CC4"/>
    <w:rsid w:val="67742D74"/>
    <w:rsid w:val="677A5055"/>
    <w:rsid w:val="678655E4"/>
    <w:rsid w:val="679C6C08"/>
    <w:rsid w:val="67BC5ABE"/>
    <w:rsid w:val="683F2814"/>
    <w:rsid w:val="68402ED8"/>
    <w:rsid w:val="68511835"/>
    <w:rsid w:val="686D58E2"/>
    <w:rsid w:val="687E024B"/>
    <w:rsid w:val="688A7410"/>
    <w:rsid w:val="68BE5982"/>
    <w:rsid w:val="690B5432"/>
    <w:rsid w:val="6923630A"/>
    <w:rsid w:val="692E7F1E"/>
    <w:rsid w:val="696C43B8"/>
    <w:rsid w:val="6974674E"/>
    <w:rsid w:val="698F343B"/>
    <w:rsid w:val="699636A9"/>
    <w:rsid w:val="69AC6C0B"/>
    <w:rsid w:val="69EC0ABC"/>
    <w:rsid w:val="6A015CF8"/>
    <w:rsid w:val="6A3D00DC"/>
    <w:rsid w:val="6A491970"/>
    <w:rsid w:val="6A5C2B8F"/>
    <w:rsid w:val="6A9A0475"/>
    <w:rsid w:val="6AEA5C76"/>
    <w:rsid w:val="6B072260"/>
    <w:rsid w:val="6B8861F6"/>
    <w:rsid w:val="6BB256BF"/>
    <w:rsid w:val="6BC31BD8"/>
    <w:rsid w:val="6BF74B2E"/>
    <w:rsid w:val="6C186A79"/>
    <w:rsid w:val="6C272092"/>
    <w:rsid w:val="6C2B07E3"/>
    <w:rsid w:val="6C3A689C"/>
    <w:rsid w:val="6C6241DE"/>
    <w:rsid w:val="6C793D2F"/>
    <w:rsid w:val="6C8F7D1B"/>
    <w:rsid w:val="6CAD2E04"/>
    <w:rsid w:val="6CBD35F3"/>
    <w:rsid w:val="6CFA206B"/>
    <w:rsid w:val="6D302924"/>
    <w:rsid w:val="6D341F2A"/>
    <w:rsid w:val="6D400349"/>
    <w:rsid w:val="6D447ADB"/>
    <w:rsid w:val="6D474FD5"/>
    <w:rsid w:val="6D727209"/>
    <w:rsid w:val="6D756624"/>
    <w:rsid w:val="6DAA1F76"/>
    <w:rsid w:val="6DC503EB"/>
    <w:rsid w:val="6E077F01"/>
    <w:rsid w:val="6E20323A"/>
    <w:rsid w:val="6E283E5B"/>
    <w:rsid w:val="6E2C7099"/>
    <w:rsid w:val="6E4E2A84"/>
    <w:rsid w:val="6E500DC6"/>
    <w:rsid w:val="6EA64798"/>
    <w:rsid w:val="6EB34837"/>
    <w:rsid w:val="6EB66959"/>
    <w:rsid w:val="6EDC35ED"/>
    <w:rsid w:val="6EFC1923"/>
    <w:rsid w:val="6EFC51A7"/>
    <w:rsid w:val="6F6E1A65"/>
    <w:rsid w:val="6FEE0256"/>
    <w:rsid w:val="6FF13869"/>
    <w:rsid w:val="700C1760"/>
    <w:rsid w:val="703716AB"/>
    <w:rsid w:val="70406A16"/>
    <w:rsid w:val="70593DDE"/>
    <w:rsid w:val="706A37E2"/>
    <w:rsid w:val="70A0333E"/>
    <w:rsid w:val="70A367DC"/>
    <w:rsid w:val="70B97668"/>
    <w:rsid w:val="70C65EC1"/>
    <w:rsid w:val="70DA0EB4"/>
    <w:rsid w:val="70E809D5"/>
    <w:rsid w:val="713F1EA3"/>
    <w:rsid w:val="714A2FA6"/>
    <w:rsid w:val="715304D9"/>
    <w:rsid w:val="71920663"/>
    <w:rsid w:val="719E6674"/>
    <w:rsid w:val="71C90E06"/>
    <w:rsid w:val="72225F5B"/>
    <w:rsid w:val="724C7A91"/>
    <w:rsid w:val="72510C2D"/>
    <w:rsid w:val="726F7A40"/>
    <w:rsid w:val="727A2B5F"/>
    <w:rsid w:val="728241F2"/>
    <w:rsid w:val="728D3B4B"/>
    <w:rsid w:val="72C267D6"/>
    <w:rsid w:val="72D95730"/>
    <w:rsid w:val="72F3399E"/>
    <w:rsid w:val="73166260"/>
    <w:rsid w:val="733A09A1"/>
    <w:rsid w:val="7359610E"/>
    <w:rsid w:val="7396227D"/>
    <w:rsid w:val="739843B3"/>
    <w:rsid w:val="73B1065D"/>
    <w:rsid w:val="73C64D7F"/>
    <w:rsid w:val="73C85151"/>
    <w:rsid w:val="73C93A07"/>
    <w:rsid w:val="73E456D2"/>
    <w:rsid w:val="740D74D1"/>
    <w:rsid w:val="742F5DCC"/>
    <w:rsid w:val="74887320"/>
    <w:rsid w:val="74944C62"/>
    <w:rsid w:val="74952880"/>
    <w:rsid w:val="74964153"/>
    <w:rsid w:val="74A024E4"/>
    <w:rsid w:val="74A677B5"/>
    <w:rsid w:val="74A9289C"/>
    <w:rsid w:val="74AD503C"/>
    <w:rsid w:val="74C0081A"/>
    <w:rsid w:val="74CF3C20"/>
    <w:rsid w:val="74E81B55"/>
    <w:rsid w:val="75011284"/>
    <w:rsid w:val="752175BA"/>
    <w:rsid w:val="756D74E4"/>
    <w:rsid w:val="75882536"/>
    <w:rsid w:val="75C42647"/>
    <w:rsid w:val="75D00657"/>
    <w:rsid w:val="75D100C4"/>
    <w:rsid w:val="76267606"/>
    <w:rsid w:val="765C3ABF"/>
    <w:rsid w:val="7663757C"/>
    <w:rsid w:val="767720EA"/>
    <w:rsid w:val="76776496"/>
    <w:rsid w:val="76853969"/>
    <w:rsid w:val="76B94407"/>
    <w:rsid w:val="76FB7CCC"/>
    <w:rsid w:val="772B760F"/>
    <w:rsid w:val="772D6395"/>
    <w:rsid w:val="774A0BC1"/>
    <w:rsid w:val="77543BCA"/>
    <w:rsid w:val="778238A1"/>
    <w:rsid w:val="778451AB"/>
    <w:rsid w:val="778D1C32"/>
    <w:rsid w:val="77B53DD6"/>
    <w:rsid w:val="77F90B6D"/>
    <w:rsid w:val="77FB2266"/>
    <w:rsid w:val="78104AA8"/>
    <w:rsid w:val="78173D95"/>
    <w:rsid w:val="78304CBF"/>
    <w:rsid w:val="78711EA5"/>
    <w:rsid w:val="78DE0EE0"/>
    <w:rsid w:val="78F227FE"/>
    <w:rsid w:val="78FC3F32"/>
    <w:rsid w:val="793019F7"/>
    <w:rsid w:val="798D302F"/>
    <w:rsid w:val="79BD3F25"/>
    <w:rsid w:val="7A3A177D"/>
    <w:rsid w:val="7A905722"/>
    <w:rsid w:val="7AA51E44"/>
    <w:rsid w:val="7AD0650C"/>
    <w:rsid w:val="7B5D15F3"/>
    <w:rsid w:val="7BBB1C1E"/>
    <w:rsid w:val="7BC36BAD"/>
    <w:rsid w:val="7BFC04F7"/>
    <w:rsid w:val="7BFC0976"/>
    <w:rsid w:val="7C5B3A94"/>
    <w:rsid w:val="7C6552DE"/>
    <w:rsid w:val="7C8313D5"/>
    <w:rsid w:val="7C8E7766"/>
    <w:rsid w:val="7C985AF7"/>
    <w:rsid w:val="7CDC328D"/>
    <w:rsid w:val="7CEF6506"/>
    <w:rsid w:val="7CFA011A"/>
    <w:rsid w:val="7D4071CA"/>
    <w:rsid w:val="7D547E08"/>
    <w:rsid w:val="7D7B626D"/>
    <w:rsid w:val="7D7C1806"/>
    <w:rsid w:val="7D9E6DEE"/>
    <w:rsid w:val="7DC93C6B"/>
    <w:rsid w:val="7DC945CD"/>
    <w:rsid w:val="7DD473B0"/>
    <w:rsid w:val="7DD532C9"/>
    <w:rsid w:val="7DF34AAF"/>
    <w:rsid w:val="7E0A3E44"/>
    <w:rsid w:val="7E286E4E"/>
    <w:rsid w:val="7E4A0D41"/>
    <w:rsid w:val="7E5252B7"/>
    <w:rsid w:val="7E587DBC"/>
    <w:rsid w:val="7E620CB9"/>
    <w:rsid w:val="7E95476D"/>
    <w:rsid w:val="7EA038CE"/>
    <w:rsid w:val="7EA62FAC"/>
    <w:rsid w:val="7ECD2214"/>
    <w:rsid w:val="7F242240"/>
    <w:rsid w:val="7F2C6E61"/>
    <w:rsid w:val="7F5B0B7E"/>
    <w:rsid w:val="7F5D1C11"/>
    <w:rsid w:val="7F656F0F"/>
    <w:rsid w:val="7F690A77"/>
    <w:rsid w:val="7F74100D"/>
    <w:rsid w:val="7F7E7F1B"/>
    <w:rsid w:val="7F8C3862"/>
    <w:rsid w:val="7FA22BE1"/>
    <w:rsid w:val="7FB43CFE"/>
    <w:rsid w:val="7FB665F7"/>
    <w:rsid w:val="7FBA383D"/>
    <w:rsid w:val="7FC65CAF"/>
    <w:rsid w:val="7FDA4CE2"/>
    <w:rsid w:val="7FEF3192"/>
    <w:rsid w:val="7FF63F83"/>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1"/>
    <w:qFormat/>
    <w:uiPriority w:val="99"/>
    <w:pPr>
      <w:keepNext/>
      <w:keepLines/>
      <w:spacing w:line="360" w:lineRule="auto"/>
      <w:outlineLvl w:val="0"/>
    </w:pPr>
    <w:rPr>
      <w:b/>
      <w:bCs/>
      <w:kern w:val="44"/>
      <w:sz w:val="32"/>
      <w:szCs w:val="32"/>
    </w:rPr>
  </w:style>
  <w:style w:type="paragraph" w:styleId="4">
    <w:name w:val="heading 2"/>
    <w:basedOn w:val="1"/>
    <w:next w:val="1"/>
    <w:link w:val="52"/>
    <w:qFormat/>
    <w:uiPriority w:val="99"/>
    <w:pPr>
      <w:keepNext/>
      <w:keepLines/>
      <w:spacing w:before="260" w:after="260" w:line="416" w:lineRule="auto"/>
      <w:jc w:val="left"/>
      <w:outlineLvl w:val="1"/>
    </w:pPr>
    <w:rPr>
      <w:rFonts w:ascii="Cambria" w:hAnsi="Cambria" w:cs="Cambria"/>
      <w:b/>
      <w:bCs/>
      <w:sz w:val="32"/>
      <w:szCs w:val="32"/>
    </w:rPr>
  </w:style>
  <w:style w:type="paragraph" w:styleId="5">
    <w:name w:val="heading 3"/>
    <w:basedOn w:val="1"/>
    <w:next w:val="1"/>
    <w:link w:val="53"/>
    <w:qFormat/>
    <w:uiPriority w:val="99"/>
    <w:pPr>
      <w:keepNext/>
      <w:keepLines/>
      <w:spacing w:line="360" w:lineRule="auto"/>
      <w:outlineLvl w:val="2"/>
    </w:pPr>
    <w:rPr>
      <w:b/>
      <w:bCs/>
      <w:sz w:val="24"/>
      <w:szCs w:val="24"/>
    </w:rPr>
  </w:style>
  <w:style w:type="paragraph" w:styleId="6">
    <w:name w:val="heading 4"/>
    <w:basedOn w:val="1"/>
    <w:next w:val="1"/>
    <w:link w:val="54"/>
    <w:qFormat/>
    <w:uiPriority w:val="99"/>
    <w:pPr>
      <w:keepNext/>
      <w:keepLines/>
      <w:spacing w:line="360" w:lineRule="auto"/>
      <w:outlineLvl w:val="3"/>
    </w:pPr>
    <w:rPr>
      <w:rFonts w:ascii="Arial" w:hAnsi="Arial" w:cs="Arial"/>
      <w:b/>
      <w:bCs/>
    </w:rPr>
  </w:style>
  <w:style w:type="paragraph" w:styleId="7">
    <w:name w:val="heading 5"/>
    <w:basedOn w:val="1"/>
    <w:next w:val="1"/>
    <w:link w:val="55"/>
    <w:qFormat/>
    <w:uiPriority w:val="99"/>
    <w:pPr>
      <w:keepNext/>
      <w:keepLines/>
      <w:spacing w:before="280" w:after="290" w:line="376" w:lineRule="auto"/>
      <w:outlineLvl w:val="4"/>
    </w:pPr>
    <w:rPr>
      <w:b/>
      <w:bCs/>
      <w:sz w:val="28"/>
      <w:szCs w:val="28"/>
    </w:rPr>
  </w:style>
  <w:style w:type="paragraph" w:styleId="8">
    <w:name w:val="heading 6"/>
    <w:basedOn w:val="1"/>
    <w:next w:val="1"/>
    <w:link w:val="56"/>
    <w:qFormat/>
    <w:uiPriority w:val="99"/>
    <w:pPr>
      <w:keepNext/>
      <w:keepLines/>
      <w:spacing w:before="240" w:after="64" w:line="320" w:lineRule="auto"/>
      <w:outlineLvl w:val="5"/>
    </w:pPr>
    <w:rPr>
      <w:rFonts w:ascii="Arial" w:hAnsi="Arial" w:eastAsia="黑体" w:cs="Arial"/>
      <w:b/>
      <w:bCs/>
      <w:sz w:val="24"/>
      <w:szCs w:val="24"/>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61"/>
    <w:qFormat/>
    <w:uiPriority w:val="99"/>
    <w:pPr>
      <w:jc w:val="center"/>
    </w:pPr>
  </w:style>
  <w:style w:type="paragraph" w:styleId="9">
    <w:name w:val="toc 7"/>
    <w:basedOn w:val="1"/>
    <w:next w:val="1"/>
    <w:semiHidden/>
    <w:qFormat/>
    <w:uiPriority w:val="99"/>
    <w:pPr>
      <w:ind w:left="1260"/>
      <w:jc w:val="left"/>
    </w:pPr>
    <w:rPr>
      <w:rFonts w:ascii="Calibri" w:hAnsi="Calibri" w:cs="Calibri"/>
      <w:sz w:val="18"/>
      <w:szCs w:val="18"/>
    </w:rPr>
  </w:style>
  <w:style w:type="paragraph" w:styleId="10">
    <w:name w:val="Normal Indent"/>
    <w:basedOn w:val="1"/>
    <w:qFormat/>
    <w:uiPriority w:val="99"/>
    <w:pPr>
      <w:ind w:firstLine="420"/>
    </w:pPr>
  </w:style>
  <w:style w:type="paragraph" w:styleId="11">
    <w:name w:val="Document Map"/>
    <w:basedOn w:val="1"/>
    <w:link w:val="59"/>
    <w:semiHidden/>
    <w:qFormat/>
    <w:uiPriority w:val="99"/>
    <w:pPr>
      <w:shd w:val="clear" w:color="auto" w:fill="000080"/>
    </w:pPr>
  </w:style>
  <w:style w:type="paragraph" w:styleId="12">
    <w:name w:val="annotation text"/>
    <w:basedOn w:val="1"/>
    <w:link w:val="57"/>
    <w:semiHidden/>
    <w:qFormat/>
    <w:uiPriority w:val="99"/>
    <w:pPr>
      <w:jc w:val="left"/>
    </w:pPr>
  </w:style>
  <w:style w:type="paragraph" w:styleId="13">
    <w:name w:val="Body Text 3"/>
    <w:basedOn w:val="1"/>
    <w:link w:val="60"/>
    <w:qFormat/>
    <w:uiPriority w:val="99"/>
    <w:rPr>
      <w:rFonts w:ascii="宋体" w:cs="宋体"/>
      <w:sz w:val="24"/>
      <w:szCs w:val="24"/>
    </w:rPr>
  </w:style>
  <w:style w:type="paragraph" w:styleId="14">
    <w:name w:val="Body Text Indent"/>
    <w:basedOn w:val="1"/>
    <w:next w:val="1"/>
    <w:link w:val="62"/>
    <w:qFormat/>
    <w:uiPriority w:val="99"/>
    <w:pPr>
      <w:spacing w:line="360" w:lineRule="auto"/>
      <w:ind w:left="424" w:leftChars="202" w:firstLine="567"/>
    </w:pPr>
    <w:rPr>
      <w:sz w:val="24"/>
      <w:szCs w:val="24"/>
    </w:rPr>
  </w:style>
  <w:style w:type="paragraph" w:styleId="15">
    <w:name w:val="toc 5"/>
    <w:basedOn w:val="1"/>
    <w:next w:val="1"/>
    <w:semiHidden/>
    <w:qFormat/>
    <w:uiPriority w:val="99"/>
    <w:pPr>
      <w:ind w:left="840"/>
      <w:jc w:val="left"/>
    </w:pPr>
    <w:rPr>
      <w:rFonts w:ascii="Calibri" w:hAnsi="Calibri" w:cs="Calibri"/>
      <w:sz w:val="18"/>
      <w:szCs w:val="18"/>
    </w:rPr>
  </w:style>
  <w:style w:type="paragraph" w:styleId="16">
    <w:name w:val="toc 3"/>
    <w:basedOn w:val="1"/>
    <w:next w:val="1"/>
    <w:semiHidden/>
    <w:qFormat/>
    <w:uiPriority w:val="99"/>
    <w:pPr>
      <w:ind w:left="420"/>
      <w:jc w:val="left"/>
    </w:pPr>
    <w:rPr>
      <w:rFonts w:ascii="Calibri" w:hAnsi="Calibri" w:cs="Calibri"/>
      <w:i/>
      <w:iCs/>
      <w:sz w:val="20"/>
      <w:szCs w:val="20"/>
    </w:rPr>
  </w:style>
  <w:style w:type="paragraph" w:styleId="17">
    <w:name w:val="Plain Text"/>
    <w:basedOn w:val="1"/>
    <w:link w:val="63"/>
    <w:qFormat/>
    <w:uiPriority w:val="99"/>
    <w:rPr>
      <w:rFonts w:ascii="宋体" w:hAnsi="Courier New" w:cs="宋体"/>
    </w:rPr>
  </w:style>
  <w:style w:type="paragraph" w:styleId="18">
    <w:name w:val="toc 8"/>
    <w:basedOn w:val="1"/>
    <w:next w:val="1"/>
    <w:semiHidden/>
    <w:qFormat/>
    <w:uiPriority w:val="99"/>
    <w:pPr>
      <w:ind w:left="1470"/>
      <w:jc w:val="left"/>
    </w:pPr>
    <w:rPr>
      <w:rFonts w:ascii="Calibri" w:hAnsi="Calibri" w:cs="Calibri"/>
      <w:sz w:val="18"/>
      <w:szCs w:val="18"/>
    </w:rPr>
  </w:style>
  <w:style w:type="paragraph" w:styleId="19">
    <w:name w:val="Date"/>
    <w:basedOn w:val="1"/>
    <w:next w:val="1"/>
    <w:link w:val="64"/>
    <w:qFormat/>
    <w:uiPriority w:val="99"/>
    <w:pPr>
      <w:ind w:left="100" w:leftChars="2500"/>
    </w:pPr>
  </w:style>
  <w:style w:type="paragraph" w:styleId="20">
    <w:name w:val="Body Text Indent 2"/>
    <w:basedOn w:val="1"/>
    <w:link w:val="65"/>
    <w:qFormat/>
    <w:uiPriority w:val="99"/>
    <w:pPr>
      <w:spacing w:line="480" w:lineRule="exact"/>
      <w:ind w:left="-1"/>
    </w:pPr>
    <w:rPr>
      <w:sz w:val="24"/>
      <w:szCs w:val="24"/>
    </w:rPr>
  </w:style>
  <w:style w:type="paragraph" w:styleId="21">
    <w:name w:val="Balloon Text"/>
    <w:basedOn w:val="1"/>
    <w:link w:val="66"/>
    <w:semiHidden/>
    <w:qFormat/>
    <w:uiPriority w:val="99"/>
    <w:rPr>
      <w:sz w:val="18"/>
      <w:szCs w:val="18"/>
    </w:rPr>
  </w:style>
  <w:style w:type="paragraph" w:styleId="22">
    <w:name w:val="footer"/>
    <w:basedOn w:val="1"/>
    <w:link w:val="67"/>
    <w:qFormat/>
    <w:uiPriority w:val="99"/>
    <w:pPr>
      <w:tabs>
        <w:tab w:val="center" w:pos="4153"/>
        <w:tab w:val="right" w:pos="8306"/>
      </w:tabs>
      <w:snapToGrid w:val="0"/>
      <w:jc w:val="left"/>
    </w:pPr>
    <w:rPr>
      <w:sz w:val="18"/>
      <w:szCs w:val="18"/>
    </w:rPr>
  </w:style>
  <w:style w:type="paragraph" w:styleId="23">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99"/>
    <w:pPr>
      <w:spacing w:before="120" w:after="120"/>
      <w:jc w:val="left"/>
    </w:pPr>
    <w:rPr>
      <w:rFonts w:ascii="Calibri" w:hAnsi="Calibri" w:cs="Calibri"/>
      <w:b/>
      <w:bCs/>
      <w:caps/>
      <w:sz w:val="20"/>
      <w:szCs w:val="20"/>
    </w:rPr>
  </w:style>
  <w:style w:type="paragraph" w:styleId="25">
    <w:name w:val="toc 4"/>
    <w:basedOn w:val="1"/>
    <w:next w:val="1"/>
    <w:semiHidden/>
    <w:qFormat/>
    <w:uiPriority w:val="99"/>
    <w:pPr>
      <w:ind w:left="630"/>
      <w:jc w:val="left"/>
    </w:pPr>
    <w:rPr>
      <w:rFonts w:ascii="Calibri" w:hAnsi="Calibri" w:cs="Calibri"/>
      <w:sz w:val="18"/>
      <w:szCs w:val="18"/>
    </w:rPr>
  </w:style>
  <w:style w:type="paragraph" w:styleId="26">
    <w:name w:val="toc 6"/>
    <w:basedOn w:val="1"/>
    <w:next w:val="1"/>
    <w:semiHidden/>
    <w:qFormat/>
    <w:uiPriority w:val="99"/>
    <w:pPr>
      <w:ind w:left="1050"/>
      <w:jc w:val="left"/>
    </w:pPr>
    <w:rPr>
      <w:rFonts w:ascii="Calibri" w:hAnsi="Calibri" w:cs="Calibri"/>
      <w:sz w:val="18"/>
      <w:szCs w:val="18"/>
    </w:rPr>
  </w:style>
  <w:style w:type="paragraph" w:styleId="27">
    <w:name w:val="Body Text Indent 3"/>
    <w:basedOn w:val="1"/>
    <w:link w:val="69"/>
    <w:qFormat/>
    <w:uiPriority w:val="99"/>
    <w:pPr>
      <w:spacing w:line="360" w:lineRule="auto"/>
      <w:ind w:left="420" w:firstLine="480"/>
    </w:pPr>
    <w:rPr>
      <w:rFonts w:ascii="宋体" w:hAnsi="宋体" w:cs="宋体"/>
      <w:sz w:val="24"/>
      <w:szCs w:val="24"/>
    </w:rPr>
  </w:style>
  <w:style w:type="paragraph" w:styleId="28">
    <w:name w:val="toc 2"/>
    <w:basedOn w:val="1"/>
    <w:next w:val="1"/>
    <w:semiHidden/>
    <w:qFormat/>
    <w:uiPriority w:val="99"/>
    <w:pPr>
      <w:ind w:left="210"/>
      <w:jc w:val="left"/>
    </w:pPr>
    <w:rPr>
      <w:rFonts w:ascii="Calibri" w:hAnsi="Calibri" w:cs="Calibri"/>
      <w:smallCaps/>
      <w:sz w:val="20"/>
      <w:szCs w:val="20"/>
    </w:rPr>
  </w:style>
  <w:style w:type="paragraph" w:styleId="29">
    <w:name w:val="toc 9"/>
    <w:basedOn w:val="1"/>
    <w:next w:val="1"/>
    <w:semiHidden/>
    <w:qFormat/>
    <w:uiPriority w:val="99"/>
    <w:pPr>
      <w:ind w:left="1680"/>
      <w:jc w:val="left"/>
    </w:pPr>
    <w:rPr>
      <w:rFonts w:ascii="Calibri" w:hAnsi="Calibri" w:cs="Calibri"/>
      <w:sz w:val="18"/>
      <w:szCs w:val="18"/>
    </w:rPr>
  </w:style>
  <w:style w:type="paragraph" w:styleId="30">
    <w:name w:val="Body Text 2"/>
    <w:basedOn w:val="1"/>
    <w:link w:val="70"/>
    <w:qFormat/>
    <w:uiPriority w:val="99"/>
    <w:pPr>
      <w:adjustRightInd w:val="0"/>
      <w:snapToGrid w:val="0"/>
      <w:spacing w:before="60" w:after="60" w:line="300" w:lineRule="auto"/>
    </w:pPr>
    <w:rPr>
      <w:rFonts w:ascii="宋体" w:cs="宋体"/>
      <w:sz w:val="24"/>
      <w:szCs w:val="24"/>
    </w:rPr>
  </w:style>
  <w:style w:type="paragraph" w:styleId="31">
    <w:name w:val="Normal (Web)"/>
    <w:basedOn w:val="1"/>
    <w:qFormat/>
    <w:uiPriority w:val="99"/>
    <w:pPr>
      <w:widowControl/>
      <w:spacing w:before="100" w:beforeAutospacing="1" w:after="100" w:afterAutospacing="1"/>
      <w:jc w:val="left"/>
    </w:pPr>
    <w:rPr>
      <w:rFonts w:ascii="宋体" w:hAnsi="宋体" w:cs="宋体"/>
      <w:sz w:val="24"/>
      <w:szCs w:val="24"/>
    </w:rPr>
  </w:style>
  <w:style w:type="paragraph" w:styleId="32">
    <w:name w:val="annotation subject"/>
    <w:basedOn w:val="12"/>
    <w:next w:val="12"/>
    <w:link w:val="58"/>
    <w:semiHidden/>
    <w:qFormat/>
    <w:uiPriority w:val="99"/>
    <w:rPr>
      <w:b/>
      <w:bCs/>
    </w:rPr>
  </w:style>
  <w:style w:type="paragraph" w:styleId="33">
    <w:name w:val="Body Text First Indent"/>
    <w:basedOn w:val="2"/>
    <w:next w:val="34"/>
    <w:qFormat/>
    <w:locked/>
    <w:uiPriority w:val="99"/>
    <w:pPr>
      <w:ind w:firstLine="420" w:firstLineChars="100"/>
    </w:pPr>
    <w:rPr>
      <w:rFonts w:ascii="宋体"/>
    </w:rPr>
  </w:style>
  <w:style w:type="paragraph" w:styleId="34">
    <w:name w:val="Body Text First Indent 2"/>
    <w:basedOn w:val="14"/>
    <w:next w:val="1"/>
    <w:qFormat/>
    <w:locked/>
    <w:uiPriority w:val="0"/>
    <w:pPr>
      <w:ind w:firstLine="420" w:firstLineChars="200"/>
    </w:pPr>
  </w:style>
  <w:style w:type="table" w:styleId="36">
    <w:name w:val="Table Grid"/>
    <w:basedOn w:val="3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99"/>
    <w:rPr>
      <w:b/>
      <w:bCs/>
    </w:rPr>
  </w:style>
  <w:style w:type="character" w:styleId="39">
    <w:name w:val="page number"/>
    <w:basedOn w:val="37"/>
    <w:qFormat/>
    <w:uiPriority w:val="99"/>
  </w:style>
  <w:style w:type="character" w:styleId="40">
    <w:name w:val="FollowedHyperlink"/>
    <w:basedOn w:val="37"/>
    <w:qFormat/>
    <w:uiPriority w:val="99"/>
    <w:rPr>
      <w:color w:val="auto"/>
      <w:u w:val="none"/>
    </w:rPr>
  </w:style>
  <w:style w:type="character" w:styleId="41">
    <w:name w:val="Emphasis"/>
    <w:basedOn w:val="37"/>
    <w:qFormat/>
    <w:uiPriority w:val="99"/>
    <w:rPr>
      <w:i/>
      <w:iCs/>
    </w:rPr>
  </w:style>
  <w:style w:type="character" w:styleId="42">
    <w:name w:val="HTML Definition"/>
    <w:basedOn w:val="37"/>
    <w:qFormat/>
    <w:uiPriority w:val="99"/>
  </w:style>
  <w:style w:type="character" w:styleId="43">
    <w:name w:val="HTML Acronym"/>
    <w:basedOn w:val="37"/>
    <w:qFormat/>
    <w:uiPriority w:val="99"/>
  </w:style>
  <w:style w:type="character" w:styleId="44">
    <w:name w:val="HTML Variable"/>
    <w:basedOn w:val="37"/>
    <w:qFormat/>
    <w:uiPriority w:val="99"/>
  </w:style>
  <w:style w:type="character" w:styleId="45">
    <w:name w:val="Hyperlink"/>
    <w:basedOn w:val="37"/>
    <w:qFormat/>
    <w:uiPriority w:val="99"/>
    <w:rPr>
      <w:color w:val="auto"/>
      <w:u w:val="none"/>
    </w:rPr>
  </w:style>
  <w:style w:type="character" w:styleId="46">
    <w:name w:val="HTML Code"/>
    <w:basedOn w:val="37"/>
    <w:qFormat/>
    <w:uiPriority w:val="99"/>
    <w:rPr>
      <w:rFonts w:ascii="monospace" w:hAnsi="monospace" w:cs="monospace"/>
      <w:sz w:val="24"/>
      <w:szCs w:val="24"/>
    </w:rPr>
  </w:style>
  <w:style w:type="character" w:styleId="47">
    <w:name w:val="annotation reference"/>
    <w:basedOn w:val="37"/>
    <w:semiHidden/>
    <w:qFormat/>
    <w:uiPriority w:val="99"/>
    <w:rPr>
      <w:sz w:val="21"/>
      <w:szCs w:val="21"/>
    </w:rPr>
  </w:style>
  <w:style w:type="character" w:styleId="48">
    <w:name w:val="HTML Cite"/>
    <w:basedOn w:val="37"/>
    <w:qFormat/>
    <w:uiPriority w:val="99"/>
  </w:style>
  <w:style w:type="character" w:styleId="49">
    <w:name w:val="HTML Keyboard"/>
    <w:basedOn w:val="37"/>
    <w:qFormat/>
    <w:uiPriority w:val="99"/>
    <w:rPr>
      <w:rFonts w:ascii="monospace" w:hAnsi="monospace" w:cs="monospace"/>
      <w:sz w:val="24"/>
      <w:szCs w:val="24"/>
    </w:rPr>
  </w:style>
  <w:style w:type="character" w:styleId="50">
    <w:name w:val="HTML Sample"/>
    <w:basedOn w:val="37"/>
    <w:qFormat/>
    <w:uiPriority w:val="99"/>
    <w:rPr>
      <w:rFonts w:ascii="monospace" w:hAnsi="monospace" w:cs="monospace"/>
      <w:sz w:val="24"/>
      <w:szCs w:val="24"/>
    </w:rPr>
  </w:style>
  <w:style w:type="character" w:customStyle="1" w:styleId="51">
    <w:name w:val="标题 1 Char"/>
    <w:basedOn w:val="37"/>
    <w:link w:val="3"/>
    <w:qFormat/>
    <w:locked/>
    <w:uiPriority w:val="99"/>
    <w:rPr>
      <w:b/>
      <w:bCs/>
      <w:kern w:val="44"/>
      <w:sz w:val="44"/>
      <w:szCs w:val="44"/>
    </w:rPr>
  </w:style>
  <w:style w:type="character" w:customStyle="1" w:styleId="52">
    <w:name w:val="标题 2 Char"/>
    <w:basedOn w:val="37"/>
    <w:link w:val="4"/>
    <w:qFormat/>
    <w:locked/>
    <w:uiPriority w:val="99"/>
    <w:rPr>
      <w:rFonts w:ascii="Cambria" w:hAnsi="Cambria" w:cs="Cambria"/>
      <w:b/>
      <w:bCs/>
      <w:kern w:val="2"/>
      <w:sz w:val="32"/>
      <w:szCs w:val="32"/>
    </w:rPr>
  </w:style>
  <w:style w:type="character" w:customStyle="1" w:styleId="53">
    <w:name w:val="标题 3 Char"/>
    <w:basedOn w:val="37"/>
    <w:link w:val="5"/>
    <w:qFormat/>
    <w:locked/>
    <w:uiPriority w:val="99"/>
    <w:rPr>
      <w:b/>
      <w:bCs/>
      <w:kern w:val="2"/>
      <w:sz w:val="32"/>
      <w:szCs w:val="32"/>
    </w:rPr>
  </w:style>
  <w:style w:type="character" w:customStyle="1" w:styleId="54">
    <w:name w:val="标题 4 Char"/>
    <w:basedOn w:val="37"/>
    <w:link w:val="6"/>
    <w:semiHidden/>
    <w:qFormat/>
    <w:locked/>
    <w:uiPriority w:val="99"/>
    <w:rPr>
      <w:rFonts w:ascii="Cambria" w:hAnsi="Cambria" w:eastAsia="宋体" w:cs="Cambria"/>
      <w:b/>
      <w:bCs/>
      <w:sz w:val="28"/>
      <w:szCs w:val="28"/>
    </w:rPr>
  </w:style>
  <w:style w:type="character" w:customStyle="1" w:styleId="55">
    <w:name w:val="标题 5 Char"/>
    <w:basedOn w:val="37"/>
    <w:link w:val="7"/>
    <w:qFormat/>
    <w:locked/>
    <w:uiPriority w:val="99"/>
    <w:rPr>
      <w:b/>
      <w:bCs/>
      <w:kern w:val="2"/>
      <w:sz w:val="28"/>
      <w:szCs w:val="28"/>
    </w:rPr>
  </w:style>
  <w:style w:type="character" w:customStyle="1" w:styleId="56">
    <w:name w:val="标题 6 Char"/>
    <w:basedOn w:val="37"/>
    <w:link w:val="8"/>
    <w:semiHidden/>
    <w:qFormat/>
    <w:locked/>
    <w:uiPriority w:val="99"/>
    <w:rPr>
      <w:rFonts w:ascii="Cambria" w:hAnsi="Cambria" w:eastAsia="宋体" w:cs="Cambria"/>
      <w:b/>
      <w:bCs/>
      <w:sz w:val="24"/>
      <w:szCs w:val="24"/>
    </w:rPr>
  </w:style>
  <w:style w:type="character" w:customStyle="1" w:styleId="57">
    <w:name w:val="批注文字 Char"/>
    <w:basedOn w:val="37"/>
    <w:link w:val="12"/>
    <w:semiHidden/>
    <w:qFormat/>
    <w:locked/>
    <w:uiPriority w:val="99"/>
    <w:rPr>
      <w:sz w:val="21"/>
      <w:szCs w:val="21"/>
    </w:rPr>
  </w:style>
  <w:style w:type="character" w:customStyle="1" w:styleId="58">
    <w:name w:val="批注主题 Char"/>
    <w:basedOn w:val="57"/>
    <w:link w:val="32"/>
    <w:semiHidden/>
    <w:qFormat/>
    <w:locked/>
    <w:uiPriority w:val="99"/>
    <w:rPr>
      <w:b/>
      <w:bCs/>
    </w:rPr>
  </w:style>
  <w:style w:type="character" w:customStyle="1" w:styleId="59">
    <w:name w:val="文档结构图 Char"/>
    <w:basedOn w:val="37"/>
    <w:link w:val="11"/>
    <w:semiHidden/>
    <w:qFormat/>
    <w:locked/>
    <w:uiPriority w:val="99"/>
    <w:rPr>
      <w:sz w:val="2"/>
      <w:szCs w:val="2"/>
    </w:rPr>
  </w:style>
  <w:style w:type="character" w:customStyle="1" w:styleId="60">
    <w:name w:val="正文文本 3 Char"/>
    <w:basedOn w:val="37"/>
    <w:link w:val="13"/>
    <w:semiHidden/>
    <w:qFormat/>
    <w:locked/>
    <w:uiPriority w:val="99"/>
    <w:rPr>
      <w:sz w:val="16"/>
      <w:szCs w:val="16"/>
    </w:rPr>
  </w:style>
  <w:style w:type="character" w:customStyle="1" w:styleId="61">
    <w:name w:val="正文文本 Char"/>
    <w:basedOn w:val="37"/>
    <w:link w:val="2"/>
    <w:qFormat/>
    <w:locked/>
    <w:uiPriority w:val="99"/>
    <w:rPr>
      <w:rFonts w:eastAsia="宋体"/>
      <w:kern w:val="2"/>
      <w:sz w:val="21"/>
      <w:szCs w:val="21"/>
      <w:lang w:val="en-US" w:eastAsia="zh-CN"/>
    </w:rPr>
  </w:style>
  <w:style w:type="character" w:customStyle="1" w:styleId="62">
    <w:name w:val="正文文本缩进 Char"/>
    <w:basedOn w:val="37"/>
    <w:link w:val="14"/>
    <w:qFormat/>
    <w:locked/>
    <w:uiPriority w:val="99"/>
    <w:rPr>
      <w:snapToGrid w:val="0"/>
      <w:sz w:val="24"/>
      <w:szCs w:val="24"/>
    </w:rPr>
  </w:style>
  <w:style w:type="character" w:customStyle="1" w:styleId="63">
    <w:name w:val="纯文本 Char"/>
    <w:basedOn w:val="37"/>
    <w:link w:val="17"/>
    <w:qFormat/>
    <w:locked/>
    <w:uiPriority w:val="99"/>
    <w:rPr>
      <w:rFonts w:ascii="宋体" w:hAnsi="Courier New" w:eastAsia="宋体" w:cs="宋体"/>
      <w:kern w:val="2"/>
      <w:sz w:val="21"/>
      <w:szCs w:val="21"/>
      <w:lang w:val="en-US" w:eastAsia="zh-CN"/>
    </w:rPr>
  </w:style>
  <w:style w:type="character" w:customStyle="1" w:styleId="64">
    <w:name w:val="日期 Char"/>
    <w:basedOn w:val="37"/>
    <w:link w:val="19"/>
    <w:semiHidden/>
    <w:qFormat/>
    <w:locked/>
    <w:uiPriority w:val="99"/>
    <w:rPr>
      <w:sz w:val="21"/>
      <w:szCs w:val="21"/>
    </w:rPr>
  </w:style>
  <w:style w:type="character" w:customStyle="1" w:styleId="65">
    <w:name w:val="正文文本缩进 2 Char"/>
    <w:basedOn w:val="37"/>
    <w:link w:val="20"/>
    <w:qFormat/>
    <w:locked/>
    <w:uiPriority w:val="99"/>
    <w:rPr>
      <w:snapToGrid w:val="0"/>
      <w:sz w:val="24"/>
      <w:szCs w:val="24"/>
    </w:rPr>
  </w:style>
  <w:style w:type="character" w:customStyle="1" w:styleId="66">
    <w:name w:val="批注框文本 Char"/>
    <w:basedOn w:val="37"/>
    <w:link w:val="21"/>
    <w:qFormat/>
    <w:locked/>
    <w:uiPriority w:val="99"/>
    <w:rPr>
      <w:kern w:val="2"/>
      <w:sz w:val="18"/>
      <w:szCs w:val="18"/>
    </w:rPr>
  </w:style>
  <w:style w:type="character" w:customStyle="1" w:styleId="67">
    <w:name w:val="页脚 Char"/>
    <w:basedOn w:val="37"/>
    <w:link w:val="22"/>
    <w:qFormat/>
    <w:locked/>
    <w:uiPriority w:val="99"/>
    <w:rPr>
      <w:rFonts w:eastAsia="宋体"/>
      <w:kern w:val="2"/>
      <w:sz w:val="18"/>
      <w:szCs w:val="18"/>
      <w:lang w:val="en-US" w:eastAsia="zh-CN"/>
    </w:rPr>
  </w:style>
  <w:style w:type="character" w:customStyle="1" w:styleId="68">
    <w:name w:val="页眉 Char"/>
    <w:basedOn w:val="37"/>
    <w:link w:val="23"/>
    <w:semiHidden/>
    <w:qFormat/>
    <w:locked/>
    <w:uiPriority w:val="99"/>
    <w:rPr>
      <w:sz w:val="18"/>
      <w:szCs w:val="18"/>
    </w:rPr>
  </w:style>
  <w:style w:type="character" w:customStyle="1" w:styleId="69">
    <w:name w:val="正文文本缩进 3 Char"/>
    <w:basedOn w:val="37"/>
    <w:link w:val="27"/>
    <w:qFormat/>
    <w:locked/>
    <w:uiPriority w:val="99"/>
    <w:rPr>
      <w:rFonts w:ascii="宋体" w:eastAsia="宋体" w:cs="宋体"/>
      <w:snapToGrid w:val="0"/>
      <w:sz w:val="24"/>
      <w:szCs w:val="24"/>
    </w:rPr>
  </w:style>
  <w:style w:type="character" w:customStyle="1" w:styleId="70">
    <w:name w:val="正文文本 2 Char"/>
    <w:basedOn w:val="37"/>
    <w:link w:val="30"/>
    <w:qFormat/>
    <w:locked/>
    <w:uiPriority w:val="99"/>
    <w:rPr>
      <w:rFonts w:ascii="宋体" w:cs="宋体"/>
      <w:kern w:val="2"/>
      <w:sz w:val="24"/>
      <w:szCs w:val="24"/>
    </w:rPr>
  </w:style>
  <w:style w:type="character" w:customStyle="1" w:styleId="71">
    <w:name w:val="Char Char24"/>
    <w:qFormat/>
    <w:locked/>
    <w:uiPriority w:val="99"/>
    <w:rPr>
      <w:rFonts w:eastAsia="宋体"/>
      <w:b/>
      <w:bCs/>
      <w:kern w:val="2"/>
      <w:sz w:val="32"/>
      <w:szCs w:val="32"/>
      <w:lang w:val="en-US" w:eastAsia="zh-CN"/>
    </w:rPr>
  </w:style>
  <w:style w:type="character" w:customStyle="1" w:styleId="72">
    <w:name w:val="t_tag"/>
    <w:basedOn w:val="37"/>
    <w:qFormat/>
    <w:uiPriority w:val="99"/>
  </w:style>
  <w:style w:type="character" w:customStyle="1" w:styleId="73">
    <w:name w:val="Char Char3"/>
    <w:qFormat/>
    <w:uiPriority w:val="99"/>
    <w:rPr>
      <w:rFonts w:eastAsia="宋体"/>
      <w:kern w:val="2"/>
      <w:sz w:val="24"/>
      <w:szCs w:val="24"/>
      <w:lang w:val="en-US" w:eastAsia="zh-CN"/>
    </w:rPr>
  </w:style>
  <w:style w:type="paragraph" w:customStyle="1" w:styleId="74">
    <w:name w:val="Char Char Char Char"/>
    <w:basedOn w:val="1"/>
    <w:qFormat/>
    <w:uiPriority w:val="99"/>
    <w:rPr>
      <w:rFonts w:ascii="Tahoma" w:hAnsi="Tahoma" w:cs="Tahoma"/>
      <w:sz w:val="24"/>
      <w:szCs w:val="24"/>
    </w:rPr>
  </w:style>
  <w:style w:type="paragraph" w:customStyle="1" w:styleId="75">
    <w:name w:val="Char Char Char"/>
    <w:basedOn w:val="1"/>
    <w:qFormat/>
    <w:uiPriority w:val="99"/>
    <w:pPr>
      <w:spacing w:line="360" w:lineRule="auto"/>
    </w:pPr>
  </w:style>
  <w:style w:type="paragraph" w:customStyle="1" w:styleId="76">
    <w:name w:val="列出段落1"/>
    <w:basedOn w:val="1"/>
    <w:qFormat/>
    <w:uiPriority w:val="99"/>
    <w:pPr>
      <w:ind w:firstLine="420" w:firstLineChars="200"/>
    </w:pPr>
    <w:rPr>
      <w:rFonts w:ascii="Calibri" w:hAnsi="Calibri" w:cs="Calibri"/>
    </w:rPr>
  </w:style>
  <w:style w:type="paragraph" w:customStyle="1" w:styleId="77">
    <w:name w:val="Char"/>
    <w:basedOn w:val="1"/>
    <w:qFormat/>
    <w:uiPriority w:val="99"/>
    <w:pPr>
      <w:spacing w:line="360" w:lineRule="auto"/>
    </w:pPr>
    <w:rPr>
      <w:rFonts w:ascii="仿宋_GB2312" w:eastAsia="仿宋_GB2312" w:cs="仿宋_GB2312"/>
      <w:b/>
      <w:bCs/>
      <w:sz w:val="32"/>
      <w:szCs w:val="32"/>
    </w:rPr>
  </w:style>
  <w:style w:type="paragraph" w:customStyle="1" w:styleId="78">
    <w:name w:val="保留正文"/>
    <w:basedOn w:val="2"/>
    <w:qFormat/>
    <w:uiPriority w:val="99"/>
    <w:pPr>
      <w:keepNext/>
      <w:spacing w:after="160"/>
      <w:jc w:val="both"/>
    </w:pPr>
  </w:style>
  <w:style w:type="paragraph" w:customStyle="1" w:styleId="79">
    <w:name w:val="普通 (Web)"/>
    <w:basedOn w:val="1"/>
    <w:qFormat/>
    <w:uiPriority w:val="99"/>
    <w:pPr>
      <w:widowControl/>
      <w:spacing w:before="100" w:beforeAutospacing="1" w:after="100" w:afterAutospacing="1"/>
      <w:jc w:val="left"/>
    </w:pPr>
    <w:rPr>
      <w:rFonts w:ascii="宋体" w:hAnsi="宋体" w:cs="宋体"/>
      <w:sz w:val="24"/>
      <w:szCs w:val="24"/>
    </w:rPr>
  </w:style>
  <w:style w:type="paragraph" w:customStyle="1" w:styleId="80">
    <w:name w:val="目录"/>
    <w:basedOn w:val="1"/>
    <w:qFormat/>
    <w:uiPriority w:val="99"/>
    <w:pPr>
      <w:widowControl/>
      <w:jc w:val="center"/>
    </w:pPr>
    <w:rPr>
      <w:rFonts w:ascii="宋体" w:cs="宋体"/>
      <w:b/>
      <w:bCs/>
      <w:sz w:val="36"/>
      <w:szCs w:val="36"/>
    </w:rPr>
  </w:style>
  <w:style w:type="paragraph" w:customStyle="1" w:styleId="81">
    <w:name w:val="Char Char Char Char1"/>
    <w:basedOn w:val="1"/>
    <w:qFormat/>
    <w:uiPriority w:val="99"/>
    <w:pPr>
      <w:adjustRightInd w:val="0"/>
      <w:spacing w:line="440" w:lineRule="exact"/>
    </w:pPr>
    <w:rPr>
      <w:sz w:val="20"/>
      <w:szCs w:val="20"/>
    </w:rPr>
  </w:style>
  <w:style w:type="character" w:customStyle="1" w:styleId="82">
    <w:name w:val="ui-bz-bg-hover"/>
    <w:basedOn w:val="37"/>
    <w:qFormat/>
    <w:uiPriority w:val="99"/>
    <w:rPr>
      <w:shd w:val="clear" w:color="auto" w:fill="000000"/>
    </w:rPr>
  </w:style>
  <w:style w:type="character" w:customStyle="1" w:styleId="83">
    <w:name w:val="ui-bz-bg-hover1"/>
    <w:basedOn w:val="37"/>
    <w:qFormat/>
    <w:uiPriority w:val="99"/>
  </w:style>
  <w:style w:type="character" w:customStyle="1" w:styleId="84">
    <w:name w:val="top-icon"/>
    <w:basedOn w:val="37"/>
    <w:qFormat/>
    <w:uiPriority w:val="99"/>
  </w:style>
  <w:style w:type="character" w:customStyle="1" w:styleId="85">
    <w:name w:val="t-tag"/>
    <w:basedOn w:val="37"/>
    <w:qFormat/>
    <w:uiPriority w:val="99"/>
    <w:rPr>
      <w:color w:val="FFFFFF"/>
      <w:sz w:val="18"/>
      <w:szCs w:val="18"/>
      <w:shd w:val="clear" w:color="auto" w:fill="auto"/>
    </w:rPr>
  </w:style>
  <w:style w:type="character" w:customStyle="1" w:styleId="86">
    <w:name w:val="bds_more2"/>
    <w:basedOn w:val="37"/>
    <w:qFormat/>
    <w:uiPriority w:val="99"/>
  </w:style>
  <w:style w:type="character" w:customStyle="1" w:styleId="87">
    <w:name w:val="bds_more3"/>
    <w:basedOn w:val="37"/>
    <w:qFormat/>
    <w:uiPriority w:val="99"/>
  </w:style>
  <w:style w:type="character" w:customStyle="1" w:styleId="88">
    <w:name w:val="f-star"/>
    <w:basedOn w:val="37"/>
    <w:qFormat/>
    <w:uiPriority w:val="99"/>
    <w:rPr>
      <w:color w:val="auto"/>
      <w:sz w:val="21"/>
      <w:szCs w:val="21"/>
    </w:rPr>
  </w:style>
  <w:style w:type="character" w:customStyle="1" w:styleId="89">
    <w:name w:val="bds_nopic"/>
    <w:basedOn w:val="37"/>
    <w:qFormat/>
    <w:uiPriority w:val="99"/>
  </w:style>
  <w:style w:type="character" w:customStyle="1" w:styleId="90">
    <w:name w:val="orange"/>
    <w:basedOn w:val="37"/>
    <w:qFormat/>
    <w:uiPriority w:val="99"/>
    <w:rPr>
      <w:color w:val="auto"/>
    </w:rPr>
  </w:style>
  <w:style w:type="character" w:customStyle="1" w:styleId="91">
    <w:name w:val="org_name"/>
    <w:basedOn w:val="37"/>
    <w:qFormat/>
    <w:uiPriority w:val="99"/>
  </w:style>
  <w:style w:type="character" w:customStyle="1" w:styleId="92">
    <w:name w:val="no42"/>
    <w:basedOn w:val="37"/>
    <w:qFormat/>
    <w:uiPriority w:val="99"/>
  </w:style>
  <w:style w:type="character" w:customStyle="1" w:styleId="93">
    <w:name w:val="no52"/>
    <w:basedOn w:val="37"/>
    <w:qFormat/>
    <w:uiPriority w:val="99"/>
  </w:style>
  <w:style w:type="character" w:customStyle="1" w:styleId="94">
    <w:name w:val="no62"/>
    <w:basedOn w:val="37"/>
    <w:qFormat/>
    <w:uiPriority w:val="99"/>
  </w:style>
  <w:style w:type="character" w:customStyle="1" w:styleId="95">
    <w:name w:val="no72"/>
    <w:basedOn w:val="37"/>
    <w:qFormat/>
    <w:uiPriority w:val="99"/>
  </w:style>
  <w:style w:type="character" w:customStyle="1" w:styleId="96">
    <w:name w:val="ico-jiang"/>
    <w:basedOn w:val="37"/>
    <w:qFormat/>
    <w:uiPriority w:val="99"/>
  </w:style>
  <w:style w:type="character" w:customStyle="1" w:styleId="97">
    <w:name w:val="ico-jiang1"/>
    <w:basedOn w:val="37"/>
    <w:qFormat/>
    <w:uiPriority w:val="99"/>
  </w:style>
  <w:style w:type="character" w:customStyle="1" w:styleId="98">
    <w:name w:val="my-notice1"/>
    <w:basedOn w:val="37"/>
    <w:qFormat/>
    <w:uiPriority w:val="99"/>
  </w:style>
  <w:style w:type="character" w:customStyle="1" w:styleId="99">
    <w:name w:val="my-class"/>
    <w:basedOn w:val="37"/>
    <w:qFormat/>
    <w:uiPriority w:val="99"/>
  </w:style>
  <w:style w:type="character" w:customStyle="1" w:styleId="100">
    <w:name w:val="tip10"/>
    <w:basedOn w:val="37"/>
    <w:qFormat/>
    <w:uiPriority w:val="99"/>
    <w:rPr>
      <w:vanish/>
      <w:color w:val="FF0000"/>
      <w:sz w:val="18"/>
      <w:szCs w:val="18"/>
    </w:rPr>
  </w:style>
  <w:style w:type="character" w:customStyle="1" w:styleId="101">
    <w:name w:val="my-class2"/>
    <w:basedOn w:val="37"/>
    <w:qFormat/>
    <w:uiPriority w:val="99"/>
  </w:style>
  <w:style w:type="character" w:customStyle="1" w:styleId="102">
    <w:name w:val="bds_more"/>
    <w:basedOn w:val="37"/>
    <w:qFormat/>
    <w:uiPriority w:val="99"/>
  </w:style>
  <w:style w:type="character" w:customStyle="1" w:styleId="103">
    <w:name w:val="bds_more1"/>
    <w:basedOn w:val="37"/>
    <w:qFormat/>
    <w:uiPriority w:val="99"/>
    <w:rPr>
      <w:rFonts w:ascii="宋体" w:hAnsi="宋体" w:eastAsia="宋体" w:cs="宋体"/>
    </w:rPr>
  </w:style>
  <w:style w:type="character" w:customStyle="1" w:styleId="104">
    <w:name w:val="bds_nopic1"/>
    <w:basedOn w:val="37"/>
    <w:qFormat/>
    <w:uiPriority w:val="99"/>
  </w:style>
  <w:style w:type="character" w:customStyle="1" w:styleId="105">
    <w:name w:val="bds_nopic2"/>
    <w:basedOn w:val="37"/>
    <w:qFormat/>
    <w:uiPriority w:val="99"/>
  </w:style>
  <w:style w:type="character" w:customStyle="1" w:styleId="106">
    <w:name w:val="orange6"/>
    <w:basedOn w:val="37"/>
    <w:qFormat/>
    <w:uiPriority w:val="99"/>
    <w:rPr>
      <w:color w:val="auto"/>
    </w:rPr>
  </w:style>
  <w:style w:type="character" w:customStyle="1" w:styleId="107">
    <w:name w:val="font31"/>
    <w:basedOn w:val="37"/>
    <w:qFormat/>
    <w:uiPriority w:val="99"/>
    <w:rPr>
      <w:rFonts w:ascii="font-weight : 400" w:hAnsi="font-weight : 400" w:cs="font-weight : 400"/>
      <w:color w:val="000000"/>
      <w:sz w:val="20"/>
      <w:szCs w:val="20"/>
      <w:u w:val="none"/>
      <w:vertAlign w:val="superscript"/>
    </w:rPr>
  </w:style>
  <w:style w:type="character" w:customStyle="1" w:styleId="108">
    <w:name w:val="font01"/>
    <w:basedOn w:val="37"/>
    <w:qFormat/>
    <w:uiPriority w:val="99"/>
    <w:rPr>
      <w:rFonts w:ascii="宋体" w:hAnsi="宋体" w:eastAsia="宋体" w:cs="宋体"/>
      <w:color w:val="FF0000"/>
      <w:sz w:val="20"/>
      <w:szCs w:val="20"/>
      <w:u w:val="none"/>
    </w:rPr>
  </w:style>
  <w:style w:type="character" w:customStyle="1" w:styleId="109">
    <w:name w:val="font11"/>
    <w:basedOn w:val="37"/>
    <w:qFormat/>
    <w:uiPriority w:val="99"/>
    <w:rPr>
      <w:rFonts w:ascii="宋体" w:hAnsi="宋体" w:eastAsia="宋体" w:cs="宋体"/>
      <w:color w:val="000000"/>
      <w:sz w:val="20"/>
      <w:szCs w:val="20"/>
      <w:u w:val="none"/>
    </w:rPr>
  </w:style>
  <w:style w:type="paragraph" w:customStyle="1" w:styleId="110">
    <w:name w:val="Revision1"/>
    <w:hidden/>
    <w:qFormat/>
    <w:uiPriority w:val="99"/>
    <w:rPr>
      <w:rFonts w:ascii="Times New Roman" w:hAnsi="Times New Roman" w:eastAsia="宋体" w:cs="Times New Roman"/>
      <w:kern w:val="2"/>
      <w:sz w:val="21"/>
      <w:szCs w:val="21"/>
      <w:lang w:val="en-US" w:eastAsia="zh-CN" w:bidi="ar-SA"/>
    </w:rPr>
  </w:style>
  <w:style w:type="paragraph" w:customStyle="1" w:styleId="111">
    <w:name w:val="表注1"/>
    <w:basedOn w:val="1"/>
    <w:unhideWhenUsed/>
    <w:qFormat/>
    <w:uiPriority w:val="0"/>
    <w:pPr>
      <w:adjustRightInd w:val="0"/>
      <w:snapToGrid w:val="0"/>
      <w:spacing w:beforeLines="50" w:line="300" w:lineRule="auto"/>
      <w:ind w:left="350" w:hanging="350" w:hangingChars="350"/>
    </w:pPr>
    <w:rPr>
      <w:rFonts w:hint="eastAsia" w:eastAsia="仿宋_GB2312"/>
      <w:color w:val="000000"/>
    </w:rPr>
  </w:style>
  <w:style w:type="paragraph" w:customStyle="1" w:styleId="112">
    <w:name w:val="List Paragraph"/>
    <w:basedOn w:val="1"/>
    <w:qFormat/>
    <w:uiPriority w:val="34"/>
    <w:pPr>
      <w:ind w:firstLine="420" w:firstLineChars="200"/>
    </w:pPr>
  </w:style>
  <w:style w:type="paragraph" w:customStyle="1" w:styleId="113">
    <w:name w:val="正文缩进1"/>
    <w:basedOn w:val="1"/>
    <w:qFormat/>
    <w:uiPriority w:val="0"/>
    <w:pPr>
      <w:ind w:firstLine="420" w:firstLineChars="200"/>
    </w:pPr>
  </w:style>
  <w:style w:type="paragraph" w:customStyle="1" w:styleId="11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28989</Words>
  <Characters>31170</Characters>
  <Lines>97</Lines>
  <Paragraphs>102</Paragraphs>
  <TotalTime>6</TotalTime>
  <ScaleCrop>false</ScaleCrop>
  <LinksUpToDate>false</LinksUpToDate>
  <CharactersWithSpaces>32188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2015-07-29T10:12:00Z</dcterms:created>
  <dc:creator>Longwill-4</dc:creator>
  <cp:lastModifiedBy>FAN-Q</cp:lastModifiedBy>
  <cp:lastPrinted>2023-04-25T03:51:00Z</cp:lastPrinted>
  <dcterms:modified xsi:type="dcterms:W3CDTF">2023-05-08T10:12:26Z</dcterms:modified>
  <dc:title>招标编号:SXLHZB2009-276</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039CFC1F191241B39CF7D371897BCB53</vt:lpwstr>
  </property>
</Properties>
</file>