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snapToGrid/>
        <w:spacing w:line="240" w:lineRule="auto"/>
        <w:ind w:firstLine="0" w:firstLineChars="0"/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zh-CN"/>
        </w:rPr>
        <w:t>采购内容及要求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color w:val="auto"/>
          <w:highlight w:val="none"/>
          <w:lang w:val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  <w:t>一、采购内容</w:t>
      </w:r>
    </w:p>
    <w:p>
      <w:pPr>
        <w:pStyle w:val="3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1.建设高标准花卉大棚（智能温室）2800㎡，购买苗床、安装数字化物联系统、智能控温系统及生产所需设备等。</w:t>
      </w:r>
    </w:p>
    <w:p>
      <w:pPr>
        <w:pStyle w:val="3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2.响应乡村振兴号召，本项目计划与堀垛村合作，联农带农，一年培训村民进行花卉网络销售知识12次；提供就业岗位21个；另额外带动长安区6户低收入家庭参与项目建设运营。</w:t>
      </w:r>
    </w:p>
    <w:p>
      <w:pPr>
        <w:pStyle w:val="3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  <w:t>二、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工程量清单</w:t>
      </w:r>
    </w:p>
    <w:p>
      <w:pPr>
        <w:pStyle w:val="3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hAnsi="宋体" w:cs="宋体"/>
          <w:b/>
          <w:bCs w:val="0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hAnsi="宋体" w:cs="宋体"/>
          <w:b/>
          <w:bCs w:val="0"/>
          <w:color w:val="auto"/>
          <w:sz w:val="24"/>
          <w:szCs w:val="21"/>
          <w:highlight w:val="none"/>
          <w:lang w:val="en-US" w:eastAsia="zh-CN"/>
        </w:rPr>
        <w:t>（另附）</w:t>
      </w:r>
    </w:p>
    <w:p>
      <w:pPr>
        <w:pStyle w:val="3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三、图纸</w:t>
      </w:r>
    </w:p>
    <w:p>
      <w:pPr>
        <w:pStyle w:val="3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hAnsi="宋体" w:cs="宋体"/>
          <w:b/>
          <w:bCs w:val="0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hAnsi="宋体" w:cs="宋体"/>
          <w:b/>
          <w:bCs w:val="0"/>
          <w:color w:val="auto"/>
          <w:sz w:val="24"/>
          <w:szCs w:val="21"/>
          <w:highlight w:val="none"/>
          <w:lang w:val="en-US" w:eastAsia="zh-CN"/>
        </w:rPr>
        <w:t>（另附）</w:t>
      </w:r>
    </w:p>
    <w:p>
      <w:pPr>
        <w:pStyle w:val="3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工期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合同签订后6个月</w:t>
      </w: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质量标准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符合国家及行业质量验收合格标准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付款方式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参照《西安市长安区财政衔接推进产业振兴补助资金项目管理实施细则（试行）》中“根据各类支出实际，合理确定资金拨付方式，促进支出进度与实际需求相匹配。基本支出原则上按照序时进度拨付，购买性支出按照合同约定拨付，建设性支出按照工程进度拨付（在项目启动后可拨付不超过合同价30%的启动资金，待项目实施进度达到50%后可拨付不超过项目合同价70%资金，项目完工后拨付不超过合同价90%资金，待验收通过后拨付剩余资金）。质保金按照有关规定执行。”规定的方式付款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七、商务要求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成交供应商应与采购人及本项目实施单位“</w:t>
      </w:r>
      <w:r>
        <w:rPr>
          <w:rFonts w:hint="eastAsia" w:hAnsi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陕西大秦岭园林绿化有限公司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”签订三方协议，实施单位</w:t>
      </w:r>
      <w:r>
        <w:rPr>
          <w:rFonts w:hint="eastAsia" w:hAnsi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陕西大秦岭园林绿化有限公司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在采购人监督下全权负责本工程的建设管理，按合同约定的结算制度向采购人申请工程款并支付给成交供应商。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MzE1ODQwMDM4NDMzMDMzYWVkZmVmYzA2NTc3MmUifQ=="/>
  </w:docVars>
  <w:rsids>
    <w:rsidRoot w:val="3A973B64"/>
    <w:rsid w:val="3A973B64"/>
    <w:rsid w:val="5002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after="120"/>
    </w:pPr>
  </w:style>
  <w:style w:type="paragraph" w:styleId="3">
    <w:name w:val="Body Text Indent"/>
    <w:basedOn w:val="1"/>
    <w:next w:val="2"/>
    <w:qFormat/>
    <w:uiPriority w:val="0"/>
    <w:pPr>
      <w:ind w:firstLine="552"/>
    </w:pPr>
    <w:rPr>
      <w:rFonts w:asci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549</Characters>
  <Lines>0</Lines>
  <Paragraphs>0</Paragraphs>
  <TotalTime>0</TotalTime>
  <ScaleCrop>false</ScaleCrop>
  <LinksUpToDate>false</LinksUpToDate>
  <CharactersWithSpaces>551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2023-05-06T09:33:00Z</dcterms:created>
  <dc:creator>琴断弦奈何丶</dc:creator>
  <cp:lastModifiedBy>琴断弦奈何丶</cp:lastModifiedBy>
  <dcterms:modified xsi:type="dcterms:W3CDTF">2023-05-06T09:34:01Z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63B974C4F35A4767AC4A65460E4ACEC1_11</vt:lpwstr>
  </property>
</Properties>
</file>